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0B" w:rsidRDefault="00223F0B" w:rsidP="00223F0B">
      <w:pPr>
        <w:pStyle w:val="Title"/>
      </w:pPr>
      <w:r>
        <w:t xml:space="preserve">Icatibant: 24 month predicted versus actual analysis </w:t>
      </w:r>
    </w:p>
    <w:p w:rsidR="00223F0B" w:rsidRDefault="00223F0B" w:rsidP="00223F0B">
      <w:pPr>
        <w:pStyle w:val="Heading1"/>
      </w:pPr>
      <w:r>
        <w:t>D</w:t>
      </w:r>
      <w:r w:rsidRPr="0063631C">
        <w:t xml:space="preserve">rug utilisation sub-committee </w:t>
      </w:r>
      <w:r>
        <w:t>(DUSC)</w:t>
      </w:r>
    </w:p>
    <w:p w:rsidR="00223F0B" w:rsidRPr="000C46BB" w:rsidRDefault="00223F0B" w:rsidP="00223F0B">
      <w:pPr>
        <w:pStyle w:val="Heading2"/>
      </w:pPr>
      <w:r>
        <w:t>June 2015</w:t>
      </w:r>
    </w:p>
    <w:p w:rsidR="00223F0B" w:rsidRDefault="00223F0B" w:rsidP="00223F0B">
      <w:pPr>
        <w:pStyle w:val="Heading3"/>
      </w:pPr>
      <w:r>
        <w:t>Abstract</w:t>
      </w:r>
    </w:p>
    <w:p w:rsidR="00223F0B" w:rsidRDefault="00223F0B" w:rsidP="00223F0B">
      <w:pPr>
        <w:pStyle w:val="Heading2"/>
      </w:pPr>
      <w:r>
        <w:t>Purpose</w:t>
      </w:r>
    </w:p>
    <w:p w:rsidR="00B96207" w:rsidRPr="00A70A3A" w:rsidRDefault="00B96207" w:rsidP="00B96207">
      <w:r>
        <w:t>To compare the predicted and actual utilisation of icatibant during the first 24 months of PBS listing (1 August 2012 to 31 July 2014).</w:t>
      </w:r>
      <w:r w:rsidR="008C2A1B">
        <w:t xml:space="preserve">  At its February 2015 meeting, the DUSC requested </w:t>
      </w:r>
      <w:r w:rsidR="00367FBD">
        <w:t xml:space="preserve">that </w:t>
      </w:r>
      <w:r w:rsidR="008C2A1B">
        <w:t>the report include a</w:t>
      </w:r>
      <w:r w:rsidR="008C2A1B" w:rsidRPr="008C2A1B">
        <w:t xml:space="preserve">nalysis </w:t>
      </w:r>
      <w:r w:rsidR="008C2A1B">
        <w:t>of</w:t>
      </w:r>
      <w:r w:rsidR="008C2A1B" w:rsidRPr="008C2A1B">
        <w:t xml:space="preserve"> the number of prescriptions per patient</w:t>
      </w:r>
      <w:r w:rsidR="008C2A1B">
        <w:t>,</w:t>
      </w:r>
      <w:r w:rsidR="008C2A1B" w:rsidRPr="008C2A1B">
        <w:t xml:space="preserve"> as the number of attacks per patient and the proportion of these that are of a high enough severity to justify the use of icatibant was considered to be highly variable and unpredictable at the time of listing.</w:t>
      </w:r>
    </w:p>
    <w:p w:rsidR="00E57E23" w:rsidRDefault="00E57E23" w:rsidP="00E57E23">
      <w:pPr>
        <w:pStyle w:val="Heading2"/>
      </w:pPr>
      <w:r>
        <w:t>Date of listing on the Pharmaceutical Benefits Scheme (PBS)</w:t>
      </w:r>
    </w:p>
    <w:p w:rsidR="00E57E23" w:rsidRPr="00F65B34" w:rsidRDefault="00E57E23" w:rsidP="00E57E23">
      <w:r>
        <w:t>Icatibant was listed on the PBS on 1 August 2012.</w:t>
      </w:r>
    </w:p>
    <w:p w:rsidR="00223F0B" w:rsidRDefault="00223F0B" w:rsidP="00D16348">
      <w:pPr>
        <w:pStyle w:val="Heading2"/>
      </w:pPr>
      <w:r>
        <w:t>Data Source / methodology</w:t>
      </w:r>
    </w:p>
    <w:p w:rsidR="00D16348" w:rsidRDefault="00D16348" w:rsidP="00D16348">
      <w:pPr>
        <w:pStyle w:val="ListParagraph"/>
        <w:numPr>
          <w:ilvl w:val="0"/>
          <w:numId w:val="10"/>
        </w:numPr>
      </w:pPr>
      <w:r>
        <w:t xml:space="preserve">PBS pharmacy claims data from the Department of Human Services (DHS) prescription database. </w:t>
      </w:r>
    </w:p>
    <w:p w:rsidR="00223F0B" w:rsidRDefault="00223F0B" w:rsidP="00223F0B">
      <w:pPr>
        <w:pStyle w:val="Heading2"/>
      </w:pPr>
      <w:r>
        <w:t>Key Findings</w:t>
      </w:r>
    </w:p>
    <w:p w:rsidR="009B3434" w:rsidRDefault="009B3434" w:rsidP="006E4EAF">
      <w:pPr>
        <w:pStyle w:val="ListParagraph"/>
        <w:numPr>
          <w:ilvl w:val="0"/>
          <w:numId w:val="7"/>
        </w:numPr>
        <w:rPr>
          <w:rFonts w:cs="Arial"/>
        </w:rPr>
      </w:pPr>
      <w:r>
        <w:rPr>
          <w:rFonts w:cs="Arial"/>
        </w:rPr>
        <w:t xml:space="preserve">The number of patients </w:t>
      </w:r>
      <w:r w:rsidR="00177C08">
        <w:rPr>
          <w:rFonts w:cs="Arial"/>
        </w:rPr>
        <w:t>supplied icatibant has been much lower than expected</w:t>
      </w:r>
      <w:r w:rsidR="00144399">
        <w:rPr>
          <w:rFonts w:cs="Arial"/>
        </w:rPr>
        <w:t xml:space="preserve"> (</w:t>
      </w:r>
      <w:r w:rsidR="00110BCE">
        <w:rPr>
          <w:rFonts w:cs="Arial"/>
          <w:noProof/>
          <w:color w:val="000000"/>
          <w:highlight w:val="black"/>
        </w:rPr>
        <w:t>'''''</w:t>
      </w:r>
      <w:r w:rsidR="006E4EAF" w:rsidRPr="006E4EAF">
        <w:rPr>
          <w:rFonts w:cs="Arial"/>
        </w:rPr>
        <w:t xml:space="preserve"> </w:t>
      </w:r>
      <w:r w:rsidR="00144399">
        <w:rPr>
          <w:rFonts w:cs="Arial"/>
        </w:rPr>
        <w:t>%</w:t>
      </w:r>
      <w:r w:rsidR="00B65DAB">
        <w:rPr>
          <w:rFonts w:cs="Arial"/>
        </w:rPr>
        <w:t xml:space="preserve"> of expected</w:t>
      </w:r>
      <w:r w:rsidR="00144399">
        <w:rPr>
          <w:rFonts w:cs="Arial"/>
        </w:rPr>
        <w:t>)</w:t>
      </w:r>
      <w:r w:rsidR="00177C08">
        <w:rPr>
          <w:rFonts w:cs="Arial"/>
        </w:rPr>
        <w:t xml:space="preserve">. This is probably due to an overestimate </w:t>
      </w:r>
      <w:r w:rsidR="00513935">
        <w:rPr>
          <w:rFonts w:cs="Arial"/>
        </w:rPr>
        <w:t xml:space="preserve">of </w:t>
      </w:r>
      <w:r w:rsidR="00177C08">
        <w:rPr>
          <w:rFonts w:cs="Arial"/>
        </w:rPr>
        <w:t xml:space="preserve">number of people with </w:t>
      </w:r>
      <w:r w:rsidR="00E35165">
        <w:t>h</w:t>
      </w:r>
      <w:r w:rsidR="00E35165" w:rsidRPr="005812BB">
        <w:t>ereditary angioedema</w:t>
      </w:r>
      <w:r w:rsidR="00E35165">
        <w:t xml:space="preserve"> (</w:t>
      </w:r>
      <w:r w:rsidR="00177C08">
        <w:rPr>
          <w:rFonts w:cs="Arial"/>
        </w:rPr>
        <w:t>HAE</w:t>
      </w:r>
      <w:r w:rsidR="00E35165">
        <w:rPr>
          <w:rFonts w:cs="Arial"/>
        </w:rPr>
        <w:t>)</w:t>
      </w:r>
      <w:r w:rsidR="00177C08">
        <w:rPr>
          <w:rFonts w:cs="Arial"/>
        </w:rPr>
        <w:t xml:space="preserve"> </w:t>
      </w:r>
      <w:r w:rsidR="00513935">
        <w:rPr>
          <w:rFonts w:cs="Arial"/>
        </w:rPr>
        <w:t xml:space="preserve">as </w:t>
      </w:r>
      <w:r w:rsidR="00177C08">
        <w:rPr>
          <w:rFonts w:cs="Arial"/>
        </w:rPr>
        <w:t>epidemiological</w:t>
      </w:r>
      <w:r w:rsidR="00513935">
        <w:rPr>
          <w:rFonts w:cs="Arial"/>
        </w:rPr>
        <w:t xml:space="preserve"> data was limited</w:t>
      </w:r>
      <w:r w:rsidR="00D45B70">
        <w:rPr>
          <w:rFonts w:cs="Arial"/>
        </w:rPr>
        <w:t xml:space="preserve"> at the time of listing. Alternatively, uptake may be lower than expected, but this is unlikely as clinicians advised that all patients diagnosed with HAE should be supplied icatibant.</w:t>
      </w:r>
    </w:p>
    <w:p w:rsidR="00E62964" w:rsidRDefault="00177C08" w:rsidP="006E4EAF">
      <w:pPr>
        <w:pStyle w:val="ListParagraph"/>
        <w:numPr>
          <w:ilvl w:val="0"/>
          <w:numId w:val="7"/>
        </w:numPr>
      </w:pPr>
      <w:r>
        <w:t xml:space="preserve">The number of </w:t>
      </w:r>
      <w:r w:rsidR="003379A1">
        <w:t>injections</w:t>
      </w:r>
      <w:r>
        <w:t xml:space="preserve"> supplied </w:t>
      </w:r>
      <w:r w:rsidR="009B3434">
        <w:t>per patient</w:t>
      </w:r>
      <w:r>
        <w:t xml:space="preserve"> is higher than predicted</w:t>
      </w:r>
      <w:r w:rsidR="00F142FA">
        <w:t xml:space="preserve">, at approximately </w:t>
      </w:r>
      <w:r w:rsidR="00110BCE">
        <w:rPr>
          <w:noProof/>
          <w:color w:val="000000"/>
          <w:highlight w:val="black"/>
        </w:rPr>
        <w:t>''''''''''''''</w:t>
      </w:r>
      <w:r w:rsidR="006E4EAF" w:rsidRPr="006E4EAF">
        <w:t xml:space="preserve"> </w:t>
      </w:r>
      <w:r w:rsidR="00F142FA">
        <w:t>that predicted in year 2</w:t>
      </w:r>
      <w:r w:rsidR="00C57837">
        <w:t>.</w:t>
      </w:r>
      <w:r>
        <w:t xml:space="preserve">  </w:t>
      </w:r>
      <w:r w:rsidR="00E62964">
        <w:t>This could be due to</w:t>
      </w:r>
      <w:r w:rsidR="00455CD6">
        <w:t>;</w:t>
      </w:r>
    </w:p>
    <w:p w:rsidR="00F870F7" w:rsidRDefault="00F870F7" w:rsidP="00F870F7">
      <w:pPr>
        <w:pStyle w:val="ListParagraph"/>
        <w:numPr>
          <w:ilvl w:val="1"/>
          <w:numId w:val="7"/>
        </w:numPr>
      </w:pPr>
      <w:r>
        <w:t>use for cutaneous attacks</w:t>
      </w:r>
      <w:r w:rsidR="006E26D7">
        <w:t>;</w:t>
      </w:r>
    </w:p>
    <w:p w:rsidR="00E62964" w:rsidRDefault="00E62964" w:rsidP="00B65DAB">
      <w:pPr>
        <w:pStyle w:val="ListParagraph"/>
        <w:numPr>
          <w:ilvl w:val="1"/>
          <w:numId w:val="7"/>
        </w:numPr>
      </w:pPr>
      <w:r>
        <w:t>use for mild symptoms</w:t>
      </w:r>
      <w:r w:rsidR="00F870F7">
        <w:t xml:space="preserve"> of non-cutaneous attacks</w:t>
      </w:r>
      <w:r>
        <w:t xml:space="preserve">; </w:t>
      </w:r>
    </w:p>
    <w:p w:rsidR="00230D70" w:rsidRDefault="00E62964" w:rsidP="00B65DAB">
      <w:pPr>
        <w:pStyle w:val="ListParagraph"/>
        <w:numPr>
          <w:ilvl w:val="1"/>
          <w:numId w:val="7"/>
        </w:numPr>
      </w:pPr>
      <w:r>
        <w:t>patients having supplies on hand</w:t>
      </w:r>
      <w:r w:rsidR="00230D70">
        <w:t>;</w:t>
      </w:r>
      <w:r w:rsidR="00280169">
        <w:t xml:space="preserve"> </w:t>
      </w:r>
    </w:p>
    <w:p w:rsidR="00743DE9" w:rsidRDefault="00230D70" w:rsidP="00B65DAB">
      <w:pPr>
        <w:pStyle w:val="ListParagraph"/>
        <w:numPr>
          <w:ilvl w:val="1"/>
          <w:numId w:val="7"/>
        </w:numPr>
      </w:pPr>
      <w:r>
        <w:t>expiry of icatibant for patients with infrequent attacks</w:t>
      </w:r>
      <w:r w:rsidR="007C0625">
        <w:t>;</w:t>
      </w:r>
    </w:p>
    <w:p w:rsidR="00743DE9" w:rsidRDefault="00743DE9" w:rsidP="00743DE9">
      <w:pPr>
        <w:pStyle w:val="ListParagraph"/>
        <w:numPr>
          <w:ilvl w:val="1"/>
          <w:numId w:val="7"/>
        </w:numPr>
      </w:pPr>
      <w:r>
        <w:t>patients experiencing more attacks with moderate to severe symptoms than anticipated;</w:t>
      </w:r>
    </w:p>
    <w:p w:rsidR="00743DE9" w:rsidRDefault="00743DE9" w:rsidP="00743DE9">
      <w:pPr>
        <w:pStyle w:val="ListParagraph"/>
        <w:numPr>
          <w:ilvl w:val="1"/>
          <w:numId w:val="7"/>
        </w:numPr>
      </w:pPr>
      <w:r>
        <w:t>a higher than expected rate of treatment of moderate to severe attacks;</w:t>
      </w:r>
      <w:r w:rsidR="007C0625">
        <w:t xml:space="preserve"> and/ or</w:t>
      </w:r>
    </w:p>
    <w:p w:rsidR="009B3434" w:rsidRDefault="00743DE9" w:rsidP="00455CD6">
      <w:pPr>
        <w:pStyle w:val="ListParagraph"/>
        <w:numPr>
          <w:ilvl w:val="1"/>
          <w:numId w:val="7"/>
        </w:numPr>
      </w:pPr>
      <w:r>
        <w:t>on average, a higher number of injections per attack;</w:t>
      </w:r>
    </w:p>
    <w:p w:rsidR="00946943" w:rsidRPr="004B1B4C" w:rsidRDefault="00EB7A34" w:rsidP="00E80F59">
      <w:pPr>
        <w:pStyle w:val="ListParagraph"/>
        <w:numPr>
          <w:ilvl w:val="0"/>
          <w:numId w:val="7"/>
        </w:numPr>
      </w:pPr>
      <w:r w:rsidRPr="004B1B4C">
        <w:lastRenderedPageBreak/>
        <w:t>The base case economic model</w:t>
      </w:r>
      <w:r w:rsidR="006E26D7" w:rsidRPr="004B1B4C">
        <w:t xml:space="preserve"> accepted by the PBAC</w:t>
      </w:r>
      <w:r w:rsidRPr="004B1B4C">
        <w:t xml:space="preserve"> included 3.25 </w:t>
      </w:r>
      <w:r w:rsidR="00077489" w:rsidRPr="004B1B4C">
        <w:t xml:space="preserve">treated attacks per </w:t>
      </w:r>
      <w:r w:rsidRPr="004B1B4C">
        <w:t>year (ICER</w:t>
      </w:r>
      <w:r w:rsidR="00077489" w:rsidRPr="004B1B4C">
        <w:t xml:space="preserve"> of $</w:t>
      </w:r>
      <w:r w:rsidR="00560F87">
        <w:t>45,000 to $75,000</w:t>
      </w:r>
      <w:r w:rsidR="00077489" w:rsidRPr="004B1B4C">
        <w:t>/QALY</w:t>
      </w:r>
      <w:r w:rsidRPr="004B1B4C">
        <w:t xml:space="preserve">) </w:t>
      </w:r>
      <w:r w:rsidR="006E26D7" w:rsidRPr="004B1B4C">
        <w:t xml:space="preserve">with a </w:t>
      </w:r>
      <w:r w:rsidRPr="004B1B4C">
        <w:t xml:space="preserve">sensitivity analysis of </w:t>
      </w:r>
      <w:r w:rsidR="00110BCE">
        <w:rPr>
          <w:noProof/>
          <w:color w:val="000000"/>
          <w:highlight w:val="black"/>
        </w:rPr>
        <w:t>'''''''''</w:t>
      </w:r>
      <w:r w:rsidRPr="004B1B4C">
        <w:t xml:space="preserve"> </w:t>
      </w:r>
      <w:r w:rsidR="00176882" w:rsidRPr="004B1B4C">
        <w:t xml:space="preserve">treated attacks per year </w:t>
      </w:r>
      <w:r w:rsidRPr="004B1B4C">
        <w:t xml:space="preserve">(ICER </w:t>
      </w:r>
      <w:r w:rsidR="00176882" w:rsidRPr="004B1B4C">
        <w:t>of $</w:t>
      </w:r>
      <w:r w:rsidR="00E80F59" w:rsidRPr="00E80F59">
        <w:t>7</w:t>
      </w:r>
      <w:r w:rsidR="00605771">
        <w:t>5,000 to</w:t>
      </w:r>
      <w:r w:rsidR="00E80F59" w:rsidRPr="00E80F59">
        <w:t xml:space="preserve"> $105,000</w:t>
      </w:r>
      <w:r w:rsidR="007E2AA0">
        <w:t xml:space="preserve"> </w:t>
      </w:r>
      <w:r w:rsidR="00176882" w:rsidRPr="004B1B4C">
        <w:t>/QALY</w:t>
      </w:r>
      <w:r w:rsidR="00720E7F" w:rsidRPr="004B1B4C">
        <w:t xml:space="preserve">, includes treatment of </w:t>
      </w:r>
      <w:r w:rsidR="00110BCE">
        <w:rPr>
          <w:noProof/>
          <w:color w:val="000000"/>
          <w:highlight w:val="black"/>
        </w:rPr>
        <w:t>'''''</w:t>
      </w:r>
      <w:r w:rsidR="00720E7F" w:rsidRPr="004B1B4C">
        <w:t>% of cutaneous attacks</w:t>
      </w:r>
      <w:r w:rsidRPr="004B1B4C">
        <w:t xml:space="preserve">). </w:t>
      </w:r>
    </w:p>
    <w:p w:rsidR="00223F0B" w:rsidRPr="002A4294" w:rsidRDefault="00223F0B" w:rsidP="002A4294">
      <w:pPr>
        <w:rPr>
          <w:b/>
          <w:sz w:val="32"/>
          <w:szCs w:val="32"/>
        </w:rPr>
      </w:pPr>
      <w:r w:rsidRPr="002A4294">
        <w:rPr>
          <w:b/>
          <w:sz w:val="32"/>
          <w:szCs w:val="32"/>
        </w:rPr>
        <w:t>Purpose of analysis</w:t>
      </w:r>
    </w:p>
    <w:p w:rsidR="00223F0B" w:rsidRPr="00A70A3A" w:rsidRDefault="00223F0B" w:rsidP="00223F0B">
      <w:r>
        <w:t xml:space="preserve">To </w:t>
      </w:r>
      <w:r w:rsidR="00F80B49">
        <w:t xml:space="preserve">compare the predicted </w:t>
      </w:r>
      <w:r w:rsidR="00144399">
        <w:t>and</w:t>
      </w:r>
      <w:r w:rsidR="00F80B49">
        <w:t xml:space="preserve"> actual </w:t>
      </w:r>
      <w:r>
        <w:t xml:space="preserve">utilisation of icatibant </w:t>
      </w:r>
      <w:r w:rsidR="00F80B49">
        <w:t xml:space="preserve">during the first 24 months of </w:t>
      </w:r>
      <w:r>
        <w:t xml:space="preserve">PBS listing </w:t>
      </w:r>
      <w:r w:rsidR="00F80B49">
        <w:t>(1</w:t>
      </w:r>
      <w:r w:rsidR="00163840">
        <w:t xml:space="preserve"> </w:t>
      </w:r>
      <w:r>
        <w:t>August 2012</w:t>
      </w:r>
      <w:r w:rsidR="00F80B49">
        <w:t xml:space="preserve"> to 31 July 2014)</w:t>
      </w:r>
      <w:r>
        <w:t>.</w:t>
      </w:r>
      <w:r w:rsidR="00F35DD5">
        <w:t xml:space="preserve">  </w:t>
      </w:r>
      <w:r w:rsidR="00AA3326" w:rsidRPr="00AA3326">
        <w:t>At its February 2015 meeting, the DUSC requested that the report include analysis of the number of prescriptions per patient, as the number of attacks per patient and the proportion of these that are of a high enough severity to justify the use of icatibant was considered to be highly variable and unpredictable at the time of listing</w:t>
      </w:r>
      <w:r w:rsidR="00AA3326">
        <w:t>.</w:t>
      </w:r>
    </w:p>
    <w:p w:rsidR="00223F0B" w:rsidRPr="00994FD6" w:rsidRDefault="00223F0B" w:rsidP="00994FD6">
      <w:pPr>
        <w:rPr>
          <w:b/>
          <w:sz w:val="32"/>
          <w:szCs w:val="32"/>
        </w:rPr>
      </w:pPr>
      <w:r w:rsidRPr="00994FD6">
        <w:rPr>
          <w:b/>
          <w:sz w:val="32"/>
          <w:szCs w:val="32"/>
        </w:rPr>
        <w:t>Background</w:t>
      </w:r>
    </w:p>
    <w:p w:rsidR="00F80B49" w:rsidRPr="005812BB" w:rsidRDefault="00F80B49" w:rsidP="00223F0B">
      <w:pPr>
        <w:pStyle w:val="Heading3"/>
        <w:rPr>
          <w:b w:val="0"/>
          <w:sz w:val="24"/>
          <w:szCs w:val="24"/>
        </w:rPr>
      </w:pPr>
      <w:r w:rsidRPr="005812BB">
        <w:rPr>
          <w:b w:val="0"/>
          <w:sz w:val="24"/>
          <w:szCs w:val="24"/>
        </w:rPr>
        <w:t>Hereditary angioedema</w:t>
      </w:r>
      <w:r>
        <w:rPr>
          <w:b w:val="0"/>
          <w:sz w:val="24"/>
          <w:szCs w:val="24"/>
        </w:rPr>
        <w:t xml:space="preserve"> (HAE)</w:t>
      </w:r>
      <w:r w:rsidRPr="005812BB">
        <w:rPr>
          <w:b w:val="0"/>
          <w:sz w:val="24"/>
          <w:szCs w:val="24"/>
        </w:rPr>
        <w:t xml:space="preserve"> is a rare</w:t>
      </w:r>
      <w:r w:rsidR="00DE59C2">
        <w:rPr>
          <w:b w:val="0"/>
          <w:sz w:val="24"/>
          <w:szCs w:val="24"/>
        </w:rPr>
        <w:t>,</w:t>
      </w:r>
      <w:r w:rsidRPr="005812BB">
        <w:rPr>
          <w:b w:val="0"/>
          <w:sz w:val="24"/>
          <w:szCs w:val="24"/>
        </w:rPr>
        <w:t xml:space="preserve"> autosomal dominant disease caused by deficiency of C1 esterase inhibitor (C1-INH) due to mutations of the C1-INH gene. HAE is characterised by recurrent attacks of oedema of the extremities, face, trunk, abdominal viscera and upper airways.</w:t>
      </w:r>
    </w:p>
    <w:p w:rsidR="00223F0B" w:rsidRDefault="00223F0B" w:rsidP="00223F0B">
      <w:pPr>
        <w:pStyle w:val="Heading3"/>
      </w:pPr>
      <w:r>
        <w:t>Pharmacology</w:t>
      </w:r>
      <w:bookmarkStart w:id="0" w:name="_Ref415481988"/>
      <w:r>
        <w:rPr>
          <w:rStyle w:val="FootnoteReference"/>
        </w:rPr>
        <w:footnoteReference w:id="1"/>
      </w:r>
      <w:bookmarkEnd w:id="0"/>
    </w:p>
    <w:p w:rsidR="00223F0B" w:rsidRPr="00797C48" w:rsidRDefault="00223F0B" w:rsidP="00223F0B">
      <w:r>
        <w:t>Hereditary Angioedema (HAE) attacks are accompanied by an increased release of bradykinin; the key mediator in the development of clinical symptoms and oedema formation.</w:t>
      </w:r>
      <w:r w:rsidR="005812BB">
        <w:t xml:space="preserve"> </w:t>
      </w:r>
      <w:r>
        <w:t>Icatibant is a selective competitive antagonist at the bradykinin type 2 (B2) receptor.</w:t>
      </w:r>
      <w:r w:rsidR="005812BB">
        <w:t xml:space="preserve"> </w:t>
      </w:r>
      <w:r>
        <w:t>It is a synthetic decapeptide with a structure similar to bradykinin.</w:t>
      </w:r>
      <w:r w:rsidR="005812BB">
        <w:t xml:space="preserve"> </w:t>
      </w:r>
    </w:p>
    <w:p w:rsidR="00223F0B" w:rsidRDefault="007373EA" w:rsidP="00223F0B">
      <w:pPr>
        <w:pStyle w:val="Heading3"/>
      </w:pPr>
      <w:r w:rsidRPr="007373EA">
        <w:t xml:space="preserve">Therapeutic Goods Administration </w:t>
      </w:r>
      <w:r>
        <w:t>(</w:t>
      </w:r>
      <w:r w:rsidR="00223F0B" w:rsidRPr="005E22C2">
        <w:t>TGA</w:t>
      </w:r>
      <w:r>
        <w:t>)</w:t>
      </w:r>
      <w:r w:rsidR="00223F0B" w:rsidRPr="005E22C2">
        <w:t xml:space="preserve"> approved </w:t>
      </w:r>
      <w:r w:rsidR="00223F0B">
        <w:t>i</w:t>
      </w:r>
      <w:r w:rsidR="00223F0B" w:rsidRPr="005E22C2">
        <w:t>ndications</w:t>
      </w:r>
      <w:r w:rsidR="00223F0B" w:rsidRPr="002739B3">
        <w:rPr>
          <w:vertAlign w:val="superscript"/>
        </w:rPr>
        <w:t>1</w:t>
      </w:r>
    </w:p>
    <w:p w:rsidR="00223F0B" w:rsidRPr="00797C48" w:rsidRDefault="00223F0B" w:rsidP="00223F0B">
      <w:r>
        <w:t xml:space="preserve">Icatibant was registered with the </w:t>
      </w:r>
      <w:r w:rsidR="005812BB">
        <w:t xml:space="preserve">TGA on 3 </w:t>
      </w:r>
      <w:r>
        <w:t>September</w:t>
      </w:r>
      <w:r w:rsidR="005812BB">
        <w:t xml:space="preserve"> </w:t>
      </w:r>
      <w:r>
        <w:t>2010.</w:t>
      </w:r>
      <w:r w:rsidR="005812BB">
        <w:t xml:space="preserve"> </w:t>
      </w:r>
      <w:r>
        <w:t xml:space="preserve">It is indicated for </w:t>
      </w:r>
      <w:r w:rsidRPr="00797C48">
        <w:t>symptomatic treatment of acute attacks of hereditary angioedema (HAE) in adults (with C1-esterase-inhibitor deficiency)</w:t>
      </w:r>
      <w:r>
        <w:t>.</w:t>
      </w:r>
      <w:r w:rsidR="005812BB">
        <w:t xml:space="preserve"> </w:t>
      </w:r>
    </w:p>
    <w:p w:rsidR="00223F0B" w:rsidRDefault="00223F0B" w:rsidP="00223F0B">
      <w:pPr>
        <w:pStyle w:val="Heading3"/>
      </w:pPr>
      <w:r>
        <w:t>Dosage and administration</w:t>
      </w:r>
      <w:r w:rsidRPr="002739B3">
        <w:rPr>
          <w:vertAlign w:val="superscript"/>
        </w:rPr>
        <w:t>1,</w:t>
      </w:r>
      <w:bookmarkStart w:id="1" w:name="_Ref415562519"/>
      <w:r>
        <w:rPr>
          <w:rStyle w:val="FootnoteReference"/>
          <w:szCs w:val="22"/>
        </w:rPr>
        <w:footnoteReference w:id="2"/>
      </w:r>
      <w:bookmarkEnd w:id="1"/>
    </w:p>
    <w:p w:rsidR="005C5E77" w:rsidRDefault="005C5E77" w:rsidP="00223F0B">
      <w:pPr>
        <w:rPr>
          <w:i/>
          <w:szCs w:val="22"/>
        </w:rPr>
      </w:pPr>
      <w:r w:rsidRPr="005812BB">
        <w:rPr>
          <w:i/>
          <w:szCs w:val="22"/>
        </w:rPr>
        <w:t xml:space="preserve">Abridged – see Product Information </w:t>
      </w:r>
      <w:r w:rsidR="002D0FC0">
        <w:rPr>
          <w:i/>
          <w:szCs w:val="22"/>
        </w:rPr>
        <w:t xml:space="preserve">and Consumer Medicines Information </w:t>
      </w:r>
      <w:r w:rsidRPr="005812BB">
        <w:rPr>
          <w:i/>
          <w:szCs w:val="22"/>
        </w:rPr>
        <w:t>for full details</w:t>
      </w:r>
      <w:r w:rsidR="002D1C17">
        <w:rPr>
          <w:i/>
          <w:szCs w:val="22"/>
          <w:vertAlign w:val="superscript"/>
        </w:rPr>
        <w:t>1</w:t>
      </w:r>
      <w:r w:rsidR="00D511D6">
        <w:rPr>
          <w:i/>
          <w:szCs w:val="22"/>
          <w:vertAlign w:val="superscript"/>
        </w:rPr>
        <w:t>,</w:t>
      </w:r>
      <w:r w:rsidR="002D1C17">
        <w:rPr>
          <w:i/>
          <w:szCs w:val="22"/>
          <w:vertAlign w:val="superscript"/>
        </w:rPr>
        <w:t>2</w:t>
      </w:r>
    </w:p>
    <w:p w:rsidR="00513935" w:rsidRDefault="00513935" w:rsidP="005C5E77">
      <w:pPr>
        <w:rPr>
          <w:szCs w:val="22"/>
        </w:rPr>
      </w:pPr>
      <w:r>
        <w:rPr>
          <w:szCs w:val="22"/>
        </w:rPr>
        <w:t xml:space="preserve">Patients can self-administer icatibant upon recognition of symptoms of an HAE attack, where their doctor has determined this is appropriate and provided adequate training. </w:t>
      </w:r>
    </w:p>
    <w:p w:rsidR="005C5E77" w:rsidRPr="005C5E77" w:rsidRDefault="005C5E77" w:rsidP="005C5E77">
      <w:pPr>
        <w:rPr>
          <w:szCs w:val="22"/>
        </w:rPr>
      </w:pPr>
      <w:r w:rsidRPr="005C5E77">
        <w:rPr>
          <w:szCs w:val="22"/>
        </w:rPr>
        <w:t xml:space="preserve">The recommended dose of </w:t>
      </w:r>
      <w:r w:rsidR="00513935">
        <w:rPr>
          <w:szCs w:val="22"/>
        </w:rPr>
        <w:t>icatibant</w:t>
      </w:r>
      <w:r w:rsidRPr="005C5E77">
        <w:rPr>
          <w:szCs w:val="22"/>
        </w:rPr>
        <w:t xml:space="preserve"> is one subcutaneous injection of 30 mg preferably in the abdominal area, for the treatment of a HAE attack. Injection should be given slowly due to the large volume to be administered (3 mL).</w:t>
      </w:r>
    </w:p>
    <w:p w:rsidR="00513935" w:rsidRPr="005C5E77" w:rsidRDefault="00513935" w:rsidP="00513935">
      <w:pPr>
        <w:rPr>
          <w:szCs w:val="22"/>
        </w:rPr>
      </w:pPr>
      <w:r w:rsidRPr="005C5E77">
        <w:rPr>
          <w:szCs w:val="22"/>
        </w:rPr>
        <w:lastRenderedPageBreak/>
        <w:t xml:space="preserve">Patients who self-inject should be advised to seek urgent medical attention if there is no evidence of resolution of the HAE attack within 2 hours of self-injection, or immediately should the HAE attack progress to involve the face, lips or pharyngolaryngeal area. Patients whose initial HAE attack involves the face, lips or pharyngolaryngeal area should seek urgent medical attention, regardless of their response to </w:t>
      </w:r>
      <w:r>
        <w:rPr>
          <w:szCs w:val="22"/>
        </w:rPr>
        <w:t>icatibant</w:t>
      </w:r>
      <w:r w:rsidRPr="005C5E77">
        <w:rPr>
          <w:szCs w:val="22"/>
        </w:rPr>
        <w:t xml:space="preserve"> following self-injection.</w:t>
      </w:r>
    </w:p>
    <w:p w:rsidR="00513935" w:rsidRDefault="00513935" w:rsidP="005C5E77">
      <w:r w:rsidRPr="005C5E77">
        <w:rPr>
          <w:szCs w:val="22"/>
        </w:rPr>
        <w:t xml:space="preserve">In the majority of cases a single injection of </w:t>
      </w:r>
      <w:r>
        <w:rPr>
          <w:szCs w:val="22"/>
        </w:rPr>
        <w:t>icatibant</w:t>
      </w:r>
      <w:r w:rsidRPr="005C5E77">
        <w:rPr>
          <w:szCs w:val="22"/>
        </w:rPr>
        <w:t xml:space="preserve"> is sufficient to treat an attack. </w:t>
      </w:r>
      <w:r>
        <w:t>In case of insufficient relief or recurrence of symptoms, a second injection of icatibant can be administered after 6 hours. If the second injection produces insufficient relief or a recurrence of symptoms is observed, a third injection of icatibant can be administered after a further 6 hours. Second and subsequent injections, if required, should be given by or in consultation with a doctor.</w:t>
      </w:r>
      <w:r w:rsidR="005812BB">
        <w:t xml:space="preserve"> </w:t>
      </w:r>
      <w:r>
        <w:t xml:space="preserve">No more than 3 injections of icatibant should be administered in a 24-hour period. </w:t>
      </w:r>
    </w:p>
    <w:p w:rsidR="005C5E77" w:rsidRDefault="005C5E77" w:rsidP="005C5E77">
      <w:pPr>
        <w:rPr>
          <w:szCs w:val="22"/>
        </w:rPr>
      </w:pPr>
      <w:r w:rsidRPr="005C5E77">
        <w:rPr>
          <w:szCs w:val="22"/>
        </w:rPr>
        <w:t xml:space="preserve">In clinical trials, not more than 8 injections of </w:t>
      </w:r>
      <w:r w:rsidR="00513935">
        <w:rPr>
          <w:szCs w:val="22"/>
        </w:rPr>
        <w:t>icatibant</w:t>
      </w:r>
      <w:r w:rsidRPr="005C5E77">
        <w:rPr>
          <w:szCs w:val="22"/>
        </w:rPr>
        <w:t xml:space="preserve"> per month </w:t>
      </w:r>
      <w:r w:rsidR="00114ADD">
        <w:rPr>
          <w:szCs w:val="22"/>
        </w:rPr>
        <w:t xml:space="preserve">were </w:t>
      </w:r>
      <w:r w:rsidRPr="005C5E77">
        <w:rPr>
          <w:szCs w:val="22"/>
        </w:rPr>
        <w:t>administered.</w:t>
      </w:r>
      <w:r>
        <w:rPr>
          <w:szCs w:val="22"/>
        </w:rPr>
        <w:t xml:space="preserve"> </w:t>
      </w:r>
    </w:p>
    <w:p w:rsidR="00223F0B" w:rsidRPr="002F61CA" w:rsidRDefault="00223F0B" w:rsidP="00223F0B">
      <w:r w:rsidRPr="002F61CA">
        <w:t xml:space="preserve">The current Product Information (PI) and Consumer Medicine Information (CMI) are available from </w:t>
      </w:r>
      <w:r w:rsidR="00BB4C89" w:rsidRPr="00110BCE">
        <w:t>the TGA (Product Information)</w:t>
      </w:r>
      <w:r w:rsidR="00BB4C89" w:rsidRPr="00BB4C89">
        <w:t xml:space="preserve"> and </w:t>
      </w:r>
      <w:r w:rsidR="00BB4C89" w:rsidRPr="00110BCE">
        <w:t>the TGA (Consumer Medicines Information)</w:t>
      </w:r>
      <w:r w:rsidR="00BB4C89" w:rsidRPr="00BB4C89">
        <w:t>.</w:t>
      </w:r>
    </w:p>
    <w:p w:rsidR="00223F0B" w:rsidRDefault="00223F0B" w:rsidP="00223F0B">
      <w:pPr>
        <w:pStyle w:val="Heading3"/>
      </w:pPr>
      <w:r w:rsidRPr="007247B9">
        <w:t>Clinical situation</w:t>
      </w:r>
    </w:p>
    <w:p w:rsidR="002D0FC0" w:rsidRDefault="00223F0B" w:rsidP="00223F0B">
      <w:r>
        <w:t>Icatibant is prescribed and supplied in anticipation of a future HAE attack.</w:t>
      </w:r>
      <w:r w:rsidR="005812BB">
        <w:t xml:space="preserve"> </w:t>
      </w:r>
      <w:r>
        <w:t xml:space="preserve">Patients may hold their own icatibant </w:t>
      </w:r>
      <w:r w:rsidR="00E42CD2">
        <w:t>supply either</w:t>
      </w:r>
      <w:r>
        <w:t xml:space="preserve"> for self-administration or for administration by a trained companion or a medical professional at a clinic or hospital</w:t>
      </w:r>
      <w:r w:rsidR="00D511D6">
        <w:t>.</w:t>
      </w:r>
      <w:r>
        <w:rPr>
          <w:rStyle w:val="FootnoteReference"/>
        </w:rPr>
        <w:footnoteReference w:id="3"/>
      </w:r>
      <w:r w:rsidR="00D511D6">
        <w:t xml:space="preserve"> PBS subsidised medicines are available for patients treated in a community setting, in private hospitals, and in public hospital outpatient and discharge settings. PBS subsidy is not available for public hospital inpatients.</w:t>
      </w:r>
    </w:p>
    <w:p w:rsidR="00223F0B" w:rsidRDefault="00223F0B" w:rsidP="00223F0B">
      <w:r>
        <w:t xml:space="preserve">PBS data </w:t>
      </w:r>
      <w:r w:rsidR="005C5E77">
        <w:t xml:space="preserve">in this report </w:t>
      </w:r>
      <w:r>
        <w:t>relates to the supply of the medicine; not its administration.</w:t>
      </w:r>
      <w:r w:rsidR="005812BB">
        <w:t xml:space="preserve"> </w:t>
      </w:r>
    </w:p>
    <w:p w:rsidR="00223F0B" w:rsidRDefault="00223F0B" w:rsidP="00223F0B">
      <w:r>
        <w:t xml:space="preserve">The Australasian </w:t>
      </w:r>
      <w:r w:rsidR="005C5E77">
        <w:t>S</w:t>
      </w:r>
      <w:r>
        <w:t xml:space="preserve">ociety of </w:t>
      </w:r>
      <w:r w:rsidR="005C5E77">
        <w:t>C</w:t>
      </w:r>
      <w:r>
        <w:t>linical</w:t>
      </w:r>
      <w:r w:rsidR="00D511D6">
        <w:t xml:space="preserve"> </w:t>
      </w:r>
      <w:r w:rsidR="005C5E77">
        <w:t>I</w:t>
      </w:r>
      <w:r>
        <w:t xml:space="preserve">mmunology and </w:t>
      </w:r>
      <w:r w:rsidR="005C5E77">
        <w:t>A</w:t>
      </w:r>
      <w:r>
        <w:t>llergy (ASCIA) position paper on HAE</w:t>
      </w:r>
      <w:r w:rsidR="008C2200" w:rsidRPr="008C2200">
        <w:rPr>
          <w:vertAlign w:val="superscript"/>
        </w:rPr>
        <w:t>3</w:t>
      </w:r>
      <w:r>
        <w:t xml:space="preserve"> recommend</w:t>
      </w:r>
      <w:r w:rsidR="004732F7">
        <w:t>s</w:t>
      </w:r>
      <w:r>
        <w:t xml:space="preserve"> that treatment should be in consultation with a specialist.</w:t>
      </w:r>
      <w:r w:rsidR="005812BB">
        <w:t xml:space="preserve"> </w:t>
      </w:r>
      <w:r>
        <w:t>The PBS Authority listing requires that a clinical immunologist, respiratory physician, specialist allergist or general physician experienced in the management of patients with hereditary angioedema is consulted.</w:t>
      </w:r>
      <w:r w:rsidR="005812BB">
        <w:t xml:space="preserve"> </w:t>
      </w:r>
      <w:r>
        <w:t>The ASCIA recommends that an</w:t>
      </w:r>
      <w:r w:rsidRPr="000024C9">
        <w:t xml:space="preserve"> </w:t>
      </w:r>
      <w:r w:rsidRPr="005012F9">
        <w:t xml:space="preserve">emergency Action Plan including training in recognition of the symptoms of </w:t>
      </w:r>
      <w:r>
        <w:t>HAE</w:t>
      </w:r>
      <w:r w:rsidRPr="005012F9">
        <w:t xml:space="preserve"> and the self-administration of icatibant</w:t>
      </w:r>
      <w:r>
        <w:t xml:space="preserve"> is produced for all patients in consultation with their specialist</w:t>
      </w:r>
      <w:r w:rsidR="002D0FC0">
        <w:t>.</w:t>
      </w:r>
      <w:r w:rsidR="008C2200" w:rsidRPr="008C2200">
        <w:rPr>
          <w:vertAlign w:val="superscript"/>
        </w:rPr>
        <w:t>3</w:t>
      </w:r>
    </w:p>
    <w:p w:rsidR="00A1144C" w:rsidRDefault="00A1144C">
      <w:pPr>
        <w:spacing w:line="276" w:lineRule="auto"/>
        <w:rPr>
          <w:b/>
          <w:sz w:val="28"/>
          <w:szCs w:val="28"/>
        </w:rPr>
      </w:pPr>
      <w:r>
        <w:br w:type="page"/>
      </w:r>
    </w:p>
    <w:p w:rsidR="00223F0B" w:rsidRPr="007247B9" w:rsidRDefault="00223F0B" w:rsidP="00223F0B">
      <w:pPr>
        <w:pStyle w:val="Heading3"/>
      </w:pPr>
      <w:r w:rsidRPr="007247B9">
        <w:lastRenderedPageBreak/>
        <w:t>PBS listing details</w:t>
      </w:r>
      <w:r>
        <w:t xml:space="preserve"> (as at </w:t>
      </w:r>
      <w:r w:rsidR="00D511D6">
        <w:t xml:space="preserve">March </w:t>
      </w:r>
      <w:r>
        <w:t>2015)</w:t>
      </w:r>
    </w:p>
    <w:p w:rsidR="00223F0B" w:rsidRPr="001420B3" w:rsidRDefault="00223F0B" w:rsidP="00223F0B">
      <w:pPr>
        <w:pStyle w:val="Tabletitle"/>
      </w:pPr>
      <w:r w:rsidRPr="001420B3">
        <w:t xml:space="preserve">Table </w:t>
      </w:r>
      <w:r>
        <w:t>1</w:t>
      </w:r>
      <w:r w:rsidRPr="001420B3">
        <w:t xml:space="preserve">: </w:t>
      </w:r>
      <w:r>
        <w:t>PBS listing of icatibant</w:t>
      </w:r>
    </w:p>
    <w:tbl>
      <w:tblPr>
        <w:tblStyle w:val="TableGrid"/>
        <w:tblW w:w="9064" w:type="dxa"/>
        <w:tblLayout w:type="fixed"/>
        <w:tblLook w:val="04A0" w:firstRow="1" w:lastRow="0" w:firstColumn="1" w:lastColumn="0" w:noHBand="0" w:noVBand="1"/>
        <w:tblCaption w:val="Table 1: PBS listing of icatibant"/>
      </w:tblPr>
      <w:tblGrid>
        <w:gridCol w:w="969"/>
        <w:gridCol w:w="2400"/>
        <w:gridCol w:w="1701"/>
        <w:gridCol w:w="850"/>
        <w:gridCol w:w="1040"/>
        <w:gridCol w:w="2104"/>
      </w:tblGrid>
      <w:tr w:rsidR="00223F0B" w:rsidRPr="00A35800" w:rsidTr="00D16348">
        <w:trPr>
          <w:trHeight w:val="694"/>
          <w:tblHeader/>
        </w:trPr>
        <w:tc>
          <w:tcPr>
            <w:tcW w:w="969" w:type="dxa"/>
            <w:shd w:val="clear" w:color="auto" w:fill="BFBFBF" w:themeFill="background1" w:themeFillShade="BF"/>
          </w:tcPr>
          <w:p w:rsidR="00223F0B" w:rsidRPr="00A35800" w:rsidRDefault="00223F0B" w:rsidP="00D16348">
            <w:pPr>
              <w:pStyle w:val="Tableheading"/>
              <w:rPr>
                <w:sz w:val="20"/>
                <w:szCs w:val="20"/>
              </w:rPr>
            </w:pPr>
            <w:r w:rsidRPr="00A35800">
              <w:rPr>
                <w:sz w:val="20"/>
                <w:szCs w:val="20"/>
              </w:rPr>
              <w:t>Item</w:t>
            </w:r>
          </w:p>
        </w:tc>
        <w:tc>
          <w:tcPr>
            <w:tcW w:w="2400" w:type="dxa"/>
            <w:shd w:val="clear" w:color="auto" w:fill="BFBFBF" w:themeFill="background1" w:themeFillShade="BF"/>
          </w:tcPr>
          <w:p w:rsidR="00223F0B" w:rsidRPr="00A35800" w:rsidRDefault="00223F0B" w:rsidP="00D16348">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223F0B" w:rsidRPr="00A35800" w:rsidRDefault="00223F0B" w:rsidP="00D16348">
            <w:pPr>
              <w:pStyle w:val="Tableheading"/>
              <w:rPr>
                <w:sz w:val="20"/>
                <w:szCs w:val="20"/>
              </w:rPr>
            </w:pPr>
            <w:r w:rsidRPr="00A35800">
              <w:rPr>
                <w:sz w:val="20"/>
                <w:szCs w:val="20"/>
              </w:rPr>
              <w:t xml:space="preserve">Max. quant. </w:t>
            </w:r>
          </w:p>
        </w:tc>
        <w:tc>
          <w:tcPr>
            <w:tcW w:w="850" w:type="dxa"/>
            <w:shd w:val="clear" w:color="auto" w:fill="BFBFBF" w:themeFill="background1" w:themeFillShade="BF"/>
          </w:tcPr>
          <w:p w:rsidR="00223F0B" w:rsidRPr="00A35800" w:rsidRDefault="00223F0B" w:rsidP="00D16348">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rsidR="00223F0B" w:rsidRPr="00A35800" w:rsidRDefault="00223F0B" w:rsidP="00D16348">
            <w:pPr>
              <w:pStyle w:val="Tableheading"/>
              <w:rPr>
                <w:sz w:val="20"/>
                <w:szCs w:val="20"/>
              </w:rPr>
            </w:pPr>
            <w:r w:rsidRPr="00A35800">
              <w:rPr>
                <w:sz w:val="20"/>
                <w:szCs w:val="20"/>
              </w:rPr>
              <w:t>DPMQ</w:t>
            </w:r>
          </w:p>
        </w:tc>
        <w:tc>
          <w:tcPr>
            <w:tcW w:w="2104" w:type="dxa"/>
            <w:shd w:val="clear" w:color="auto" w:fill="BFBFBF" w:themeFill="background1" w:themeFillShade="BF"/>
          </w:tcPr>
          <w:p w:rsidR="00223F0B" w:rsidRPr="00A35800" w:rsidRDefault="00223F0B" w:rsidP="00D16348">
            <w:pPr>
              <w:pStyle w:val="Tableheading"/>
              <w:rPr>
                <w:sz w:val="20"/>
                <w:szCs w:val="20"/>
              </w:rPr>
            </w:pPr>
            <w:r w:rsidRPr="00A35800">
              <w:rPr>
                <w:sz w:val="20"/>
                <w:szCs w:val="20"/>
              </w:rPr>
              <w:t>Brand name and manufacturer</w:t>
            </w:r>
          </w:p>
        </w:tc>
      </w:tr>
      <w:tr w:rsidR="00223F0B" w:rsidRPr="00A35800" w:rsidTr="00D16348">
        <w:trPr>
          <w:trHeight w:val="552"/>
          <w:tblHeader/>
        </w:trPr>
        <w:tc>
          <w:tcPr>
            <w:tcW w:w="969" w:type="dxa"/>
            <w:shd w:val="clear" w:color="auto" w:fill="auto"/>
          </w:tcPr>
          <w:p w:rsidR="00223F0B" w:rsidRPr="00AC0149" w:rsidRDefault="00223F0B" w:rsidP="00D16348">
            <w:pPr>
              <w:pStyle w:val="Tablewriting"/>
            </w:pPr>
            <w:r w:rsidRPr="00AC0149">
              <w:t>1976B</w:t>
            </w:r>
          </w:p>
        </w:tc>
        <w:tc>
          <w:tcPr>
            <w:tcW w:w="2400" w:type="dxa"/>
            <w:shd w:val="clear" w:color="auto" w:fill="auto"/>
          </w:tcPr>
          <w:p w:rsidR="00223F0B" w:rsidRPr="00AC0149" w:rsidRDefault="00223F0B" w:rsidP="00D16348">
            <w:pPr>
              <w:pStyle w:val="Tablewriting"/>
            </w:pPr>
            <w:r w:rsidRPr="00AC0149">
              <w:t>Icatibant injection 30mg (as acetate) in 3mL single use pre-filled syringe</w:t>
            </w:r>
          </w:p>
        </w:tc>
        <w:tc>
          <w:tcPr>
            <w:tcW w:w="1701" w:type="dxa"/>
            <w:shd w:val="clear" w:color="auto" w:fill="auto"/>
          </w:tcPr>
          <w:p w:rsidR="00223F0B" w:rsidRPr="00AC0149" w:rsidRDefault="00223F0B" w:rsidP="00D16348">
            <w:pPr>
              <w:pStyle w:val="Tablewriting"/>
            </w:pPr>
            <w:r w:rsidRPr="00AC0149">
              <w:t>1</w:t>
            </w:r>
          </w:p>
        </w:tc>
        <w:tc>
          <w:tcPr>
            <w:tcW w:w="850" w:type="dxa"/>
            <w:shd w:val="clear" w:color="auto" w:fill="auto"/>
          </w:tcPr>
          <w:p w:rsidR="00223F0B" w:rsidRPr="00AC0149" w:rsidRDefault="00223F0B" w:rsidP="00D16348">
            <w:pPr>
              <w:pStyle w:val="Tablewriting"/>
            </w:pPr>
            <w:r w:rsidRPr="00AC0149">
              <w:t>1</w:t>
            </w:r>
          </w:p>
        </w:tc>
        <w:tc>
          <w:tcPr>
            <w:tcW w:w="1040" w:type="dxa"/>
            <w:shd w:val="clear" w:color="auto" w:fill="auto"/>
          </w:tcPr>
          <w:p w:rsidR="00223F0B" w:rsidRPr="00AC0149" w:rsidRDefault="00223F0B" w:rsidP="00D16348">
            <w:pPr>
              <w:pStyle w:val="Tablewriting"/>
            </w:pPr>
            <w:r w:rsidRPr="00AC0149">
              <w:t>$2571.70</w:t>
            </w:r>
          </w:p>
        </w:tc>
        <w:tc>
          <w:tcPr>
            <w:tcW w:w="2104" w:type="dxa"/>
            <w:shd w:val="clear" w:color="auto" w:fill="auto"/>
          </w:tcPr>
          <w:p w:rsidR="00223F0B" w:rsidRPr="00AC0149" w:rsidRDefault="001C64CA" w:rsidP="00D16348">
            <w:pPr>
              <w:pStyle w:val="Tablewriting"/>
            </w:pPr>
            <w:r>
              <w:t>F</w:t>
            </w:r>
            <w:r w:rsidR="00223F0B" w:rsidRPr="00AC0149">
              <w:t>irazyr, Shire Australia Pty. Limited</w:t>
            </w:r>
          </w:p>
        </w:tc>
      </w:tr>
    </w:tbl>
    <w:p w:rsidR="00223F0B" w:rsidRPr="00A35800" w:rsidRDefault="00223F0B" w:rsidP="00223F0B">
      <w:pPr>
        <w:pStyle w:val="Notes"/>
      </w:pPr>
      <w:r w:rsidRPr="00BA3F06">
        <w:t>Source:</w:t>
      </w:r>
      <w:r w:rsidRPr="00A35800">
        <w:t xml:space="preserve"> </w:t>
      </w:r>
      <w:r>
        <w:t>March 2015</w:t>
      </w:r>
      <w:r w:rsidRPr="00B60ABD">
        <w:t xml:space="preserve"> PBS Schedule</w:t>
      </w:r>
    </w:p>
    <w:p w:rsidR="00223F0B" w:rsidRDefault="00223F0B" w:rsidP="00223F0B">
      <w:pPr>
        <w:pStyle w:val="Heading2"/>
      </w:pPr>
      <w:r>
        <w:t>Restriction</w:t>
      </w:r>
    </w:p>
    <w:p w:rsidR="00223F0B" w:rsidRDefault="00223F0B" w:rsidP="00223F0B">
      <w:pPr>
        <w:pStyle w:val="Figuretitle"/>
      </w:pPr>
      <w:r>
        <w:t>Authority required</w:t>
      </w:r>
    </w:p>
    <w:p w:rsidR="00223F0B" w:rsidRDefault="00223F0B" w:rsidP="00223F0B">
      <w:pPr>
        <w:pStyle w:val="NoSpacing"/>
        <w:numPr>
          <w:ilvl w:val="0"/>
          <w:numId w:val="1"/>
        </w:numPr>
      </w:pPr>
      <w:r>
        <w:t>Initial supply for anticipated emergency treatment of an acute attack of hereditary angioedema in a patient with confirmed diagnosis of C1-esterase inhibitor deficiency who has been assessed to be at significant risk of an acute attack of hereditary angioedema by or in consultation with a clinical immunologist, respiratory physician, specialist allergist or general physician experienced in the management of patients with hereditary angioedema.</w:t>
      </w:r>
    </w:p>
    <w:p w:rsidR="00223F0B" w:rsidRDefault="00223F0B" w:rsidP="00223F0B">
      <w:pPr>
        <w:pStyle w:val="NoSpacing"/>
        <w:numPr>
          <w:ilvl w:val="0"/>
          <w:numId w:val="1"/>
        </w:numPr>
      </w:pPr>
      <w:r>
        <w:t>Continuing supply for anticipated emergency treatment of an attack of hereditary angioedema, where the patient has previously been issued with an authority prescription for this drug.</w:t>
      </w:r>
    </w:p>
    <w:p w:rsidR="00223F0B" w:rsidRDefault="00223F0B" w:rsidP="00223F0B">
      <w:pPr>
        <w:pStyle w:val="NoSpacing"/>
        <w:numPr>
          <w:ilvl w:val="0"/>
          <w:numId w:val="1"/>
        </w:numPr>
        <w:spacing w:after="200"/>
        <w:ind w:left="357" w:hanging="357"/>
      </w:pPr>
      <w:r>
        <w:t xml:space="preserve">Note: icatibant should be provided in the framework of a comprehensive hereditary angioedema prophylaxis program and an emergency Action Plan including training in recognition of the symptoms of hereditary angioedema and the self-administration of icatibant. (For further information see the Australasian Society of Clinical Immunology and Allergy website at </w:t>
      </w:r>
      <w:r w:rsidRPr="00110BCE">
        <w:t>www.allergy.org.au</w:t>
      </w:r>
      <w:r>
        <w:t>)</w:t>
      </w:r>
    </w:p>
    <w:p w:rsidR="00223F0B" w:rsidRPr="00AC0149" w:rsidRDefault="00DD2B4F" w:rsidP="00223F0B">
      <w:r w:rsidRPr="006775F1">
        <w:t xml:space="preserve">For </w:t>
      </w:r>
      <w:r>
        <w:t xml:space="preserve">details of the current PBS listing refer to the </w:t>
      </w:r>
      <w:r w:rsidRPr="00110BCE">
        <w:t>PBS website</w:t>
      </w:r>
      <w:r>
        <w:rPr>
          <w:rStyle w:val="Hyperlink"/>
        </w:rPr>
        <w:t>.</w:t>
      </w:r>
    </w:p>
    <w:p w:rsidR="00223F0B" w:rsidRDefault="00223F0B" w:rsidP="00223F0B">
      <w:pPr>
        <w:pStyle w:val="Heading2"/>
      </w:pPr>
      <w:r w:rsidRPr="00675BB1">
        <w:t>Date of listing on PBS</w:t>
      </w:r>
      <w:bookmarkStart w:id="2" w:name="_GoBack"/>
      <w:bookmarkEnd w:id="2"/>
    </w:p>
    <w:p w:rsidR="00223F0B" w:rsidRPr="00F65B34" w:rsidRDefault="00223F0B" w:rsidP="00223F0B">
      <w:r>
        <w:t>Icatibant was listed on the PBS on 1 August 2012.</w:t>
      </w:r>
    </w:p>
    <w:p w:rsidR="00223F0B" w:rsidRPr="00DF69C3" w:rsidRDefault="00223F0B" w:rsidP="00DF69C3">
      <w:pPr>
        <w:pStyle w:val="Heading3"/>
      </w:pPr>
      <w:r w:rsidRPr="00DF69C3">
        <w:t>Risk Sharing Agreement</w:t>
      </w:r>
    </w:p>
    <w:p w:rsidR="008A0D51" w:rsidRPr="00FF456E" w:rsidRDefault="00223F0B" w:rsidP="00DF69C3">
      <w:pPr>
        <w:autoSpaceDE w:val="0"/>
        <w:autoSpaceDN w:val="0"/>
        <w:adjustRightInd w:val="0"/>
        <w:rPr>
          <w:b/>
        </w:rPr>
      </w:pPr>
      <w:r w:rsidRPr="004B1B4C">
        <w:rPr>
          <w:rFonts w:ascii="Calibri" w:hAnsi="Calibri" w:cs="Calibri"/>
        </w:rPr>
        <w:t>Icatibant for the treatment of HAE has a Risk Sharing Agre</w:t>
      </w:r>
      <w:r w:rsidR="00252DD7" w:rsidRPr="004B1B4C">
        <w:rPr>
          <w:rFonts w:ascii="Calibri" w:hAnsi="Calibri" w:cs="Calibri"/>
        </w:rPr>
        <w:t>ement (RSA)</w:t>
      </w:r>
      <w:r w:rsidR="0080553F">
        <w:rPr>
          <w:rFonts w:ascii="Calibri" w:hAnsi="Calibri" w:cs="Calibri"/>
        </w:rPr>
        <w:t xml:space="preserve"> with the Government</w:t>
      </w:r>
      <w:r w:rsidRPr="004B1B4C">
        <w:rPr>
          <w:rFonts w:ascii="Calibri" w:hAnsi="Calibri" w:cs="Calibri"/>
        </w:rPr>
        <w:t>.</w:t>
      </w:r>
      <w:r w:rsidR="005812BB" w:rsidRPr="004B1B4C">
        <w:rPr>
          <w:rFonts w:ascii="Calibri" w:hAnsi="Calibri" w:cs="Calibri"/>
        </w:rPr>
        <w:t xml:space="preserve"> </w:t>
      </w:r>
    </w:p>
    <w:p w:rsidR="00223F0B" w:rsidRDefault="00223F0B" w:rsidP="00223F0B">
      <w:pPr>
        <w:pStyle w:val="Heading3"/>
      </w:pPr>
      <w:r w:rsidRPr="005E22C2">
        <w:t>Relevant aspects of PBAC consideration</w:t>
      </w:r>
    </w:p>
    <w:p w:rsidR="00223F0B" w:rsidRDefault="00223F0B" w:rsidP="00223F0B">
      <w:r>
        <w:t xml:space="preserve">Icatibant was </w:t>
      </w:r>
      <w:r w:rsidR="00771D87">
        <w:t xml:space="preserve">first </w:t>
      </w:r>
      <w:r>
        <w:t>considered at the July 2010 PBAC meeting, where the decision was made not to recommend it for PBS listing due to insufficient evidence in the proposed setting to support the clinical place of the therapy and uncertain cost-effectiveness.</w:t>
      </w:r>
      <w:r w:rsidR="005812BB">
        <w:t xml:space="preserve"> </w:t>
      </w:r>
      <w:r w:rsidR="00B1341F">
        <w:t xml:space="preserve">The </w:t>
      </w:r>
      <w:r>
        <w:t>PBAC considered that there was a clinical need for effective treatment of HAE outside the emergency setting, but noted that there was uncertainty regarding the appropriate setting for icatibant on the PBS.</w:t>
      </w:r>
      <w:r w:rsidR="005812BB">
        <w:t xml:space="preserve"> </w:t>
      </w:r>
    </w:p>
    <w:p w:rsidR="00223F0B" w:rsidRDefault="00223F0B" w:rsidP="00223F0B">
      <w:r>
        <w:lastRenderedPageBreak/>
        <w:t>The PBAC also noted that the requested restriction was narrower than the ACPM</w:t>
      </w:r>
      <w:r w:rsidR="00230D70">
        <w:t xml:space="preserve"> recommendation</w:t>
      </w:r>
      <w:r>
        <w:t xml:space="preserve"> and the ASCIA </w:t>
      </w:r>
      <w:r w:rsidR="00F03A02">
        <w:t>position paper</w:t>
      </w:r>
      <w:r>
        <w:t>; they considered that this may result in considerable potential for utilisation outside the intended restriction</w:t>
      </w:r>
      <w:r w:rsidR="00771D87">
        <w:t xml:space="preserve"> of laryngeal/oro-pharyngeal and severe abdominal attacks</w:t>
      </w:r>
      <w:r>
        <w:t>.</w:t>
      </w:r>
    </w:p>
    <w:p w:rsidR="00223F0B" w:rsidRDefault="00253B37" w:rsidP="00223F0B">
      <w:r w:rsidRPr="00F85BD4">
        <w:t xml:space="preserve">For further details refer to the </w:t>
      </w:r>
      <w:r w:rsidR="0090616C" w:rsidRPr="00110BCE">
        <w:t>Public Summary Document</w:t>
      </w:r>
      <w:r w:rsidR="00223F0B">
        <w:t xml:space="preserve"> </w:t>
      </w:r>
      <w:r w:rsidR="00814552">
        <w:t>f</w:t>
      </w:r>
      <w:r w:rsidR="0090616C">
        <w:t>rom the July 2010 PBAC meeting.</w:t>
      </w:r>
    </w:p>
    <w:p w:rsidR="00223F0B" w:rsidRDefault="00223F0B" w:rsidP="00223F0B">
      <w:r>
        <w:t>A Stakeholder meeting was held in September 2010 with the aim of defining the clinical place of icatibant.</w:t>
      </w:r>
      <w:r w:rsidR="005812BB">
        <w:t xml:space="preserve"> </w:t>
      </w:r>
      <w:r>
        <w:t xml:space="preserve">At this meeting, it was agreed that a major re-submission to the PBAC would be required to demonstrate cost-effectiveness of icatibant followed by standard care (C1-INH) </w:t>
      </w:r>
      <w:r w:rsidR="00C1003B">
        <w:t>over the agreed comparator of sta</w:t>
      </w:r>
      <w:r>
        <w:t>ndard care alone.</w:t>
      </w:r>
      <w:r w:rsidR="002A0963">
        <w:t xml:space="preserve"> </w:t>
      </w:r>
      <w:r w:rsidR="00230D70">
        <w:t xml:space="preserve">It was considered that access to icatibant should be based on a diagnosis of HAE and not the </w:t>
      </w:r>
      <w:r w:rsidR="00C1003B">
        <w:t>severity</w:t>
      </w:r>
      <w:r w:rsidR="00230D70">
        <w:t xml:space="preserve"> of disease, but that the drug should only be used to treat severe attacks. </w:t>
      </w:r>
      <w:r w:rsidR="003F2B4D">
        <w:t xml:space="preserve">The </w:t>
      </w:r>
      <w:r w:rsidR="00C1003B">
        <w:t>ACSIA agreed to review the Position Paper on HAE to promote concordance between the intended PBS population (patients with severe attacks) and the HAE guidelines</w:t>
      </w:r>
      <w:r w:rsidR="00CD5A16">
        <w:t xml:space="preserve">. </w:t>
      </w:r>
      <w:r>
        <w:t>At the July 2011 PBAC meeting the PBAC rejected a submission to list icatibant based on uncertainty over the extent of clinical benefit in the self-administration setting.</w:t>
      </w:r>
      <w:r w:rsidR="005812BB">
        <w:t xml:space="preserve"> </w:t>
      </w:r>
      <w:r>
        <w:t>The PBAC noted that patients who self-administer were to be provided with a treatment action plan to ensure appropriate use.</w:t>
      </w:r>
      <w:r w:rsidR="005812BB">
        <w:t xml:space="preserve"> </w:t>
      </w:r>
      <w:r>
        <w:t>Despite acknowledging the good intent of the proposed emergency action plan, the PBAC considered that there would be a high risk that patients would use icatibant where symptoms are milder than in the intended population.</w:t>
      </w:r>
      <w:r w:rsidR="005812BB">
        <w:t xml:space="preserve"> </w:t>
      </w:r>
    </w:p>
    <w:p w:rsidR="00223F0B" w:rsidRDefault="00223F0B" w:rsidP="00223F0B">
      <w:r>
        <w:t>The PBAC considered that some uncertainty remained regarding the safety of the self-administration of icatibant.</w:t>
      </w:r>
      <w:r w:rsidR="005812BB">
        <w:t xml:space="preserve"> </w:t>
      </w:r>
      <w:r>
        <w:t>However, they recognised that there was a high clinical need for an effective treatment in this patient population.</w:t>
      </w:r>
    </w:p>
    <w:p w:rsidR="00D0644F" w:rsidRPr="00F65F0D" w:rsidRDefault="00D0644F" w:rsidP="00D0644F">
      <w:r>
        <w:t xml:space="preserve">For further details refer to </w:t>
      </w:r>
      <w:r w:rsidRPr="00F65F0D">
        <w:t xml:space="preserve">the </w:t>
      </w:r>
      <w:r w:rsidRPr="00110BCE">
        <w:t>Public Summary Document</w:t>
      </w:r>
      <w:r w:rsidRPr="00F65F0D">
        <w:t xml:space="preserve"> from the </w:t>
      </w:r>
      <w:r w:rsidR="00F75AF8">
        <w:t xml:space="preserve">July 2011 </w:t>
      </w:r>
      <w:r>
        <w:t>PBAC meeting.</w:t>
      </w:r>
    </w:p>
    <w:p w:rsidR="00223F0B" w:rsidRPr="00426992" w:rsidRDefault="00223F0B" w:rsidP="00223F0B">
      <w:r>
        <w:rPr>
          <w:rStyle w:val="Hyperlink"/>
          <w:color w:val="auto"/>
          <w:u w:val="none"/>
        </w:rPr>
        <w:t>A minor submission was presented at the November 2011 PBAC meeting, where the PBAC deferred its decision pending further negotiation with the sponsor as the cost effectiveness ratio remained unacceptably high and uncertain.</w:t>
      </w:r>
    </w:p>
    <w:p w:rsidR="00C1003B" w:rsidRDefault="00223F0B" w:rsidP="00223F0B">
      <w:r>
        <w:t>At the March 2012 meeting, the PBAC recommended the listing of icatibant on the PBS on the basis of high but acceptable cost-effectiveness in the context of high clinical need, compared with placebo as proxy for best supportive care, with delayed use of C1-INH concentrate if required.</w:t>
      </w:r>
    </w:p>
    <w:p w:rsidR="00223F0B" w:rsidRPr="004B1B4C" w:rsidRDefault="00114ADD" w:rsidP="00223F0B">
      <w:r w:rsidRPr="004B1B4C">
        <w:t xml:space="preserve">The </w:t>
      </w:r>
      <w:r w:rsidR="00C1003B" w:rsidRPr="004B1B4C">
        <w:t xml:space="preserve">PBAC accepted </w:t>
      </w:r>
      <w:r w:rsidR="00F5052D" w:rsidRPr="004B1B4C">
        <w:t>a base case ICER of $</w:t>
      </w:r>
      <w:r w:rsidR="00560F87">
        <w:t>45,000 to $75,000</w:t>
      </w:r>
      <w:r w:rsidR="00F5052D" w:rsidRPr="004B1B4C">
        <w:t>/QALY wh</w:t>
      </w:r>
      <w:r w:rsidR="00207561" w:rsidRPr="004B1B4C">
        <w:t>ich</w:t>
      </w:r>
      <w:r w:rsidR="00F5052D" w:rsidRPr="004B1B4C">
        <w:t xml:space="preserve"> included </w:t>
      </w:r>
      <w:r w:rsidR="007B72B5" w:rsidRPr="004B1B4C">
        <w:t xml:space="preserve">3.25 attacks </w:t>
      </w:r>
      <w:r w:rsidR="00613474" w:rsidRPr="004B1B4C">
        <w:t xml:space="preserve">treated </w:t>
      </w:r>
      <w:r w:rsidR="007B72B5" w:rsidRPr="004B1B4C">
        <w:t xml:space="preserve">per year. The number of </w:t>
      </w:r>
      <w:r w:rsidR="00613474" w:rsidRPr="004B1B4C">
        <w:t xml:space="preserve">treated </w:t>
      </w:r>
      <w:r w:rsidR="007B72B5" w:rsidRPr="004B1B4C">
        <w:t xml:space="preserve">attacks per year was based on </w:t>
      </w:r>
      <w:r w:rsidR="00613474" w:rsidRPr="004B1B4C">
        <w:t>0</w:t>
      </w:r>
      <w:r w:rsidR="00F5052D" w:rsidRPr="004B1B4C">
        <w:t>% of cutaneous attacks being treated</w:t>
      </w:r>
      <w:r w:rsidR="00613474" w:rsidRPr="004B1B4C">
        <w:t xml:space="preserve">. The ICER calculation also assumed </w:t>
      </w:r>
      <w:r w:rsidR="00F5052D" w:rsidRPr="004B1B4C">
        <w:t xml:space="preserve">an average of </w:t>
      </w:r>
      <w:r w:rsidR="00613474" w:rsidRPr="004B1B4C">
        <w:t>1.12</w:t>
      </w:r>
      <w:r w:rsidR="00F5052D" w:rsidRPr="004B1B4C">
        <w:t xml:space="preserve"> injections of icatibant per </w:t>
      </w:r>
      <w:r w:rsidR="00B934E3" w:rsidRPr="004B1B4C">
        <w:t>treated attack</w:t>
      </w:r>
      <w:r w:rsidR="0084097A" w:rsidRPr="004B1B4C">
        <w:t>, giving an average of 3.64 injections per patient per year</w:t>
      </w:r>
      <w:r w:rsidR="00F5052D" w:rsidRPr="004B1B4C">
        <w:t xml:space="preserve">. The PBAC noted that the ICER is very sensitive to the proportion of use in lower risk episodes. If </w:t>
      </w:r>
      <w:r w:rsidR="00110BCE">
        <w:rPr>
          <w:noProof/>
          <w:color w:val="000000"/>
          <w:highlight w:val="black"/>
        </w:rPr>
        <w:t>'''''</w:t>
      </w:r>
      <w:r w:rsidR="00F5052D" w:rsidRPr="004B1B4C">
        <w:t xml:space="preserve">% of cutaneous attacks are treated the ICER is </w:t>
      </w:r>
      <w:r w:rsidR="00207561" w:rsidRPr="004B1B4C">
        <w:t>$</w:t>
      </w:r>
      <w:r w:rsidR="00BB3EF5" w:rsidRPr="00BB3EF5">
        <w:t>75,000 - $105,000</w:t>
      </w:r>
      <w:r w:rsidR="00F5052D" w:rsidRPr="004B1B4C">
        <w:t xml:space="preserve">/QALY. This scenario includes an average of </w:t>
      </w:r>
      <w:r w:rsidR="00110BCE">
        <w:rPr>
          <w:noProof/>
          <w:color w:val="000000"/>
          <w:highlight w:val="black"/>
        </w:rPr>
        <w:t>''''''''</w:t>
      </w:r>
      <w:r w:rsidR="009602A6" w:rsidRPr="004B1B4C">
        <w:t xml:space="preserve"> (</w:t>
      </w:r>
      <w:r w:rsidR="0084097A" w:rsidRPr="004B1B4C">
        <w:t>i</w:t>
      </w:r>
      <w:r w:rsidR="00BF37D0">
        <w:t>.</w:t>
      </w:r>
      <w:r w:rsidR="0084097A" w:rsidRPr="004B1B4C">
        <w:t xml:space="preserve">e. </w:t>
      </w:r>
      <w:r w:rsidR="00110BCE">
        <w:rPr>
          <w:noProof/>
          <w:color w:val="000000"/>
          <w:highlight w:val="black"/>
        </w:rPr>
        <w:t>''''''''</w:t>
      </w:r>
      <w:r w:rsidR="00613474" w:rsidRPr="004B1B4C">
        <w:t xml:space="preserve"> non-cu</w:t>
      </w:r>
      <w:r w:rsidR="009602A6" w:rsidRPr="004B1B4C">
        <w:t xml:space="preserve">taneous </w:t>
      </w:r>
      <w:r w:rsidR="00613474" w:rsidRPr="004B1B4C">
        <w:t xml:space="preserve">+ </w:t>
      </w:r>
      <w:r w:rsidR="00110BCE">
        <w:rPr>
          <w:noProof/>
          <w:color w:val="000000"/>
          <w:highlight w:val="black"/>
        </w:rPr>
        <w:t>'''''''''</w:t>
      </w:r>
      <w:r w:rsidR="00613474" w:rsidRPr="004B1B4C">
        <w:t xml:space="preserve"> </w:t>
      </w:r>
      <w:r w:rsidR="009602A6" w:rsidRPr="004B1B4C">
        <w:t xml:space="preserve">cutaneous) treated attacks </w:t>
      </w:r>
      <w:r w:rsidR="00F5052D" w:rsidRPr="004B1B4C">
        <w:t>per patient per year.</w:t>
      </w:r>
      <w:r w:rsidR="009602A6" w:rsidRPr="004B1B4C">
        <w:t xml:space="preserve"> It also assumed </w:t>
      </w:r>
      <w:r w:rsidR="00110BCE">
        <w:rPr>
          <w:noProof/>
          <w:color w:val="000000"/>
          <w:highlight w:val="black"/>
        </w:rPr>
        <w:t>''''''''</w:t>
      </w:r>
      <w:r w:rsidR="009602A6" w:rsidRPr="004B1B4C">
        <w:t xml:space="preserve"> injections per treated </w:t>
      </w:r>
      <w:r w:rsidR="00B934E3" w:rsidRPr="004B1B4C">
        <w:t>attack</w:t>
      </w:r>
      <w:r w:rsidR="0084097A" w:rsidRPr="004B1B4C">
        <w:t xml:space="preserve">, giving an average of </w:t>
      </w:r>
      <w:r w:rsidR="00110BCE">
        <w:rPr>
          <w:noProof/>
          <w:color w:val="000000"/>
          <w:highlight w:val="black"/>
        </w:rPr>
        <w:t>'''''''''</w:t>
      </w:r>
      <w:r w:rsidR="0084097A" w:rsidRPr="004B1B4C">
        <w:t xml:space="preserve"> injections per patient per year</w:t>
      </w:r>
      <w:r w:rsidR="00B934E3" w:rsidRPr="004B1B4C">
        <w:t>.</w:t>
      </w:r>
    </w:p>
    <w:p w:rsidR="004504AF" w:rsidRDefault="00CF43E9" w:rsidP="00223F0B">
      <w:r>
        <w:lastRenderedPageBreak/>
        <w:t>In addition to the price reduction, the PBAC considered that the proposed risk share agreement options were sufficient to reassure the Committee regarding its concerns about the potential for the Commonwealth to subsidise icatibant for treatment of less severe attacks.</w:t>
      </w:r>
    </w:p>
    <w:p w:rsidR="00223F0B" w:rsidRDefault="00223F0B" w:rsidP="00223F0B">
      <w:pPr>
        <w:pStyle w:val="Heading3"/>
      </w:pPr>
      <w:r>
        <w:t>Approach taken to estimate utilisation</w:t>
      </w:r>
    </w:p>
    <w:p w:rsidR="00223F0B" w:rsidRDefault="00223F0B" w:rsidP="00223F0B">
      <w:r>
        <w:t>The submission took an epidemiological approach to estimate the eligible population for icatibant.</w:t>
      </w:r>
      <w:r w:rsidR="005812BB">
        <w:t xml:space="preserve"> </w:t>
      </w:r>
      <w:r>
        <w:t xml:space="preserve">The submission applied the prevalence of HAE in Australia, assumed to be 1 in 50,000 </w:t>
      </w:r>
      <w:r w:rsidR="00AB3A30">
        <w:t>(</w:t>
      </w:r>
      <w:r w:rsidRPr="00306B99">
        <w:t xml:space="preserve">based </w:t>
      </w:r>
      <w:r w:rsidR="00D4364F">
        <w:t>on the prevalence reported in Fay et al (2002)</w:t>
      </w:r>
      <w:r w:rsidR="00D4364F">
        <w:rPr>
          <w:rStyle w:val="FootnoteReference"/>
        </w:rPr>
        <w:footnoteReference w:id="4"/>
      </w:r>
      <w:r w:rsidR="00D4364F">
        <w:t xml:space="preserve">, </w:t>
      </w:r>
      <w:r w:rsidR="00D4364F" w:rsidRPr="00D4364F">
        <w:t>Bowen et al (2008)</w:t>
      </w:r>
      <w:r w:rsidR="00E10A30">
        <w:rPr>
          <w:rStyle w:val="FootnoteReference"/>
        </w:rPr>
        <w:footnoteReference w:id="5"/>
      </w:r>
      <w:r w:rsidR="00D4364F">
        <w:t xml:space="preserve"> and the </w:t>
      </w:r>
      <w:r w:rsidR="00D4364F" w:rsidRPr="00D4364F">
        <w:t>2009 ASCIA Position Paper on Hereditary Angioedema</w:t>
      </w:r>
      <w:r w:rsidR="00AB3A30">
        <w:t>)</w:t>
      </w:r>
      <w:r>
        <w:t>, to population projection figures from the Australian Bureau of Statistics (ABS).</w:t>
      </w:r>
      <w:r w:rsidR="005812BB">
        <w:t xml:space="preserve"> </w:t>
      </w:r>
    </w:p>
    <w:p w:rsidR="00223F0B" w:rsidRDefault="00223F0B" w:rsidP="00223F0B">
      <w:r>
        <w:t>The submission assumed that all patients with existing HAE were already diagnosed and that the number of patients would not increase substantially due to an increased awareness of the disease.</w:t>
      </w:r>
      <w:r w:rsidR="005812BB">
        <w:t xml:space="preserve"> </w:t>
      </w:r>
    </w:p>
    <w:p w:rsidR="00223F0B" w:rsidRDefault="00223F0B" w:rsidP="00223F0B">
      <w:r>
        <w:t xml:space="preserve">The expected uptake of icatibant was assumed to be </w:t>
      </w:r>
      <w:r w:rsidR="00110BCE">
        <w:rPr>
          <w:noProof/>
          <w:color w:val="000000"/>
          <w:highlight w:val="black"/>
        </w:rPr>
        <w:t>''''''</w:t>
      </w:r>
      <w:r>
        <w:t xml:space="preserve">% of patients in the first year, increasing to </w:t>
      </w:r>
      <w:r w:rsidR="00110BCE">
        <w:rPr>
          <w:noProof/>
          <w:color w:val="000000"/>
          <w:highlight w:val="black"/>
        </w:rPr>
        <w:t>'''''</w:t>
      </w:r>
      <w:r>
        <w:t>% over the first five years of the listing.</w:t>
      </w:r>
      <w:r w:rsidR="005812BB">
        <w:t xml:space="preserve"> </w:t>
      </w:r>
      <w:r>
        <w:t>The uptake rates were assumed to be high due to the lack of alternative treatments.</w:t>
      </w:r>
    </w:p>
    <w:p w:rsidR="0009117B" w:rsidRDefault="00AB6764" w:rsidP="0035116E">
      <w:r>
        <w:t>The average number of treated attacks per patient per year was based on the data from the FAST-1 and FAST-2 studies.</w:t>
      </w:r>
      <w:r>
        <w:rPr>
          <w:rStyle w:val="FootnoteReference"/>
        </w:rPr>
        <w:footnoteReference w:id="6"/>
      </w:r>
      <w:r>
        <w:t xml:space="preserve"> The submission </w:t>
      </w:r>
      <w:r w:rsidR="002F2201">
        <w:t xml:space="preserve">base case </w:t>
      </w:r>
      <w:r>
        <w:t xml:space="preserve">assumed that on average each patient would </w:t>
      </w:r>
      <w:r w:rsidR="002F2201">
        <w:t xml:space="preserve">only </w:t>
      </w:r>
      <w:r w:rsidR="0009117B">
        <w:t xml:space="preserve">be treated for </w:t>
      </w:r>
      <w:r>
        <w:t xml:space="preserve">3.25 non-cutaneous attacks per year. </w:t>
      </w:r>
      <w:r w:rsidR="00E4473A">
        <w:t>T</w:t>
      </w:r>
      <w:r w:rsidR="0009117B">
        <w:t xml:space="preserve">able </w:t>
      </w:r>
      <w:r w:rsidR="00207561">
        <w:t>2</w:t>
      </w:r>
      <w:r w:rsidR="00E4473A">
        <w:t xml:space="preserve"> </w:t>
      </w:r>
      <w:r w:rsidR="0009117B">
        <w:t>summarises how this figure was calculated</w:t>
      </w:r>
      <w:r w:rsidR="00F400C0">
        <w:t>.</w:t>
      </w:r>
    </w:p>
    <w:p w:rsidR="0000085A" w:rsidRDefault="0000085A">
      <w:pPr>
        <w:spacing w:line="276" w:lineRule="auto"/>
        <w:rPr>
          <w:b/>
        </w:rPr>
      </w:pPr>
      <w:r>
        <w:br w:type="page"/>
      </w:r>
    </w:p>
    <w:p w:rsidR="00F400C0" w:rsidRPr="00F400C0" w:rsidRDefault="00F400C0" w:rsidP="00F400C0">
      <w:pPr>
        <w:pStyle w:val="Tabletitle"/>
      </w:pPr>
      <w:r>
        <w:lastRenderedPageBreak/>
        <w:t xml:space="preserve">Table </w:t>
      </w:r>
      <w:r w:rsidR="00207561">
        <w:t>2</w:t>
      </w:r>
      <w:r>
        <w:t xml:space="preserve">: </w:t>
      </w:r>
      <w:r w:rsidRPr="00F400C0">
        <w:t>Parameters derived from FAST trials</w:t>
      </w:r>
    </w:p>
    <w:tbl>
      <w:tblPr>
        <w:tblW w:w="5076" w:type="pct"/>
        <w:tblLayout w:type="fixed"/>
        <w:tblLook w:val="04A0" w:firstRow="1" w:lastRow="0" w:firstColumn="1" w:lastColumn="0" w:noHBand="0" w:noVBand="1"/>
      </w:tblPr>
      <w:tblGrid>
        <w:gridCol w:w="3791"/>
        <w:gridCol w:w="1134"/>
        <w:gridCol w:w="1136"/>
        <w:gridCol w:w="1130"/>
        <w:gridCol w:w="1030"/>
        <w:gridCol w:w="1091"/>
      </w:tblGrid>
      <w:tr w:rsidR="00C04D44" w:rsidRPr="00C04D44" w:rsidTr="008B346C">
        <w:trPr>
          <w:trHeight w:val="585"/>
        </w:trPr>
        <w:tc>
          <w:tcPr>
            <w:tcW w:w="2035" w:type="pct"/>
            <w:tcBorders>
              <w:top w:val="single" w:sz="4" w:space="0" w:color="auto"/>
              <w:left w:val="single" w:sz="4" w:space="0" w:color="auto"/>
              <w:bottom w:val="single" w:sz="4" w:space="0" w:color="auto"/>
              <w:right w:val="single" w:sz="4" w:space="0" w:color="auto"/>
            </w:tcBorders>
            <w:shd w:val="clear" w:color="auto" w:fill="auto"/>
            <w:noWrap/>
            <w:hideMark/>
          </w:tcPr>
          <w:p w:rsidR="00C04D44" w:rsidRPr="00C04D44" w:rsidRDefault="00F400C0" w:rsidP="00F400C0">
            <w:pPr>
              <w:spacing w:after="0"/>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Site of Attack</w:t>
            </w:r>
          </w:p>
        </w:tc>
        <w:tc>
          <w:tcPr>
            <w:tcW w:w="609" w:type="pct"/>
            <w:tcBorders>
              <w:top w:val="single" w:sz="4" w:space="0" w:color="auto"/>
              <w:left w:val="nil"/>
              <w:bottom w:val="single" w:sz="4" w:space="0" w:color="auto"/>
              <w:right w:val="single" w:sz="4" w:space="0" w:color="auto"/>
            </w:tcBorders>
            <w:shd w:val="clear" w:color="auto" w:fill="auto"/>
            <w:noWrap/>
            <w:hideMark/>
          </w:tcPr>
          <w:p w:rsidR="00C04D44" w:rsidRPr="00C04D44" w:rsidRDefault="00C04D44" w:rsidP="00C04D44">
            <w:pPr>
              <w:spacing w:after="0"/>
              <w:jc w:val="center"/>
              <w:rPr>
                <w:rFonts w:ascii="Calibri" w:eastAsia="Times New Roman" w:hAnsi="Calibri" w:cs="Times New Roman"/>
                <w:bCs/>
                <w:color w:val="000000"/>
                <w:sz w:val="20"/>
                <w:szCs w:val="20"/>
              </w:rPr>
            </w:pPr>
            <w:r w:rsidRPr="00C04D44">
              <w:rPr>
                <w:rFonts w:ascii="Calibri" w:eastAsia="Times New Roman" w:hAnsi="Calibri" w:cs="Times New Roman"/>
                <w:bCs/>
                <w:color w:val="000000"/>
                <w:sz w:val="20"/>
                <w:szCs w:val="20"/>
              </w:rPr>
              <w:t>Cutaneous</w:t>
            </w:r>
          </w:p>
        </w:tc>
        <w:tc>
          <w:tcPr>
            <w:tcW w:w="610" w:type="pct"/>
            <w:tcBorders>
              <w:top w:val="single" w:sz="4" w:space="0" w:color="auto"/>
              <w:left w:val="nil"/>
              <w:bottom w:val="single" w:sz="4" w:space="0" w:color="auto"/>
              <w:right w:val="single" w:sz="4" w:space="0" w:color="auto"/>
            </w:tcBorders>
            <w:shd w:val="clear" w:color="auto" w:fill="auto"/>
            <w:noWrap/>
            <w:hideMark/>
          </w:tcPr>
          <w:p w:rsidR="00C04D44" w:rsidRPr="00C04D44" w:rsidRDefault="00C04D44" w:rsidP="00C04D44">
            <w:pPr>
              <w:spacing w:after="0"/>
              <w:jc w:val="center"/>
              <w:rPr>
                <w:rFonts w:ascii="Calibri" w:eastAsia="Times New Roman" w:hAnsi="Calibri" w:cs="Times New Roman"/>
                <w:bCs/>
                <w:color w:val="000000"/>
                <w:sz w:val="20"/>
                <w:szCs w:val="20"/>
              </w:rPr>
            </w:pPr>
            <w:r w:rsidRPr="00C04D44">
              <w:rPr>
                <w:rFonts w:ascii="Calibri" w:eastAsia="Times New Roman" w:hAnsi="Calibri" w:cs="Times New Roman"/>
                <w:bCs/>
                <w:color w:val="000000"/>
                <w:sz w:val="20"/>
                <w:szCs w:val="20"/>
              </w:rPr>
              <w:t>Abdominal</w:t>
            </w:r>
          </w:p>
        </w:tc>
        <w:tc>
          <w:tcPr>
            <w:tcW w:w="607" w:type="pct"/>
            <w:tcBorders>
              <w:top w:val="single" w:sz="4" w:space="0" w:color="auto"/>
              <w:left w:val="nil"/>
              <w:bottom w:val="single" w:sz="4" w:space="0" w:color="auto"/>
              <w:right w:val="single" w:sz="4" w:space="0" w:color="auto"/>
            </w:tcBorders>
            <w:shd w:val="clear" w:color="auto" w:fill="auto"/>
            <w:hideMark/>
          </w:tcPr>
          <w:p w:rsidR="00C04D44" w:rsidRPr="00C04D44" w:rsidRDefault="00C04D44" w:rsidP="00C04D44">
            <w:pPr>
              <w:spacing w:after="0"/>
              <w:jc w:val="center"/>
              <w:rPr>
                <w:rFonts w:ascii="Calibri" w:eastAsia="Times New Roman" w:hAnsi="Calibri" w:cs="Times New Roman"/>
                <w:bCs/>
                <w:color w:val="000000"/>
                <w:sz w:val="20"/>
                <w:szCs w:val="20"/>
              </w:rPr>
            </w:pPr>
            <w:r w:rsidRPr="00C04D44">
              <w:rPr>
                <w:rFonts w:ascii="Calibri" w:eastAsia="Times New Roman" w:hAnsi="Calibri" w:cs="Times New Roman"/>
                <w:bCs/>
                <w:color w:val="000000"/>
                <w:sz w:val="20"/>
                <w:szCs w:val="20"/>
              </w:rPr>
              <w:t>Abdominal &amp; Cutaneous</w:t>
            </w:r>
          </w:p>
        </w:tc>
        <w:tc>
          <w:tcPr>
            <w:tcW w:w="552" w:type="pct"/>
            <w:tcBorders>
              <w:top w:val="single" w:sz="4" w:space="0" w:color="auto"/>
              <w:left w:val="nil"/>
              <w:bottom w:val="single" w:sz="4" w:space="0" w:color="auto"/>
              <w:right w:val="single" w:sz="4" w:space="0" w:color="auto"/>
            </w:tcBorders>
            <w:shd w:val="clear" w:color="auto" w:fill="auto"/>
            <w:noWrap/>
            <w:hideMark/>
          </w:tcPr>
          <w:p w:rsidR="00C04D44" w:rsidRPr="00C04D44" w:rsidRDefault="00C04D44" w:rsidP="00C04D44">
            <w:pPr>
              <w:spacing w:after="0"/>
              <w:jc w:val="center"/>
              <w:rPr>
                <w:rFonts w:ascii="Calibri" w:eastAsia="Times New Roman" w:hAnsi="Calibri" w:cs="Times New Roman"/>
                <w:bCs/>
                <w:color w:val="000000"/>
                <w:sz w:val="20"/>
                <w:szCs w:val="20"/>
              </w:rPr>
            </w:pPr>
            <w:r w:rsidRPr="00C04D44">
              <w:rPr>
                <w:rFonts w:ascii="Calibri" w:eastAsia="Times New Roman" w:hAnsi="Calibri" w:cs="Times New Roman"/>
                <w:bCs/>
                <w:color w:val="000000"/>
                <w:sz w:val="20"/>
                <w:szCs w:val="20"/>
              </w:rPr>
              <w:t>Laryngeal</w:t>
            </w:r>
          </w:p>
        </w:tc>
        <w:tc>
          <w:tcPr>
            <w:tcW w:w="586" w:type="pct"/>
            <w:tcBorders>
              <w:top w:val="single" w:sz="4" w:space="0" w:color="auto"/>
              <w:left w:val="nil"/>
              <w:bottom w:val="single" w:sz="4" w:space="0" w:color="auto"/>
              <w:right w:val="single" w:sz="4" w:space="0" w:color="auto"/>
            </w:tcBorders>
            <w:shd w:val="clear" w:color="auto" w:fill="auto"/>
            <w:noWrap/>
            <w:hideMark/>
          </w:tcPr>
          <w:p w:rsidR="00C04D44" w:rsidRPr="00C04D44" w:rsidRDefault="00C04D44" w:rsidP="00C04D44">
            <w:pPr>
              <w:spacing w:after="0"/>
              <w:jc w:val="center"/>
              <w:rPr>
                <w:rFonts w:ascii="Calibri" w:eastAsia="Times New Roman" w:hAnsi="Calibri" w:cs="Times New Roman"/>
                <w:bCs/>
                <w:color w:val="000000"/>
                <w:sz w:val="20"/>
                <w:szCs w:val="20"/>
              </w:rPr>
            </w:pPr>
            <w:r w:rsidRPr="00C04D44">
              <w:rPr>
                <w:rFonts w:ascii="Calibri" w:eastAsia="Times New Roman" w:hAnsi="Calibri" w:cs="Times New Roman"/>
                <w:bCs/>
                <w:color w:val="000000"/>
                <w:sz w:val="20"/>
                <w:szCs w:val="20"/>
              </w:rPr>
              <w:t>All</w:t>
            </w:r>
          </w:p>
        </w:tc>
      </w:tr>
      <w:tr w:rsidR="00C04D44" w:rsidRPr="00C04D44" w:rsidTr="008B346C">
        <w:trPr>
          <w:trHeight w:val="300"/>
        </w:trPr>
        <w:tc>
          <w:tcPr>
            <w:tcW w:w="2035" w:type="pct"/>
            <w:tcBorders>
              <w:top w:val="nil"/>
              <w:left w:val="single" w:sz="4" w:space="0" w:color="auto"/>
              <w:bottom w:val="single" w:sz="4" w:space="0" w:color="auto"/>
              <w:right w:val="single" w:sz="4" w:space="0" w:color="auto"/>
            </w:tcBorders>
            <w:shd w:val="clear" w:color="auto" w:fill="auto"/>
            <w:noWrap/>
            <w:hideMark/>
          </w:tcPr>
          <w:p w:rsidR="00C04D44" w:rsidRPr="00C04D44" w:rsidRDefault="00C04D44" w:rsidP="00C04D44">
            <w:pPr>
              <w:spacing w:after="0"/>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Number of attacks</w:t>
            </w:r>
          </w:p>
        </w:tc>
        <w:tc>
          <w:tcPr>
            <w:tcW w:w="609"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1,980 </w:t>
            </w:r>
          </w:p>
        </w:tc>
        <w:tc>
          <w:tcPr>
            <w:tcW w:w="610"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1,202 </w:t>
            </w:r>
          </w:p>
        </w:tc>
        <w:tc>
          <w:tcPr>
            <w:tcW w:w="607"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603 </w:t>
            </w:r>
          </w:p>
        </w:tc>
        <w:tc>
          <w:tcPr>
            <w:tcW w:w="552"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121 </w:t>
            </w:r>
          </w:p>
        </w:tc>
        <w:tc>
          <w:tcPr>
            <w:tcW w:w="586"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3,906 </w:t>
            </w:r>
          </w:p>
        </w:tc>
      </w:tr>
      <w:tr w:rsidR="00C04D44" w:rsidRPr="00C04D44" w:rsidTr="008B346C">
        <w:trPr>
          <w:trHeight w:val="300"/>
        </w:trPr>
        <w:tc>
          <w:tcPr>
            <w:tcW w:w="2035" w:type="pct"/>
            <w:tcBorders>
              <w:top w:val="nil"/>
              <w:left w:val="single" w:sz="4" w:space="0" w:color="auto"/>
              <w:bottom w:val="single" w:sz="4" w:space="0" w:color="auto"/>
              <w:right w:val="single" w:sz="4" w:space="0" w:color="auto"/>
            </w:tcBorders>
            <w:shd w:val="clear" w:color="auto" w:fill="auto"/>
            <w:noWrap/>
            <w:hideMark/>
          </w:tcPr>
          <w:p w:rsidR="00C04D44" w:rsidRPr="00C04D44" w:rsidRDefault="00C04D44" w:rsidP="00C04D44">
            <w:pPr>
              <w:spacing w:after="0"/>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Distribution of attacks</w:t>
            </w:r>
          </w:p>
        </w:tc>
        <w:tc>
          <w:tcPr>
            <w:tcW w:w="609"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50.7%</w:t>
            </w:r>
          </w:p>
        </w:tc>
        <w:tc>
          <w:tcPr>
            <w:tcW w:w="610"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30.8%</w:t>
            </w:r>
          </w:p>
        </w:tc>
        <w:tc>
          <w:tcPr>
            <w:tcW w:w="607"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15.4%</w:t>
            </w:r>
          </w:p>
        </w:tc>
        <w:tc>
          <w:tcPr>
            <w:tcW w:w="552"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3.1%</w:t>
            </w:r>
          </w:p>
        </w:tc>
        <w:tc>
          <w:tcPr>
            <w:tcW w:w="586"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100.0%</w:t>
            </w:r>
          </w:p>
        </w:tc>
      </w:tr>
      <w:tr w:rsidR="00C04D44" w:rsidRPr="00C04D44" w:rsidTr="008B346C">
        <w:trPr>
          <w:trHeight w:val="300"/>
        </w:trPr>
        <w:tc>
          <w:tcPr>
            <w:tcW w:w="2035" w:type="pct"/>
            <w:tcBorders>
              <w:top w:val="nil"/>
              <w:left w:val="single" w:sz="4" w:space="0" w:color="auto"/>
              <w:bottom w:val="single" w:sz="4" w:space="0" w:color="auto"/>
              <w:right w:val="single" w:sz="4" w:space="0" w:color="auto"/>
            </w:tcBorders>
            <w:shd w:val="clear" w:color="auto" w:fill="auto"/>
            <w:noWrap/>
            <w:hideMark/>
          </w:tcPr>
          <w:p w:rsidR="00C04D44" w:rsidRPr="00C04D44" w:rsidRDefault="00C04D44" w:rsidP="00C04D44">
            <w:pPr>
              <w:spacing w:after="0"/>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Number of attacks per patient per follow</w:t>
            </w:r>
            <w:r w:rsidR="0035116E">
              <w:rPr>
                <w:rFonts w:ascii="Calibri" w:eastAsia="Times New Roman" w:hAnsi="Calibri" w:cs="Times New Roman"/>
                <w:color w:val="000000"/>
                <w:sz w:val="20"/>
                <w:szCs w:val="20"/>
              </w:rPr>
              <w:t xml:space="preserve"> </w:t>
            </w:r>
            <w:r w:rsidRPr="00C04D44">
              <w:rPr>
                <w:rFonts w:ascii="Calibri" w:eastAsia="Times New Roman" w:hAnsi="Calibri" w:cs="Times New Roman"/>
                <w:color w:val="000000"/>
                <w:sz w:val="20"/>
                <w:szCs w:val="20"/>
              </w:rPr>
              <w:t>up year*</w:t>
            </w:r>
          </w:p>
        </w:tc>
        <w:tc>
          <w:tcPr>
            <w:tcW w:w="609"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10.50 </w:t>
            </w:r>
          </w:p>
        </w:tc>
        <w:tc>
          <w:tcPr>
            <w:tcW w:w="610"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6.37 </w:t>
            </w:r>
          </w:p>
        </w:tc>
        <w:tc>
          <w:tcPr>
            <w:tcW w:w="607"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3.20 </w:t>
            </w:r>
          </w:p>
        </w:tc>
        <w:tc>
          <w:tcPr>
            <w:tcW w:w="552"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0.64 </w:t>
            </w:r>
          </w:p>
        </w:tc>
        <w:tc>
          <w:tcPr>
            <w:tcW w:w="586"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20.71 </w:t>
            </w:r>
          </w:p>
        </w:tc>
      </w:tr>
      <w:tr w:rsidR="00C04D44" w:rsidRPr="00C04D44" w:rsidTr="008B346C">
        <w:trPr>
          <w:trHeight w:val="300"/>
        </w:trPr>
        <w:tc>
          <w:tcPr>
            <w:tcW w:w="2035" w:type="pct"/>
            <w:tcBorders>
              <w:top w:val="nil"/>
              <w:left w:val="single" w:sz="4" w:space="0" w:color="auto"/>
              <w:bottom w:val="single" w:sz="4" w:space="0" w:color="auto"/>
              <w:right w:val="single" w:sz="4" w:space="0" w:color="auto"/>
            </w:tcBorders>
            <w:shd w:val="clear" w:color="auto" w:fill="auto"/>
            <w:noWrap/>
            <w:hideMark/>
          </w:tcPr>
          <w:p w:rsidR="00C04D44" w:rsidRPr="00C04D44" w:rsidRDefault="00C04D44" w:rsidP="00C04D44">
            <w:pPr>
              <w:spacing w:after="0"/>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Number of treated attacks</w:t>
            </w:r>
          </w:p>
        </w:tc>
        <w:tc>
          <w:tcPr>
            <w:tcW w:w="609"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623 </w:t>
            </w:r>
          </w:p>
        </w:tc>
        <w:tc>
          <w:tcPr>
            <w:tcW w:w="610"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406 </w:t>
            </w:r>
          </w:p>
        </w:tc>
        <w:tc>
          <w:tcPr>
            <w:tcW w:w="607"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159 </w:t>
            </w:r>
          </w:p>
        </w:tc>
        <w:tc>
          <w:tcPr>
            <w:tcW w:w="552"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48 </w:t>
            </w:r>
          </w:p>
        </w:tc>
        <w:tc>
          <w:tcPr>
            <w:tcW w:w="586"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1,236 </w:t>
            </w:r>
          </w:p>
        </w:tc>
      </w:tr>
      <w:tr w:rsidR="00C04D44" w:rsidRPr="00C04D44" w:rsidTr="008B346C">
        <w:trPr>
          <w:trHeight w:val="300"/>
        </w:trPr>
        <w:tc>
          <w:tcPr>
            <w:tcW w:w="2035" w:type="pct"/>
            <w:tcBorders>
              <w:top w:val="nil"/>
              <w:left w:val="single" w:sz="4" w:space="0" w:color="auto"/>
              <w:bottom w:val="single" w:sz="4" w:space="0" w:color="auto"/>
              <w:right w:val="single" w:sz="4" w:space="0" w:color="auto"/>
            </w:tcBorders>
            <w:shd w:val="clear" w:color="auto" w:fill="auto"/>
            <w:noWrap/>
            <w:hideMark/>
          </w:tcPr>
          <w:p w:rsidR="00C04D44" w:rsidRPr="00C04D44" w:rsidRDefault="00C04D44" w:rsidP="00C04D44">
            <w:pPr>
              <w:spacing w:after="0"/>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Distribution of treated attacks</w:t>
            </w:r>
          </w:p>
        </w:tc>
        <w:tc>
          <w:tcPr>
            <w:tcW w:w="609"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50.4%</w:t>
            </w:r>
          </w:p>
        </w:tc>
        <w:tc>
          <w:tcPr>
            <w:tcW w:w="610"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32.8%</w:t>
            </w:r>
          </w:p>
        </w:tc>
        <w:tc>
          <w:tcPr>
            <w:tcW w:w="607"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12.9%</w:t>
            </w:r>
          </w:p>
        </w:tc>
        <w:tc>
          <w:tcPr>
            <w:tcW w:w="552"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3.9%</w:t>
            </w:r>
          </w:p>
        </w:tc>
        <w:tc>
          <w:tcPr>
            <w:tcW w:w="586"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100.0%</w:t>
            </w:r>
          </w:p>
        </w:tc>
      </w:tr>
      <w:tr w:rsidR="00C04D44" w:rsidRPr="00C04D44" w:rsidTr="008B346C">
        <w:trPr>
          <w:trHeight w:val="300"/>
        </w:trPr>
        <w:tc>
          <w:tcPr>
            <w:tcW w:w="2035" w:type="pct"/>
            <w:tcBorders>
              <w:top w:val="nil"/>
              <w:left w:val="single" w:sz="4" w:space="0" w:color="auto"/>
              <w:bottom w:val="single" w:sz="4" w:space="0" w:color="auto"/>
              <w:right w:val="single" w:sz="4" w:space="0" w:color="auto"/>
            </w:tcBorders>
            <w:shd w:val="clear" w:color="auto" w:fill="auto"/>
            <w:noWrap/>
            <w:hideMark/>
          </w:tcPr>
          <w:p w:rsidR="00C04D44" w:rsidRPr="00C04D44" w:rsidRDefault="00C04D44" w:rsidP="00C04D44">
            <w:pPr>
              <w:spacing w:after="0"/>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Number of treated attacks per patient per follow</w:t>
            </w:r>
            <w:r w:rsidR="0035116E">
              <w:rPr>
                <w:rFonts w:ascii="Calibri" w:eastAsia="Times New Roman" w:hAnsi="Calibri" w:cs="Times New Roman"/>
                <w:color w:val="000000"/>
                <w:sz w:val="20"/>
                <w:szCs w:val="20"/>
              </w:rPr>
              <w:t xml:space="preserve"> </w:t>
            </w:r>
            <w:r w:rsidRPr="00C04D44">
              <w:rPr>
                <w:rFonts w:ascii="Calibri" w:eastAsia="Times New Roman" w:hAnsi="Calibri" w:cs="Times New Roman"/>
                <w:color w:val="000000"/>
                <w:sz w:val="20"/>
                <w:szCs w:val="20"/>
              </w:rPr>
              <w:t>up year*</w:t>
            </w:r>
          </w:p>
        </w:tc>
        <w:tc>
          <w:tcPr>
            <w:tcW w:w="609"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3.30 </w:t>
            </w:r>
          </w:p>
        </w:tc>
        <w:tc>
          <w:tcPr>
            <w:tcW w:w="610"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2.15 </w:t>
            </w:r>
          </w:p>
        </w:tc>
        <w:tc>
          <w:tcPr>
            <w:tcW w:w="607"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0.84 </w:t>
            </w:r>
          </w:p>
        </w:tc>
        <w:tc>
          <w:tcPr>
            <w:tcW w:w="552"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0.25 </w:t>
            </w:r>
          </w:p>
        </w:tc>
        <w:tc>
          <w:tcPr>
            <w:tcW w:w="586"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6.55 </w:t>
            </w:r>
          </w:p>
        </w:tc>
      </w:tr>
      <w:tr w:rsidR="00C04D44" w:rsidRPr="00C04D44" w:rsidTr="008B346C">
        <w:trPr>
          <w:trHeight w:val="300"/>
        </w:trPr>
        <w:tc>
          <w:tcPr>
            <w:tcW w:w="2035" w:type="pct"/>
            <w:tcBorders>
              <w:top w:val="nil"/>
              <w:left w:val="single" w:sz="4" w:space="0" w:color="auto"/>
              <w:bottom w:val="single" w:sz="4" w:space="0" w:color="auto"/>
              <w:right w:val="single" w:sz="4" w:space="0" w:color="auto"/>
            </w:tcBorders>
            <w:shd w:val="clear" w:color="auto" w:fill="auto"/>
            <w:noWrap/>
            <w:hideMark/>
          </w:tcPr>
          <w:p w:rsidR="00C04D44" w:rsidRPr="00C04D44" w:rsidRDefault="00C04D44" w:rsidP="00560F87">
            <w:pPr>
              <w:spacing w:after="0"/>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Economic model base case </w:t>
            </w:r>
            <w:r w:rsidRPr="00ED29FF">
              <w:rPr>
                <w:rFonts w:ascii="Calibri" w:eastAsia="Times New Roman" w:hAnsi="Calibri" w:cs="Times New Roman"/>
                <w:color w:val="000000"/>
                <w:sz w:val="20"/>
                <w:szCs w:val="20"/>
              </w:rPr>
              <w:t>(</w:t>
            </w:r>
            <w:r w:rsidR="004610FE" w:rsidRPr="00ED29FF">
              <w:rPr>
                <w:rFonts w:ascii="Calibri" w:eastAsia="Times New Roman" w:hAnsi="Calibri" w:cs="Times New Roman"/>
                <w:color w:val="000000"/>
                <w:sz w:val="20"/>
                <w:szCs w:val="20"/>
              </w:rPr>
              <w:t xml:space="preserve">0% of trial treated cutaneous attacks PBS treated, </w:t>
            </w:r>
            <w:r w:rsidRPr="004B1B4C">
              <w:rPr>
                <w:rFonts w:ascii="Calibri" w:eastAsia="Times New Roman" w:hAnsi="Calibri" w:cs="Times New Roman"/>
                <w:color w:val="000000"/>
                <w:sz w:val="20"/>
                <w:szCs w:val="20"/>
              </w:rPr>
              <w:t>ICER = $</w:t>
            </w:r>
            <w:r w:rsidR="00560F87">
              <w:rPr>
                <w:rFonts w:ascii="Calibri" w:eastAsia="Times New Roman" w:hAnsi="Calibri" w:cs="Times New Roman"/>
                <w:color w:val="000000"/>
                <w:sz w:val="20"/>
                <w:szCs w:val="20"/>
              </w:rPr>
              <w:t xml:space="preserve">45,000 to $75,000 </w:t>
            </w:r>
            <w:r w:rsidRPr="004B1B4C">
              <w:rPr>
                <w:rFonts w:ascii="Calibri" w:eastAsia="Times New Roman" w:hAnsi="Calibri" w:cs="Times New Roman"/>
                <w:color w:val="000000"/>
                <w:sz w:val="20"/>
                <w:szCs w:val="20"/>
              </w:rPr>
              <w:t>per QALY)</w:t>
            </w:r>
          </w:p>
        </w:tc>
        <w:tc>
          <w:tcPr>
            <w:tcW w:w="609"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114ADD">
              <w:rPr>
                <w:rFonts w:ascii="Calibri" w:eastAsia="Times New Roman" w:hAnsi="Calibri" w:cs="Times New Roman"/>
                <w:color w:val="000000"/>
                <w:sz w:val="20"/>
                <w:szCs w:val="20"/>
              </w:rPr>
              <w:t>0.00</w:t>
            </w:r>
          </w:p>
        </w:tc>
        <w:tc>
          <w:tcPr>
            <w:tcW w:w="1770" w:type="pct"/>
            <w:gridSpan w:val="3"/>
            <w:tcBorders>
              <w:top w:val="single" w:sz="4" w:space="0" w:color="auto"/>
              <w:left w:val="nil"/>
              <w:bottom w:val="single" w:sz="4" w:space="0" w:color="auto"/>
              <w:right w:val="single" w:sz="4" w:space="0" w:color="auto"/>
            </w:tcBorders>
            <w:shd w:val="clear" w:color="auto" w:fill="auto"/>
            <w:noWrap/>
            <w:hideMark/>
          </w:tcPr>
          <w:p w:rsidR="00C04D44" w:rsidRPr="00C04D44" w:rsidRDefault="00C04D44" w:rsidP="00C04D44">
            <w:pPr>
              <w:spacing w:after="0"/>
              <w:jc w:val="center"/>
              <w:rPr>
                <w:rFonts w:ascii="Calibri" w:eastAsia="Times New Roman" w:hAnsi="Calibri" w:cs="Times New Roman"/>
                <w:color w:val="000000"/>
                <w:sz w:val="20"/>
                <w:szCs w:val="20"/>
              </w:rPr>
            </w:pPr>
            <w:r w:rsidRPr="00114ADD">
              <w:rPr>
                <w:rFonts w:ascii="Calibri" w:eastAsia="Times New Roman" w:hAnsi="Calibri" w:cs="Times New Roman"/>
                <w:color w:val="000000"/>
                <w:sz w:val="20"/>
                <w:szCs w:val="20"/>
              </w:rPr>
              <w:t>3.25</w:t>
            </w:r>
            <w:r w:rsidRPr="00C04D44">
              <w:rPr>
                <w:rFonts w:ascii="Calibri" w:eastAsia="Times New Roman" w:hAnsi="Calibri" w:cs="Times New Roman"/>
                <w:color w:val="000000"/>
                <w:sz w:val="20"/>
                <w:szCs w:val="20"/>
              </w:rPr>
              <w:t xml:space="preserve"> </w:t>
            </w:r>
          </w:p>
        </w:tc>
        <w:tc>
          <w:tcPr>
            <w:tcW w:w="586" w:type="pct"/>
            <w:tcBorders>
              <w:top w:val="nil"/>
              <w:left w:val="nil"/>
              <w:bottom w:val="single" w:sz="4" w:space="0" w:color="auto"/>
              <w:right w:val="single" w:sz="4" w:space="0" w:color="auto"/>
            </w:tcBorders>
            <w:shd w:val="clear" w:color="auto" w:fill="auto"/>
            <w:noWrap/>
            <w:hideMark/>
          </w:tcPr>
          <w:p w:rsidR="00C04D44" w:rsidRPr="00C04D44" w:rsidRDefault="00C04D44" w:rsidP="00C04D44">
            <w:pPr>
              <w:spacing w:after="0"/>
              <w:jc w:val="right"/>
              <w:rPr>
                <w:rFonts w:ascii="Calibri" w:eastAsia="Times New Roman" w:hAnsi="Calibri" w:cs="Times New Roman"/>
                <w:color w:val="000000"/>
                <w:sz w:val="20"/>
                <w:szCs w:val="20"/>
              </w:rPr>
            </w:pPr>
            <w:r w:rsidRPr="00114ADD">
              <w:rPr>
                <w:rFonts w:ascii="Calibri" w:eastAsia="Times New Roman" w:hAnsi="Calibri" w:cs="Times New Roman"/>
                <w:color w:val="000000"/>
                <w:sz w:val="20"/>
                <w:szCs w:val="20"/>
              </w:rPr>
              <w:t>3.25</w:t>
            </w:r>
          </w:p>
        </w:tc>
      </w:tr>
      <w:tr w:rsidR="00C04D44" w:rsidRPr="00C04D44" w:rsidTr="008B346C">
        <w:trPr>
          <w:trHeight w:val="300"/>
        </w:trPr>
        <w:tc>
          <w:tcPr>
            <w:tcW w:w="2035" w:type="pct"/>
            <w:tcBorders>
              <w:top w:val="nil"/>
              <w:left w:val="single" w:sz="4" w:space="0" w:color="auto"/>
              <w:bottom w:val="single" w:sz="4" w:space="0" w:color="auto"/>
              <w:right w:val="single" w:sz="4" w:space="0" w:color="auto"/>
            </w:tcBorders>
            <w:shd w:val="clear" w:color="auto" w:fill="auto"/>
            <w:noWrap/>
            <w:hideMark/>
          </w:tcPr>
          <w:p w:rsidR="00C04D44" w:rsidRPr="00C04D44" w:rsidRDefault="00C04D44" w:rsidP="0018597B">
            <w:pPr>
              <w:spacing w:after="0"/>
              <w:rPr>
                <w:rFonts w:ascii="Calibri" w:eastAsia="Times New Roman" w:hAnsi="Calibri" w:cs="Times New Roman"/>
                <w:color w:val="000000"/>
                <w:sz w:val="20"/>
                <w:szCs w:val="20"/>
              </w:rPr>
            </w:pPr>
            <w:r w:rsidRPr="00C04D44">
              <w:rPr>
                <w:rFonts w:ascii="Calibri" w:eastAsia="Times New Roman" w:hAnsi="Calibri" w:cs="Times New Roman"/>
                <w:color w:val="000000"/>
                <w:sz w:val="20"/>
                <w:szCs w:val="20"/>
              </w:rPr>
              <w:t xml:space="preserve">Economic model sensitivity analysis </w:t>
            </w:r>
            <w:r w:rsidRPr="00ED29FF">
              <w:rPr>
                <w:rFonts w:ascii="Calibri" w:eastAsia="Times New Roman" w:hAnsi="Calibri" w:cs="Times New Roman"/>
                <w:color w:val="000000"/>
                <w:sz w:val="20"/>
                <w:szCs w:val="20"/>
              </w:rPr>
              <w:t>(</w:t>
            </w:r>
            <w:r w:rsidR="00110BCE">
              <w:rPr>
                <w:rFonts w:ascii="Calibri" w:eastAsia="Times New Roman" w:hAnsi="Calibri" w:cs="Times New Roman"/>
                <w:noProof/>
                <w:color w:val="000000"/>
                <w:sz w:val="20"/>
                <w:szCs w:val="20"/>
                <w:highlight w:val="black"/>
              </w:rPr>
              <w:t>''''''</w:t>
            </w:r>
            <w:r w:rsidR="004610FE" w:rsidRPr="00ED29FF">
              <w:rPr>
                <w:rFonts w:ascii="Calibri" w:eastAsia="Times New Roman" w:hAnsi="Calibri" w:cs="Times New Roman"/>
                <w:color w:val="000000"/>
                <w:sz w:val="20"/>
                <w:szCs w:val="20"/>
              </w:rPr>
              <w:t>% of trial treated cutaneous attacks PBS treated,</w:t>
            </w:r>
            <w:r w:rsidR="004610FE" w:rsidRPr="004B1B4C">
              <w:rPr>
                <w:rFonts w:ascii="Calibri" w:eastAsia="Times New Roman" w:hAnsi="Calibri" w:cs="Times New Roman"/>
                <w:color w:val="000000"/>
                <w:sz w:val="20"/>
                <w:szCs w:val="20"/>
              </w:rPr>
              <w:t xml:space="preserve"> </w:t>
            </w:r>
            <w:r w:rsidRPr="004B1B4C">
              <w:rPr>
                <w:rFonts w:ascii="Calibri" w:eastAsia="Times New Roman" w:hAnsi="Calibri" w:cs="Times New Roman"/>
                <w:color w:val="000000"/>
                <w:sz w:val="20"/>
                <w:szCs w:val="20"/>
              </w:rPr>
              <w:t>ICER = $</w:t>
            </w:r>
            <w:r w:rsidR="0018597B" w:rsidRPr="0018597B">
              <w:rPr>
                <w:rFonts w:ascii="Calibri" w:eastAsia="Times New Roman" w:hAnsi="Calibri" w:cs="Times New Roman"/>
                <w:color w:val="000000"/>
                <w:sz w:val="20"/>
                <w:szCs w:val="20"/>
              </w:rPr>
              <w:t>75,000 - $105,000</w:t>
            </w:r>
            <w:r w:rsidRPr="004B1B4C">
              <w:rPr>
                <w:rFonts w:ascii="Calibri" w:eastAsia="Times New Roman" w:hAnsi="Calibri" w:cs="Times New Roman"/>
                <w:color w:val="000000"/>
                <w:sz w:val="20"/>
                <w:szCs w:val="20"/>
              </w:rPr>
              <w:t xml:space="preserve"> per QALY)</w:t>
            </w:r>
          </w:p>
        </w:tc>
        <w:tc>
          <w:tcPr>
            <w:tcW w:w="609" w:type="pct"/>
            <w:tcBorders>
              <w:top w:val="nil"/>
              <w:left w:val="nil"/>
              <w:bottom w:val="single" w:sz="4" w:space="0" w:color="auto"/>
              <w:right w:val="single" w:sz="4" w:space="0" w:color="auto"/>
            </w:tcBorders>
            <w:shd w:val="clear" w:color="auto" w:fill="auto"/>
            <w:noWrap/>
            <w:hideMark/>
          </w:tcPr>
          <w:p w:rsidR="00C04D44" w:rsidRPr="00110BCE" w:rsidRDefault="00110BCE" w:rsidP="00C04D44">
            <w:pPr>
              <w:spacing w:after="0"/>
              <w:jc w:val="right"/>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770" w:type="pct"/>
            <w:gridSpan w:val="3"/>
            <w:tcBorders>
              <w:top w:val="single" w:sz="4" w:space="0" w:color="auto"/>
              <w:left w:val="nil"/>
              <w:bottom w:val="single" w:sz="4" w:space="0" w:color="auto"/>
              <w:right w:val="single" w:sz="4" w:space="0" w:color="auto"/>
            </w:tcBorders>
            <w:shd w:val="clear" w:color="auto" w:fill="auto"/>
            <w:noWrap/>
            <w:hideMark/>
          </w:tcPr>
          <w:p w:rsidR="00C04D44" w:rsidRPr="00110BCE" w:rsidRDefault="00110BCE" w:rsidP="00C04D44">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r w:rsidR="00C04D44" w:rsidRPr="00110BCE">
              <w:rPr>
                <w:rFonts w:ascii="Calibri" w:eastAsia="Times New Roman" w:hAnsi="Calibri" w:cs="Times New Roman"/>
                <w:color w:val="000000"/>
                <w:sz w:val="20"/>
                <w:szCs w:val="20"/>
                <w:highlight w:val="black"/>
              </w:rPr>
              <w:t xml:space="preserve"> </w:t>
            </w:r>
          </w:p>
        </w:tc>
        <w:tc>
          <w:tcPr>
            <w:tcW w:w="586" w:type="pct"/>
            <w:tcBorders>
              <w:top w:val="nil"/>
              <w:left w:val="nil"/>
              <w:bottom w:val="single" w:sz="4" w:space="0" w:color="auto"/>
              <w:right w:val="single" w:sz="4" w:space="0" w:color="auto"/>
            </w:tcBorders>
            <w:shd w:val="clear" w:color="auto" w:fill="auto"/>
            <w:noWrap/>
            <w:hideMark/>
          </w:tcPr>
          <w:p w:rsidR="00C04D44" w:rsidRPr="00110BCE" w:rsidRDefault="00C04D44" w:rsidP="00C04D44">
            <w:pPr>
              <w:tabs>
                <w:tab w:val="center" w:pos="394"/>
                <w:tab w:val="right" w:pos="789"/>
              </w:tabs>
              <w:spacing w:after="0"/>
              <w:rPr>
                <w:rFonts w:ascii="Calibri" w:eastAsia="Times New Roman" w:hAnsi="Calibri" w:cs="Times New Roman"/>
                <w:color w:val="000000"/>
                <w:sz w:val="20"/>
                <w:szCs w:val="20"/>
                <w:highlight w:val="black"/>
              </w:rPr>
            </w:pPr>
            <w:r>
              <w:rPr>
                <w:rFonts w:ascii="Calibri" w:eastAsia="Times New Roman" w:hAnsi="Calibri" w:cs="Times New Roman"/>
                <w:color w:val="000000"/>
                <w:sz w:val="20"/>
                <w:szCs w:val="20"/>
              </w:rPr>
              <w:tab/>
            </w:r>
            <w:r w:rsidR="00110BCE">
              <w:rPr>
                <w:rFonts w:ascii="Calibri" w:eastAsia="Times New Roman" w:hAnsi="Calibri" w:cs="Times New Roman"/>
                <w:noProof/>
                <w:color w:val="000000"/>
                <w:sz w:val="20"/>
                <w:szCs w:val="20"/>
                <w:highlight w:val="black"/>
              </w:rPr>
              <w:t>''''''''</w:t>
            </w:r>
          </w:p>
        </w:tc>
      </w:tr>
    </w:tbl>
    <w:p w:rsidR="002F2201" w:rsidRPr="002F2201" w:rsidRDefault="002F2201" w:rsidP="00AB6764">
      <w:pPr>
        <w:rPr>
          <w:rFonts w:ascii="Calibri" w:eastAsia="Times New Roman" w:hAnsi="Calibri" w:cs="Times New Roman"/>
          <w:sz w:val="20"/>
          <w:szCs w:val="20"/>
        </w:rPr>
      </w:pPr>
      <w:r>
        <w:rPr>
          <w:rFonts w:ascii="Calibri" w:eastAsia="Times New Roman" w:hAnsi="Calibri" w:cs="Times New Roman"/>
          <w:sz w:val="20"/>
          <w:szCs w:val="20"/>
        </w:rPr>
        <w:t>Source:</w:t>
      </w:r>
      <w:r w:rsidRPr="00AA2941">
        <w:rPr>
          <w:rFonts w:ascii="Calibri" w:eastAsia="Times New Roman" w:hAnsi="Calibri" w:cs="Times New Roman"/>
          <w:sz w:val="20"/>
          <w:szCs w:val="20"/>
        </w:rPr>
        <w:t xml:space="preserve"> </w:t>
      </w:r>
      <w:r>
        <w:rPr>
          <w:rFonts w:ascii="Calibri" w:eastAsia="Times New Roman" w:hAnsi="Calibri" w:cs="Times New Roman"/>
          <w:sz w:val="20"/>
          <w:szCs w:val="20"/>
        </w:rPr>
        <w:t>Section E spreadsheet for March 2012 submission to PBAC.</w:t>
      </w:r>
      <w:r>
        <w:rPr>
          <w:rFonts w:ascii="Calibri" w:eastAsia="Times New Roman" w:hAnsi="Calibri" w:cs="Times New Roman"/>
          <w:sz w:val="20"/>
          <w:szCs w:val="20"/>
        </w:rPr>
        <w:br/>
      </w:r>
      <w:r w:rsidRPr="002F2201">
        <w:rPr>
          <w:rFonts w:ascii="Calibri" w:eastAsia="Times New Roman" w:hAnsi="Calibri" w:cs="Times New Roman"/>
          <w:sz w:val="20"/>
          <w:szCs w:val="20"/>
        </w:rPr>
        <w:t>* The follow up start date and last visit date for each patient in the trials was known and so the follow time for the recorded attacks was known for each patient</w:t>
      </w:r>
    </w:p>
    <w:p w:rsidR="00AB6764" w:rsidRDefault="00AB6764" w:rsidP="00AB6764">
      <w:r>
        <w:t>Using the icatibant administration data from the open label phase of the FAST-1 and FAST-2 trials it was estimated that each HAE attack would require an average of 1.12 icatibant doses.</w:t>
      </w:r>
      <w:r w:rsidR="005812BB">
        <w:t xml:space="preserve"> </w:t>
      </w:r>
    </w:p>
    <w:p w:rsidR="00AB6764" w:rsidRDefault="00AB6764" w:rsidP="00AB6764">
      <w:r>
        <w:t xml:space="preserve">The submission assumed that each </w:t>
      </w:r>
      <w:r w:rsidR="009347F8">
        <w:t>pre</w:t>
      </w:r>
      <w:r>
        <w:t>script</w:t>
      </w:r>
      <w:r w:rsidR="009347F8">
        <w:t>ion</w:t>
      </w:r>
      <w:r>
        <w:t xml:space="preserve"> would have a quantity of 1 (i</w:t>
      </w:r>
      <w:r w:rsidR="002D27A0">
        <w:t>.</w:t>
      </w:r>
      <w:r>
        <w:t>e. one 30</w:t>
      </w:r>
      <w:r w:rsidR="002D27A0">
        <w:t xml:space="preserve"> </w:t>
      </w:r>
      <w:r>
        <w:t>mg injection)</w:t>
      </w:r>
      <w:r w:rsidR="00261FB1">
        <w:t xml:space="preserve"> and that the average attack requires</w:t>
      </w:r>
      <w:r>
        <w:t xml:space="preserve"> 1.12 </w:t>
      </w:r>
      <w:r w:rsidR="00261FB1">
        <w:t xml:space="preserve">injections. </w:t>
      </w:r>
      <w:r w:rsidR="00395255">
        <w:t>Neither the economic model nor the utilisation estimates t</w:t>
      </w:r>
      <w:r w:rsidR="002D27A0">
        <w:t>ook</w:t>
      </w:r>
      <w:r w:rsidR="00395255">
        <w:t xml:space="preserve"> into account that patients need to have a supply of icatibant on hand sufficient to treat an attack.</w:t>
      </w:r>
    </w:p>
    <w:p w:rsidR="00223F0B" w:rsidRDefault="00223F0B" w:rsidP="00223F0B">
      <w:r w:rsidRPr="00EF1BB7">
        <w:t>A summary of the</w:t>
      </w:r>
      <w:r>
        <w:t xml:space="preserve"> </w:t>
      </w:r>
      <w:r w:rsidR="00AB6764">
        <w:t xml:space="preserve">predicted number of patients treated and utilisation of icatibant is </w:t>
      </w:r>
      <w:r w:rsidRPr="00EF1BB7">
        <w:t>presented in Table</w:t>
      </w:r>
      <w:r w:rsidR="005812BB">
        <w:t xml:space="preserve"> </w:t>
      </w:r>
      <w:r w:rsidR="00207561">
        <w:t>3</w:t>
      </w:r>
      <w:r w:rsidRPr="00EF1BB7">
        <w:t>.</w:t>
      </w:r>
    </w:p>
    <w:p w:rsidR="00223F0B" w:rsidRDefault="00223F0B" w:rsidP="00223F0B">
      <w:pPr>
        <w:pStyle w:val="Tabletitle"/>
      </w:pPr>
      <w:bookmarkStart w:id="3" w:name="_Ref250560390"/>
      <w:bookmarkStart w:id="4" w:name="_Toc255574214"/>
      <w:bookmarkStart w:id="5" w:name="_Toc286677753"/>
      <w:bookmarkStart w:id="6" w:name="_Toc192319893"/>
      <w:bookmarkStart w:id="7" w:name="_Toc213063233"/>
      <w:r>
        <w:t>Table</w:t>
      </w:r>
      <w:bookmarkEnd w:id="3"/>
      <w:r>
        <w:t xml:space="preserve"> </w:t>
      </w:r>
      <w:r w:rsidR="00207561">
        <w:t>3</w:t>
      </w:r>
      <w:r>
        <w:t xml:space="preserve">: </w:t>
      </w:r>
      <w:r w:rsidR="00982C08">
        <w:t>Expected</w:t>
      </w:r>
      <w:r w:rsidR="00AB6764">
        <w:t xml:space="preserve"> utilisation of</w:t>
      </w:r>
      <w:r w:rsidR="008A0D51">
        <w:t xml:space="preserve"> </w:t>
      </w:r>
      <w:r>
        <w:t xml:space="preserve">icatibant in </w:t>
      </w:r>
      <w:r w:rsidRPr="007F431E">
        <w:t>the first 5 years of</w:t>
      </w:r>
      <w:r>
        <w:t xml:space="preserve"> </w:t>
      </w:r>
      <w:r w:rsidR="00982C08">
        <w:t xml:space="preserve">PBS </w:t>
      </w:r>
      <w:r>
        <w:t>listing</w:t>
      </w:r>
      <w:bookmarkEnd w:id="4"/>
      <w:bookmarkEnd w:id="5"/>
      <w:r>
        <w:t xml:space="preserve"> </w:t>
      </w:r>
      <w:bookmarkEnd w:id="6"/>
      <w:bookmarkEnd w:id="7"/>
    </w:p>
    <w:tbl>
      <w:tblPr>
        <w:tblW w:w="4869"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106"/>
        <w:gridCol w:w="1106"/>
        <w:gridCol w:w="1106"/>
        <w:gridCol w:w="1106"/>
        <w:gridCol w:w="1106"/>
      </w:tblGrid>
      <w:tr w:rsidR="00982C08" w:rsidRPr="00223F0B" w:rsidTr="00B02FA0">
        <w:trPr>
          <w:trHeight w:val="323"/>
        </w:trPr>
        <w:tc>
          <w:tcPr>
            <w:tcW w:w="1905" w:type="pct"/>
            <w:shd w:val="clear" w:color="auto" w:fill="auto"/>
            <w:noWrap/>
            <w:vAlign w:val="center"/>
          </w:tcPr>
          <w:p w:rsidR="00223F0B" w:rsidRPr="00223F0B" w:rsidRDefault="00223F0B" w:rsidP="00D16348">
            <w:pPr>
              <w:pStyle w:val="TableText"/>
              <w:spacing w:before="40" w:after="40"/>
              <w:rPr>
                <w:rFonts w:asciiTheme="minorHAnsi" w:hAnsiTheme="minorHAnsi"/>
                <w:b/>
                <w:szCs w:val="20"/>
              </w:rPr>
            </w:pPr>
            <w:r w:rsidRPr="00223F0B">
              <w:rPr>
                <w:rFonts w:asciiTheme="minorHAnsi" w:hAnsiTheme="minorHAnsi"/>
                <w:b/>
                <w:szCs w:val="20"/>
              </w:rPr>
              <w:t>Year</w:t>
            </w:r>
          </w:p>
        </w:tc>
        <w:tc>
          <w:tcPr>
            <w:tcW w:w="619" w:type="pct"/>
            <w:shd w:val="clear" w:color="auto" w:fill="auto"/>
            <w:noWrap/>
            <w:vAlign w:val="center"/>
          </w:tcPr>
          <w:p w:rsidR="00223F0B" w:rsidRPr="00223F0B" w:rsidRDefault="00223F0B" w:rsidP="008A0D51">
            <w:pPr>
              <w:pStyle w:val="TableText"/>
              <w:spacing w:before="40" w:after="40"/>
              <w:jc w:val="center"/>
              <w:rPr>
                <w:rFonts w:asciiTheme="minorHAnsi" w:hAnsiTheme="minorHAnsi"/>
                <w:b/>
                <w:szCs w:val="20"/>
              </w:rPr>
            </w:pPr>
            <w:r w:rsidRPr="008A0D51">
              <w:rPr>
                <w:rFonts w:asciiTheme="minorHAnsi" w:hAnsiTheme="minorHAnsi"/>
                <w:b/>
                <w:szCs w:val="20"/>
              </w:rPr>
              <w:t>Year 1</w:t>
            </w:r>
          </w:p>
        </w:tc>
        <w:tc>
          <w:tcPr>
            <w:tcW w:w="619" w:type="pct"/>
            <w:shd w:val="clear" w:color="auto" w:fill="auto"/>
            <w:noWrap/>
            <w:vAlign w:val="center"/>
          </w:tcPr>
          <w:p w:rsidR="00223F0B" w:rsidRPr="00223F0B" w:rsidRDefault="00223F0B" w:rsidP="008A0D51">
            <w:pPr>
              <w:pStyle w:val="TableText"/>
              <w:spacing w:before="40" w:after="40"/>
              <w:jc w:val="center"/>
              <w:rPr>
                <w:rFonts w:asciiTheme="minorHAnsi" w:hAnsiTheme="minorHAnsi"/>
                <w:b/>
                <w:szCs w:val="20"/>
              </w:rPr>
            </w:pPr>
            <w:r w:rsidRPr="008A0D51">
              <w:rPr>
                <w:rFonts w:asciiTheme="minorHAnsi" w:hAnsiTheme="minorHAnsi"/>
                <w:b/>
                <w:szCs w:val="20"/>
              </w:rPr>
              <w:t>Year 2</w:t>
            </w:r>
          </w:p>
        </w:tc>
        <w:tc>
          <w:tcPr>
            <w:tcW w:w="619" w:type="pct"/>
            <w:shd w:val="clear" w:color="auto" w:fill="auto"/>
            <w:noWrap/>
            <w:vAlign w:val="center"/>
          </w:tcPr>
          <w:p w:rsidR="00223F0B" w:rsidRPr="00223F0B" w:rsidRDefault="00223F0B" w:rsidP="008A0D51">
            <w:pPr>
              <w:pStyle w:val="TableText"/>
              <w:spacing w:before="40" w:after="40"/>
              <w:jc w:val="center"/>
              <w:rPr>
                <w:rFonts w:asciiTheme="minorHAnsi" w:hAnsiTheme="minorHAnsi"/>
                <w:b/>
                <w:szCs w:val="20"/>
              </w:rPr>
            </w:pPr>
            <w:r w:rsidRPr="008A0D51">
              <w:rPr>
                <w:rFonts w:asciiTheme="minorHAnsi" w:hAnsiTheme="minorHAnsi"/>
                <w:b/>
                <w:szCs w:val="20"/>
              </w:rPr>
              <w:t>Year 3</w:t>
            </w:r>
          </w:p>
        </w:tc>
        <w:tc>
          <w:tcPr>
            <w:tcW w:w="619" w:type="pct"/>
            <w:shd w:val="clear" w:color="auto" w:fill="auto"/>
            <w:noWrap/>
            <w:vAlign w:val="center"/>
          </w:tcPr>
          <w:p w:rsidR="00223F0B" w:rsidRPr="00223F0B" w:rsidRDefault="00223F0B" w:rsidP="008A0D51">
            <w:pPr>
              <w:pStyle w:val="TableText"/>
              <w:spacing w:before="40" w:after="40"/>
              <w:jc w:val="center"/>
              <w:rPr>
                <w:rFonts w:asciiTheme="minorHAnsi" w:hAnsiTheme="minorHAnsi"/>
                <w:b/>
                <w:szCs w:val="20"/>
              </w:rPr>
            </w:pPr>
            <w:r w:rsidRPr="008A0D51">
              <w:rPr>
                <w:rFonts w:asciiTheme="minorHAnsi" w:hAnsiTheme="minorHAnsi"/>
                <w:b/>
                <w:szCs w:val="20"/>
              </w:rPr>
              <w:t>Year 4</w:t>
            </w:r>
          </w:p>
        </w:tc>
        <w:tc>
          <w:tcPr>
            <w:tcW w:w="619" w:type="pct"/>
            <w:shd w:val="clear" w:color="auto" w:fill="auto"/>
            <w:noWrap/>
            <w:vAlign w:val="center"/>
          </w:tcPr>
          <w:p w:rsidR="00223F0B" w:rsidRPr="00223F0B" w:rsidRDefault="00223F0B" w:rsidP="008A0D51">
            <w:pPr>
              <w:pStyle w:val="TableText"/>
              <w:spacing w:before="40" w:after="40"/>
              <w:jc w:val="center"/>
              <w:rPr>
                <w:rFonts w:asciiTheme="minorHAnsi" w:hAnsiTheme="minorHAnsi"/>
                <w:b/>
                <w:szCs w:val="20"/>
              </w:rPr>
            </w:pPr>
            <w:r w:rsidRPr="008A0D51">
              <w:rPr>
                <w:rFonts w:asciiTheme="minorHAnsi" w:hAnsiTheme="minorHAnsi"/>
                <w:b/>
                <w:szCs w:val="20"/>
              </w:rPr>
              <w:t>Year 5</w:t>
            </w:r>
          </w:p>
        </w:tc>
      </w:tr>
      <w:tr w:rsidR="00560F87" w:rsidRPr="00755610" w:rsidTr="00B02FA0">
        <w:trPr>
          <w:trHeight w:val="323"/>
        </w:trPr>
        <w:tc>
          <w:tcPr>
            <w:tcW w:w="1905" w:type="pct"/>
            <w:shd w:val="clear" w:color="auto" w:fill="auto"/>
            <w:noWrap/>
          </w:tcPr>
          <w:p w:rsidR="00560F87" w:rsidRPr="00C433B1" w:rsidRDefault="00560F87" w:rsidP="00D16348">
            <w:pPr>
              <w:pStyle w:val="TableText"/>
              <w:spacing w:before="40" w:after="40"/>
              <w:rPr>
                <w:rFonts w:asciiTheme="minorHAnsi" w:hAnsiTheme="minorHAnsi"/>
                <w:szCs w:val="20"/>
              </w:rPr>
            </w:pPr>
            <w:r w:rsidRPr="00C433B1">
              <w:rPr>
                <w:rFonts w:asciiTheme="minorHAnsi" w:hAnsiTheme="minorHAnsi"/>
                <w:szCs w:val="20"/>
              </w:rPr>
              <w:t>Number of patients with HAE in Australia</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r>
      <w:tr w:rsidR="00560F87" w:rsidRPr="00755610" w:rsidTr="00B02FA0">
        <w:trPr>
          <w:trHeight w:val="323"/>
        </w:trPr>
        <w:tc>
          <w:tcPr>
            <w:tcW w:w="1905" w:type="pct"/>
            <w:shd w:val="clear" w:color="auto" w:fill="auto"/>
            <w:noWrap/>
          </w:tcPr>
          <w:p w:rsidR="00560F87" w:rsidRPr="00C433B1" w:rsidRDefault="00560F87" w:rsidP="00D16348">
            <w:pPr>
              <w:pStyle w:val="TableText"/>
              <w:spacing w:before="40" w:after="40"/>
              <w:rPr>
                <w:rFonts w:asciiTheme="minorHAnsi" w:hAnsiTheme="minorHAnsi"/>
                <w:szCs w:val="20"/>
              </w:rPr>
            </w:pPr>
            <w:r w:rsidRPr="00C433B1">
              <w:rPr>
                <w:rFonts w:asciiTheme="minorHAnsi" w:hAnsiTheme="minorHAnsi"/>
                <w:szCs w:val="20"/>
              </w:rPr>
              <w:t>Expected uptake of icatibant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r>
      <w:tr w:rsidR="00560F87" w:rsidRPr="00755610" w:rsidTr="00560F87">
        <w:trPr>
          <w:trHeight w:val="323"/>
        </w:trPr>
        <w:tc>
          <w:tcPr>
            <w:tcW w:w="1905" w:type="pct"/>
            <w:shd w:val="clear" w:color="auto" w:fill="auto"/>
            <w:noWrap/>
          </w:tcPr>
          <w:p w:rsidR="00560F87" w:rsidRPr="00C433B1" w:rsidRDefault="00560F87" w:rsidP="00D16348">
            <w:pPr>
              <w:pStyle w:val="TableText"/>
              <w:spacing w:before="40" w:after="40"/>
              <w:rPr>
                <w:rFonts w:asciiTheme="minorHAnsi" w:hAnsiTheme="minorHAnsi"/>
                <w:szCs w:val="20"/>
              </w:rPr>
            </w:pPr>
            <w:r w:rsidRPr="00C433B1">
              <w:rPr>
                <w:rFonts w:asciiTheme="minorHAnsi" w:hAnsiTheme="minorHAnsi"/>
                <w:szCs w:val="20"/>
              </w:rPr>
              <w:t>Number of patients using icatibant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szCs w:val="20"/>
                <w:highlight w:val="black"/>
              </w:rPr>
            </w:pPr>
            <w:r>
              <w:rPr>
                <w:rFonts w:asciiTheme="minorHAnsi" w:hAnsiTheme="minorHAnsi"/>
                <w:noProof/>
                <w:color w:val="000000"/>
                <w:szCs w:val="20"/>
                <w:highlight w:val="black"/>
              </w:rPr>
              <w:t>''''''''</w:t>
            </w:r>
          </w:p>
        </w:tc>
      </w:tr>
      <w:tr w:rsidR="00560F87" w:rsidRPr="00755610" w:rsidTr="00560F87">
        <w:trPr>
          <w:trHeight w:val="323"/>
        </w:trPr>
        <w:tc>
          <w:tcPr>
            <w:tcW w:w="1905" w:type="pct"/>
            <w:shd w:val="clear" w:color="auto" w:fill="auto"/>
            <w:noWrap/>
          </w:tcPr>
          <w:p w:rsidR="00560F87" w:rsidRPr="00C433B1" w:rsidRDefault="00560F87" w:rsidP="00D16348">
            <w:pPr>
              <w:pStyle w:val="TableText"/>
              <w:spacing w:before="40" w:after="40"/>
              <w:rPr>
                <w:rFonts w:asciiTheme="minorHAnsi" w:hAnsiTheme="minorHAnsi"/>
                <w:szCs w:val="20"/>
              </w:rPr>
            </w:pPr>
            <w:r w:rsidRPr="00C433B1">
              <w:rPr>
                <w:rFonts w:asciiTheme="minorHAnsi" w:hAnsiTheme="minorHAnsi"/>
              </w:rPr>
              <w:t>Average number of attacks per patient per year treated with icatibant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 xml:space="preserve">''''''''' </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w:t>
            </w:r>
          </w:p>
        </w:tc>
      </w:tr>
      <w:tr w:rsidR="00560F87" w:rsidRPr="00755610" w:rsidTr="00560F87">
        <w:trPr>
          <w:trHeight w:val="323"/>
        </w:trPr>
        <w:tc>
          <w:tcPr>
            <w:tcW w:w="1905" w:type="pct"/>
            <w:shd w:val="clear" w:color="auto" w:fill="auto"/>
            <w:noWrap/>
          </w:tcPr>
          <w:p w:rsidR="00560F87" w:rsidRPr="00C433B1" w:rsidRDefault="00560F87" w:rsidP="00D16348">
            <w:pPr>
              <w:pStyle w:val="TableText"/>
              <w:spacing w:before="40" w:after="40"/>
              <w:rPr>
                <w:rFonts w:asciiTheme="minorHAnsi" w:hAnsiTheme="minorHAnsi"/>
                <w:szCs w:val="20"/>
              </w:rPr>
            </w:pPr>
            <w:r w:rsidRPr="00C433B1">
              <w:rPr>
                <w:rFonts w:asciiTheme="minorHAnsi" w:hAnsiTheme="minorHAnsi"/>
              </w:rPr>
              <w:t>Total number of attacks treated with icatibant each year</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w:t>
            </w:r>
          </w:p>
        </w:tc>
      </w:tr>
      <w:tr w:rsidR="00560F87" w:rsidRPr="00755610" w:rsidTr="00560F87">
        <w:trPr>
          <w:trHeight w:val="323"/>
        </w:trPr>
        <w:tc>
          <w:tcPr>
            <w:tcW w:w="1905" w:type="pct"/>
            <w:tcBorders>
              <w:top w:val="single" w:sz="4" w:space="0" w:color="auto"/>
              <w:left w:val="single" w:sz="4" w:space="0" w:color="auto"/>
              <w:bottom w:val="single" w:sz="4" w:space="0" w:color="auto"/>
              <w:right w:val="single" w:sz="4" w:space="0" w:color="auto"/>
            </w:tcBorders>
            <w:shd w:val="clear" w:color="auto" w:fill="auto"/>
            <w:noWrap/>
          </w:tcPr>
          <w:p w:rsidR="00560F87" w:rsidRPr="00C433B1" w:rsidRDefault="00560F87" w:rsidP="00B65DAB">
            <w:pPr>
              <w:pStyle w:val="TableText"/>
              <w:spacing w:before="40" w:after="40"/>
              <w:rPr>
                <w:rFonts w:asciiTheme="minorHAnsi" w:hAnsiTheme="minorHAnsi"/>
              </w:rPr>
            </w:pPr>
            <w:r w:rsidRPr="00C433B1">
              <w:rPr>
                <w:rFonts w:asciiTheme="minorHAnsi" w:hAnsiTheme="minorHAnsi"/>
              </w:rPr>
              <w:t>Number of icatibant injections per attack (assume same for all sites)</w:t>
            </w:r>
          </w:p>
        </w:tc>
        <w:tc>
          <w:tcPr>
            <w:tcW w:w="619" w:type="pct"/>
            <w:tcBorders>
              <w:top w:val="single" w:sz="4" w:space="0" w:color="auto"/>
              <w:left w:val="single" w:sz="4" w:space="0" w:color="auto"/>
              <w:bottom w:val="single" w:sz="4" w:space="0" w:color="auto"/>
              <w:right w:val="single" w:sz="4" w:space="0" w:color="auto"/>
            </w:tcBorders>
            <w:shd w:val="clear" w:color="auto" w:fill="auto"/>
            <w:noWrap/>
          </w:tcPr>
          <w:p w:rsidR="00560F87" w:rsidRPr="00110BCE" w:rsidRDefault="00110BCE" w:rsidP="00B65DAB">
            <w:pPr>
              <w:pStyle w:val="TableText"/>
              <w:spacing w:before="40" w:after="40"/>
              <w:jc w:val="right"/>
              <w:rPr>
                <w:rFonts w:asciiTheme="minorHAnsi" w:hAnsiTheme="minorHAnsi"/>
                <w:highlight w:val="black"/>
              </w:rPr>
            </w:pPr>
            <w:r>
              <w:rPr>
                <w:rFonts w:asciiTheme="minorHAnsi" w:hAnsiTheme="minorHAnsi"/>
                <w:noProof/>
                <w:color w:val="000000"/>
                <w:highlight w:val="black"/>
              </w:rPr>
              <w:t>''''''''</w:t>
            </w:r>
          </w:p>
        </w:tc>
        <w:tc>
          <w:tcPr>
            <w:tcW w:w="619" w:type="pct"/>
            <w:tcBorders>
              <w:top w:val="single" w:sz="4" w:space="0" w:color="auto"/>
              <w:left w:val="single" w:sz="4" w:space="0" w:color="auto"/>
              <w:bottom w:val="single" w:sz="4" w:space="0" w:color="auto"/>
              <w:right w:val="single" w:sz="4" w:space="0" w:color="auto"/>
            </w:tcBorders>
            <w:shd w:val="clear" w:color="auto" w:fill="auto"/>
            <w:noWrap/>
          </w:tcPr>
          <w:p w:rsidR="00560F87" w:rsidRPr="00110BCE" w:rsidRDefault="00110BCE" w:rsidP="00B65DAB">
            <w:pPr>
              <w:pStyle w:val="TableText"/>
              <w:spacing w:before="40" w:after="40"/>
              <w:jc w:val="right"/>
              <w:rPr>
                <w:rFonts w:asciiTheme="minorHAnsi" w:hAnsiTheme="minorHAnsi"/>
                <w:highlight w:val="black"/>
              </w:rPr>
            </w:pPr>
            <w:r>
              <w:rPr>
                <w:rFonts w:asciiTheme="minorHAnsi" w:hAnsiTheme="minorHAnsi"/>
                <w:noProof/>
                <w:color w:val="000000"/>
                <w:highlight w:val="black"/>
              </w:rPr>
              <w:t>'''''''''</w:t>
            </w:r>
          </w:p>
        </w:tc>
        <w:tc>
          <w:tcPr>
            <w:tcW w:w="619" w:type="pct"/>
            <w:tcBorders>
              <w:top w:val="single" w:sz="4" w:space="0" w:color="auto"/>
              <w:left w:val="single" w:sz="4" w:space="0" w:color="auto"/>
              <w:bottom w:val="single" w:sz="4" w:space="0" w:color="auto"/>
              <w:right w:val="single" w:sz="4" w:space="0" w:color="auto"/>
            </w:tcBorders>
            <w:shd w:val="clear" w:color="auto" w:fill="auto"/>
            <w:noWrap/>
          </w:tcPr>
          <w:p w:rsidR="00560F87" w:rsidRPr="00110BCE" w:rsidRDefault="00110BCE" w:rsidP="00B65DAB">
            <w:pPr>
              <w:pStyle w:val="TableText"/>
              <w:spacing w:before="40" w:after="40"/>
              <w:jc w:val="right"/>
              <w:rPr>
                <w:rFonts w:asciiTheme="minorHAnsi" w:hAnsiTheme="minorHAnsi"/>
                <w:highlight w:val="black"/>
              </w:rPr>
            </w:pPr>
            <w:r>
              <w:rPr>
                <w:rFonts w:asciiTheme="minorHAnsi" w:hAnsiTheme="minorHAnsi"/>
                <w:noProof/>
                <w:color w:val="000000"/>
                <w:highlight w:val="black"/>
              </w:rPr>
              <w:t>'''''''''</w:t>
            </w:r>
          </w:p>
        </w:tc>
        <w:tc>
          <w:tcPr>
            <w:tcW w:w="619" w:type="pct"/>
            <w:tcBorders>
              <w:top w:val="single" w:sz="4" w:space="0" w:color="auto"/>
              <w:left w:val="single" w:sz="4" w:space="0" w:color="auto"/>
              <w:bottom w:val="single" w:sz="4" w:space="0" w:color="auto"/>
              <w:right w:val="single" w:sz="4" w:space="0" w:color="auto"/>
            </w:tcBorders>
            <w:shd w:val="clear" w:color="auto" w:fill="auto"/>
            <w:noWrap/>
          </w:tcPr>
          <w:p w:rsidR="00560F87" w:rsidRPr="00110BCE" w:rsidRDefault="00110BCE" w:rsidP="00B65DAB">
            <w:pPr>
              <w:pStyle w:val="TableText"/>
              <w:spacing w:before="40" w:after="40"/>
              <w:jc w:val="right"/>
              <w:rPr>
                <w:rFonts w:asciiTheme="minorHAnsi" w:hAnsiTheme="minorHAnsi"/>
                <w:highlight w:val="black"/>
              </w:rPr>
            </w:pPr>
            <w:r>
              <w:rPr>
                <w:rFonts w:asciiTheme="minorHAnsi" w:hAnsiTheme="minorHAnsi"/>
                <w:noProof/>
                <w:color w:val="000000"/>
                <w:highlight w:val="black"/>
              </w:rPr>
              <w:t>''''''''</w:t>
            </w:r>
          </w:p>
        </w:tc>
        <w:tc>
          <w:tcPr>
            <w:tcW w:w="619" w:type="pct"/>
            <w:tcBorders>
              <w:top w:val="single" w:sz="4" w:space="0" w:color="auto"/>
              <w:left w:val="single" w:sz="4" w:space="0" w:color="auto"/>
              <w:bottom w:val="single" w:sz="4" w:space="0" w:color="auto"/>
              <w:right w:val="single" w:sz="4" w:space="0" w:color="auto"/>
            </w:tcBorders>
            <w:shd w:val="clear" w:color="auto" w:fill="auto"/>
            <w:noWrap/>
          </w:tcPr>
          <w:p w:rsidR="00560F87" w:rsidRPr="00110BCE" w:rsidRDefault="00110BCE" w:rsidP="00B65DAB">
            <w:pPr>
              <w:pStyle w:val="TableText"/>
              <w:spacing w:before="40" w:after="40"/>
              <w:jc w:val="right"/>
              <w:rPr>
                <w:rFonts w:asciiTheme="minorHAnsi" w:hAnsiTheme="minorHAnsi"/>
                <w:highlight w:val="black"/>
              </w:rPr>
            </w:pPr>
            <w:r>
              <w:rPr>
                <w:rFonts w:asciiTheme="minorHAnsi" w:hAnsiTheme="minorHAnsi"/>
                <w:noProof/>
                <w:color w:val="000000"/>
                <w:highlight w:val="black"/>
              </w:rPr>
              <w:t>'''''''''</w:t>
            </w:r>
          </w:p>
        </w:tc>
      </w:tr>
      <w:tr w:rsidR="00560F87" w:rsidRPr="00755610" w:rsidTr="00560F87">
        <w:trPr>
          <w:trHeight w:val="323"/>
        </w:trPr>
        <w:tc>
          <w:tcPr>
            <w:tcW w:w="1905" w:type="pct"/>
            <w:shd w:val="clear" w:color="auto" w:fill="auto"/>
            <w:noWrap/>
          </w:tcPr>
          <w:p w:rsidR="00560F87" w:rsidRPr="00C433B1" w:rsidRDefault="00560F87" w:rsidP="00D16348">
            <w:pPr>
              <w:pStyle w:val="TableText"/>
              <w:spacing w:before="40" w:after="40"/>
              <w:rPr>
                <w:rFonts w:asciiTheme="minorHAnsi" w:hAnsiTheme="minorHAnsi"/>
                <w:szCs w:val="20"/>
              </w:rPr>
            </w:pPr>
            <w:r w:rsidRPr="00C433B1">
              <w:rPr>
                <w:rFonts w:asciiTheme="minorHAnsi" w:hAnsiTheme="minorHAnsi"/>
              </w:rPr>
              <w:t>Total number of icatibant PBS items dispensed each year</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 xml:space="preserve"> ''''''''''' </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 xml:space="preserve"> '''''''''' </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 xml:space="preserve"> '''''''''' </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 xml:space="preserve"> ''''''''''' </w:t>
            </w:r>
          </w:p>
        </w:tc>
        <w:tc>
          <w:tcPr>
            <w:tcW w:w="619" w:type="pct"/>
            <w:shd w:val="clear" w:color="auto" w:fill="auto"/>
            <w:noWrap/>
          </w:tcPr>
          <w:p w:rsidR="00560F87" w:rsidRPr="00110BCE" w:rsidRDefault="00110BCE" w:rsidP="008A0D51">
            <w:pPr>
              <w:pStyle w:val="TableText"/>
              <w:spacing w:before="40" w:after="40"/>
              <w:jc w:val="right"/>
              <w:rPr>
                <w:rFonts w:asciiTheme="minorHAnsi" w:hAnsiTheme="minorHAnsi"/>
                <w:color w:val="000000"/>
                <w:szCs w:val="20"/>
                <w:highlight w:val="black"/>
              </w:rPr>
            </w:pPr>
            <w:r>
              <w:rPr>
                <w:rFonts w:asciiTheme="minorHAnsi" w:hAnsiTheme="minorHAnsi"/>
                <w:noProof/>
                <w:color w:val="000000"/>
                <w:highlight w:val="black"/>
              </w:rPr>
              <w:t xml:space="preserve"> ''''''''''' </w:t>
            </w:r>
          </w:p>
        </w:tc>
      </w:tr>
    </w:tbl>
    <w:p w:rsidR="002F2201" w:rsidRPr="002F2201" w:rsidRDefault="002F2201" w:rsidP="002F2201">
      <w:pPr>
        <w:rPr>
          <w:rFonts w:ascii="Calibri" w:eastAsia="Times New Roman" w:hAnsi="Calibri" w:cs="Times New Roman"/>
          <w:sz w:val="20"/>
          <w:szCs w:val="20"/>
        </w:rPr>
      </w:pPr>
      <w:r>
        <w:rPr>
          <w:rFonts w:ascii="Calibri" w:eastAsia="Times New Roman" w:hAnsi="Calibri" w:cs="Times New Roman"/>
          <w:sz w:val="20"/>
          <w:szCs w:val="20"/>
        </w:rPr>
        <w:lastRenderedPageBreak/>
        <w:t>Source:</w:t>
      </w:r>
      <w:r w:rsidRPr="00AA2941">
        <w:rPr>
          <w:rFonts w:ascii="Calibri" w:eastAsia="Times New Roman" w:hAnsi="Calibri" w:cs="Times New Roman"/>
          <w:sz w:val="20"/>
          <w:szCs w:val="20"/>
        </w:rPr>
        <w:t xml:space="preserve"> </w:t>
      </w:r>
      <w:r>
        <w:rPr>
          <w:rFonts w:ascii="Calibri" w:eastAsia="Times New Roman" w:hAnsi="Calibri" w:cs="Times New Roman"/>
          <w:sz w:val="20"/>
          <w:szCs w:val="20"/>
        </w:rPr>
        <w:t>Section E spreadsheet for March 2012 submission to PBAC.</w:t>
      </w:r>
    </w:p>
    <w:p w:rsidR="00E677DD" w:rsidRPr="005E22C2" w:rsidRDefault="00E677DD" w:rsidP="00587724">
      <w:pPr>
        <w:pStyle w:val="Heading4"/>
      </w:pPr>
      <w:r w:rsidRPr="005E22C2">
        <w:t>Method</w:t>
      </w:r>
      <w:r w:rsidR="001B5D37" w:rsidRPr="005E22C2">
        <w:t>s</w:t>
      </w:r>
    </w:p>
    <w:p w:rsidR="00D93575" w:rsidRPr="00AF6ACC" w:rsidRDefault="00202576" w:rsidP="00D93575">
      <w:pPr>
        <w:rPr>
          <w:rFonts w:eastAsia="Calibri" w:cs="Times New Roman"/>
        </w:rPr>
      </w:pPr>
      <w:r>
        <w:t>PBS &amp; RPBS (R/PBS</w:t>
      </w:r>
      <w:r w:rsidR="00395255">
        <w:t xml:space="preserve">) </w:t>
      </w:r>
      <w:r w:rsidR="00395255" w:rsidRPr="00AF6ACC">
        <w:rPr>
          <w:rFonts w:eastAsia="Calibri" w:cs="Times New Roman"/>
        </w:rPr>
        <w:t>prescription</w:t>
      </w:r>
      <w:r w:rsidR="00E90585">
        <w:rPr>
          <w:rFonts w:eastAsia="Calibri" w:cs="Times New Roman"/>
        </w:rPr>
        <w:t xml:space="preserve"> data</w:t>
      </w:r>
      <w:r w:rsidR="00D93575">
        <w:rPr>
          <w:rFonts w:eastAsia="Calibri" w:cs="Times New Roman"/>
        </w:rPr>
        <w:t xml:space="preserve"> </w:t>
      </w:r>
      <w:r w:rsidR="00D93575" w:rsidRPr="00AF6ACC">
        <w:rPr>
          <w:rFonts w:eastAsia="Calibri" w:cs="Times New Roman"/>
        </w:rPr>
        <w:t xml:space="preserve">for </w:t>
      </w:r>
      <w:r w:rsidR="00D93575">
        <w:rPr>
          <w:rFonts w:eastAsia="Calibri" w:cs="Times New Roman"/>
        </w:rPr>
        <w:t>icatibant</w:t>
      </w:r>
      <w:r w:rsidR="00D93575" w:rsidRPr="00AF6ACC">
        <w:rPr>
          <w:rFonts w:eastAsia="Calibri" w:cs="Times New Roman"/>
        </w:rPr>
        <w:t xml:space="preserve"> were extracted from the Department of Human Services (DHS) </w:t>
      </w:r>
      <w:r w:rsidR="00D93575">
        <w:rPr>
          <w:rFonts w:eastAsia="Calibri" w:cs="Times New Roman"/>
        </w:rPr>
        <w:t xml:space="preserve">Prescription </w:t>
      </w:r>
      <w:r w:rsidR="00D93575" w:rsidRPr="00AF6ACC">
        <w:rPr>
          <w:rFonts w:eastAsia="Calibri" w:cs="Times New Roman"/>
        </w:rPr>
        <w:t xml:space="preserve">database for the period </w:t>
      </w:r>
      <w:r w:rsidR="00D93575">
        <w:rPr>
          <w:rFonts w:eastAsia="Calibri" w:cs="Times New Roman"/>
        </w:rPr>
        <w:t xml:space="preserve">from August 2012 </w:t>
      </w:r>
      <w:r w:rsidR="00D93575" w:rsidRPr="00AF6ACC">
        <w:rPr>
          <w:rFonts w:eastAsia="Calibri" w:cs="Times New Roman"/>
        </w:rPr>
        <w:t xml:space="preserve">to </w:t>
      </w:r>
      <w:r w:rsidR="00D93575">
        <w:rPr>
          <w:rFonts w:eastAsia="Calibri" w:cs="Times New Roman"/>
        </w:rPr>
        <w:t xml:space="preserve">December </w:t>
      </w:r>
      <w:r w:rsidR="00D93575" w:rsidRPr="00AF6ACC">
        <w:rPr>
          <w:rFonts w:eastAsia="Calibri" w:cs="Times New Roman"/>
        </w:rPr>
        <w:t xml:space="preserve">2014 inclusive, based on the date that the prescription was </w:t>
      </w:r>
      <w:r w:rsidR="00D93575">
        <w:rPr>
          <w:rFonts w:eastAsia="Calibri" w:cs="Times New Roman"/>
        </w:rPr>
        <w:t>supplied</w:t>
      </w:r>
      <w:r w:rsidR="00D93575" w:rsidRPr="00AF6ACC">
        <w:rPr>
          <w:rFonts w:eastAsia="Calibri" w:cs="Times New Roman"/>
        </w:rPr>
        <w:t xml:space="preserve">. </w:t>
      </w:r>
    </w:p>
    <w:p w:rsidR="00D93575" w:rsidRDefault="00D93575" w:rsidP="00D93575">
      <w:pPr>
        <w:rPr>
          <w:rFonts w:eastAsia="Calibri" w:cs="Times New Roman"/>
        </w:rPr>
      </w:pPr>
      <w:r w:rsidRPr="00AF6ACC">
        <w:rPr>
          <w:rFonts w:eastAsia="Calibri" w:cs="Times New Roman"/>
        </w:rPr>
        <w:t xml:space="preserve">The number of </w:t>
      </w:r>
      <w:r>
        <w:rPr>
          <w:rFonts w:eastAsia="Calibri" w:cs="Times New Roman"/>
        </w:rPr>
        <w:t xml:space="preserve">prevalent </w:t>
      </w:r>
      <w:r w:rsidRPr="00AF6ACC">
        <w:rPr>
          <w:rFonts w:eastAsia="Calibri" w:cs="Times New Roman"/>
        </w:rPr>
        <w:t xml:space="preserve">patients was determined by counting the number of </w:t>
      </w:r>
      <w:r w:rsidR="00E90585">
        <w:rPr>
          <w:rFonts w:eastAsia="Calibri" w:cs="Times New Roman"/>
        </w:rPr>
        <w:t xml:space="preserve">people supplied at least one PBS prescription of icatibant using </w:t>
      </w:r>
      <w:r w:rsidRPr="00AF6ACC">
        <w:rPr>
          <w:rFonts w:eastAsia="Calibri" w:cs="Times New Roman"/>
        </w:rPr>
        <w:t>person</w:t>
      </w:r>
      <w:r>
        <w:rPr>
          <w:rFonts w:eastAsia="Calibri" w:cs="Times New Roman"/>
        </w:rPr>
        <w:t xml:space="preserve"> specific</w:t>
      </w:r>
      <w:r w:rsidRPr="00AF6ACC">
        <w:rPr>
          <w:rFonts w:eastAsia="Calibri" w:cs="Times New Roman"/>
        </w:rPr>
        <w:t xml:space="preserve"> numbers</w:t>
      </w:r>
      <w:r>
        <w:rPr>
          <w:rFonts w:eastAsia="Calibri" w:cs="Times New Roman"/>
        </w:rPr>
        <w:t xml:space="preserve"> (non</w:t>
      </w:r>
      <w:r w:rsidRPr="00AF6ACC">
        <w:rPr>
          <w:rFonts w:eastAsia="Calibri" w:cs="Times New Roman"/>
        </w:rPr>
        <w:t>-identif</w:t>
      </w:r>
      <w:r>
        <w:rPr>
          <w:rFonts w:eastAsia="Calibri" w:cs="Times New Roman"/>
        </w:rPr>
        <w:t>ying)</w:t>
      </w:r>
      <w:r w:rsidRPr="00AF6ACC">
        <w:rPr>
          <w:rFonts w:eastAsia="Calibri" w:cs="Times New Roman"/>
        </w:rPr>
        <w:t xml:space="preserve"> in the </w:t>
      </w:r>
      <w:r>
        <w:rPr>
          <w:rFonts w:eastAsia="Calibri" w:cs="Times New Roman"/>
        </w:rPr>
        <w:t>data</w:t>
      </w:r>
      <w:r w:rsidRPr="00AF6ACC">
        <w:rPr>
          <w:rFonts w:eastAsia="Calibri" w:cs="Times New Roman"/>
        </w:rPr>
        <w:t xml:space="preserve"> for the specified time period</w:t>
      </w:r>
      <w:r w:rsidR="001C64CA">
        <w:rPr>
          <w:rFonts w:eastAsia="Calibri" w:cs="Times New Roman"/>
        </w:rPr>
        <w:t>s</w:t>
      </w:r>
      <w:r w:rsidRPr="00AF6ACC">
        <w:rPr>
          <w:rFonts w:eastAsia="Calibri" w:cs="Times New Roman"/>
        </w:rPr>
        <w:t>.</w:t>
      </w:r>
      <w:r w:rsidRPr="00A34E84">
        <w:rPr>
          <w:rFonts w:eastAsia="Calibri" w:cs="Times New Roman"/>
        </w:rPr>
        <w:t xml:space="preserve"> </w:t>
      </w:r>
    </w:p>
    <w:p w:rsidR="00D93575" w:rsidRDefault="00D93575" w:rsidP="00D93575">
      <w:pPr>
        <w:rPr>
          <w:rFonts w:eastAsia="Calibri" w:cs="Times New Roman"/>
        </w:rPr>
      </w:pPr>
      <w:r>
        <w:rPr>
          <w:rFonts w:eastAsia="Calibri" w:cs="Times New Roman"/>
        </w:rPr>
        <w:t>Patient initiation date</w:t>
      </w:r>
      <w:r w:rsidRPr="00AF6ACC">
        <w:rPr>
          <w:rFonts w:eastAsia="Calibri" w:cs="Times New Roman"/>
        </w:rPr>
        <w:t xml:space="preserve"> w</w:t>
      </w:r>
      <w:r>
        <w:rPr>
          <w:rFonts w:eastAsia="Calibri" w:cs="Times New Roman"/>
        </w:rPr>
        <w:t>as</w:t>
      </w:r>
      <w:r w:rsidRPr="00AF6ACC">
        <w:rPr>
          <w:rFonts w:eastAsia="Calibri" w:cs="Times New Roman"/>
        </w:rPr>
        <w:t xml:space="preserve"> defined as </w:t>
      </w:r>
      <w:r>
        <w:rPr>
          <w:rFonts w:eastAsia="Calibri" w:cs="Times New Roman"/>
        </w:rPr>
        <w:t>the date of supply of the first prescription.</w:t>
      </w:r>
    </w:p>
    <w:p w:rsidR="00D93575" w:rsidRDefault="001C64CA" w:rsidP="00D93575">
      <w:pPr>
        <w:rPr>
          <w:rFonts w:eastAsia="Calibri" w:cs="Times New Roman"/>
        </w:rPr>
      </w:pPr>
      <w:r>
        <w:rPr>
          <w:rFonts w:eastAsia="Calibri" w:cs="Times New Roman"/>
        </w:rPr>
        <w:t>Data analysis was undertaken using SAS.</w:t>
      </w:r>
    </w:p>
    <w:p w:rsidR="00C714D0" w:rsidRPr="005E22C2" w:rsidRDefault="00C714D0" w:rsidP="001F4906">
      <w:pPr>
        <w:pStyle w:val="Heading4"/>
      </w:pPr>
      <w:r w:rsidRPr="005E22C2">
        <w:t>Results</w:t>
      </w:r>
    </w:p>
    <w:p w:rsidR="00736041" w:rsidRDefault="001B5D37" w:rsidP="00FE645A">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8B4E63" w:rsidRPr="008B4E63" w:rsidRDefault="008B4E63" w:rsidP="00CC5BD6">
      <w:r>
        <w:t xml:space="preserve">Figure 1 shows the number of prescriptions and number of injections of icatibant supplied since PBS </w:t>
      </w:r>
      <w:r w:rsidR="003D126D">
        <w:t xml:space="preserve">listing </w:t>
      </w:r>
      <w:r>
        <w:t>on 1 August 2012.</w:t>
      </w:r>
      <w:r w:rsidRPr="008B4E63">
        <w:t xml:space="preserve"> The PBS listing allows for a quantity of one 30mg injection and one repeat. Increased maximum quantities and repeats may be authorised by the Department of Human Services.</w:t>
      </w:r>
    </w:p>
    <w:p w:rsidR="00CF18AC" w:rsidRDefault="00CF18AC" w:rsidP="00A35800">
      <w:r>
        <w:rPr>
          <w:noProof/>
        </w:rPr>
        <w:drawing>
          <wp:inline distT="0" distB="0" distL="0" distR="0" wp14:anchorId="53EC4DEF" wp14:editId="2B76A816">
            <wp:extent cx="5687695" cy="3706724"/>
            <wp:effectExtent l="0" t="0" r="8255" b="8255"/>
            <wp:docPr id="3" name="Chart 3" title="Figure 1: Icatibant prescriptions and injections (Item code 1976B) by month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1692" w:rsidRDefault="00E1353A" w:rsidP="008D1692">
      <w:pPr>
        <w:pStyle w:val="Figurecaption"/>
        <w:rPr>
          <w:b/>
          <w:sz w:val="24"/>
        </w:rPr>
      </w:pPr>
      <w:r w:rsidRPr="00072D2F">
        <w:rPr>
          <w:b/>
          <w:sz w:val="24"/>
        </w:rPr>
        <w:t xml:space="preserve">Figure 1: </w:t>
      </w:r>
      <w:r w:rsidR="008D1692">
        <w:rPr>
          <w:b/>
          <w:sz w:val="24"/>
        </w:rPr>
        <w:t>Icatibant p</w:t>
      </w:r>
      <w:r w:rsidR="00072D2F">
        <w:rPr>
          <w:b/>
          <w:sz w:val="24"/>
        </w:rPr>
        <w:t>rescriptions</w:t>
      </w:r>
      <w:r w:rsidR="008D1692">
        <w:rPr>
          <w:b/>
          <w:sz w:val="24"/>
        </w:rPr>
        <w:t xml:space="preserve"> </w:t>
      </w:r>
      <w:r w:rsidR="001541B1" w:rsidRPr="00B02FA0">
        <w:rPr>
          <w:b/>
          <w:sz w:val="24"/>
        </w:rPr>
        <w:t>and injections</w:t>
      </w:r>
      <w:r w:rsidR="001541B1">
        <w:rPr>
          <w:b/>
          <w:sz w:val="24"/>
        </w:rPr>
        <w:t xml:space="preserve"> </w:t>
      </w:r>
      <w:r w:rsidR="008D1692">
        <w:rPr>
          <w:b/>
          <w:sz w:val="24"/>
        </w:rPr>
        <w:t>(Item code 1976B) by month of supply</w:t>
      </w:r>
      <w:r w:rsidR="008D1692">
        <w:rPr>
          <w:b/>
          <w:sz w:val="24"/>
        </w:rPr>
        <w:br/>
      </w:r>
    </w:p>
    <w:p w:rsidR="00D14446" w:rsidRDefault="001541B1" w:rsidP="007775B2">
      <w:r w:rsidRPr="00C366CB">
        <w:lastRenderedPageBreak/>
        <w:t xml:space="preserve">In the first 2 years of listing, </w:t>
      </w:r>
      <w:r w:rsidR="00121E17" w:rsidRPr="00C366CB">
        <w:t>17.5</w:t>
      </w:r>
      <w:r w:rsidRPr="00CC5BD6">
        <w:t xml:space="preserve">% of prescriptions </w:t>
      </w:r>
      <w:r w:rsidR="008B4E63" w:rsidRPr="00C366CB">
        <w:t xml:space="preserve">supplied </w:t>
      </w:r>
      <w:r w:rsidRPr="00CC5BD6">
        <w:t xml:space="preserve">were for an increased maximum quantity. </w:t>
      </w:r>
      <w:r w:rsidRPr="00C366CB">
        <w:t xml:space="preserve">Where an increased maximum </w:t>
      </w:r>
      <w:r w:rsidR="008B4E63" w:rsidRPr="00C366CB">
        <w:t>quantity</w:t>
      </w:r>
      <w:r w:rsidRPr="00C366CB">
        <w:t xml:space="preserve"> was supplied, </w:t>
      </w:r>
      <w:r w:rsidR="00121E17" w:rsidRPr="00C366CB">
        <w:t>12.6</w:t>
      </w:r>
      <w:r w:rsidRPr="00306B99">
        <w:t>%</w:t>
      </w:r>
      <w:r w:rsidR="00121E17" w:rsidRPr="00C366CB">
        <w:t xml:space="preserve"> were for 2 injections, 1.1</w:t>
      </w:r>
      <w:r w:rsidRPr="00306B99">
        <w:t>%</w:t>
      </w:r>
      <w:r w:rsidRPr="00C366CB">
        <w:t xml:space="preserve"> for 3 injections</w:t>
      </w:r>
      <w:r w:rsidR="00121E17" w:rsidRPr="00C366CB">
        <w:t xml:space="preserve"> and 3.8% for more than 3 injections</w:t>
      </w:r>
      <w:r w:rsidRPr="00C366CB">
        <w:t xml:space="preserve">. </w:t>
      </w:r>
    </w:p>
    <w:p w:rsidR="007775B2" w:rsidRPr="00C366CB" w:rsidRDefault="007775B2" w:rsidP="007775B2">
      <w:r w:rsidRPr="00C366CB">
        <w:t>The weighted average</w:t>
      </w:r>
      <w:r w:rsidR="005D23C5" w:rsidRPr="00C366CB">
        <w:t xml:space="preserve"> number of injections per prescription</w:t>
      </w:r>
      <w:r w:rsidR="00D14446">
        <w:t xml:space="preserve">, </w:t>
      </w:r>
      <w:r w:rsidRPr="00C366CB">
        <w:t>calculated from the data in Figure 1</w:t>
      </w:r>
      <w:r w:rsidR="00D14446">
        <w:t>,</w:t>
      </w:r>
      <w:r w:rsidRPr="00C366CB">
        <w:t xml:space="preserve"> w</w:t>
      </w:r>
      <w:r w:rsidR="005D23C5" w:rsidRPr="00C366CB">
        <w:t>as</w:t>
      </w:r>
      <w:r w:rsidRPr="00C366CB">
        <w:t xml:space="preserve"> 1.21</w:t>
      </w:r>
      <w:r w:rsidR="00121E17" w:rsidRPr="00C366CB">
        <w:t xml:space="preserve">, </w:t>
      </w:r>
      <w:r w:rsidRPr="00C366CB">
        <w:t xml:space="preserve">1.32 </w:t>
      </w:r>
      <w:r w:rsidR="00121E17" w:rsidRPr="00C366CB">
        <w:t xml:space="preserve">and 1.42 </w:t>
      </w:r>
      <w:r w:rsidRPr="00C366CB">
        <w:t>in Year</w:t>
      </w:r>
      <w:r w:rsidR="00121E17" w:rsidRPr="00C366CB">
        <w:t>s</w:t>
      </w:r>
      <w:r w:rsidRPr="00C366CB">
        <w:t xml:space="preserve"> </w:t>
      </w:r>
      <w:r w:rsidR="00121E17" w:rsidRPr="00C366CB">
        <w:t xml:space="preserve">1, </w:t>
      </w:r>
      <w:r w:rsidRPr="00C366CB">
        <w:t xml:space="preserve">2 </w:t>
      </w:r>
      <w:r w:rsidR="00121E17" w:rsidRPr="00C366CB">
        <w:t>and 3</w:t>
      </w:r>
      <w:r w:rsidR="008615ED" w:rsidRPr="00C366CB">
        <w:t xml:space="preserve"> YTD</w:t>
      </w:r>
      <w:r w:rsidR="00121E17" w:rsidRPr="00C366CB">
        <w:t xml:space="preserve"> (i</w:t>
      </w:r>
      <w:r w:rsidR="007E7239">
        <w:t>.</w:t>
      </w:r>
      <w:r w:rsidR="00121E17" w:rsidRPr="00C366CB">
        <w:t>e</w:t>
      </w:r>
      <w:r w:rsidR="008615ED" w:rsidRPr="00C366CB">
        <w:t>.</w:t>
      </w:r>
      <w:r w:rsidR="00121E17" w:rsidRPr="00C366CB">
        <w:t xml:space="preserve"> September to December </w:t>
      </w:r>
      <w:r w:rsidR="008615ED" w:rsidRPr="00C366CB">
        <w:t xml:space="preserve">2014) </w:t>
      </w:r>
      <w:r w:rsidR="005D23C5" w:rsidRPr="00C366CB">
        <w:t>of listing</w:t>
      </w:r>
      <w:r w:rsidR="00D14446">
        <w:t>,</w:t>
      </w:r>
      <w:r w:rsidR="00CC5BD6">
        <w:t xml:space="preserve"> </w:t>
      </w:r>
      <w:r w:rsidRPr="00C366CB">
        <w:t>respectively.</w:t>
      </w:r>
    </w:p>
    <w:p w:rsidR="001541B1" w:rsidRDefault="00C3332A" w:rsidP="008D1692">
      <w:pPr>
        <w:pStyle w:val="Figurecaption"/>
        <w:rPr>
          <w:sz w:val="24"/>
        </w:rPr>
      </w:pPr>
      <w:r w:rsidRPr="00C366CB">
        <w:rPr>
          <w:sz w:val="24"/>
        </w:rPr>
        <w:t>19.5</w:t>
      </w:r>
      <w:r w:rsidR="008B4E63" w:rsidRPr="00306B99">
        <w:rPr>
          <w:sz w:val="24"/>
        </w:rPr>
        <w:t xml:space="preserve"> </w:t>
      </w:r>
      <w:r w:rsidR="001541B1" w:rsidRPr="00290B14">
        <w:rPr>
          <w:sz w:val="24"/>
        </w:rPr>
        <w:t>%</w:t>
      </w:r>
      <w:r w:rsidR="001541B1" w:rsidRPr="00C366CB">
        <w:rPr>
          <w:sz w:val="24"/>
        </w:rPr>
        <w:t xml:space="preserve"> of original </w:t>
      </w:r>
      <w:r w:rsidR="008B4E63" w:rsidRPr="00C366CB">
        <w:rPr>
          <w:sz w:val="24"/>
        </w:rPr>
        <w:t>prescriptions</w:t>
      </w:r>
      <w:r w:rsidR="001541B1" w:rsidRPr="00C366CB">
        <w:rPr>
          <w:sz w:val="24"/>
        </w:rPr>
        <w:t xml:space="preserve"> </w:t>
      </w:r>
      <w:r w:rsidR="008B4E63" w:rsidRPr="00C366CB">
        <w:rPr>
          <w:sz w:val="24"/>
        </w:rPr>
        <w:t>were authorised to have increased maximum number of repeats</w:t>
      </w:r>
      <w:r w:rsidRPr="00C366CB">
        <w:rPr>
          <w:sz w:val="24"/>
        </w:rPr>
        <w:t xml:space="preserve"> (i</w:t>
      </w:r>
      <w:r w:rsidR="00917251">
        <w:rPr>
          <w:sz w:val="24"/>
        </w:rPr>
        <w:t>.</w:t>
      </w:r>
      <w:r w:rsidRPr="00C366CB">
        <w:rPr>
          <w:sz w:val="24"/>
        </w:rPr>
        <w:t>e. more than 1 repeat</w:t>
      </w:r>
      <w:r w:rsidR="00B937A0">
        <w:rPr>
          <w:sz w:val="24"/>
        </w:rPr>
        <w:t>)</w:t>
      </w:r>
      <w:r w:rsidR="008B4E63" w:rsidRPr="00C366CB">
        <w:rPr>
          <w:sz w:val="24"/>
        </w:rPr>
        <w:t>.</w:t>
      </w:r>
      <w:r w:rsidRPr="00C366CB">
        <w:rPr>
          <w:sz w:val="24"/>
        </w:rPr>
        <w:t xml:space="preserve"> Table </w:t>
      </w:r>
      <w:r w:rsidR="00230068">
        <w:rPr>
          <w:sz w:val="24"/>
        </w:rPr>
        <w:t>4</w:t>
      </w:r>
      <w:r w:rsidRPr="00C366CB">
        <w:rPr>
          <w:sz w:val="24"/>
        </w:rPr>
        <w:t xml:space="preserve"> shows the distribution of the number of approved repeats on original prescriptions.</w:t>
      </w:r>
    </w:p>
    <w:p w:rsidR="00C3332A" w:rsidRDefault="00230068" w:rsidP="00C3332A">
      <w:pPr>
        <w:pStyle w:val="Tabletitle"/>
      </w:pPr>
      <w:r>
        <w:t>Table 4</w:t>
      </w:r>
      <w:r w:rsidR="00C3332A">
        <w:t xml:space="preserve">: Distribution of approved repeats </w:t>
      </w:r>
    </w:p>
    <w:tbl>
      <w:tblPr>
        <w:tblStyle w:val="TableGrid"/>
        <w:tblW w:w="6450" w:type="dxa"/>
        <w:tblLook w:val="04A0" w:firstRow="1" w:lastRow="0" w:firstColumn="1" w:lastColumn="0" w:noHBand="0" w:noVBand="1"/>
        <w:tblCaption w:val="Table 4: Distribution of approved repeats"/>
      </w:tblPr>
      <w:tblGrid>
        <w:gridCol w:w="1240"/>
        <w:gridCol w:w="1382"/>
        <w:gridCol w:w="1276"/>
        <w:gridCol w:w="1276"/>
        <w:gridCol w:w="1276"/>
      </w:tblGrid>
      <w:tr w:rsidR="009F1BA0" w:rsidRPr="005D3D3E" w:rsidTr="005D3D3E">
        <w:trPr>
          <w:trHeight w:val="300"/>
          <w:tblHeader/>
        </w:trPr>
        <w:tc>
          <w:tcPr>
            <w:tcW w:w="1240" w:type="dxa"/>
            <w:noWrap/>
            <w:vAlign w:val="center"/>
            <w:hideMark/>
          </w:tcPr>
          <w:p w:rsidR="009F1BA0" w:rsidRPr="005D3D3E" w:rsidRDefault="009F1BA0" w:rsidP="005D3D3E">
            <w:pPr>
              <w:keepLines/>
              <w:outlineLvl w:val="1"/>
              <w:rPr>
                <w:rFonts w:eastAsiaTheme="majorEastAsia" w:cstheme="majorBidi"/>
                <w:b/>
                <w:bCs/>
                <w:sz w:val="20"/>
                <w:szCs w:val="20"/>
              </w:rPr>
            </w:pPr>
            <w:r w:rsidRPr="005D3D3E">
              <w:rPr>
                <w:rFonts w:eastAsiaTheme="majorEastAsia" w:cstheme="majorBidi"/>
                <w:b/>
                <w:bCs/>
                <w:sz w:val="20"/>
                <w:szCs w:val="20"/>
              </w:rPr>
              <w:t>Approved Repeats</w:t>
            </w:r>
          </w:p>
        </w:tc>
        <w:tc>
          <w:tcPr>
            <w:tcW w:w="1382" w:type="dxa"/>
            <w:noWrap/>
            <w:vAlign w:val="center"/>
            <w:hideMark/>
          </w:tcPr>
          <w:p w:rsidR="009F1BA0" w:rsidRPr="005D3D3E" w:rsidRDefault="009F1BA0" w:rsidP="005D3D3E">
            <w:pPr>
              <w:keepLines/>
              <w:outlineLvl w:val="1"/>
              <w:rPr>
                <w:rFonts w:eastAsiaTheme="majorEastAsia" w:cstheme="majorBidi"/>
                <w:b/>
                <w:bCs/>
                <w:sz w:val="20"/>
                <w:szCs w:val="20"/>
              </w:rPr>
            </w:pPr>
            <w:r w:rsidRPr="005D3D3E">
              <w:rPr>
                <w:rFonts w:eastAsiaTheme="majorEastAsia" w:cstheme="majorBidi"/>
                <w:b/>
                <w:bCs/>
                <w:sz w:val="20"/>
                <w:szCs w:val="20"/>
              </w:rPr>
              <w:t>Original prescriptions</w:t>
            </w:r>
          </w:p>
        </w:tc>
        <w:tc>
          <w:tcPr>
            <w:tcW w:w="1276" w:type="dxa"/>
            <w:noWrap/>
            <w:vAlign w:val="center"/>
            <w:hideMark/>
          </w:tcPr>
          <w:p w:rsidR="009F1BA0" w:rsidRPr="005D3D3E" w:rsidRDefault="009F1BA0" w:rsidP="005D3D3E">
            <w:pPr>
              <w:keepLines/>
              <w:outlineLvl w:val="1"/>
              <w:rPr>
                <w:rFonts w:eastAsiaTheme="majorEastAsia" w:cstheme="majorBidi"/>
                <w:b/>
                <w:bCs/>
                <w:sz w:val="20"/>
                <w:szCs w:val="20"/>
              </w:rPr>
            </w:pPr>
            <w:r w:rsidRPr="005D3D3E">
              <w:rPr>
                <w:rFonts w:eastAsiaTheme="majorEastAsia" w:cstheme="majorBidi"/>
                <w:b/>
                <w:bCs/>
                <w:sz w:val="20"/>
                <w:szCs w:val="20"/>
              </w:rPr>
              <w:t>% Distribution</w:t>
            </w:r>
          </w:p>
        </w:tc>
        <w:tc>
          <w:tcPr>
            <w:tcW w:w="1276" w:type="dxa"/>
          </w:tcPr>
          <w:p w:rsidR="009F1BA0" w:rsidRPr="005D3D3E" w:rsidRDefault="009F1BA0" w:rsidP="005D3D3E">
            <w:pPr>
              <w:keepLines/>
              <w:outlineLvl w:val="1"/>
              <w:rPr>
                <w:rFonts w:eastAsiaTheme="majorEastAsia" w:cstheme="majorBidi"/>
                <w:b/>
                <w:bCs/>
                <w:sz w:val="20"/>
                <w:szCs w:val="20"/>
              </w:rPr>
            </w:pPr>
            <w:r w:rsidRPr="005D3D3E">
              <w:rPr>
                <w:rFonts w:eastAsiaTheme="majorEastAsia" w:cstheme="majorBidi"/>
                <w:b/>
                <w:bCs/>
                <w:sz w:val="20"/>
                <w:szCs w:val="20"/>
              </w:rPr>
              <w:t>Total Injections if all repeats were filled</w:t>
            </w:r>
          </w:p>
        </w:tc>
        <w:tc>
          <w:tcPr>
            <w:tcW w:w="1276" w:type="dxa"/>
            <w:vAlign w:val="center"/>
          </w:tcPr>
          <w:p w:rsidR="009F1BA0" w:rsidRPr="005D3D3E" w:rsidRDefault="009F1BA0" w:rsidP="005D3D3E">
            <w:pPr>
              <w:keepLines/>
              <w:outlineLvl w:val="1"/>
              <w:rPr>
                <w:rFonts w:eastAsiaTheme="majorEastAsia" w:cstheme="majorBidi"/>
                <w:b/>
                <w:bCs/>
                <w:sz w:val="20"/>
                <w:szCs w:val="20"/>
              </w:rPr>
            </w:pPr>
            <w:r w:rsidRPr="005D3D3E">
              <w:rPr>
                <w:rFonts w:eastAsiaTheme="majorEastAsia" w:cstheme="majorBidi"/>
                <w:b/>
                <w:bCs/>
                <w:sz w:val="20"/>
                <w:szCs w:val="20"/>
              </w:rPr>
              <w:t>% Distribution</w:t>
            </w:r>
          </w:p>
        </w:tc>
      </w:tr>
      <w:tr w:rsidR="009F1BA0" w:rsidRPr="00E74532" w:rsidTr="006E26D7">
        <w:trPr>
          <w:trHeight w:val="300"/>
        </w:trPr>
        <w:tc>
          <w:tcPr>
            <w:tcW w:w="1240"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0</w:t>
            </w:r>
          </w:p>
        </w:tc>
        <w:tc>
          <w:tcPr>
            <w:tcW w:w="1382"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61</w:t>
            </w:r>
          </w:p>
        </w:tc>
        <w:tc>
          <w:tcPr>
            <w:tcW w:w="1276"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7.8%</w:t>
            </w:r>
          </w:p>
        </w:tc>
        <w:tc>
          <w:tcPr>
            <w:tcW w:w="1276" w:type="dxa"/>
            <w:vAlign w:val="center"/>
          </w:tcPr>
          <w:p w:rsidR="009F1BA0" w:rsidRPr="00CC5BD6" w:rsidRDefault="009F1BA0" w:rsidP="00CC5BD6">
            <w:pPr>
              <w:jc w:val="right"/>
              <w:rPr>
                <w:rFonts w:ascii="Calibri" w:eastAsia="Times New Roman" w:hAnsi="Calibri" w:cs="Times New Roman"/>
                <w:sz w:val="20"/>
                <w:szCs w:val="22"/>
              </w:rPr>
            </w:pPr>
            <w:r w:rsidRPr="00CC5BD6">
              <w:rPr>
                <w:rFonts w:ascii="Calibri" w:eastAsia="Times New Roman" w:hAnsi="Calibri" w:cs="Times New Roman"/>
                <w:sz w:val="20"/>
                <w:szCs w:val="22"/>
              </w:rPr>
              <w:t>90</w:t>
            </w:r>
          </w:p>
        </w:tc>
        <w:tc>
          <w:tcPr>
            <w:tcW w:w="1276" w:type="dxa"/>
          </w:tcPr>
          <w:p w:rsidR="009F1BA0" w:rsidRPr="009F1BA0" w:rsidRDefault="009F1BA0" w:rsidP="009F1BA0">
            <w:pPr>
              <w:jc w:val="right"/>
              <w:rPr>
                <w:rFonts w:ascii="Calibri" w:eastAsia="Times New Roman" w:hAnsi="Calibri" w:cs="Times New Roman"/>
                <w:sz w:val="20"/>
                <w:szCs w:val="22"/>
              </w:rPr>
            </w:pPr>
            <w:r w:rsidRPr="009F1BA0">
              <w:rPr>
                <w:rFonts w:ascii="Calibri" w:eastAsia="Times New Roman" w:hAnsi="Calibri" w:cs="Times New Roman"/>
                <w:sz w:val="20"/>
                <w:szCs w:val="22"/>
              </w:rPr>
              <w:t>3.4%</w:t>
            </w:r>
          </w:p>
        </w:tc>
      </w:tr>
      <w:tr w:rsidR="009F1BA0" w:rsidRPr="00E74532" w:rsidTr="006E26D7">
        <w:trPr>
          <w:trHeight w:val="300"/>
        </w:trPr>
        <w:tc>
          <w:tcPr>
            <w:tcW w:w="1240"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1</w:t>
            </w:r>
          </w:p>
        </w:tc>
        <w:tc>
          <w:tcPr>
            <w:tcW w:w="1382"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571</w:t>
            </w:r>
          </w:p>
        </w:tc>
        <w:tc>
          <w:tcPr>
            <w:tcW w:w="1276"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72.7%</w:t>
            </w:r>
          </w:p>
        </w:tc>
        <w:tc>
          <w:tcPr>
            <w:tcW w:w="1276" w:type="dxa"/>
            <w:vAlign w:val="center"/>
          </w:tcPr>
          <w:p w:rsidR="009F1BA0" w:rsidRPr="00CC5BD6" w:rsidRDefault="009F1BA0" w:rsidP="00CC5BD6">
            <w:pPr>
              <w:jc w:val="right"/>
              <w:rPr>
                <w:rFonts w:ascii="Calibri" w:eastAsia="Times New Roman" w:hAnsi="Calibri" w:cs="Times New Roman"/>
                <w:sz w:val="20"/>
                <w:szCs w:val="22"/>
              </w:rPr>
            </w:pPr>
            <w:r w:rsidRPr="00CC5BD6">
              <w:rPr>
                <w:rFonts w:ascii="Calibri" w:eastAsia="Times New Roman" w:hAnsi="Calibri" w:cs="Times New Roman"/>
                <w:sz w:val="20"/>
                <w:szCs w:val="22"/>
              </w:rPr>
              <w:t>1</w:t>
            </w:r>
            <w:r>
              <w:rPr>
                <w:rFonts w:ascii="Calibri" w:eastAsia="Times New Roman" w:hAnsi="Calibri" w:cs="Times New Roman"/>
                <w:sz w:val="20"/>
                <w:szCs w:val="22"/>
              </w:rPr>
              <w:t>,</w:t>
            </w:r>
            <w:r w:rsidRPr="00CC5BD6">
              <w:rPr>
                <w:rFonts w:ascii="Calibri" w:eastAsia="Times New Roman" w:hAnsi="Calibri" w:cs="Times New Roman"/>
                <w:sz w:val="20"/>
                <w:szCs w:val="22"/>
              </w:rPr>
              <w:t>208</w:t>
            </w:r>
          </w:p>
        </w:tc>
        <w:tc>
          <w:tcPr>
            <w:tcW w:w="1276" w:type="dxa"/>
          </w:tcPr>
          <w:p w:rsidR="009F1BA0" w:rsidRPr="009F1BA0" w:rsidRDefault="009F1BA0" w:rsidP="009F1BA0">
            <w:pPr>
              <w:jc w:val="right"/>
              <w:rPr>
                <w:rFonts w:ascii="Calibri" w:eastAsia="Times New Roman" w:hAnsi="Calibri" w:cs="Times New Roman"/>
                <w:sz w:val="20"/>
                <w:szCs w:val="22"/>
              </w:rPr>
            </w:pPr>
            <w:r w:rsidRPr="009F1BA0">
              <w:rPr>
                <w:rFonts w:ascii="Calibri" w:eastAsia="Times New Roman" w:hAnsi="Calibri" w:cs="Times New Roman"/>
                <w:sz w:val="20"/>
                <w:szCs w:val="22"/>
              </w:rPr>
              <w:t>45.6%</w:t>
            </w:r>
          </w:p>
        </w:tc>
      </w:tr>
      <w:tr w:rsidR="009F1BA0" w:rsidRPr="00E74532" w:rsidTr="006E26D7">
        <w:trPr>
          <w:trHeight w:val="300"/>
        </w:trPr>
        <w:tc>
          <w:tcPr>
            <w:tcW w:w="1240"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2</w:t>
            </w:r>
          </w:p>
        </w:tc>
        <w:tc>
          <w:tcPr>
            <w:tcW w:w="1382"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39</w:t>
            </w:r>
          </w:p>
        </w:tc>
        <w:tc>
          <w:tcPr>
            <w:tcW w:w="1276"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5.0%</w:t>
            </w:r>
          </w:p>
        </w:tc>
        <w:tc>
          <w:tcPr>
            <w:tcW w:w="1276" w:type="dxa"/>
            <w:vAlign w:val="center"/>
          </w:tcPr>
          <w:p w:rsidR="009F1BA0" w:rsidRPr="00CC5BD6" w:rsidRDefault="009F1BA0" w:rsidP="00CC5BD6">
            <w:pPr>
              <w:jc w:val="right"/>
              <w:rPr>
                <w:rFonts w:ascii="Calibri" w:eastAsia="Times New Roman" w:hAnsi="Calibri" w:cs="Times New Roman"/>
                <w:sz w:val="20"/>
                <w:szCs w:val="22"/>
              </w:rPr>
            </w:pPr>
            <w:r w:rsidRPr="00CC5BD6">
              <w:rPr>
                <w:rFonts w:ascii="Calibri" w:eastAsia="Times New Roman" w:hAnsi="Calibri" w:cs="Times New Roman"/>
                <w:sz w:val="20"/>
                <w:szCs w:val="22"/>
              </w:rPr>
              <w:t>228</w:t>
            </w:r>
          </w:p>
        </w:tc>
        <w:tc>
          <w:tcPr>
            <w:tcW w:w="1276" w:type="dxa"/>
          </w:tcPr>
          <w:p w:rsidR="009F1BA0" w:rsidRPr="009F1BA0" w:rsidRDefault="009F1BA0" w:rsidP="009F1BA0">
            <w:pPr>
              <w:jc w:val="right"/>
              <w:rPr>
                <w:rFonts w:ascii="Calibri" w:eastAsia="Times New Roman" w:hAnsi="Calibri" w:cs="Times New Roman"/>
                <w:sz w:val="20"/>
                <w:szCs w:val="22"/>
              </w:rPr>
            </w:pPr>
            <w:r w:rsidRPr="009F1BA0">
              <w:rPr>
                <w:rFonts w:ascii="Calibri" w:eastAsia="Times New Roman" w:hAnsi="Calibri" w:cs="Times New Roman"/>
                <w:sz w:val="20"/>
                <w:szCs w:val="22"/>
              </w:rPr>
              <w:t>8.6%</w:t>
            </w:r>
          </w:p>
        </w:tc>
      </w:tr>
      <w:tr w:rsidR="009F1BA0" w:rsidRPr="00E74532" w:rsidTr="006E26D7">
        <w:trPr>
          <w:trHeight w:val="300"/>
        </w:trPr>
        <w:tc>
          <w:tcPr>
            <w:tcW w:w="1240"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3</w:t>
            </w:r>
          </w:p>
        </w:tc>
        <w:tc>
          <w:tcPr>
            <w:tcW w:w="1382"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55</w:t>
            </w:r>
          </w:p>
        </w:tc>
        <w:tc>
          <w:tcPr>
            <w:tcW w:w="1276"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7.0%</w:t>
            </w:r>
          </w:p>
        </w:tc>
        <w:tc>
          <w:tcPr>
            <w:tcW w:w="1276" w:type="dxa"/>
            <w:vAlign w:val="center"/>
          </w:tcPr>
          <w:p w:rsidR="009F1BA0" w:rsidRPr="00CC5BD6" w:rsidRDefault="009F1BA0" w:rsidP="00CC5BD6">
            <w:pPr>
              <w:jc w:val="right"/>
              <w:rPr>
                <w:rFonts w:ascii="Calibri" w:eastAsia="Times New Roman" w:hAnsi="Calibri" w:cs="Times New Roman"/>
                <w:sz w:val="20"/>
                <w:szCs w:val="22"/>
              </w:rPr>
            </w:pPr>
            <w:r w:rsidRPr="00CC5BD6">
              <w:rPr>
                <w:rFonts w:ascii="Calibri" w:eastAsia="Times New Roman" w:hAnsi="Calibri" w:cs="Times New Roman"/>
                <w:sz w:val="20"/>
                <w:szCs w:val="22"/>
              </w:rPr>
              <w:t>440</w:t>
            </w:r>
          </w:p>
        </w:tc>
        <w:tc>
          <w:tcPr>
            <w:tcW w:w="1276" w:type="dxa"/>
          </w:tcPr>
          <w:p w:rsidR="009F1BA0" w:rsidRPr="009F1BA0" w:rsidRDefault="009F1BA0" w:rsidP="009F1BA0">
            <w:pPr>
              <w:jc w:val="right"/>
              <w:rPr>
                <w:rFonts w:ascii="Calibri" w:eastAsia="Times New Roman" w:hAnsi="Calibri" w:cs="Times New Roman"/>
                <w:sz w:val="20"/>
                <w:szCs w:val="22"/>
              </w:rPr>
            </w:pPr>
            <w:r w:rsidRPr="009F1BA0">
              <w:rPr>
                <w:rFonts w:ascii="Calibri" w:eastAsia="Times New Roman" w:hAnsi="Calibri" w:cs="Times New Roman"/>
                <w:sz w:val="20"/>
                <w:szCs w:val="22"/>
              </w:rPr>
              <w:t>16.6%</w:t>
            </w:r>
          </w:p>
        </w:tc>
      </w:tr>
      <w:tr w:rsidR="009F1BA0" w:rsidRPr="00E74532" w:rsidTr="006E26D7">
        <w:trPr>
          <w:trHeight w:val="300"/>
        </w:trPr>
        <w:tc>
          <w:tcPr>
            <w:tcW w:w="1240"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4</w:t>
            </w:r>
          </w:p>
        </w:tc>
        <w:tc>
          <w:tcPr>
            <w:tcW w:w="1382"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4</w:t>
            </w:r>
          </w:p>
        </w:tc>
        <w:tc>
          <w:tcPr>
            <w:tcW w:w="1276"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0.5%</w:t>
            </w:r>
          </w:p>
        </w:tc>
        <w:tc>
          <w:tcPr>
            <w:tcW w:w="1276" w:type="dxa"/>
            <w:vAlign w:val="center"/>
          </w:tcPr>
          <w:p w:rsidR="009F1BA0" w:rsidRPr="00CC5BD6" w:rsidRDefault="009F1BA0" w:rsidP="00CC5BD6">
            <w:pPr>
              <w:jc w:val="right"/>
              <w:rPr>
                <w:rFonts w:ascii="Calibri" w:eastAsia="Times New Roman" w:hAnsi="Calibri" w:cs="Times New Roman"/>
                <w:sz w:val="20"/>
                <w:szCs w:val="22"/>
              </w:rPr>
            </w:pPr>
            <w:r w:rsidRPr="00CC5BD6">
              <w:rPr>
                <w:rFonts w:ascii="Calibri" w:eastAsia="Times New Roman" w:hAnsi="Calibri" w:cs="Times New Roman"/>
                <w:sz w:val="20"/>
                <w:szCs w:val="22"/>
              </w:rPr>
              <w:t>25</w:t>
            </w:r>
          </w:p>
        </w:tc>
        <w:tc>
          <w:tcPr>
            <w:tcW w:w="1276" w:type="dxa"/>
          </w:tcPr>
          <w:p w:rsidR="009F1BA0" w:rsidRPr="009F1BA0" w:rsidRDefault="009F1BA0" w:rsidP="009F1BA0">
            <w:pPr>
              <w:jc w:val="right"/>
              <w:rPr>
                <w:rFonts w:ascii="Calibri" w:eastAsia="Times New Roman" w:hAnsi="Calibri" w:cs="Times New Roman"/>
                <w:sz w:val="20"/>
                <w:szCs w:val="22"/>
              </w:rPr>
            </w:pPr>
            <w:r w:rsidRPr="009F1BA0">
              <w:rPr>
                <w:rFonts w:ascii="Calibri" w:eastAsia="Times New Roman" w:hAnsi="Calibri" w:cs="Times New Roman"/>
                <w:sz w:val="20"/>
                <w:szCs w:val="22"/>
              </w:rPr>
              <w:t>0.9%</w:t>
            </w:r>
          </w:p>
        </w:tc>
      </w:tr>
      <w:tr w:rsidR="009F1BA0" w:rsidRPr="00E74532" w:rsidTr="006E26D7">
        <w:trPr>
          <w:trHeight w:val="300"/>
        </w:trPr>
        <w:tc>
          <w:tcPr>
            <w:tcW w:w="1240"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5</w:t>
            </w:r>
          </w:p>
        </w:tc>
        <w:tc>
          <w:tcPr>
            <w:tcW w:w="1382"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52</w:t>
            </w:r>
          </w:p>
        </w:tc>
        <w:tc>
          <w:tcPr>
            <w:tcW w:w="1276"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6.6%</w:t>
            </w:r>
          </w:p>
        </w:tc>
        <w:tc>
          <w:tcPr>
            <w:tcW w:w="1276" w:type="dxa"/>
            <w:vAlign w:val="center"/>
          </w:tcPr>
          <w:p w:rsidR="009F1BA0" w:rsidRPr="00CC5BD6" w:rsidRDefault="009F1BA0" w:rsidP="00CC5BD6">
            <w:pPr>
              <w:jc w:val="right"/>
              <w:rPr>
                <w:rFonts w:ascii="Calibri" w:eastAsia="Times New Roman" w:hAnsi="Calibri" w:cs="Times New Roman"/>
                <w:sz w:val="20"/>
                <w:szCs w:val="22"/>
              </w:rPr>
            </w:pPr>
            <w:r w:rsidRPr="00CC5BD6">
              <w:rPr>
                <w:rFonts w:ascii="Calibri" w:eastAsia="Times New Roman" w:hAnsi="Calibri" w:cs="Times New Roman"/>
                <w:sz w:val="20"/>
                <w:szCs w:val="22"/>
              </w:rPr>
              <w:t>636</w:t>
            </w:r>
          </w:p>
        </w:tc>
        <w:tc>
          <w:tcPr>
            <w:tcW w:w="1276" w:type="dxa"/>
          </w:tcPr>
          <w:p w:rsidR="009F1BA0" w:rsidRPr="009F1BA0" w:rsidRDefault="009F1BA0" w:rsidP="009F1BA0">
            <w:pPr>
              <w:jc w:val="right"/>
              <w:rPr>
                <w:rFonts w:ascii="Calibri" w:eastAsia="Times New Roman" w:hAnsi="Calibri" w:cs="Times New Roman"/>
                <w:sz w:val="20"/>
                <w:szCs w:val="22"/>
              </w:rPr>
            </w:pPr>
            <w:r w:rsidRPr="009F1BA0">
              <w:rPr>
                <w:rFonts w:ascii="Calibri" w:eastAsia="Times New Roman" w:hAnsi="Calibri" w:cs="Times New Roman"/>
                <w:sz w:val="20"/>
                <w:szCs w:val="22"/>
              </w:rPr>
              <w:t>24.0%</w:t>
            </w:r>
          </w:p>
        </w:tc>
      </w:tr>
      <w:tr w:rsidR="009F1BA0" w:rsidRPr="00E74532" w:rsidTr="006E26D7">
        <w:trPr>
          <w:trHeight w:val="300"/>
        </w:trPr>
        <w:tc>
          <w:tcPr>
            <w:tcW w:w="1240"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7</w:t>
            </w:r>
          </w:p>
        </w:tc>
        <w:tc>
          <w:tcPr>
            <w:tcW w:w="1382"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3</w:t>
            </w:r>
          </w:p>
        </w:tc>
        <w:tc>
          <w:tcPr>
            <w:tcW w:w="1276"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0.4%</w:t>
            </w:r>
          </w:p>
        </w:tc>
        <w:tc>
          <w:tcPr>
            <w:tcW w:w="1276" w:type="dxa"/>
            <w:vAlign w:val="center"/>
          </w:tcPr>
          <w:p w:rsidR="009F1BA0" w:rsidRPr="00CC5BD6" w:rsidRDefault="009F1BA0" w:rsidP="00CC5BD6">
            <w:pPr>
              <w:jc w:val="right"/>
              <w:rPr>
                <w:rFonts w:ascii="Calibri" w:eastAsia="Times New Roman" w:hAnsi="Calibri" w:cs="Times New Roman"/>
                <w:sz w:val="20"/>
                <w:szCs w:val="22"/>
              </w:rPr>
            </w:pPr>
            <w:r w:rsidRPr="00CC5BD6">
              <w:rPr>
                <w:rFonts w:ascii="Calibri" w:eastAsia="Times New Roman" w:hAnsi="Calibri" w:cs="Times New Roman"/>
                <w:sz w:val="20"/>
                <w:szCs w:val="22"/>
              </w:rPr>
              <w:t>24</w:t>
            </w:r>
          </w:p>
        </w:tc>
        <w:tc>
          <w:tcPr>
            <w:tcW w:w="1276" w:type="dxa"/>
          </w:tcPr>
          <w:p w:rsidR="009F1BA0" w:rsidRPr="009F1BA0" w:rsidRDefault="009F1BA0" w:rsidP="009F1BA0">
            <w:pPr>
              <w:jc w:val="right"/>
              <w:rPr>
                <w:rFonts w:ascii="Calibri" w:eastAsia="Times New Roman" w:hAnsi="Calibri" w:cs="Times New Roman"/>
                <w:sz w:val="20"/>
                <w:szCs w:val="22"/>
              </w:rPr>
            </w:pPr>
            <w:r w:rsidRPr="009F1BA0">
              <w:rPr>
                <w:rFonts w:ascii="Calibri" w:eastAsia="Times New Roman" w:hAnsi="Calibri" w:cs="Times New Roman"/>
                <w:sz w:val="20"/>
                <w:szCs w:val="22"/>
              </w:rPr>
              <w:t>0.9%</w:t>
            </w:r>
          </w:p>
        </w:tc>
      </w:tr>
      <w:tr w:rsidR="009F1BA0" w:rsidRPr="00E74532" w:rsidTr="006E26D7">
        <w:trPr>
          <w:trHeight w:val="300"/>
        </w:trPr>
        <w:tc>
          <w:tcPr>
            <w:tcW w:w="1240"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Total</w:t>
            </w:r>
          </w:p>
        </w:tc>
        <w:tc>
          <w:tcPr>
            <w:tcW w:w="1382"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785</w:t>
            </w:r>
          </w:p>
        </w:tc>
        <w:tc>
          <w:tcPr>
            <w:tcW w:w="1276" w:type="dxa"/>
            <w:noWrap/>
            <w:vAlign w:val="center"/>
            <w:hideMark/>
          </w:tcPr>
          <w:p w:rsidR="009F1BA0" w:rsidRPr="00E74532" w:rsidRDefault="009F1BA0" w:rsidP="00C3332A">
            <w:pPr>
              <w:jc w:val="right"/>
              <w:rPr>
                <w:rFonts w:ascii="Calibri" w:eastAsia="Times New Roman" w:hAnsi="Calibri" w:cs="Times New Roman"/>
                <w:sz w:val="20"/>
                <w:szCs w:val="22"/>
              </w:rPr>
            </w:pPr>
            <w:r w:rsidRPr="00E74532">
              <w:rPr>
                <w:rFonts w:ascii="Calibri" w:eastAsia="Times New Roman" w:hAnsi="Calibri" w:cs="Times New Roman"/>
                <w:sz w:val="20"/>
                <w:szCs w:val="22"/>
              </w:rPr>
              <w:t>100.0%</w:t>
            </w:r>
          </w:p>
        </w:tc>
        <w:tc>
          <w:tcPr>
            <w:tcW w:w="1276" w:type="dxa"/>
            <w:vAlign w:val="center"/>
          </w:tcPr>
          <w:p w:rsidR="009F1BA0" w:rsidRPr="00CC5BD6" w:rsidRDefault="009F1BA0" w:rsidP="00CC5BD6">
            <w:pPr>
              <w:jc w:val="right"/>
              <w:rPr>
                <w:rFonts w:ascii="Calibri" w:eastAsia="Times New Roman" w:hAnsi="Calibri" w:cs="Times New Roman"/>
                <w:sz w:val="20"/>
                <w:szCs w:val="22"/>
              </w:rPr>
            </w:pPr>
            <w:r w:rsidRPr="00CC5BD6">
              <w:rPr>
                <w:rFonts w:ascii="Calibri" w:eastAsia="Times New Roman" w:hAnsi="Calibri" w:cs="Times New Roman"/>
                <w:sz w:val="20"/>
                <w:szCs w:val="22"/>
              </w:rPr>
              <w:t>2</w:t>
            </w:r>
            <w:r>
              <w:rPr>
                <w:rFonts w:ascii="Calibri" w:eastAsia="Times New Roman" w:hAnsi="Calibri" w:cs="Times New Roman"/>
                <w:sz w:val="20"/>
                <w:szCs w:val="22"/>
              </w:rPr>
              <w:t>,</w:t>
            </w:r>
            <w:r w:rsidRPr="00CC5BD6">
              <w:rPr>
                <w:rFonts w:ascii="Calibri" w:eastAsia="Times New Roman" w:hAnsi="Calibri" w:cs="Times New Roman"/>
                <w:sz w:val="20"/>
                <w:szCs w:val="22"/>
              </w:rPr>
              <w:t>651</w:t>
            </w:r>
          </w:p>
        </w:tc>
        <w:tc>
          <w:tcPr>
            <w:tcW w:w="1276" w:type="dxa"/>
          </w:tcPr>
          <w:p w:rsidR="009F1BA0" w:rsidRPr="009F1BA0" w:rsidRDefault="009F1BA0" w:rsidP="009F1BA0">
            <w:pPr>
              <w:jc w:val="right"/>
              <w:rPr>
                <w:rFonts w:ascii="Calibri" w:eastAsia="Times New Roman" w:hAnsi="Calibri" w:cs="Times New Roman"/>
                <w:sz w:val="20"/>
                <w:szCs w:val="22"/>
              </w:rPr>
            </w:pPr>
            <w:r w:rsidRPr="009F1BA0">
              <w:rPr>
                <w:rFonts w:ascii="Calibri" w:eastAsia="Times New Roman" w:hAnsi="Calibri" w:cs="Times New Roman"/>
                <w:sz w:val="20"/>
                <w:szCs w:val="22"/>
              </w:rPr>
              <w:t>3.4%</w:t>
            </w:r>
          </w:p>
        </w:tc>
      </w:tr>
    </w:tbl>
    <w:p w:rsidR="00E74532" w:rsidRPr="0000085A" w:rsidRDefault="00D14446" w:rsidP="0000085A">
      <w:pPr>
        <w:spacing w:after="0"/>
        <w:rPr>
          <w:rFonts w:ascii="Calibri" w:eastAsia="Times New Roman" w:hAnsi="Calibri" w:cs="Times New Roman"/>
          <w:sz w:val="20"/>
          <w:szCs w:val="22"/>
        </w:rPr>
      </w:pPr>
      <w:r w:rsidRPr="0000085A">
        <w:rPr>
          <w:rFonts w:ascii="Calibri" w:eastAsia="Times New Roman" w:hAnsi="Calibri" w:cs="Times New Roman"/>
          <w:sz w:val="20"/>
          <w:szCs w:val="22"/>
        </w:rPr>
        <w:t xml:space="preserve">Source: </w:t>
      </w:r>
      <w:r w:rsidR="00FB1D7A" w:rsidRPr="0000085A">
        <w:rPr>
          <w:rFonts w:ascii="Calibri" w:eastAsia="Times New Roman" w:hAnsi="Calibri" w:cs="Times New Roman"/>
          <w:sz w:val="20"/>
          <w:szCs w:val="22"/>
        </w:rPr>
        <w:t xml:space="preserve"> </w:t>
      </w:r>
      <w:r w:rsidR="0000085A">
        <w:rPr>
          <w:rFonts w:ascii="Calibri" w:eastAsia="Times New Roman" w:hAnsi="Calibri" w:cs="Times New Roman"/>
          <w:sz w:val="20"/>
          <w:szCs w:val="22"/>
        </w:rPr>
        <w:t xml:space="preserve">Original prescriptions in the </w:t>
      </w:r>
      <w:r w:rsidR="0000085A" w:rsidRPr="0000085A">
        <w:rPr>
          <w:rFonts w:ascii="Calibri" w:eastAsia="Times New Roman" w:hAnsi="Calibri" w:cs="Times New Roman"/>
          <w:sz w:val="20"/>
          <w:szCs w:val="22"/>
        </w:rPr>
        <w:t xml:space="preserve">DHS Prescription database for the </w:t>
      </w:r>
      <w:r w:rsidR="0000085A">
        <w:rPr>
          <w:rFonts w:ascii="Calibri" w:eastAsia="Times New Roman" w:hAnsi="Calibri" w:cs="Times New Roman"/>
          <w:sz w:val="20"/>
          <w:szCs w:val="22"/>
        </w:rPr>
        <w:t xml:space="preserve">supply </w:t>
      </w:r>
      <w:r w:rsidR="0000085A" w:rsidRPr="0000085A">
        <w:rPr>
          <w:rFonts w:ascii="Calibri" w:eastAsia="Times New Roman" w:hAnsi="Calibri" w:cs="Times New Roman"/>
          <w:sz w:val="20"/>
          <w:szCs w:val="22"/>
        </w:rPr>
        <w:t>period from August 2012</w:t>
      </w:r>
      <w:r w:rsidR="0000085A">
        <w:rPr>
          <w:rFonts w:ascii="Calibri" w:eastAsia="Times New Roman" w:hAnsi="Calibri" w:cs="Times New Roman"/>
          <w:sz w:val="20"/>
          <w:szCs w:val="22"/>
        </w:rPr>
        <w:t xml:space="preserve"> to December 2014</w:t>
      </w:r>
      <w:r w:rsidR="0084051A">
        <w:rPr>
          <w:rFonts w:ascii="Calibri" w:eastAsia="Times New Roman" w:hAnsi="Calibri" w:cs="Times New Roman"/>
          <w:sz w:val="20"/>
          <w:szCs w:val="22"/>
        </w:rPr>
        <w:t xml:space="preserve"> inclusive</w:t>
      </w:r>
      <w:r w:rsidR="0000085A" w:rsidRPr="0000085A">
        <w:rPr>
          <w:rFonts w:ascii="Calibri" w:eastAsia="Times New Roman" w:hAnsi="Calibri" w:cs="Times New Roman"/>
          <w:sz w:val="20"/>
          <w:szCs w:val="22"/>
        </w:rPr>
        <w:t>.</w:t>
      </w:r>
    </w:p>
    <w:p w:rsidR="00CB189B" w:rsidRDefault="00CB189B" w:rsidP="008D1692">
      <w:pPr>
        <w:pStyle w:val="Figurecaption"/>
        <w:rPr>
          <w:sz w:val="24"/>
        </w:rPr>
      </w:pPr>
    </w:p>
    <w:p w:rsidR="008B4E63" w:rsidRDefault="008B4E63" w:rsidP="008D1692">
      <w:pPr>
        <w:pStyle w:val="Figurecaption"/>
        <w:rPr>
          <w:sz w:val="24"/>
        </w:rPr>
      </w:pPr>
      <w:r>
        <w:rPr>
          <w:sz w:val="24"/>
        </w:rPr>
        <w:t xml:space="preserve">Figure 2 shows the number of patients </w:t>
      </w:r>
      <w:r w:rsidR="00393071">
        <w:rPr>
          <w:sz w:val="24"/>
        </w:rPr>
        <w:t xml:space="preserve">initiating </w:t>
      </w:r>
      <w:r>
        <w:rPr>
          <w:sz w:val="24"/>
        </w:rPr>
        <w:t xml:space="preserve">PBS </w:t>
      </w:r>
      <w:r w:rsidR="00395255">
        <w:rPr>
          <w:sz w:val="24"/>
        </w:rPr>
        <w:t>icatibant treatment</w:t>
      </w:r>
      <w:r>
        <w:rPr>
          <w:sz w:val="24"/>
        </w:rPr>
        <w:t xml:space="preserve"> over time. </w:t>
      </w:r>
    </w:p>
    <w:p w:rsidR="00CC5BD6" w:rsidRDefault="00CC5BD6" w:rsidP="008D1692">
      <w:pPr>
        <w:pStyle w:val="Figurecaption"/>
        <w:rPr>
          <w:sz w:val="24"/>
        </w:rPr>
      </w:pPr>
    </w:p>
    <w:p w:rsidR="00C366CB" w:rsidRDefault="00C366CB" w:rsidP="008D1692">
      <w:pPr>
        <w:pStyle w:val="Figurecaption"/>
        <w:rPr>
          <w:b/>
          <w:sz w:val="24"/>
        </w:rPr>
      </w:pPr>
      <w:r>
        <w:rPr>
          <w:noProof/>
          <w:lang w:eastAsia="en-AU"/>
        </w:rPr>
        <w:lastRenderedPageBreak/>
        <w:drawing>
          <wp:inline distT="0" distB="0" distL="0" distR="0" wp14:anchorId="021B1ACE" wp14:editId="64DFF6E6">
            <wp:extent cx="5687695" cy="3706724"/>
            <wp:effectExtent l="0" t="0" r="8255" b="8255"/>
            <wp:docPr id="1" name="Chart 1" title="Figure 2: Patients initiating PBS icatibant by month of first PBS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1692" w:rsidRDefault="008D1692" w:rsidP="008D1692">
      <w:pPr>
        <w:pStyle w:val="Figurecaption"/>
        <w:rPr>
          <w:b/>
          <w:sz w:val="24"/>
        </w:rPr>
      </w:pPr>
      <w:r w:rsidRPr="00072D2F">
        <w:rPr>
          <w:b/>
          <w:sz w:val="24"/>
        </w:rPr>
        <w:t xml:space="preserve">Figure </w:t>
      </w:r>
      <w:r>
        <w:rPr>
          <w:b/>
          <w:sz w:val="24"/>
        </w:rPr>
        <w:t>2</w:t>
      </w:r>
      <w:r w:rsidRPr="00072D2F">
        <w:rPr>
          <w:b/>
          <w:sz w:val="24"/>
        </w:rPr>
        <w:t xml:space="preserve">: </w:t>
      </w:r>
      <w:r w:rsidR="00A25808">
        <w:rPr>
          <w:b/>
          <w:sz w:val="24"/>
        </w:rPr>
        <w:t>P</w:t>
      </w:r>
      <w:r>
        <w:rPr>
          <w:b/>
          <w:sz w:val="24"/>
        </w:rPr>
        <w:t xml:space="preserve">atients </w:t>
      </w:r>
      <w:r w:rsidR="00A25808">
        <w:rPr>
          <w:b/>
          <w:sz w:val="24"/>
        </w:rPr>
        <w:t xml:space="preserve">initiating PBS icatibant </w:t>
      </w:r>
      <w:r>
        <w:rPr>
          <w:b/>
          <w:sz w:val="24"/>
        </w:rPr>
        <w:t xml:space="preserve">by </w:t>
      </w:r>
      <w:r w:rsidR="00A25808">
        <w:rPr>
          <w:b/>
          <w:sz w:val="24"/>
        </w:rPr>
        <w:t>month of first PBS supply</w:t>
      </w:r>
    </w:p>
    <w:p w:rsidR="00230068" w:rsidRPr="008D1692" w:rsidRDefault="00230068" w:rsidP="008D1692">
      <w:pPr>
        <w:pStyle w:val="Figurecaption"/>
      </w:pPr>
    </w:p>
    <w:p w:rsidR="00D1778F" w:rsidRDefault="00D1778F" w:rsidP="000B234C">
      <w:pPr>
        <w:pStyle w:val="Figurecaption"/>
        <w:spacing w:before="0" w:after="200"/>
        <w:rPr>
          <w:sz w:val="24"/>
        </w:rPr>
      </w:pPr>
      <w:r>
        <w:rPr>
          <w:sz w:val="24"/>
        </w:rPr>
        <w:t xml:space="preserve">The number of patients supplied their first PBS prescription for icatibant </w:t>
      </w:r>
      <w:r w:rsidR="00A25808">
        <w:rPr>
          <w:sz w:val="24"/>
        </w:rPr>
        <w:t xml:space="preserve">started at a high level </w:t>
      </w:r>
      <w:r>
        <w:rPr>
          <w:sz w:val="24"/>
        </w:rPr>
        <w:t xml:space="preserve">and then declined to a stable level of about </w:t>
      </w:r>
      <w:r w:rsidR="00A25808">
        <w:rPr>
          <w:sz w:val="24"/>
        </w:rPr>
        <w:t>5</w:t>
      </w:r>
      <w:r>
        <w:rPr>
          <w:sz w:val="24"/>
        </w:rPr>
        <w:t xml:space="preserve"> </w:t>
      </w:r>
      <w:r w:rsidR="00A25808">
        <w:rPr>
          <w:sz w:val="24"/>
        </w:rPr>
        <w:t xml:space="preserve">patients </w:t>
      </w:r>
      <w:r>
        <w:rPr>
          <w:sz w:val="24"/>
        </w:rPr>
        <w:t>per month</w:t>
      </w:r>
      <w:r w:rsidR="00A25808">
        <w:rPr>
          <w:sz w:val="24"/>
        </w:rPr>
        <w:t xml:space="preserve"> after 16 months (i</w:t>
      </w:r>
      <w:r w:rsidR="00917251">
        <w:rPr>
          <w:sz w:val="24"/>
        </w:rPr>
        <w:t>.</w:t>
      </w:r>
      <w:r w:rsidR="00A25808">
        <w:rPr>
          <w:sz w:val="24"/>
        </w:rPr>
        <w:t>e. by January 2014)</w:t>
      </w:r>
      <w:r>
        <w:rPr>
          <w:sz w:val="24"/>
        </w:rPr>
        <w:t xml:space="preserve">. The initial </w:t>
      </w:r>
      <w:r w:rsidR="00A25808">
        <w:rPr>
          <w:sz w:val="24"/>
        </w:rPr>
        <w:t>high level</w:t>
      </w:r>
      <w:r>
        <w:rPr>
          <w:sz w:val="24"/>
        </w:rPr>
        <w:t xml:space="preserve"> likely represents </w:t>
      </w:r>
      <w:r w:rsidR="00336813">
        <w:rPr>
          <w:sz w:val="24"/>
        </w:rPr>
        <w:t xml:space="preserve">the </w:t>
      </w:r>
      <w:r>
        <w:rPr>
          <w:sz w:val="24"/>
        </w:rPr>
        <w:t xml:space="preserve">prevalent pool of diagnosed HAE patients receiving their first PBS supply of icatibant, with the plateau representing incident diagnosed patients. </w:t>
      </w:r>
    </w:p>
    <w:p w:rsidR="00D1778F" w:rsidRDefault="00D1778F" w:rsidP="00D1778F">
      <w:pPr>
        <w:pStyle w:val="Figurecaption"/>
        <w:rPr>
          <w:sz w:val="24"/>
        </w:rPr>
      </w:pPr>
      <w:r w:rsidRPr="00671967">
        <w:rPr>
          <w:sz w:val="24"/>
        </w:rPr>
        <w:t xml:space="preserve">In the first 2 years of listing, </w:t>
      </w:r>
      <w:r w:rsidR="00F15958">
        <w:rPr>
          <w:sz w:val="24"/>
        </w:rPr>
        <w:t>184</w:t>
      </w:r>
      <w:r w:rsidRPr="00671967">
        <w:rPr>
          <w:sz w:val="24"/>
        </w:rPr>
        <w:t xml:space="preserve"> patients were supplied at least one </w:t>
      </w:r>
      <w:r>
        <w:rPr>
          <w:sz w:val="24"/>
        </w:rPr>
        <w:t xml:space="preserve">PBS </w:t>
      </w:r>
      <w:r w:rsidRPr="00671967">
        <w:rPr>
          <w:sz w:val="24"/>
        </w:rPr>
        <w:t>prescription of icatibant</w:t>
      </w:r>
      <w:r>
        <w:rPr>
          <w:sz w:val="24"/>
        </w:rPr>
        <w:t>).</w:t>
      </w:r>
    </w:p>
    <w:p w:rsidR="00736041" w:rsidRPr="005E22C2" w:rsidRDefault="001B5D37" w:rsidP="00FE645A">
      <w:pPr>
        <w:pStyle w:val="Heading3"/>
      </w:pPr>
      <w:r w:rsidRPr="005E22C2">
        <w:t xml:space="preserve">Analysis </w:t>
      </w:r>
      <w:r w:rsidR="00481108" w:rsidRPr="005E22C2">
        <w:t xml:space="preserve">of </w:t>
      </w:r>
      <w:r w:rsidR="0063631C">
        <w:t>e</w:t>
      </w:r>
      <w:r w:rsidR="00736041" w:rsidRPr="005E22C2">
        <w:t>xpenditure</w:t>
      </w:r>
    </w:p>
    <w:p w:rsidR="00223F0B" w:rsidRDefault="00223F0B" w:rsidP="00223F0B">
      <w:pPr>
        <w:pStyle w:val="Tabletitle"/>
      </w:pPr>
      <w:r>
        <w:t xml:space="preserve">Table 5: R/PBS expenditure (based on date of supply) </w:t>
      </w:r>
    </w:p>
    <w:tbl>
      <w:tblPr>
        <w:tblW w:w="0" w:type="auto"/>
        <w:tblInd w:w="93" w:type="dxa"/>
        <w:tblLook w:val="04A0" w:firstRow="1" w:lastRow="0" w:firstColumn="1" w:lastColumn="0" w:noHBand="0" w:noVBand="1"/>
      </w:tblPr>
      <w:tblGrid>
        <w:gridCol w:w="1740"/>
        <w:gridCol w:w="1505"/>
        <w:gridCol w:w="1505"/>
      </w:tblGrid>
      <w:tr w:rsidR="00223F0B" w:rsidRPr="00AA2941" w:rsidTr="00D16348">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23F0B" w:rsidRPr="00AA2941" w:rsidRDefault="00223F0B" w:rsidP="00D16348">
            <w:pPr>
              <w:spacing w:after="0"/>
              <w:rPr>
                <w:rFonts w:ascii="Calibri" w:eastAsia="Times New Roman" w:hAnsi="Calibri" w:cs="Times New Roman"/>
                <w:sz w:val="20"/>
                <w:szCs w:val="20"/>
              </w:rPr>
            </w:pPr>
            <w:r w:rsidRPr="00AA2941">
              <w:rPr>
                <w:rFonts w:ascii="Calibri" w:eastAsia="Times New Roman" w:hAnsi="Calibri" w:cs="Times New Roman"/>
                <w:sz w:val="20"/>
                <w:szCs w:val="20"/>
              </w:rPr>
              <w:t> </w:t>
            </w:r>
          </w:p>
        </w:tc>
        <w:tc>
          <w:tcPr>
            <w:tcW w:w="0" w:type="auto"/>
            <w:tcBorders>
              <w:top w:val="single" w:sz="8" w:space="0" w:color="auto"/>
              <w:left w:val="nil"/>
              <w:bottom w:val="nil"/>
              <w:right w:val="single" w:sz="8" w:space="0" w:color="auto"/>
            </w:tcBorders>
            <w:shd w:val="clear" w:color="auto" w:fill="auto"/>
            <w:noWrap/>
            <w:vAlign w:val="center"/>
            <w:hideMark/>
          </w:tcPr>
          <w:p w:rsidR="00223F0B" w:rsidRPr="00AA2941" w:rsidRDefault="00223F0B" w:rsidP="00D16348">
            <w:pPr>
              <w:spacing w:after="0"/>
              <w:jc w:val="center"/>
              <w:rPr>
                <w:rFonts w:ascii="Calibri" w:eastAsia="Times New Roman" w:hAnsi="Calibri" w:cs="Times New Roman"/>
                <w:b/>
                <w:bCs/>
                <w:sz w:val="20"/>
                <w:szCs w:val="20"/>
              </w:rPr>
            </w:pPr>
            <w:r w:rsidRPr="00AA2941">
              <w:rPr>
                <w:rFonts w:ascii="Calibri" w:eastAsia="Times New Roman" w:hAnsi="Calibri" w:cs="Times New Roman"/>
                <w:b/>
                <w:bCs/>
                <w:sz w:val="20"/>
                <w:szCs w:val="20"/>
              </w:rPr>
              <w:t>Year1</w:t>
            </w:r>
          </w:p>
        </w:tc>
        <w:tc>
          <w:tcPr>
            <w:tcW w:w="0" w:type="auto"/>
            <w:tcBorders>
              <w:top w:val="single" w:sz="8" w:space="0" w:color="auto"/>
              <w:left w:val="nil"/>
              <w:bottom w:val="nil"/>
              <w:right w:val="single" w:sz="8" w:space="0" w:color="auto"/>
            </w:tcBorders>
            <w:shd w:val="clear" w:color="auto" w:fill="auto"/>
            <w:noWrap/>
            <w:vAlign w:val="center"/>
            <w:hideMark/>
          </w:tcPr>
          <w:p w:rsidR="00223F0B" w:rsidRPr="00AA2941" w:rsidRDefault="00223F0B" w:rsidP="00D16348">
            <w:pPr>
              <w:spacing w:after="0"/>
              <w:jc w:val="center"/>
              <w:rPr>
                <w:rFonts w:ascii="Calibri" w:eastAsia="Times New Roman" w:hAnsi="Calibri" w:cs="Times New Roman"/>
                <w:b/>
                <w:bCs/>
                <w:sz w:val="20"/>
                <w:szCs w:val="20"/>
              </w:rPr>
            </w:pPr>
            <w:r w:rsidRPr="00AA2941">
              <w:rPr>
                <w:rFonts w:ascii="Calibri" w:eastAsia="Times New Roman" w:hAnsi="Calibri" w:cs="Times New Roman"/>
                <w:b/>
                <w:bCs/>
                <w:sz w:val="20"/>
                <w:szCs w:val="20"/>
              </w:rPr>
              <w:t>Year 2</w:t>
            </w:r>
          </w:p>
        </w:tc>
      </w:tr>
      <w:tr w:rsidR="00223F0B" w:rsidRPr="00AA2941" w:rsidTr="00D16348">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23F0B" w:rsidRPr="00AA2941" w:rsidRDefault="00223F0B" w:rsidP="00D16348">
            <w:pPr>
              <w:spacing w:after="0"/>
              <w:rPr>
                <w:rFonts w:ascii="Calibri" w:eastAsia="Times New Roman" w:hAnsi="Calibri" w:cs="Times New Roman"/>
                <w:sz w:val="20"/>
                <w:szCs w:val="20"/>
              </w:rPr>
            </w:pPr>
          </w:p>
        </w:tc>
        <w:tc>
          <w:tcPr>
            <w:tcW w:w="0" w:type="auto"/>
            <w:tcBorders>
              <w:top w:val="nil"/>
              <w:left w:val="nil"/>
              <w:bottom w:val="single" w:sz="8" w:space="0" w:color="auto"/>
              <w:right w:val="single" w:sz="8" w:space="0" w:color="auto"/>
            </w:tcBorders>
            <w:shd w:val="clear" w:color="auto" w:fill="auto"/>
            <w:noWrap/>
            <w:vAlign w:val="center"/>
            <w:hideMark/>
          </w:tcPr>
          <w:p w:rsidR="00223F0B" w:rsidRPr="00AA2941" w:rsidRDefault="00223F0B" w:rsidP="00D16348">
            <w:pPr>
              <w:spacing w:after="0"/>
              <w:jc w:val="center"/>
              <w:rPr>
                <w:rFonts w:ascii="Calibri" w:eastAsia="Times New Roman" w:hAnsi="Calibri" w:cs="Times New Roman"/>
                <w:sz w:val="20"/>
                <w:szCs w:val="20"/>
              </w:rPr>
            </w:pPr>
            <w:r w:rsidRPr="00AA2941">
              <w:rPr>
                <w:rFonts w:ascii="Calibri" w:eastAsia="Times New Roman" w:hAnsi="Calibri" w:cs="Times New Roman"/>
                <w:sz w:val="20"/>
                <w:szCs w:val="20"/>
              </w:rPr>
              <w:t>Aug12 to July13</w:t>
            </w:r>
          </w:p>
        </w:tc>
        <w:tc>
          <w:tcPr>
            <w:tcW w:w="0" w:type="auto"/>
            <w:tcBorders>
              <w:top w:val="nil"/>
              <w:left w:val="nil"/>
              <w:bottom w:val="single" w:sz="8" w:space="0" w:color="auto"/>
              <w:right w:val="single" w:sz="8" w:space="0" w:color="auto"/>
            </w:tcBorders>
            <w:shd w:val="clear" w:color="auto" w:fill="auto"/>
            <w:noWrap/>
            <w:vAlign w:val="center"/>
            <w:hideMark/>
          </w:tcPr>
          <w:p w:rsidR="00223F0B" w:rsidRPr="00AA2941" w:rsidRDefault="00223F0B" w:rsidP="00D16348">
            <w:pPr>
              <w:spacing w:after="0"/>
              <w:jc w:val="center"/>
              <w:rPr>
                <w:rFonts w:ascii="Calibri" w:eastAsia="Times New Roman" w:hAnsi="Calibri" w:cs="Times New Roman"/>
                <w:sz w:val="20"/>
                <w:szCs w:val="20"/>
              </w:rPr>
            </w:pPr>
            <w:r w:rsidRPr="00AA2941">
              <w:rPr>
                <w:rFonts w:ascii="Calibri" w:eastAsia="Times New Roman" w:hAnsi="Calibri" w:cs="Times New Roman"/>
                <w:sz w:val="20"/>
                <w:szCs w:val="20"/>
              </w:rPr>
              <w:t>Aug13 to July14</w:t>
            </w:r>
          </w:p>
        </w:tc>
      </w:tr>
      <w:tr w:rsidR="00223F0B" w:rsidRPr="00AA2941" w:rsidTr="00D16348">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3F0B" w:rsidRPr="00AA2941" w:rsidRDefault="00223F0B" w:rsidP="00D16348">
            <w:pPr>
              <w:spacing w:after="0"/>
              <w:rPr>
                <w:rFonts w:ascii="Calibri" w:eastAsia="Times New Roman" w:hAnsi="Calibri" w:cs="Times New Roman"/>
                <w:sz w:val="20"/>
                <w:szCs w:val="20"/>
              </w:rPr>
            </w:pPr>
            <w:r w:rsidRPr="00AA2941">
              <w:rPr>
                <w:rFonts w:ascii="Calibri" w:eastAsia="Times New Roman" w:hAnsi="Calibri" w:cs="Times New Roman"/>
                <w:sz w:val="20"/>
                <w:szCs w:val="20"/>
              </w:rPr>
              <w:t>R/PBS expenditure</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223F0B" w:rsidRPr="00AA2941" w:rsidRDefault="00223F0B" w:rsidP="00D16348">
            <w:pPr>
              <w:spacing w:after="0"/>
              <w:rPr>
                <w:rFonts w:ascii="Calibri" w:eastAsia="Times New Roman" w:hAnsi="Calibri" w:cs="Times New Roman"/>
                <w:sz w:val="20"/>
                <w:szCs w:val="20"/>
              </w:rPr>
            </w:pPr>
            <w:r w:rsidRPr="00AA2941">
              <w:rPr>
                <w:rFonts w:ascii="Calibri" w:eastAsia="Times New Roman" w:hAnsi="Calibri" w:cs="Times New Roman"/>
                <w:sz w:val="20"/>
                <w:szCs w:val="20"/>
              </w:rPr>
              <w:t xml:space="preserve"> $1,332,970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223F0B" w:rsidRPr="00AA2941" w:rsidRDefault="00223F0B" w:rsidP="008A0D5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xml:space="preserve"> $2,691,220 </w:t>
            </w:r>
          </w:p>
        </w:tc>
      </w:tr>
    </w:tbl>
    <w:p w:rsidR="00252DD7" w:rsidRDefault="00252DD7">
      <w:pPr>
        <w:spacing w:line="276" w:lineRule="auto"/>
        <w:rPr>
          <w:b/>
          <w:sz w:val="28"/>
          <w:szCs w:val="28"/>
        </w:rPr>
      </w:pPr>
      <w:r>
        <w:br w:type="page"/>
      </w:r>
    </w:p>
    <w:p w:rsidR="00736041" w:rsidRDefault="00D151EB" w:rsidP="00FE645A">
      <w:pPr>
        <w:pStyle w:val="Heading3"/>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C01668" w:rsidRDefault="00C01668" w:rsidP="009F1BA0">
      <w:r>
        <w:t>Table 6 shows the predicted and actual use of icatibant in each of the first 2 years of listing.</w:t>
      </w:r>
      <w:r w:rsidR="009D14F8">
        <w:t xml:space="preserve"> </w:t>
      </w:r>
    </w:p>
    <w:p w:rsidR="000E07E5" w:rsidRDefault="000E07E5" w:rsidP="000E07E5">
      <w:pPr>
        <w:pStyle w:val="Tabletitle"/>
      </w:pPr>
      <w:r>
        <w:t xml:space="preserve">Table </w:t>
      </w:r>
      <w:r w:rsidR="00223F0B">
        <w:t>6</w:t>
      </w:r>
      <w:r>
        <w:t xml:space="preserve">: </w:t>
      </w:r>
      <w:r w:rsidR="005107E9">
        <w:t xml:space="preserve">Predicted vs </w:t>
      </w:r>
      <w:r w:rsidR="0038654E">
        <w:t>Actual utilisation</w:t>
      </w:r>
      <w:r>
        <w:t xml:space="preserve"> </w:t>
      </w:r>
    </w:p>
    <w:tbl>
      <w:tblPr>
        <w:tblW w:w="0" w:type="auto"/>
        <w:tblInd w:w="93" w:type="dxa"/>
        <w:tblLook w:val="04A0" w:firstRow="1" w:lastRow="0" w:firstColumn="1" w:lastColumn="0" w:noHBand="0" w:noVBand="1"/>
      </w:tblPr>
      <w:tblGrid>
        <w:gridCol w:w="2224"/>
        <w:gridCol w:w="1881"/>
        <w:gridCol w:w="1505"/>
        <w:gridCol w:w="1505"/>
      </w:tblGrid>
      <w:tr w:rsidR="00AA2941" w:rsidRPr="00AA2941" w:rsidTr="00AA2941">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2941" w:rsidRPr="00AA2941" w:rsidRDefault="00AA2941"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2941" w:rsidRPr="00AA2941" w:rsidRDefault="00AA2941" w:rsidP="00AA2941">
            <w:pPr>
              <w:spacing w:after="0"/>
              <w:rPr>
                <w:rFonts w:ascii="Calibri" w:eastAsia="Times New Roman" w:hAnsi="Calibri" w:cs="Times New Roman"/>
                <w:b/>
                <w:bCs/>
                <w:sz w:val="20"/>
                <w:szCs w:val="20"/>
              </w:rPr>
            </w:pPr>
            <w:r w:rsidRPr="00AA2941">
              <w:rPr>
                <w:rFonts w:ascii="Calibri" w:eastAsia="Times New Roman" w:hAnsi="Calibri" w:cs="Times New Roman"/>
                <w:b/>
                <w:bCs/>
                <w:sz w:val="20"/>
                <w:szCs w:val="20"/>
              </w:rPr>
              <w:t> </w:t>
            </w:r>
          </w:p>
        </w:tc>
        <w:tc>
          <w:tcPr>
            <w:tcW w:w="0" w:type="auto"/>
            <w:tcBorders>
              <w:top w:val="single" w:sz="8" w:space="0" w:color="auto"/>
              <w:left w:val="nil"/>
              <w:bottom w:val="nil"/>
              <w:right w:val="single" w:sz="8" w:space="0" w:color="auto"/>
            </w:tcBorders>
            <w:shd w:val="clear" w:color="auto" w:fill="auto"/>
            <w:noWrap/>
            <w:vAlign w:val="center"/>
            <w:hideMark/>
          </w:tcPr>
          <w:p w:rsidR="00AA2941" w:rsidRPr="00AA2941" w:rsidRDefault="00AA2941" w:rsidP="00AA2941">
            <w:pPr>
              <w:spacing w:after="0"/>
              <w:jc w:val="center"/>
              <w:rPr>
                <w:rFonts w:ascii="Calibri" w:eastAsia="Times New Roman" w:hAnsi="Calibri" w:cs="Times New Roman"/>
                <w:b/>
                <w:bCs/>
                <w:sz w:val="20"/>
                <w:szCs w:val="20"/>
              </w:rPr>
            </w:pPr>
            <w:r w:rsidRPr="00AA2941">
              <w:rPr>
                <w:rFonts w:ascii="Calibri" w:eastAsia="Times New Roman" w:hAnsi="Calibri" w:cs="Times New Roman"/>
                <w:b/>
                <w:bCs/>
                <w:sz w:val="20"/>
                <w:szCs w:val="20"/>
              </w:rPr>
              <w:t>Year1</w:t>
            </w:r>
          </w:p>
        </w:tc>
        <w:tc>
          <w:tcPr>
            <w:tcW w:w="0" w:type="auto"/>
            <w:tcBorders>
              <w:top w:val="single" w:sz="8" w:space="0" w:color="auto"/>
              <w:left w:val="nil"/>
              <w:bottom w:val="nil"/>
              <w:right w:val="single" w:sz="8" w:space="0" w:color="auto"/>
            </w:tcBorders>
            <w:shd w:val="clear" w:color="auto" w:fill="auto"/>
            <w:noWrap/>
            <w:vAlign w:val="center"/>
            <w:hideMark/>
          </w:tcPr>
          <w:p w:rsidR="00AA2941" w:rsidRPr="00AA2941" w:rsidRDefault="00AA2941" w:rsidP="00AA2941">
            <w:pPr>
              <w:spacing w:after="0"/>
              <w:jc w:val="center"/>
              <w:rPr>
                <w:rFonts w:ascii="Calibri" w:eastAsia="Times New Roman" w:hAnsi="Calibri" w:cs="Times New Roman"/>
                <w:b/>
                <w:bCs/>
                <w:sz w:val="20"/>
                <w:szCs w:val="20"/>
              </w:rPr>
            </w:pPr>
            <w:r w:rsidRPr="00AA2941">
              <w:rPr>
                <w:rFonts w:ascii="Calibri" w:eastAsia="Times New Roman" w:hAnsi="Calibri" w:cs="Times New Roman"/>
                <w:b/>
                <w:bCs/>
                <w:sz w:val="20"/>
                <w:szCs w:val="20"/>
              </w:rPr>
              <w:t>Year 2</w:t>
            </w:r>
          </w:p>
        </w:tc>
      </w:tr>
      <w:tr w:rsidR="00AA2941" w:rsidRPr="00AA2941" w:rsidTr="00AE6A1B">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A2941" w:rsidRPr="00AA2941" w:rsidRDefault="00AA2941" w:rsidP="00AA2941">
            <w:pPr>
              <w:spacing w:after="0"/>
              <w:rPr>
                <w:rFonts w:ascii="Calibri" w:eastAsia="Times New Roman" w:hAnsi="Calibri" w:cs="Times New Roman"/>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A2941" w:rsidRPr="00AA2941" w:rsidRDefault="00AA2941" w:rsidP="00AA2941">
            <w:pPr>
              <w:spacing w:after="0"/>
              <w:rPr>
                <w:rFonts w:ascii="Calibri" w:eastAsia="Times New Roman" w:hAnsi="Calibri" w:cs="Times New Roman"/>
                <w:b/>
                <w:bCs/>
                <w:sz w:val="20"/>
                <w:szCs w:val="20"/>
              </w:rPr>
            </w:pPr>
          </w:p>
        </w:tc>
        <w:tc>
          <w:tcPr>
            <w:tcW w:w="0" w:type="auto"/>
            <w:tcBorders>
              <w:top w:val="nil"/>
              <w:left w:val="nil"/>
              <w:bottom w:val="single" w:sz="8" w:space="0" w:color="auto"/>
              <w:right w:val="single" w:sz="8" w:space="0" w:color="auto"/>
            </w:tcBorders>
            <w:shd w:val="clear" w:color="auto" w:fill="auto"/>
            <w:noWrap/>
            <w:vAlign w:val="center"/>
            <w:hideMark/>
          </w:tcPr>
          <w:p w:rsidR="00AA2941" w:rsidRPr="00AA2941" w:rsidRDefault="00AA2941" w:rsidP="00AA2941">
            <w:pPr>
              <w:spacing w:after="0"/>
              <w:jc w:val="center"/>
              <w:rPr>
                <w:rFonts w:ascii="Calibri" w:eastAsia="Times New Roman" w:hAnsi="Calibri" w:cs="Times New Roman"/>
                <w:sz w:val="20"/>
                <w:szCs w:val="20"/>
              </w:rPr>
            </w:pPr>
            <w:r w:rsidRPr="00AA2941">
              <w:rPr>
                <w:rFonts w:ascii="Calibri" w:eastAsia="Times New Roman" w:hAnsi="Calibri" w:cs="Times New Roman"/>
                <w:sz w:val="20"/>
                <w:szCs w:val="20"/>
              </w:rPr>
              <w:t>Aug12 to July13</w:t>
            </w:r>
          </w:p>
        </w:tc>
        <w:tc>
          <w:tcPr>
            <w:tcW w:w="0" w:type="auto"/>
            <w:tcBorders>
              <w:top w:val="nil"/>
              <w:left w:val="nil"/>
              <w:bottom w:val="single" w:sz="8" w:space="0" w:color="auto"/>
              <w:right w:val="single" w:sz="8" w:space="0" w:color="auto"/>
            </w:tcBorders>
            <w:shd w:val="clear" w:color="auto" w:fill="auto"/>
            <w:noWrap/>
            <w:vAlign w:val="center"/>
            <w:hideMark/>
          </w:tcPr>
          <w:p w:rsidR="00AA2941" w:rsidRPr="00AA2941" w:rsidRDefault="00AA2941" w:rsidP="00AA2941">
            <w:pPr>
              <w:spacing w:after="0"/>
              <w:jc w:val="center"/>
              <w:rPr>
                <w:rFonts w:ascii="Calibri" w:eastAsia="Times New Roman" w:hAnsi="Calibri" w:cs="Times New Roman"/>
                <w:sz w:val="20"/>
                <w:szCs w:val="20"/>
              </w:rPr>
            </w:pPr>
            <w:r w:rsidRPr="00AA2941">
              <w:rPr>
                <w:rFonts w:ascii="Calibri" w:eastAsia="Times New Roman" w:hAnsi="Calibri" w:cs="Times New Roman"/>
                <w:sz w:val="20"/>
                <w:szCs w:val="20"/>
              </w:rPr>
              <w:t>Aug13 to July14</w:t>
            </w:r>
          </w:p>
        </w:tc>
      </w:tr>
      <w:tr w:rsidR="00560F87" w:rsidRPr="00AA2941" w:rsidTr="00E516D4">
        <w:trPr>
          <w:trHeight w:val="315"/>
        </w:trPr>
        <w:tc>
          <w:tcPr>
            <w:tcW w:w="0" w:type="auto"/>
            <w:tcBorders>
              <w:top w:val="single" w:sz="8" w:space="0" w:color="000000"/>
              <w:left w:val="single" w:sz="8" w:space="0" w:color="auto"/>
              <w:right w:val="single" w:sz="8" w:space="0" w:color="auto"/>
            </w:tcBorders>
            <w:shd w:val="clear" w:color="auto" w:fill="auto"/>
            <w:noWrap/>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Patients</w:t>
            </w:r>
          </w:p>
        </w:tc>
        <w:tc>
          <w:tcPr>
            <w:tcW w:w="0" w:type="auto"/>
            <w:tcBorders>
              <w:top w:val="nil"/>
              <w:left w:val="nil"/>
              <w:bottom w:val="single" w:sz="8" w:space="0" w:color="auto"/>
              <w:right w:val="single" w:sz="8" w:space="0" w:color="auto"/>
            </w:tcBorders>
            <w:shd w:val="clear" w:color="auto" w:fill="auto"/>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Predicted (P)</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A2941" w:rsidRPr="00AA2941" w:rsidTr="00AE6A1B">
        <w:trPr>
          <w:trHeight w:val="315"/>
        </w:trPr>
        <w:tc>
          <w:tcPr>
            <w:tcW w:w="0" w:type="auto"/>
            <w:tcBorders>
              <w:top w:val="nil"/>
              <w:left w:val="single" w:sz="8" w:space="0" w:color="auto"/>
              <w:right w:val="single" w:sz="8" w:space="0" w:color="auto"/>
            </w:tcBorders>
            <w:shd w:val="clear" w:color="auto" w:fill="auto"/>
            <w:noWrap/>
            <w:vAlign w:val="center"/>
            <w:hideMark/>
          </w:tcPr>
          <w:p w:rsidR="00AA2941" w:rsidRPr="00AA2941" w:rsidRDefault="00AA2941"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A2941" w:rsidRPr="00AA2941" w:rsidRDefault="00AA2941"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Actual (A)</w:t>
            </w:r>
          </w:p>
        </w:tc>
        <w:tc>
          <w:tcPr>
            <w:tcW w:w="0" w:type="auto"/>
            <w:tcBorders>
              <w:top w:val="nil"/>
              <w:left w:val="nil"/>
              <w:bottom w:val="single" w:sz="8" w:space="0" w:color="auto"/>
              <w:right w:val="single" w:sz="8" w:space="0" w:color="auto"/>
            </w:tcBorders>
            <w:shd w:val="clear" w:color="auto" w:fill="auto"/>
            <w:noWrap/>
            <w:vAlign w:val="center"/>
            <w:hideMark/>
          </w:tcPr>
          <w:p w:rsidR="00AA2941" w:rsidRPr="00AA2941" w:rsidRDefault="00AA2941" w:rsidP="00AA2941">
            <w:pPr>
              <w:spacing w:after="0"/>
              <w:jc w:val="center"/>
              <w:rPr>
                <w:rFonts w:ascii="Calibri" w:eastAsia="Times New Roman" w:hAnsi="Calibri" w:cs="Times New Roman"/>
                <w:sz w:val="20"/>
                <w:szCs w:val="20"/>
              </w:rPr>
            </w:pPr>
            <w:r w:rsidRPr="00AA2941">
              <w:rPr>
                <w:rFonts w:ascii="Calibri" w:eastAsia="Times New Roman" w:hAnsi="Calibri" w:cs="Times New Roman"/>
                <w:sz w:val="20"/>
                <w:szCs w:val="20"/>
              </w:rPr>
              <w:t>126</w:t>
            </w:r>
          </w:p>
        </w:tc>
        <w:tc>
          <w:tcPr>
            <w:tcW w:w="0" w:type="auto"/>
            <w:tcBorders>
              <w:top w:val="nil"/>
              <w:left w:val="nil"/>
              <w:bottom w:val="single" w:sz="8" w:space="0" w:color="auto"/>
              <w:right w:val="single" w:sz="8" w:space="0" w:color="auto"/>
            </w:tcBorders>
            <w:shd w:val="clear" w:color="auto" w:fill="auto"/>
            <w:noWrap/>
            <w:vAlign w:val="center"/>
            <w:hideMark/>
          </w:tcPr>
          <w:p w:rsidR="00AA2941" w:rsidRPr="00AA2941" w:rsidRDefault="00AA2941" w:rsidP="00AA2941">
            <w:pPr>
              <w:spacing w:after="0"/>
              <w:jc w:val="center"/>
              <w:rPr>
                <w:rFonts w:ascii="Calibri" w:eastAsia="Times New Roman" w:hAnsi="Calibri" w:cs="Times New Roman"/>
                <w:sz w:val="20"/>
                <w:szCs w:val="20"/>
              </w:rPr>
            </w:pPr>
            <w:r w:rsidRPr="00AA2941">
              <w:rPr>
                <w:rFonts w:ascii="Calibri" w:eastAsia="Times New Roman" w:hAnsi="Calibri" w:cs="Times New Roman"/>
                <w:sz w:val="20"/>
                <w:szCs w:val="20"/>
              </w:rPr>
              <w:t>145</w:t>
            </w:r>
          </w:p>
        </w:tc>
      </w:tr>
      <w:tr w:rsidR="00560F87" w:rsidRPr="00AA2941" w:rsidTr="00E516D4">
        <w:trPr>
          <w:trHeight w:val="315"/>
        </w:trPr>
        <w:tc>
          <w:tcPr>
            <w:tcW w:w="0" w:type="auto"/>
            <w:tcBorders>
              <w:top w:val="nil"/>
              <w:left w:val="single" w:sz="8" w:space="0" w:color="auto"/>
              <w:right w:val="single" w:sz="8" w:space="0" w:color="auto"/>
            </w:tcBorders>
            <w:shd w:val="clear" w:color="auto" w:fill="auto"/>
            <w:noWrap/>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Difference (A-P)</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560F87" w:rsidRPr="00AA2941" w:rsidTr="00E516D4">
        <w:trPr>
          <w:trHeight w:val="317"/>
        </w:trPr>
        <w:tc>
          <w:tcPr>
            <w:tcW w:w="0" w:type="auto"/>
            <w:tcBorders>
              <w:left w:val="single" w:sz="8" w:space="0" w:color="auto"/>
              <w:bottom w:val="single" w:sz="4" w:space="0" w:color="auto"/>
              <w:right w:val="single" w:sz="8" w:space="0" w:color="auto"/>
            </w:tcBorders>
            <w:shd w:val="clear" w:color="auto" w:fill="auto"/>
            <w:noWrap/>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Difference (A-P)/P</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560F87" w:rsidRPr="00AA2941" w:rsidTr="00E516D4">
        <w:trPr>
          <w:trHeight w:val="315"/>
        </w:trPr>
        <w:tc>
          <w:tcPr>
            <w:tcW w:w="0" w:type="auto"/>
            <w:tcBorders>
              <w:top w:val="single" w:sz="4" w:space="0" w:color="auto"/>
              <w:left w:val="single" w:sz="8" w:space="0" w:color="auto"/>
              <w:right w:val="single" w:sz="8" w:space="0" w:color="auto"/>
            </w:tcBorders>
            <w:shd w:val="clear" w:color="auto" w:fill="auto"/>
            <w:noWrap/>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Prescriptions</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Predicted (P)</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A2941" w:rsidRPr="00AA2941" w:rsidTr="00AE6A1B">
        <w:trPr>
          <w:trHeight w:val="315"/>
        </w:trPr>
        <w:tc>
          <w:tcPr>
            <w:tcW w:w="0" w:type="auto"/>
            <w:tcBorders>
              <w:top w:val="nil"/>
              <w:left w:val="single" w:sz="8" w:space="0" w:color="auto"/>
              <w:right w:val="single" w:sz="8" w:space="0" w:color="auto"/>
            </w:tcBorders>
            <w:shd w:val="clear" w:color="auto" w:fill="auto"/>
            <w:noWrap/>
            <w:vAlign w:val="center"/>
            <w:hideMark/>
          </w:tcPr>
          <w:p w:rsidR="00AA2941" w:rsidRPr="00AA2941" w:rsidRDefault="00AA2941"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A2941" w:rsidRPr="00AA2941" w:rsidRDefault="00AA2941"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Actual (A)</w:t>
            </w:r>
          </w:p>
        </w:tc>
        <w:tc>
          <w:tcPr>
            <w:tcW w:w="0" w:type="auto"/>
            <w:tcBorders>
              <w:top w:val="nil"/>
              <w:left w:val="nil"/>
              <w:bottom w:val="single" w:sz="8" w:space="0" w:color="auto"/>
              <w:right w:val="single" w:sz="8" w:space="0" w:color="auto"/>
            </w:tcBorders>
            <w:shd w:val="clear" w:color="auto" w:fill="auto"/>
            <w:noWrap/>
            <w:vAlign w:val="center"/>
            <w:hideMark/>
          </w:tcPr>
          <w:p w:rsidR="00AA2941" w:rsidRPr="00AA2941" w:rsidRDefault="00AA2941" w:rsidP="00AA2941">
            <w:pPr>
              <w:spacing w:after="0"/>
              <w:jc w:val="center"/>
              <w:rPr>
                <w:rFonts w:ascii="Calibri" w:eastAsia="Times New Roman" w:hAnsi="Calibri" w:cs="Times New Roman"/>
                <w:sz w:val="20"/>
                <w:szCs w:val="20"/>
              </w:rPr>
            </w:pPr>
            <w:r w:rsidRPr="00AA2941">
              <w:rPr>
                <w:rFonts w:ascii="Calibri" w:eastAsia="Times New Roman" w:hAnsi="Calibri" w:cs="Times New Roman"/>
                <w:sz w:val="20"/>
                <w:szCs w:val="20"/>
              </w:rPr>
              <w:t>430</w:t>
            </w:r>
          </w:p>
        </w:tc>
        <w:tc>
          <w:tcPr>
            <w:tcW w:w="0" w:type="auto"/>
            <w:tcBorders>
              <w:top w:val="nil"/>
              <w:left w:val="nil"/>
              <w:bottom w:val="single" w:sz="8" w:space="0" w:color="auto"/>
              <w:right w:val="single" w:sz="8" w:space="0" w:color="auto"/>
            </w:tcBorders>
            <w:shd w:val="clear" w:color="auto" w:fill="auto"/>
            <w:noWrap/>
            <w:vAlign w:val="center"/>
            <w:hideMark/>
          </w:tcPr>
          <w:p w:rsidR="00AA2941" w:rsidRPr="00AA2941" w:rsidRDefault="00AA2941" w:rsidP="00AA2941">
            <w:pPr>
              <w:spacing w:after="0"/>
              <w:jc w:val="center"/>
              <w:rPr>
                <w:rFonts w:ascii="Calibri" w:eastAsia="Times New Roman" w:hAnsi="Calibri" w:cs="Times New Roman"/>
                <w:sz w:val="20"/>
                <w:szCs w:val="20"/>
              </w:rPr>
            </w:pPr>
            <w:r w:rsidRPr="00AA2941">
              <w:rPr>
                <w:rFonts w:ascii="Calibri" w:eastAsia="Times New Roman" w:hAnsi="Calibri" w:cs="Times New Roman"/>
                <w:sz w:val="20"/>
                <w:szCs w:val="20"/>
              </w:rPr>
              <w:t>803</w:t>
            </w:r>
          </w:p>
        </w:tc>
      </w:tr>
      <w:tr w:rsidR="00560F87" w:rsidRPr="00AA2941" w:rsidTr="00E516D4">
        <w:trPr>
          <w:trHeight w:val="315"/>
        </w:trPr>
        <w:tc>
          <w:tcPr>
            <w:tcW w:w="0" w:type="auto"/>
            <w:tcBorders>
              <w:top w:val="nil"/>
              <w:left w:val="single" w:sz="8" w:space="0" w:color="auto"/>
              <w:right w:val="single" w:sz="8" w:space="0" w:color="auto"/>
            </w:tcBorders>
            <w:shd w:val="clear" w:color="auto" w:fill="auto"/>
            <w:noWrap/>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Difference (A-P)</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560F87" w:rsidRPr="00AA2941" w:rsidTr="00E516D4">
        <w:trPr>
          <w:trHeight w:val="31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w:t>
            </w:r>
          </w:p>
        </w:tc>
        <w:tc>
          <w:tcPr>
            <w:tcW w:w="0" w:type="auto"/>
            <w:tcBorders>
              <w:top w:val="nil"/>
              <w:left w:val="nil"/>
              <w:bottom w:val="nil"/>
              <w:right w:val="single" w:sz="8" w:space="0" w:color="auto"/>
            </w:tcBorders>
            <w:shd w:val="clear" w:color="auto" w:fill="auto"/>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Difference (A-P)/P</w:t>
            </w:r>
          </w:p>
        </w:tc>
        <w:tc>
          <w:tcPr>
            <w:tcW w:w="0" w:type="auto"/>
            <w:tcBorders>
              <w:top w:val="nil"/>
              <w:left w:val="nil"/>
              <w:bottom w:val="nil"/>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0" w:type="auto"/>
            <w:tcBorders>
              <w:top w:val="nil"/>
              <w:left w:val="nil"/>
              <w:bottom w:val="nil"/>
              <w:right w:val="single" w:sz="8" w:space="0" w:color="auto"/>
            </w:tcBorders>
            <w:shd w:val="clear" w:color="auto" w:fill="auto"/>
            <w:noWrap/>
            <w:vAlign w:val="center"/>
            <w:hideMark/>
          </w:tcPr>
          <w:p w:rsidR="00560F87" w:rsidRPr="00110BCE" w:rsidRDefault="00110BCE" w:rsidP="00AA294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234FA9" w:rsidRPr="00AA2941" w:rsidTr="00234FA9">
        <w:trPr>
          <w:trHeight w:val="315"/>
        </w:trPr>
        <w:tc>
          <w:tcPr>
            <w:tcW w:w="0" w:type="auto"/>
            <w:vMerge w:val="restart"/>
            <w:tcBorders>
              <w:top w:val="single" w:sz="8" w:space="0" w:color="auto"/>
              <w:left w:val="single" w:sz="8" w:space="0" w:color="auto"/>
              <w:right w:val="single" w:sz="8" w:space="0" w:color="auto"/>
            </w:tcBorders>
            <w:shd w:val="clear" w:color="auto" w:fill="auto"/>
            <w:noWrap/>
          </w:tcPr>
          <w:p w:rsidR="00234FA9" w:rsidRPr="00AA2941" w:rsidRDefault="00234FA9" w:rsidP="00234FA9">
            <w:pPr>
              <w:spacing w:after="0"/>
              <w:rPr>
                <w:rFonts w:ascii="Calibri" w:eastAsia="Times New Roman" w:hAnsi="Calibri" w:cs="Times New Roman"/>
                <w:sz w:val="20"/>
                <w:szCs w:val="20"/>
              </w:rPr>
            </w:pPr>
            <w:r>
              <w:rPr>
                <w:rFonts w:ascii="Calibri" w:eastAsia="Times New Roman" w:hAnsi="Calibri" w:cs="Times New Roman"/>
                <w:sz w:val="20"/>
                <w:szCs w:val="20"/>
              </w:rPr>
              <w:t>Pres</w:t>
            </w:r>
            <w:r w:rsidRPr="008A1788">
              <w:rPr>
                <w:rFonts w:ascii="Calibri" w:eastAsia="Times New Roman" w:hAnsi="Calibri" w:cs="Times New Roman"/>
                <w:sz w:val="20"/>
                <w:szCs w:val="20"/>
              </w:rPr>
              <w:t>cript</w:t>
            </w:r>
            <w:r>
              <w:rPr>
                <w:rFonts w:ascii="Calibri" w:eastAsia="Times New Roman" w:hAnsi="Calibri" w:cs="Times New Roman"/>
                <w:sz w:val="20"/>
                <w:szCs w:val="20"/>
              </w:rPr>
              <w:t>ions</w:t>
            </w:r>
            <w:r w:rsidRPr="008A1788">
              <w:rPr>
                <w:rFonts w:ascii="Calibri" w:eastAsia="Times New Roman" w:hAnsi="Calibri" w:cs="Times New Roman"/>
                <w:sz w:val="20"/>
                <w:szCs w:val="20"/>
              </w:rPr>
              <w:t xml:space="preserve"> per patient</w:t>
            </w:r>
          </w:p>
        </w:tc>
        <w:tc>
          <w:tcPr>
            <w:tcW w:w="0" w:type="auto"/>
            <w:tcBorders>
              <w:top w:val="single" w:sz="8" w:space="0" w:color="auto"/>
              <w:left w:val="nil"/>
              <w:bottom w:val="single" w:sz="8" w:space="0" w:color="auto"/>
              <w:right w:val="single" w:sz="8" w:space="0" w:color="auto"/>
            </w:tcBorders>
            <w:shd w:val="clear" w:color="auto" w:fill="auto"/>
            <w:vAlign w:val="center"/>
          </w:tcPr>
          <w:p w:rsidR="00234FA9" w:rsidRPr="00AA2941" w:rsidRDefault="00234FA9" w:rsidP="00B96207">
            <w:pPr>
              <w:spacing w:after="0"/>
              <w:rPr>
                <w:rFonts w:ascii="Calibri" w:eastAsia="Times New Roman" w:hAnsi="Calibri" w:cs="Times New Roman"/>
                <w:sz w:val="20"/>
                <w:szCs w:val="20"/>
              </w:rPr>
            </w:pPr>
            <w:r w:rsidRPr="00AA2941">
              <w:rPr>
                <w:rFonts w:ascii="Calibri" w:eastAsia="Times New Roman" w:hAnsi="Calibri" w:cs="Times New Roman"/>
                <w:sz w:val="20"/>
                <w:szCs w:val="20"/>
              </w:rPr>
              <w:t>Predicted (P)</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AA2941" w:rsidRDefault="00234FA9" w:rsidP="00DC094B">
            <w:pPr>
              <w:spacing w:after="0"/>
              <w:jc w:val="center"/>
              <w:rPr>
                <w:rFonts w:ascii="Calibri" w:eastAsia="Times New Roman" w:hAnsi="Calibri" w:cs="Times New Roman"/>
                <w:sz w:val="20"/>
                <w:szCs w:val="20"/>
              </w:rPr>
            </w:pPr>
            <w:r w:rsidRPr="008A1788">
              <w:rPr>
                <w:rFonts w:ascii="Calibri" w:eastAsia="Times New Roman" w:hAnsi="Calibri" w:cs="Times New Roman"/>
                <w:sz w:val="20"/>
                <w:szCs w:val="20"/>
              </w:rPr>
              <w:t>3.</w:t>
            </w:r>
            <w:r w:rsidR="00DC094B" w:rsidRPr="008A1788">
              <w:rPr>
                <w:rFonts w:ascii="Calibri" w:eastAsia="Times New Roman" w:hAnsi="Calibri" w:cs="Times New Roman"/>
                <w:sz w:val="20"/>
                <w:szCs w:val="20"/>
              </w:rPr>
              <w:t>6</w:t>
            </w:r>
            <w:r w:rsidR="00DC094B">
              <w:rPr>
                <w:rFonts w:ascii="Calibri" w:eastAsia="Times New Roman" w:hAnsi="Calibri" w:cs="Times New Roman"/>
                <w:sz w:val="20"/>
                <w:szCs w:val="20"/>
              </w:rPr>
              <w:t>4</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AA2941" w:rsidRDefault="00234FA9" w:rsidP="00DC094B">
            <w:pPr>
              <w:spacing w:after="0"/>
              <w:jc w:val="center"/>
              <w:rPr>
                <w:rFonts w:ascii="Calibri" w:eastAsia="Times New Roman" w:hAnsi="Calibri" w:cs="Times New Roman"/>
                <w:sz w:val="20"/>
                <w:szCs w:val="20"/>
              </w:rPr>
            </w:pPr>
            <w:r w:rsidRPr="008A1788">
              <w:rPr>
                <w:rFonts w:ascii="Calibri" w:eastAsia="Times New Roman" w:hAnsi="Calibri" w:cs="Times New Roman"/>
                <w:sz w:val="20"/>
                <w:szCs w:val="20"/>
              </w:rPr>
              <w:t>3.</w:t>
            </w:r>
            <w:r w:rsidR="00DC094B" w:rsidRPr="008A1788">
              <w:rPr>
                <w:rFonts w:ascii="Calibri" w:eastAsia="Times New Roman" w:hAnsi="Calibri" w:cs="Times New Roman"/>
                <w:sz w:val="20"/>
                <w:szCs w:val="20"/>
              </w:rPr>
              <w:t>6</w:t>
            </w:r>
            <w:r w:rsidR="00DC094B">
              <w:rPr>
                <w:rFonts w:ascii="Calibri" w:eastAsia="Times New Roman" w:hAnsi="Calibri" w:cs="Times New Roman"/>
                <w:sz w:val="20"/>
                <w:szCs w:val="20"/>
              </w:rPr>
              <w:t>4</w:t>
            </w:r>
          </w:p>
        </w:tc>
      </w:tr>
      <w:tr w:rsidR="00234FA9" w:rsidRPr="00AA2941" w:rsidTr="00177B27">
        <w:trPr>
          <w:trHeight w:val="315"/>
        </w:trPr>
        <w:tc>
          <w:tcPr>
            <w:tcW w:w="0" w:type="auto"/>
            <w:vMerge/>
            <w:tcBorders>
              <w:left w:val="single" w:sz="8" w:space="0" w:color="auto"/>
              <w:right w:val="single" w:sz="8" w:space="0" w:color="auto"/>
            </w:tcBorders>
            <w:shd w:val="clear" w:color="auto" w:fill="auto"/>
            <w:noWrap/>
            <w:vAlign w:val="center"/>
          </w:tcPr>
          <w:p w:rsidR="00234FA9" w:rsidRPr="00AA2941" w:rsidRDefault="00234FA9" w:rsidP="00B96207">
            <w:pPr>
              <w:spacing w:after="0"/>
              <w:rPr>
                <w:rFonts w:ascii="Calibri" w:eastAsia="Times New Roman" w:hAnsi="Calibri" w:cs="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234FA9" w:rsidRPr="00AA2941" w:rsidRDefault="00234FA9" w:rsidP="00B96207">
            <w:pPr>
              <w:spacing w:after="0"/>
              <w:rPr>
                <w:rFonts w:ascii="Calibri" w:eastAsia="Times New Roman" w:hAnsi="Calibri" w:cs="Times New Roman"/>
                <w:sz w:val="20"/>
                <w:szCs w:val="20"/>
              </w:rPr>
            </w:pPr>
            <w:r w:rsidRPr="00AA2941">
              <w:rPr>
                <w:rFonts w:ascii="Calibri" w:eastAsia="Times New Roman" w:hAnsi="Calibri" w:cs="Times New Roman"/>
                <w:sz w:val="20"/>
                <w:szCs w:val="20"/>
              </w:rPr>
              <w:t>Actual (A)</w:t>
            </w:r>
            <w:r>
              <w:rPr>
                <w:rFonts w:ascii="Calibri" w:eastAsia="Times New Roman" w:hAnsi="Calibri" w:cs="Times New Roman"/>
                <w:sz w:val="20"/>
                <w:szCs w:val="20"/>
              </w:rPr>
              <w:t>*</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AA2941" w:rsidRDefault="00234FA9" w:rsidP="00252DD7">
            <w:pPr>
              <w:spacing w:after="0"/>
              <w:jc w:val="center"/>
              <w:rPr>
                <w:rFonts w:ascii="Calibri" w:eastAsia="Times New Roman" w:hAnsi="Calibri" w:cs="Times New Roman"/>
                <w:sz w:val="20"/>
                <w:szCs w:val="20"/>
              </w:rPr>
            </w:pPr>
            <w:r w:rsidRPr="008A1788">
              <w:rPr>
                <w:rFonts w:ascii="Calibri" w:eastAsia="Times New Roman" w:hAnsi="Calibri" w:cs="Times New Roman"/>
                <w:sz w:val="20"/>
                <w:szCs w:val="20"/>
              </w:rPr>
              <w:t>3.41</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AA2941" w:rsidRDefault="00234FA9" w:rsidP="00252DD7">
            <w:pPr>
              <w:spacing w:after="0"/>
              <w:jc w:val="center"/>
              <w:rPr>
                <w:rFonts w:ascii="Calibri" w:eastAsia="Times New Roman" w:hAnsi="Calibri" w:cs="Times New Roman"/>
                <w:sz w:val="20"/>
                <w:szCs w:val="20"/>
              </w:rPr>
            </w:pPr>
            <w:r w:rsidRPr="008A1788">
              <w:rPr>
                <w:rFonts w:ascii="Calibri" w:eastAsia="Times New Roman" w:hAnsi="Calibri" w:cs="Times New Roman"/>
                <w:sz w:val="20"/>
                <w:szCs w:val="20"/>
              </w:rPr>
              <w:t>5.54</w:t>
            </w:r>
          </w:p>
        </w:tc>
      </w:tr>
      <w:tr w:rsidR="00234FA9" w:rsidRPr="00AA2941" w:rsidTr="00177B27">
        <w:trPr>
          <w:trHeight w:val="315"/>
        </w:trPr>
        <w:tc>
          <w:tcPr>
            <w:tcW w:w="0" w:type="auto"/>
            <w:vMerge/>
            <w:tcBorders>
              <w:left w:val="single" w:sz="8" w:space="0" w:color="auto"/>
              <w:right w:val="single" w:sz="8" w:space="0" w:color="auto"/>
            </w:tcBorders>
            <w:shd w:val="clear" w:color="auto" w:fill="auto"/>
            <w:noWrap/>
            <w:vAlign w:val="center"/>
          </w:tcPr>
          <w:p w:rsidR="00234FA9" w:rsidRPr="00AA2941" w:rsidRDefault="00234FA9" w:rsidP="00B96207">
            <w:pPr>
              <w:spacing w:after="0"/>
              <w:rPr>
                <w:rFonts w:ascii="Calibri" w:eastAsia="Times New Roman" w:hAnsi="Calibri" w:cs="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234FA9" w:rsidRPr="00AA2941" w:rsidRDefault="00234FA9" w:rsidP="00B96207">
            <w:pPr>
              <w:spacing w:after="0"/>
              <w:rPr>
                <w:rFonts w:ascii="Calibri" w:eastAsia="Times New Roman" w:hAnsi="Calibri" w:cs="Times New Roman"/>
                <w:sz w:val="20"/>
                <w:szCs w:val="20"/>
              </w:rPr>
            </w:pPr>
            <w:r w:rsidRPr="00AA2941">
              <w:rPr>
                <w:rFonts w:ascii="Calibri" w:eastAsia="Times New Roman" w:hAnsi="Calibri" w:cs="Times New Roman"/>
                <w:sz w:val="20"/>
                <w:szCs w:val="20"/>
              </w:rPr>
              <w:t>Difference (A-P)</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AA2941" w:rsidRDefault="00234FA9" w:rsidP="00252DD7">
            <w:pPr>
              <w:spacing w:after="0"/>
              <w:jc w:val="center"/>
              <w:rPr>
                <w:rFonts w:ascii="Calibri" w:eastAsia="Times New Roman" w:hAnsi="Calibri" w:cs="Times New Roman"/>
                <w:sz w:val="20"/>
                <w:szCs w:val="20"/>
              </w:rPr>
            </w:pPr>
            <w:r w:rsidRPr="008A1788">
              <w:rPr>
                <w:rFonts w:ascii="Calibri" w:eastAsia="Times New Roman" w:hAnsi="Calibri" w:cs="Times New Roman"/>
                <w:sz w:val="20"/>
                <w:szCs w:val="20"/>
              </w:rPr>
              <w:t>-0.21</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AA2941" w:rsidRDefault="00234FA9" w:rsidP="00252DD7">
            <w:pPr>
              <w:spacing w:after="0"/>
              <w:jc w:val="center"/>
              <w:rPr>
                <w:rFonts w:ascii="Calibri" w:eastAsia="Times New Roman" w:hAnsi="Calibri" w:cs="Times New Roman"/>
                <w:sz w:val="20"/>
                <w:szCs w:val="20"/>
              </w:rPr>
            </w:pPr>
            <w:r w:rsidRPr="008A1788">
              <w:rPr>
                <w:rFonts w:ascii="Calibri" w:eastAsia="Times New Roman" w:hAnsi="Calibri" w:cs="Times New Roman"/>
                <w:sz w:val="20"/>
                <w:szCs w:val="20"/>
              </w:rPr>
              <w:t>1.91</w:t>
            </w:r>
          </w:p>
        </w:tc>
      </w:tr>
      <w:tr w:rsidR="00234FA9" w:rsidRPr="00AA2941" w:rsidTr="00177B27">
        <w:trPr>
          <w:trHeight w:val="315"/>
        </w:trPr>
        <w:tc>
          <w:tcPr>
            <w:tcW w:w="0" w:type="auto"/>
            <w:vMerge/>
            <w:tcBorders>
              <w:left w:val="single" w:sz="8" w:space="0" w:color="auto"/>
              <w:right w:val="single" w:sz="8" w:space="0" w:color="auto"/>
            </w:tcBorders>
            <w:shd w:val="clear" w:color="auto" w:fill="auto"/>
            <w:noWrap/>
            <w:vAlign w:val="center"/>
          </w:tcPr>
          <w:p w:rsidR="00234FA9" w:rsidRPr="00AA2941" w:rsidRDefault="00234FA9" w:rsidP="00B96207">
            <w:pPr>
              <w:spacing w:after="0"/>
              <w:rPr>
                <w:rFonts w:ascii="Calibri" w:eastAsia="Times New Roman" w:hAnsi="Calibri" w:cs="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234FA9" w:rsidRPr="00AA2941" w:rsidRDefault="00234FA9" w:rsidP="00B96207">
            <w:pPr>
              <w:spacing w:after="0"/>
              <w:rPr>
                <w:rFonts w:ascii="Calibri" w:eastAsia="Times New Roman" w:hAnsi="Calibri" w:cs="Times New Roman"/>
                <w:sz w:val="20"/>
                <w:szCs w:val="20"/>
              </w:rPr>
            </w:pPr>
            <w:r w:rsidRPr="00AA2941">
              <w:rPr>
                <w:rFonts w:ascii="Calibri" w:eastAsia="Times New Roman" w:hAnsi="Calibri" w:cs="Times New Roman"/>
                <w:sz w:val="20"/>
                <w:szCs w:val="20"/>
              </w:rPr>
              <w:t>% Difference (A-P)/P</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AA2941" w:rsidRDefault="00234FA9" w:rsidP="00252DD7">
            <w:pPr>
              <w:spacing w:after="0"/>
              <w:jc w:val="center"/>
              <w:rPr>
                <w:rFonts w:ascii="Calibri" w:eastAsia="Times New Roman" w:hAnsi="Calibri" w:cs="Times New Roman"/>
                <w:sz w:val="20"/>
                <w:szCs w:val="20"/>
              </w:rPr>
            </w:pPr>
            <w:r w:rsidRPr="008A1788">
              <w:rPr>
                <w:rFonts w:ascii="Calibri" w:eastAsia="Times New Roman" w:hAnsi="Calibri" w:cs="Times New Roman"/>
                <w:sz w:val="20"/>
                <w:szCs w:val="20"/>
              </w:rPr>
              <w:t>-6%</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AA2941" w:rsidRDefault="00234FA9" w:rsidP="00252DD7">
            <w:pPr>
              <w:spacing w:after="0"/>
              <w:jc w:val="center"/>
              <w:rPr>
                <w:rFonts w:ascii="Calibri" w:eastAsia="Times New Roman" w:hAnsi="Calibri" w:cs="Times New Roman"/>
                <w:sz w:val="20"/>
                <w:szCs w:val="20"/>
              </w:rPr>
            </w:pPr>
            <w:r w:rsidRPr="008A1788">
              <w:rPr>
                <w:rFonts w:ascii="Calibri" w:eastAsia="Times New Roman" w:hAnsi="Calibri" w:cs="Times New Roman"/>
                <w:sz w:val="20"/>
                <w:szCs w:val="20"/>
              </w:rPr>
              <w:t>53%</w:t>
            </w:r>
          </w:p>
        </w:tc>
      </w:tr>
      <w:tr w:rsidR="00234FA9" w:rsidRPr="009F1BA0" w:rsidTr="00234FA9">
        <w:trPr>
          <w:trHeight w:val="315"/>
        </w:trPr>
        <w:tc>
          <w:tcPr>
            <w:tcW w:w="0" w:type="auto"/>
            <w:vMerge w:val="restart"/>
            <w:tcBorders>
              <w:top w:val="single" w:sz="8" w:space="0" w:color="auto"/>
              <w:left w:val="single" w:sz="8" w:space="0" w:color="auto"/>
              <w:right w:val="single" w:sz="8" w:space="0" w:color="auto"/>
            </w:tcBorders>
            <w:shd w:val="clear" w:color="auto" w:fill="auto"/>
            <w:noWrap/>
          </w:tcPr>
          <w:p w:rsidR="00234FA9" w:rsidRPr="009F1BA0" w:rsidRDefault="00234FA9" w:rsidP="00234FA9">
            <w:pPr>
              <w:spacing w:after="0"/>
              <w:rPr>
                <w:rFonts w:ascii="Calibri" w:eastAsia="Times New Roman" w:hAnsi="Calibri" w:cs="Times New Roman"/>
                <w:sz w:val="20"/>
                <w:szCs w:val="20"/>
              </w:rPr>
            </w:pPr>
            <w:r w:rsidRPr="009F1BA0">
              <w:rPr>
                <w:rFonts w:ascii="Calibri" w:eastAsia="Times New Roman" w:hAnsi="Calibri" w:cs="Times New Roman"/>
                <w:sz w:val="20"/>
                <w:szCs w:val="20"/>
              </w:rPr>
              <w:t>Injections per patient</w:t>
            </w:r>
          </w:p>
        </w:tc>
        <w:tc>
          <w:tcPr>
            <w:tcW w:w="0" w:type="auto"/>
            <w:tcBorders>
              <w:top w:val="single" w:sz="8" w:space="0" w:color="auto"/>
              <w:left w:val="nil"/>
              <w:bottom w:val="single" w:sz="8" w:space="0" w:color="auto"/>
              <w:right w:val="single" w:sz="8" w:space="0" w:color="auto"/>
            </w:tcBorders>
            <w:shd w:val="clear" w:color="auto" w:fill="auto"/>
            <w:vAlign w:val="center"/>
          </w:tcPr>
          <w:p w:rsidR="00234FA9" w:rsidRPr="009F1BA0" w:rsidRDefault="00234FA9" w:rsidP="00B96207">
            <w:pPr>
              <w:spacing w:after="0"/>
              <w:rPr>
                <w:rFonts w:ascii="Calibri" w:eastAsia="Times New Roman" w:hAnsi="Calibri" w:cs="Times New Roman"/>
                <w:sz w:val="20"/>
                <w:szCs w:val="20"/>
              </w:rPr>
            </w:pPr>
            <w:r w:rsidRPr="009F1BA0">
              <w:rPr>
                <w:rFonts w:ascii="Calibri" w:eastAsia="Times New Roman" w:hAnsi="Calibri" w:cs="Times New Roman"/>
                <w:sz w:val="20"/>
                <w:szCs w:val="20"/>
              </w:rPr>
              <w:t>Predicted (P)</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9F1BA0" w:rsidRDefault="00234FA9" w:rsidP="00DC094B">
            <w:pPr>
              <w:spacing w:after="0"/>
              <w:jc w:val="center"/>
              <w:rPr>
                <w:rFonts w:ascii="Calibri" w:eastAsia="Times New Roman" w:hAnsi="Calibri" w:cs="Times New Roman"/>
                <w:sz w:val="20"/>
                <w:szCs w:val="20"/>
              </w:rPr>
            </w:pPr>
            <w:r w:rsidRPr="009F1BA0">
              <w:rPr>
                <w:rFonts w:ascii="Calibri" w:eastAsia="Times New Roman" w:hAnsi="Calibri" w:cs="Times New Roman"/>
                <w:sz w:val="20"/>
                <w:szCs w:val="20"/>
              </w:rPr>
              <w:t>3.</w:t>
            </w:r>
            <w:r w:rsidR="00DC094B" w:rsidRPr="009F1BA0">
              <w:rPr>
                <w:rFonts w:ascii="Calibri" w:eastAsia="Times New Roman" w:hAnsi="Calibri" w:cs="Times New Roman"/>
                <w:sz w:val="20"/>
                <w:szCs w:val="20"/>
              </w:rPr>
              <w:t>6</w:t>
            </w:r>
            <w:r w:rsidR="00DC094B">
              <w:rPr>
                <w:rFonts w:ascii="Calibri" w:eastAsia="Times New Roman" w:hAnsi="Calibri" w:cs="Times New Roman"/>
                <w:sz w:val="20"/>
                <w:szCs w:val="20"/>
              </w:rPr>
              <w:t>4</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9F1BA0" w:rsidRDefault="00234FA9" w:rsidP="00DC094B">
            <w:pPr>
              <w:spacing w:after="0"/>
              <w:jc w:val="center"/>
              <w:rPr>
                <w:rFonts w:ascii="Calibri" w:eastAsia="Times New Roman" w:hAnsi="Calibri" w:cs="Times New Roman"/>
                <w:sz w:val="20"/>
                <w:szCs w:val="20"/>
              </w:rPr>
            </w:pPr>
            <w:r w:rsidRPr="009F1BA0">
              <w:rPr>
                <w:rFonts w:ascii="Calibri" w:eastAsia="Times New Roman" w:hAnsi="Calibri" w:cs="Times New Roman"/>
                <w:sz w:val="20"/>
                <w:szCs w:val="20"/>
              </w:rPr>
              <w:t>3.</w:t>
            </w:r>
            <w:r w:rsidR="00DC094B" w:rsidRPr="009F1BA0">
              <w:rPr>
                <w:rFonts w:ascii="Calibri" w:eastAsia="Times New Roman" w:hAnsi="Calibri" w:cs="Times New Roman"/>
                <w:sz w:val="20"/>
                <w:szCs w:val="20"/>
              </w:rPr>
              <w:t>6</w:t>
            </w:r>
            <w:r w:rsidR="00DC094B">
              <w:rPr>
                <w:rFonts w:ascii="Calibri" w:eastAsia="Times New Roman" w:hAnsi="Calibri" w:cs="Times New Roman"/>
                <w:sz w:val="20"/>
                <w:szCs w:val="20"/>
              </w:rPr>
              <w:t>4</w:t>
            </w:r>
          </w:p>
        </w:tc>
      </w:tr>
      <w:tr w:rsidR="00234FA9" w:rsidRPr="009F1BA0" w:rsidTr="00177B27">
        <w:trPr>
          <w:trHeight w:val="315"/>
        </w:trPr>
        <w:tc>
          <w:tcPr>
            <w:tcW w:w="0" w:type="auto"/>
            <w:vMerge/>
            <w:tcBorders>
              <w:left w:val="single" w:sz="8" w:space="0" w:color="auto"/>
              <w:right w:val="single" w:sz="8" w:space="0" w:color="auto"/>
            </w:tcBorders>
            <w:shd w:val="clear" w:color="auto" w:fill="auto"/>
            <w:noWrap/>
            <w:vAlign w:val="center"/>
          </w:tcPr>
          <w:p w:rsidR="00234FA9" w:rsidRPr="009F1BA0" w:rsidRDefault="00234FA9" w:rsidP="00B96207">
            <w:pPr>
              <w:spacing w:after="0"/>
              <w:rPr>
                <w:rFonts w:ascii="Calibri" w:eastAsia="Times New Roman" w:hAnsi="Calibri" w:cs="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234FA9" w:rsidRPr="009F1BA0" w:rsidRDefault="00234FA9" w:rsidP="00B96207">
            <w:pPr>
              <w:spacing w:after="0"/>
              <w:rPr>
                <w:rFonts w:ascii="Calibri" w:eastAsia="Times New Roman" w:hAnsi="Calibri" w:cs="Times New Roman"/>
                <w:sz w:val="20"/>
                <w:szCs w:val="20"/>
              </w:rPr>
            </w:pPr>
            <w:r w:rsidRPr="009F1BA0">
              <w:rPr>
                <w:rFonts w:ascii="Calibri" w:eastAsia="Times New Roman" w:hAnsi="Calibri" w:cs="Times New Roman"/>
                <w:sz w:val="20"/>
                <w:szCs w:val="20"/>
              </w:rPr>
              <w:t>Actual (A)*</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9F1BA0" w:rsidRDefault="00234FA9" w:rsidP="00252DD7">
            <w:pPr>
              <w:spacing w:after="0"/>
              <w:jc w:val="center"/>
              <w:rPr>
                <w:rFonts w:ascii="Calibri" w:eastAsia="Times New Roman" w:hAnsi="Calibri" w:cs="Times New Roman"/>
                <w:sz w:val="20"/>
                <w:szCs w:val="20"/>
              </w:rPr>
            </w:pPr>
            <w:r w:rsidRPr="009F1BA0">
              <w:rPr>
                <w:rFonts w:ascii="Calibri" w:eastAsia="Times New Roman" w:hAnsi="Calibri" w:cs="Times New Roman"/>
                <w:sz w:val="20"/>
                <w:szCs w:val="20"/>
              </w:rPr>
              <w:t>4.11</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9F1BA0" w:rsidRDefault="00234FA9" w:rsidP="00252DD7">
            <w:pPr>
              <w:spacing w:after="0"/>
              <w:jc w:val="center"/>
              <w:rPr>
                <w:rFonts w:ascii="Calibri" w:eastAsia="Times New Roman" w:hAnsi="Calibri" w:cs="Times New Roman"/>
                <w:sz w:val="20"/>
                <w:szCs w:val="20"/>
              </w:rPr>
            </w:pPr>
            <w:r w:rsidRPr="009F1BA0">
              <w:rPr>
                <w:rFonts w:ascii="Calibri" w:eastAsia="Times New Roman" w:hAnsi="Calibri" w:cs="Times New Roman"/>
                <w:sz w:val="20"/>
                <w:szCs w:val="20"/>
              </w:rPr>
              <w:t>7.22</w:t>
            </w:r>
          </w:p>
        </w:tc>
      </w:tr>
      <w:tr w:rsidR="00234FA9" w:rsidRPr="009F1BA0" w:rsidTr="00177B27">
        <w:trPr>
          <w:trHeight w:val="315"/>
        </w:trPr>
        <w:tc>
          <w:tcPr>
            <w:tcW w:w="0" w:type="auto"/>
            <w:vMerge/>
            <w:tcBorders>
              <w:left w:val="single" w:sz="8" w:space="0" w:color="auto"/>
              <w:right w:val="single" w:sz="8" w:space="0" w:color="auto"/>
            </w:tcBorders>
            <w:shd w:val="clear" w:color="auto" w:fill="auto"/>
            <w:noWrap/>
            <w:vAlign w:val="center"/>
          </w:tcPr>
          <w:p w:rsidR="00234FA9" w:rsidRPr="009F1BA0" w:rsidRDefault="00234FA9" w:rsidP="00B96207">
            <w:pPr>
              <w:spacing w:after="0"/>
              <w:rPr>
                <w:rFonts w:ascii="Calibri" w:eastAsia="Times New Roman" w:hAnsi="Calibri" w:cs="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234FA9" w:rsidRPr="009F1BA0" w:rsidRDefault="00234FA9" w:rsidP="00B96207">
            <w:pPr>
              <w:spacing w:after="0"/>
              <w:rPr>
                <w:rFonts w:ascii="Calibri" w:eastAsia="Times New Roman" w:hAnsi="Calibri" w:cs="Times New Roman"/>
                <w:sz w:val="20"/>
                <w:szCs w:val="20"/>
              </w:rPr>
            </w:pPr>
            <w:r w:rsidRPr="009F1BA0">
              <w:rPr>
                <w:rFonts w:ascii="Calibri" w:eastAsia="Times New Roman" w:hAnsi="Calibri" w:cs="Times New Roman"/>
                <w:sz w:val="20"/>
                <w:szCs w:val="20"/>
              </w:rPr>
              <w:t>Difference (A-P)</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9F1BA0" w:rsidRDefault="00234FA9" w:rsidP="00252DD7">
            <w:pPr>
              <w:spacing w:after="0"/>
              <w:jc w:val="center"/>
              <w:rPr>
                <w:rFonts w:ascii="Calibri" w:eastAsia="Times New Roman" w:hAnsi="Calibri" w:cs="Times New Roman"/>
                <w:sz w:val="20"/>
                <w:szCs w:val="20"/>
              </w:rPr>
            </w:pPr>
            <w:r w:rsidRPr="009F1BA0">
              <w:rPr>
                <w:rFonts w:ascii="Calibri" w:eastAsia="Times New Roman" w:hAnsi="Calibri" w:cs="Times New Roman"/>
                <w:sz w:val="20"/>
                <w:szCs w:val="20"/>
              </w:rPr>
              <w:t>0.48</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9F1BA0" w:rsidRDefault="00234FA9" w:rsidP="00252DD7">
            <w:pPr>
              <w:spacing w:after="0"/>
              <w:jc w:val="center"/>
              <w:rPr>
                <w:rFonts w:ascii="Calibri" w:eastAsia="Times New Roman" w:hAnsi="Calibri" w:cs="Times New Roman"/>
                <w:sz w:val="20"/>
                <w:szCs w:val="20"/>
              </w:rPr>
            </w:pPr>
            <w:r w:rsidRPr="009F1BA0">
              <w:rPr>
                <w:rFonts w:ascii="Calibri" w:eastAsia="Times New Roman" w:hAnsi="Calibri" w:cs="Times New Roman"/>
                <w:sz w:val="20"/>
                <w:szCs w:val="20"/>
              </w:rPr>
              <w:t>3.60</w:t>
            </w:r>
          </w:p>
        </w:tc>
      </w:tr>
      <w:tr w:rsidR="00234FA9" w:rsidRPr="00AA2941" w:rsidTr="00177B27">
        <w:trPr>
          <w:trHeight w:val="315"/>
        </w:trPr>
        <w:tc>
          <w:tcPr>
            <w:tcW w:w="0" w:type="auto"/>
            <w:vMerge/>
            <w:tcBorders>
              <w:left w:val="single" w:sz="8" w:space="0" w:color="auto"/>
              <w:right w:val="single" w:sz="8" w:space="0" w:color="auto"/>
            </w:tcBorders>
            <w:shd w:val="clear" w:color="auto" w:fill="auto"/>
            <w:noWrap/>
            <w:vAlign w:val="center"/>
          </w:tcPr>
          <w:p w:rsidR="00234FA9" w:rsidRPr="009F1BA0" w:rsidRDefault="00234FA9" w:rsidP="00B96207">
            <w:pPr>
              <w:spacing w:after="0"/>
              <w:rPr>
                <w:rFonts w:ascii="Calibri" w:eastAsia="Times New Roman" w:hAnsi="Calibri" w:cs="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vAlign w:val="center"/>
          </w:tcPr>
          <w:p w:rsidR="00234FA9" w:rsidRPr="009F1BA0" w:rsidRDefault="00234FA9" w:rsidP="00B96207">
            <w:pPr>
              <w:spacing w:after="0"/>
              <w:rPr>
                <w:rFonts w:ascii="Calibri" w:eastAsia="Times New Roman" w:hAnsi="Calibri" w:cs="Times New Roman"/>
                <w:sz w:val="20"/>
                <w:szCs w:val="20"/>
              </w:rPr>
            </w:pPr>
            <w:r w:rsidRPr="009F1BA0">
              <w:rPr>
                <w:rFonts w:ascii="Calibri" w:eastAsia="Times New Roman" w:hAnsi="Calibri" w:cs="Times New Roman"/>
                <w:sz w:val="20"/>
                <w:szCs w:val="20"/>
              </w:rPr>
              <w:t>% Difference (A-P)/P</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9F1BA0" w:rsidRDefault="00DC094B" w:rsidP="00252DD7">
            <w:pPr>
              <w:spacing w:after="0"/>
              <w:jc w:val="center"/>
              <w:rPr>
                <w:rFonts w:ascii="Calibri" w:eastAsia="Times New Roman" w:hAnsi="Calibri" w:cs="Times New Roman"/>
                <w:sz w:val="20"/>
                <w:szCs w:val="20"/>
              </w:rPr>
            </w:pPr>
            <w:r>
              <w:rPr>
                <w:rFonts w:ascii="Calibri" w:eastAsia="Times New Roman" w:hAnsi="Calibri" w:cs="Times New Roman"/>
                <w:sz w:val="20"/>
                <w:szCs w:val="20"/>
              </w:rPr>
              <w:t xml:space="preserve">+ </w:t>
            </w:r>
            <w:r w:rsidR="00234FA9" w:rsidRPr="009F1BA0">
              <w:rPr>
                <w:rFonts w:ascii="Calibri" w:eastAsia="Times New Roman" w:hAnsi="Calibri" w:cs="Times New Roman"/>
                <w:sz w:val="20"/>
                <w:szCs w:val="20"/>
              </w:rPr>
              <w:t>13%</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234FA9" w:rsidRPr="009F1BA0" w:rsidRDefault="00DC094B" w:rsidP="00252DD7">
            <w:pPr>
              <w:spacing w:after="0"/>
              <w:jc w:val="center"/>
              <w:rPr>
                <w:rFonts w:ascii="Calibri" w:eastAsia="Times New Roman" w:hAnsi="Calibri" w:cs="Times New Roman"/>
                <w:sz w:val="20"/>
                <w:szCs w:val="20"/>
              </w:rPr>
            </w:pPr>
            <w:r>
              <w:rPr>
                <w:rFonts w:ascii="Calibri" w:eastAsia="Times New Roman" w:hAnsi="Calibri" w:cs="Times New Roman"/>
                <w:sz w:val="20"/>
                <w:szCs w:val="20"/>
              </w:rPr>
              <w:t xml:space="preserve">+ </w:t>
            </w:r>
            <w:r w:rsidR="00234FA9" w:rsidRPr="009F1BA0">
              <w:rPr>
                <w:rFonts w:ascii="Calibri" w:eastAsia="Times New Roman" w:hAnsi="Calibri" w:cs="Times New Roman"/>
                <w:sz w:val="20"/>
                <w:szCs w:val="20"/>
              </w:rPr>
              <w:t>99%</w:t>
            </w:r>
          </w:p>
        </w:tc>
      </w:tr>
      <w:tr w:rsidR="00560F87" w:rsidRPr="00AA2941" w:rsidTr="00E516D4">
        <w:trPr>
          <w:trHeight w:val="315"/>
        </w:trPr>
        <w:tc>
          <w:tcPr>
            <w:tcW w:w="0" w:type="auto"/>
            <w:tcBorders>
              <w:top w:val="single" w:sz="8" w:space="0" w:color="auto"/>
              <w:left w:val="single" w:sz="8" w:space="0" w:color="auto"/>
              <w:right w:val="single" w:sz="8" w:space="0" w:color="auto"/>
            </w:tcBorders>
            <w:shd w:val="clear" w:color="auto" w:fill="auto"/>
            <w:noWrap/>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R/PBS expenditure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Predicted (P)</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560F87" w:rsidRPr="00110BCE" w:rsidRDefault="00110BCE" w:rsidP="005C160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560F87" w:rsidRPr="00110BCE" w:rsidRDefault="00110BCE" w:rsidP="005C160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AA2941" w:rsidRPr="00AA2941" w:rsidTr="00AE6A1B">
        <w:trPr>
          <w:trHeight w:val="315"/>
        </w:trPr>
        <w:tc>
          <w:tcPr>
            <w:tcW w:w="0" w:type="auto"/>
            <w:tcBorders>
              <w:top w:val="nil"/>
              <w:left w:val="single" w:sz="8" w:space="0" w:color="auto"/>
              <w:right w:val="single" w:sz="8" w:space="0" w:color="auto"/>
            </w:tcBorders>
            <w:shd w:val="clear" w:color="auto" w:fill="auto"/>
            <w:noWrap/>
            <w:vAlign w:val="center"/>
            <w:hideMark/>
          </w:tcPr>
          <w:p w:rsidR="00AA2941" w:rsidRPr="00AA2941" w:rsidRDefault="00AA2941" w:rsidP="00AA2941">
            <w:pPr>
              <w:spacing w:after="0"/>
              <w:rPr>
                <w:rFonts w:ascii="Calibri" w:eastAsia="Times New Roman" w:hAnsi="Calibri" w:cs="Times New Roman"/>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AA2941" w:rsidRPr="00AA2941" w:rsidRDefault="00AA2941"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Actual (A)</w:t>
            </w:r>
          </w:p>
        </w:tc>
        <w:tc>
          <w:tcPr>
            <w:tcW w:w="0" w:type="auto"/>
            <w:tcBorders>
              <w:top w:val="nil"/>
              <w:left w:val="nil"/>
              <w:bottom w:val="single" w:sz="8" w:space="0" w:color="auto"/>
              <w:right w:val="single" w:sz="8" w:space="0" w:color="auto"/>
            </w:tcBorders>
            <w:shd w:val="clear" w:color="auto" w:fill="auto"/>
            <w:noWrap/>
            <w:vAlign w:val="center"/>
            <w:hideMark/>
          </w:tcPr>
          <w:p w:rsidR="00AA2941" w:rsidRPr="00AA2941" w:rsidRDefault="00AA2941" w:rsidP="005C1601">
            <w:pPr>
              <w:spacing w:after="0"/>
              <w:jc w:val="center"/>
              <w:rPr>
                <w:rFonts w:ascii="Calibri" w:eastAsia="Times New Roman" w:hAnsi="Calibri" w:cs="Times New Roman"/>
                <w:sz w:val="20"/>
                <w:szCs w:val="20"/>
              </w:rPr>
            </w:pPr>
            <w:r w:rsidRPr="00AA2941">
              <w:rPr>
                <w:rFonts w:ascii="Calibri" w:eastAsia="Times New Roman" w:hAnsi="Calibri" w:cs="Times New Roman"/>
                <w:sz w:val="20"/>
                <w:szCs w:val="20"/>
              </w:rPr>
              <w:t>$1,332,970</w:t>
            </w:r>
          </w:p>
        </w:tc>
        <w:tc>
          <w:tcPr>
            <w:tcW w:w="0" w:type="auto"/>
            <w:tcBorders>
              <w:top w:val="nil"/>
              <w:left w:val="nil"/>
              <w:bottom w:val="single" w:sz="8" w:space="0" w:color="auto"/>
              <w:right w:val="single" w:sz="8" w:space="0" w:color="auto"/>
            </w:tcBorders>
            <w:shd w:val="clear" w:color="auto" w:fill="auto"/>
            <w:noWrap/>
            <w:vAlign w:val="center"/>
            <w:hideMark/>
          </w:tcPr>
          <w:p w:rsidR="00AA2941" w:rsidRPr="00AA2941" w:rsidRDefault="005C1601" w:rsidP="005C1601">
            <w:pPr>
              <w:spacing w:after="0"/>
              <w:jc w:val="center"/>
              <w:rPr>
                <w:rFonts w:ascii="Calibri" w:eastAsia="Times New Roman" w:hAnsi="Calibri" w:cs="Times New Roman"/>
                <w:sz w:val="20"/>
                <w:szCs w:val="20"/>
              </w:rPr>
            </w:pPr>
            <w:r>
              <w:rPr>
                <w:rFonts w:ascii="Calibri" w:eastAsia="Times New Roman" w:hAnsi="Calibri" w:cs="Times New Roman"/>
                <w:sz w:val="20"/>
                <w:szCs w:val="20"/>
              </w:rPr>
              <w:t>$</w:t>
            </w:r>
            <w:r w:rsidR="00AA2941" w:rsidRPr="00AA2941">
              <w:rPr>
                <w:rFonts w:ascii="Calibri" w:eastAsia="Times New Roman" w:hAnsi="Calibri" w:cs="Times New Roman"/>
                <w:sz w:val="20"/>
                <w:szCs w:val="20"/>
              </w:rPr>
              <w:t>2,691,220</w:t>
            </w:r>
          </w:p>
        </w:tc>
      </w:tr>
      <w:tr w:rsidR="00560F87" w:rsidRPr="00AA2941" w:rsidTr="00E516D4">
        <w:trPr>
          <w:trHeight w:val="315"/>
        </w:trPr>
        <w:tc>
          <w:tcPr>
            <w:tcW w:w="0" w:type="auto"/>
            <w:tcBorders>
              <w:top w:val="nil"/>
              <w:left w:val="single" w:sz="8" w:space="0" w:color="auto"/>
              <w:right w:val="single" w:sz="8" w:space="0" w:color="auto"/>
            </w:tcBorders>
            <w:shd w:val="clear" w:color="auto" w:fill="auto"/>
            <w:noWrap/>
            <w:vAlign w:val="center"/>
            <w:hideMark/>
          </w:tcPr>
          <w:p w:rsidR="00560F87" w:rsidRPr="00AA2941" w:rsidRDefault="00560F87" w:rsidP="00AA2941">
            <w:pPr>
              <w:spacing w:after="0"/>
              <w:rPr>
                <w:rFonts w:ascii="Calibri" w:eastAsia="Times New Roman" w:hAnsi="Calibri" w:cs="Times New Roman"/>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Difference (A-P)</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5C160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5C160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r w:rsidR="00560F87" w:rsidRPr="00AA2941" w:rsidTr="00E516D4">
        <w:trPr>
          <w:trHeight w:val="283"/>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60F87" w:rsidRPr="00110BCE" w:rsidRDefault="00560F87" w:rsidP="00AA2941">
            <w:pPr>
              <w:spacing w:after="0"/>
              <w:rPr>
                <w:rFonts w:ascii="Calibri" w:eastAsia="Times New Roman" w:hAnsi="Calibri" w:cs="Times New Roman"/>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560F87" w:rsidRPr="00AA2941" w:rsidRDefault="00560F87" w:rsidP="00AA2941">
            <w:pPr>
              <w:spacing w:after="0"/>
              <w:rPr>
                <w:rFonts w:ascii="Calibri" w:eastAsia="Times New Roman" w:hAnsi="Calibri" w:cs="Times New Roman"/>
                <w:sz w:val="20"/>
                <w:szCs w:val="20"/>
              </w:rPr>
            </w:pPr>
            <w:r w:rsidRPr="00AA2941">
              <w:rPr>
                <w:rFonts w:ascii="Calibri" w:eastAsia="Times New Roman" w:hAnsi="Calibri" w:cs="Times New Roman"/>
                <w:sz w:val="20"/>
                <w:szCs w:val="20"/>
              </w:rPr>
              <w:t>% Difference (A-P)/P</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5C160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c>
          <w:tcPr>
            <w:tcW w:w="0" w:type="auto"/>
            <w:tcBorders>
              <w:top w:val="nil"/>
              <w:left w:val="nil"/>
              <w:bottom w:val="single" w:sz="8" w:space="0" w:color="auto"/>
              <w:right w:val="single" w:sz="8" w:space="0" w:color="auto"/>
            </w:tcBorders>
            <w:shd w:val="clear" w:color="auto" w:fill="auto"/>
            <w:noWrap/>
            <w:vAlign w:val="center"/>
            <w:hideMark/>
          </w:tcPr>
          <w:p w:rsidR="00560F87" w:rsidRPr="00110BCE" w:rsidRDefault="00110BCE" w:rsidP="005C1601">
            <w:pPr>
              <w:spacing w:after="0"/>
              <w:jc w:val="center"/>
              <w:rPr>
                <w:rFonts w:ascii="Calibri" w:eastAsia="Times New Roman" w:hAnsi="Calibri" w:cs="Times New Roman"/>
                <w:sz w:val="20"/>
                <w:szCs w:val="20"/>
                <w:highlight w:val="black"/>
              </w:rPr>
            </w:pPr>
            <w:r>
              <w:rPr>
                <w:rFonts w:ascii="Calibri" w:eastAsia="Times New Roman" w:hAnsi="Calibri" w:cs="Times New Roman"/>
                <w:noProof/>
                <w:color w:val="000000"/>
                <w:sz w:val="20"/>
                <w:szCs w:val="20"/>
                <w:highlight w:val="black"/>
              </w:rPr>
              <w:t>''''''''''</w:t>
            </w:r>
          </w:p>
        </w:tc>
      </w:tr>
    </w:tbl>
    <w:p w:rsidR="00252DD7" w:rsidRDefault="00252DD7" w:rsidP="00252DD7">
      <w:pPr>
        <w:spacing w:after="0"/>
        <w:rPr>
          <w:rFonts w:ascii="Calibri" w:eastAsia="Times New Roman" w:hAnsi="Calibri" w:cs="Times New Roman"/>
          <w:sz w:val="20"/>
          <w:szCs w:val="20"/>
        </w:rPr>
      </w:pPr>
      <w:r>
        <w:rPr>
          <w:rFonts w:ascii="Calibri" w:eastAsia="Times New Roman" w:hAnsi="Calibri" w:cs="Times New Roman"/>
          <w:sz w:val="20"/>
          <w:szCs w:val="20"/>
        </w:rPr>
        <w:t>* calculated as number of prescriptions/number of patients with at least one supply in the year</w:t>
      </w:r>
      <w:r>
        <w:rPr>
          <w:rFonts w:ascii="Calibri" w:eastAsia="Times New Roman" w:hAnsi="Calibri" w:cs="Times New Roman"/>
          <w:sz w:val="20"/>
          <w:szCs w:val="20"/>
        </w:rPr>
        <w:br/>
        <w:t xml:space="preserve">Note: </w:t>
      </w:r>
      <w:r w:rsidRPr="00AA2941">
        <w:rPr>
          <w:rFonts w:ascii="Calibri" w:eastAsia="Times New Roman" w:hAnsi="Calibri" w:cs="Times New Roman"/>
          <w:sz w:val="20"/>
          <w:szCs w:val="20"/>
        </w:rPr>
        <w:t xml:space="preserve">Predicted </w:t>
      </w:r>
      <w:r>
        <w:rPr>
          <w:rFonts w:ascii="Calibri" w:eastAsia="Times New Roman" w:hAnsi="Calibri" w:cs="Times New Roman"/>
          <w:sz w:val="20"/>
          <w:szCs w:val="20"/>
        </w:rPr>
        <w:t xml:space="preserve">values </w:t>
      </w:r>
      <w:r w:rsidRPr="00AA2941">
        <w:rPr>
          <w:rFonts w:ascii="Calibri" w:eastAsia="Times New Roman" w:hAnsi="Calibri" w:cs="Times New Roman"/>
          <w:sz w:val="20"/>
          <w:szCs w:val="20"/>
        </w:rPr>
        <w:t>from final agreed estimates</w:t>
      </w:r>
      <w:r>
        <w:rPr>
          <w:rFonts w:ascii="Calibri" w:eastAsia="Times New Roman" w:hAnsi="Calibri" w:cs="Times New Roman"/>
          <w:sz w:val="20"/>
          <w:szCs w:val="20"/>
        </w:rPr>
        <w:t xml:space="preserve"> based on March 2012 submission to PBAC</w:t>
      </w:r>
    </w:p>
    <w:p w:rsidR="00EB2811" w:rsidRDefault="00EB2811" w:rsidP="00252DD7">
      <w:pPr>
        <w:spacing w:after="0"/>
      </w:pPr>
    </w:p>
    <w:p w:rsidR="006A29C0" w:rsidRDefault="006A29C0" w:rsidP="00A35800">
      <w:r>
        <w:t>T</w:t>
      </w:r>
      <w:r w:rsidR="008A1788">
        <w:t>he number of</w:t>
      </w:r>
      <w:r w:rsidR="00D1778F">
        <w:t xml:space="preserve"> patients supplied icatibant is much lower than </w:t>
      </w:r>
      <w:r w:rsidR="0052183E">
        <w:t>expected</w:t>
      </w:r>
      <w:r w:rsidR="00D1778F">
        <w:t xml:space="preserve">. </w:t>
      </w:r>
      <w:r>
        <w:t xml:space="preserve">The prevalence of </w:t>
      </w:r>
      <w:r w:rsidRPr="00252DD7">
        <w:t xml:space="preserve">HAE was acknowledged as uncertain at the time of listing. </w:t>
      </w:r>
      <w:r w:rsidRPr="00306B99">
        <w:t>Reported prevalence rates ranged from 1/</w:t>
      </w:r>
      <w:r w:rsidR="00252DD7" w:rsidRPr="00252DD7">
        <w:t>10</w:t>
      </w:r>
      <w:r w:rsidRPr="00306B99">
        <w:t>,</w:t>
      </w:r>
      <w:r w:rsidR="00252DD7" w:rsidRPr="00252DD7">
        <w:t>000</w:t>
      </w:r>
      <w:r w:rsidRPr="00306B99">
        <w:t xml:space="preserve"> to 1/</w:t>
      </w:r>
      <w:r w:rsidR="00252DD7" w:rsidRPr="00252DD7">
        <w:t>150</w:t>
      </w:r>
      <w:r w:rsidRPr="00306B99">
        <w:t>,</w:t>
      </w:r>
      <w:r w:rsidR="00252DD7" w:rsidRPr="00252DD7">
        <w:t>000</w:t>
      </w:r>
      <w:r w:rsidRPr="00306B99">
        <w:t>. The final estimate</w:t>
      </w:r>
      <w:r w:rsidRPr="00290B14">
        <w:t xml:space="preserve"> </w:t>
      </w:r>
      <w:r w:rsidR="00252DD7" w:rsidRPr="00252DD7">
        <w:t xml:space="preserve">of 1/50,000 </w:t>
      </w:r>
      <w:r w:rsidRPr="00306B99">
        <w:t>w</w:t>
      </w:r>
      <w:r w:rsidR="00252DD7" w:rsidRPr="00252DD7">
        <w:t>as</w:t>
      </w:r>
      <w:r w:rsidRPr="00306B99">
        <w:t xml:space="preserve"> based </w:t>
      </w:r>
      <w:r w:rsidR="00252DD7" w:rsidRPr="00252DD7">
        <w:t>primarily on the Bowen et al (2008)</w:t>
      </w:r>
      <w:r w:rsidR="00252DD7" w:rsidRPr="00252DD7">
        <w:rPr>
          <w:rStyle w:val="FootnoteReference"/>
        </w:rPr>
        <w:footnoteReference w:id="7"/>
      </w:r>
      <w:r w:rsidR="00252DD7" w:rsidRPr="00252DD7">
        <w:t xml:space="preserve"> (see “</w:t>
      </w:r>
      <w:r w:rsidR="00B24F17">
        <w:t>Discussion</w:t>
      </w:r>
      <w:r w:rsidR="00252DD7" w:rsidRPr="00252DD7">
        <w:t>” section for</w:t>
      </w:r>
      <w:r w:rsidR="00252DD7">
        <w:t xml:space="preserve"> details).</w:t>
      </w:r>
    </w:p>
    <w:p w:rsidR="008A1788" w:rsidRDefault="0052183E" w:rsidP="00A35800">
      <w:r>
        <w:t xml:space="preserve">The </w:t>
      </w:r>
      <w:r w:rsidR="00DC094B">
        <w:t xml:space="preserve">calculated </w:t>
      </w:r>
      <w:r>
        <w:t>number of pr</w:t>
      </w:r>
      <w:r w:rsidR="008A1788">
        <w:t xml:space="preserve">escriptions </w:t>
      </w:r>
      <w:r w:rsidR="00307D6E">
        <w:t xml:space="preserve">per patient </w:t>
      </w:r>
      <w:r w:rsidR="008A1788">
        <w:t>and injections</w:t>
      </w:r>
      <w:r w:rsidR="005812BB">
        <w:t xml:space="preserve"> </w:t>
      </w:r>
      <w:r w:rsidR="008A1788">
        <w:t>per patient w</w:t>
      </w:r>
      <w:r w:rsidR="00307D6E">
        <w:t>ere</w:t>
      </w:r>
      <w:r w:rsidR="008A1788">
        <w:t xml:space="preserve"> similar to expected in Year 1 but was substantially higher than expected in Year 2.</w:t>
      </w:r>
      <w:r w:rsidR="005C1601">
        <w:t xml:space="preserve"> The average number of injections per pat</w:t>
      </w:r>
      <w:r w:rsidR="00DC094B">
        <w:t>i</w:t>
      </w:r>
      <w:r w:rsidR="005C1601">
        <w:t xml:space="preserve">ent </w:t>
      </w:r>
      <w:r w:rsidR="00DC094B">
        <w:t>in year 2 (7.22) was double that expected (3.64)</w:t>
      </w:r>
      <w:r w:rsidR="005C1601">
        <w:t>.</w:t>
      </w:r>
      <w:r w:rsidR="000A2198">
        <w:t xml:space="preserve"> </w:t>
      </w:r>
    </w:p>
    <w:p w:rsidR="006A29C0" w:rsidRPr="009F1BA0" w:rsidRDefault="006A29C0" w:rsidP="006A29C0">
      <w:r>
        <w:lastRenderedPageBreak/>
        <w:t>To</w:t>
      </w:r>
      <w:r w:rsidR="0052183E">
        <w:t xml:space="preserve"> further understand the patterns of icatibant supply per patient, a</w:t>
      </w:r>
      <w:r>
        <w:t xml:space="preserve"> deidentified patient level </w:t>
      </w:r>
      <w:r w:rsidR="0052183E">
        <w:t xml:space="preserve">analysis was undertaken. </w:t>
      </w:r>
      <w:r w:rsidR="007775B2">
        <w:t>This analysis examined the number of supplies and injections per patient in the 12 months after their first PBS supply of icatibant</w:t>
      </w:r>
      <w:r>
        <w:t>.</w:t>
      </w:r>
      <w:r w:rsidR="007775B2">
        <w:t xml:space="preserve"> </w:t>
      </w:r>
      <w:r w:rsidRPr="009F1BA0">
        <w:t xml:space="preserve">This method of measuring prescriptions </w:t>
      </w:r>
      <w:r w:rsidR="00306B99">
        <w:t xml:space="preserve">and injections </w:t>
      </w:r>
      <w:r w:rsidRPr="009F1BA0">
        <w:t xml:space="preserve">per patient per year is more comparable with the predicted values which </w:t>
      </w:r>
      <w:r w:rsidR="00306B99">
        <w:t xml:space="preserve">were based on </w:t>
      </w:r>
      <w:r w:rsidRPr="009F1BA0">
        <w:t>patient level data from the FAST</w:t>
      </w:r>
      <w:r w:rsidRPr="009F1BA0">
        <w:rPr>
          <w:rStyle w:val="FootnoteReference"/>
        </w:rPr>
        <w:footnoteReference w:id="8"/>
      </w:r>
      <w:r w:rsidRPr="009F1BA0">
        <w:t xml:space="preserve"> trials</w:t>
      </w:r>
      <w:r w:rsidR="00306B99">
        <w:t>. The predicted treated attacks per patient w</w:t>
      </w:r>
      <w:r w:rsidR="00BC0E8F">
        <w:t>ere</w:t>
      </w:r>
      <w:r w:rsidR="00306B99">
        <w:t xml:space="preserve"> calculated by dividing </w:t>
      </w:r>
      <w:r w:rsidRPr="009F1BA0">
        <w:t xml:space="preserve">the total number of treated attacks by the </w:t>
      </w:r>
      <w:r w:rsidR="00306B99">
        <w:t>sum</w:t>
      </w:r>
      <w:r w:rsidRPr="009F1BA0">
        <w:t xml:space="preserve"> of the follow up periods (which were patient specific). </w:t>
      </w:r>
    </w:p>
    <w:p w:rsidR="006A29C0" w:rsidRPr="009F1BA0" w:rsidRDefault="006A29C0" w:rsidP="002C31DE">
      <w:r w:rsidRPr="009F1BA0">
        <w:t xml:space="preserve">The cohort analysed </w:t>
      </w:r>
      <w:r w:rsidR="00306B99">
        <w:t xml:space="preserve">for this patient level analysis </w:t>
      </w:r>
      <w:r w:rsidRPr="009F1BA0">
        <w:t>was those patients</w:t>
      </w:r>
      <w:r w:rsidR="00FF11B2">
        <w:t xml:space="preserve"> (n=152)</w:t>
      </w:r>
      <w:r w:rsidRPr="009F1BA0">
        <w:t xml:space="preserve"> receiving their first PBS supply of icatibant in the period August 2012 to December 2013 inclusive</w:t>
      </w:r>
      <w:r w:rsidR="00FF11B2" w:rsidRPr="009F1BA0">
        <w:t>, as there</w:t>
      </w:r>
      <w:r w:rsidRPr="009F1BA0">
        <w:t xml:space="preserve"> </w:t>
      </w:r>
      <w:r w:rsidR="00307CA4">
        <w:t>was</w:t>
      </w:r>
      <w:r w:rsidR="00307CA4" w:rsidRPr="009F1BA0">
        <w:t xml:space="preserve"> </w:t>
      </w:r>
      <w:r w:rsidR="00A311A4">
        <w:t>in</w:t>
      </w:r>
      <w:r w:rsidRPr="009F1BA0">
        <w:t xml:space="preserve">sufficient data for </w:t>
      </w:r>
      <w:r w:rsidR="00306B99">
        <w:t xml:space="preserve">the patients who initiated after this </w:t>
      </w:r>
      <w:r w:rsidRPr="009F1BA0">
        <w:t>to be followed up for 12 months</w:t>
      </w:r>
      <w:r w:rsidR="00FF11B2" w:rsidRPr="009F1BA0">
        <w:t>.</w:t>
      </w:r>
      <w:r w:rsidRPr="009F1BA0">
        <w:t xml:space="preserve"> </w:t>
      </w:r>
      <w:r w:rsidR="00307CA4">
        <w:t>The distributions of scripts per patient and injections p</w:t>
      </w:r>
      <w:r w:rsidR="00230068">
        <w:t>er patient are shown in Figure 3</w:t>
      </w:r>
      <w:r w:rsidR="00307CA4">
        <w:t>.</w:t>
      </w:r>
    </w:p>
    <w:p w:rsidR="006A29C0" w:rsidRPr="00AA58F2" w:rsidRDefault="00791FCB" w:rsidP="002C31DE">
      <w:r>
        <w:rPr>
          <w:noProof/>
        </w:rPr>
        <w:drawing>
          <wp:inline distT="0" distB="0" distL="0" distR="0" wp14:anchorId="7F0FB9E2" wp14:editId="195B0C43">
            <wp:extent cx="5687695" cy="3710978"/>
            <wp:effectExtent l="0" t="0" r="8255" b="3810"/>
            <wp:docPr id="4" name="Chart 4" title="Figure 3: Distribution of prescriptions and injections per patient supplied within 12 months of PBS ini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A29C0" w:rsidRPr="00AA58F2">
        <w:rPr>
          <w:b/>
        </w:rPr>
        <w:t xml:space="preserve">Figure </w:t>
      </w:r>
      <w:r w:rsidR="00230068">
        <w:rPr>
          <w:b/>
        </w:rPr>
        <w:t>3</w:t>
      </w:r>
      <w:r w:rsidR="006A29C0" w:rsidRPr="00AA58F2">
        <w:rPr>
          <w:b/>
        </w:rPr>
        <w:t xml:space="preserve">: Distribution of </w:t>
      </w:r>
      <w:r w:rsidR="00FC272A">
        <w:rPr>
          <w:b/>
        </w:rPr>
        <w:t xml:space="preserve">prescriptions and injections </w:t>
      </w:r>
      <w:r w:rsidR="006A29C0" w:rsidRPr="00AA58F2">
        <w:rPr>
          <w:b/>
        </w:rPr>
        <w:t>per patient supplied within 12 months of PBS initiation</w:t>
      </w:r>
      <w:r w:rsidR="006A29C0" w:rsidRPr="00AA58F2">
        <w:rPr>
          <w:b/>
        </w:rPr>
        <w:br/>
      </w:r>
    </w:p>
    <w:p w:rsidR="00FC272A" w:rsidRDefault="006A29C0" w:rsidP="006A29C0">
      <w:r w:rsidRPr="00AA58F2">
        <w:t xml:space="preserve">The median number of </w:t>
      </w:r>
      <w:r w:rsidR="00FF11B2" w:rsidRPr="00AA58F2">
        <w:t>prescriptions</w:t>
      </w:r>
      <w:r w:rsidRPr="00AA58F2">
        <w:t xml:space="preserve"> per patient was 2 and the weighted mean was 5.1. </w:t>
      </w:r>
      <w:r w:rsidR="00FC272A" w:rsidRPr="00FC272A">
        <w:t xml:space="preserve">The median number of injections supplied per patient was also 2 and the weighted mean was 6.3. </w:t>
      </w:r>
    </w:p>
    <w:p w:rsidR="00E943FD" w:rsidRDefault="006A29C0" w:rsidP="006A29C0">
      <w:r w:rsidRPr="00AC0736">
        <w:t xml:space="preserve">Given that these are all initiators, this implies 5.1 -1 = 4.1 </w:t>
      </w:r>
      <w:r w:rsidR="00AC0736">
        <w:t xml:space="preserve">treated </w:t>
      </w:r>
      <w:r w:rsidRPr="00AC0736">
        <w:t>attacks per patient in the first 12 months (i</w:t>
      </w:r>
      <w:r w:rsidR="000E097F">
        <w:t>.</w:t>
      </w:r>
      <w:r w:rsidRPr="00AC0736">
        <w:t xml:space="preserve">e. allowing for the one </w:t>
      </w:r>
      <w:r w:rsidR="00AC0736">
        <w:t>supply</w:t>
      </w:r>
      <w:r w:rsidR="00AC0736" w:rsidRPr="00AC0736">
        <w:t xml:space="preserve"> </w:t>
      </w:r>
      <w:r w:rsidRPr="00AC0736">
        <w:t xml:space="preserve">on-hand). This value is between the </w:t>
      </w:r>
      <w:r w:rsidR="00E943FD">
        <w:lastRenderedPageBreak/>
        <w:t xml:space="preserve">submission base case of </w:t>
      </w:r>
      <w:r w:rsidRPr="00AC0736">
        <w:t>3.25 (excluding cutaneous</w:t>
      </w:r>
      <w:r w:rsidR="00E943FD">
        <w:t xml:space="preserve"> attacks</w:t>
      </w:r>
      <w:r w:rsidRPr="00AC0736">
        <w:t xml:space="preserve">) and </w:t>
      </w:r>
      <w:r w:rsidR="00E943FD">
        <w:t xml:space="preserve">the submission sensitivity case of </w:t>
      </w:r>
      <w:r w:rsidR="00110BCE">
        <w:rPr>
          <w:noProof/>
          <w:color w:val="000000"/>
          <w:highlight w:val="black"/>
        </w:rPr>
        <w:t>'''''''''</w:t>
      </w:r>
      <w:r w:rsidRPr="00AC0736">
        <w:t xml:space="preserve"> (including </w:t>
      </w:r>
      <w:r w:rsidR="00110BCE">
        <w:rPr>
          <w:noProof/>
          <w:color w:val="000000"/>
          <w:highlight w:val="black"/>
        </w:rPr>
        <w:t>'''''</w:t>
      </w:r>
      <w:r w:rsidR="00E943FD">
        <w:t xml:space="preserve">% of trial treated </w:t>
      </w:r>
      <w:r w:rsidRPr="00AC0736">
        <w:t>cutaneous</w:t>
      </w:r>
      <w:r w:rsidR="00E943FD">
        <w:t xml:space="preserve"> attacks</w:t>
      </w:r>
      <w:r w:rsidRPr="00AC0736">
        <w:t xml:space="preserve">) attacks per patient predicted. </w:t>
      </w:r>
      <w:r w:rsidR="00E943FD">
        <w:t xml:space="preserve">This suggests there may have either </w:t>
      </w:r>
      <w:r w:rsidR="00E024BC">
        <w:t>been</w:t>
      </w:r>
      <w:r w:rsidR="00E943FD">
        <w:t xml:space="preserve"> some treatment of cutaneous attacks </w:t>
      </w:r>
      <w:r w:rsidR="002275A5">
        <w:t xml:space="preserve">(approximately </w:t>
      </w:r>
      <w:r w:rsidR="00110BCE">
        <w:rPr>
          <w:noProof/>
          <w:color w:val="000000"/>
          <w:highlight w:val="black"/>
        </w:rPr>
        <w:t>'''''</w:t>
      </w:r>
      <w:r w:rsidR="002275A5">
        <w:t>%</w:t>
      </w:r>
      <w:r w:rsidR="000111B0">
        <w:t xml:space="preserve"> of the 3.30 treated cutaneous attacks per year, see Table 2</w:t>
      </w:r>
      <w:r w:rsidR="002275A5">
        <w:t xml:space="preserve">) </w:t>
      </w:r>
      <w:r w:rsidR="00E943FD">
        <w:t>or that the rate of non-cutaneous attacks was under-estimated</w:t>
      </w:r>
      <w:r w:rsidR="002275A5">
        <w:t xml:space="preserve"> in the submission</w:t>
      </w:r>
      <w:r w:rsidR="00E943FD">
        <w:t>.</w:t>
      </w:r>
    </w:p>
    <w:p w:rsidR="00165F8E" w:rsidRDefault="00165F8E" w:rsidP="00165F8E">
      <w:r>
        <w:t xml:space="preserve">Whilst the distributions </w:t>
      </w:r>
      <w:r w:rsidR="00791FCB">
        <w:t>in Figure 3</w:t>
      </w:r>
      <w:r>
        <w:t xml:space="preserve"> are strongly right skewed (i</w:t>
      </w:r>
      <w:r w:rsidR="008363F9">
        <w:t>.</w:t>
      </w:r>
      <w:r>
        <w:t xml:space="preserve">e. there are patients with prescription and injections per patient that are much higher than the median and mean values), this was also true of the data from the FAST trials. In Figure </w:t>
      </w:r>
      <w:r w:rsidR="00791FCB">
        <w:t>3</w:t>
      </w:r>
      <w:r>
        <w:t xml:space="preserve"> there are 14.5% of patients with more than 10 prescriptions (approximately 9 treated attacks) per year. In the FAST trials data (</w:t>
      </w:r>
      <w:r w:rsidRPr="00AC0736">
        <w:t xml:space="preserve">included in the Section E spreadsheet of the minor submission to the </w:t>
      </w:r>
      <w:r>
        <w:t>March</w:t>
      </w:r>
      <w:r w:rsidRPr="00AC0736">
        <w:t xml:space="preserve"> 201</w:t>
      </w:r>
      <w:r>
        <w:t>2</w:t>
      </w:r>
      <w:r w:rsidRPr="00AC0736">
        <w:t xml:space="preserve"> PBAC meeting</w:t>
      </w:r>
      <w:r>
        <w:t xml:space="preserve">) there were 14.6 % of patients with more than 9 treated non-cutaneous attacks per year. </w:t>
      </w:r>
    </w:p>
    <w:p w:rsidR="001C64CA" w:rsidRDefault="001C64CA" w:rsidP="001C64CA">
      <w:pPr>
        <w:pStyle w:val="Heading4"/>
      </w:pPr>
      <w:r>
        <w:t>D</w:t>
      </w:r>
      <w:r w:rsidRPr="005E22C2">
        <w:t>iscussion</w:t>
      </w:r>
    </w:p>
    <w:p w:rsidR="00307D6E" w:rsidRDefault="00307D6E" w:rsidP="009B4362">
      <w:pPr>
        <w:rPr>
          <w:rFonts w:cs="Arial"/>
        </w:rPr>
      </w:pPr>
      <w:r w:rsidRPr="00FC272A">
        <w:rPr>
          <w:rFonts w:cs="Arial"/>
        </w:rPr>
        <w:t>The number of patients supplied icatibant has been much lower than expected (</w:t>
      </w:r>
      <w:r w:rsidR="00110BCE">
        <w:rPr>
          <w:rFonts w:cs="Arial"/>
          <w:noProof/>
          <w:color w:val="000000"/>
          <w:highlight w:val="black"/>
        </w:rPr>
        <w:t>'''''</w:t>
      </w:r>
      <w:r w:rsidRPr="00FC272A">
        <w:rPr>
          <w:rFonts w:cs="Arial"/>
        </w:rPr>
        <w:t xml:space="preserve">% of expected). This is probably due to an overestimate of number of people with HAE as epidemiological data was limited at the time of listing. Alternatively, </w:t>
      </w:r>
      <w:r w:rsidRPr="00AC0736">
        <w:rPr>
          <w:rFonts w:cs="Arial"/>
        </w:rPr>
        <w:t>uptake may be lower than expected, but this is unlikely as clinicians advised that all patients diagnosed with HAE should be supplied icatibant.</w:t>
      </w:r>
    </w:p>
    <w:p w:rsidR="003B53ED" w:rsidRDefault="003B53ED" w:rsidP="009B4362">
      <w:pPr>
        <w:rPr>
          <w:rFonts w:cs="Arial"/>
        </w:rPr>
      </w:pPr>
      <w:r>
        <w:rPr>
          <w:rFonts w:cs="Arial"/>
        </w:rPr>
        <w:t>The breakdown of the prevalence data relied upon in the submission is as follows:</w:t>
      </w:r>
    </w:p>
    <w:p w:rsidR="009B27CC" w:rsidRDefault="009B27CC" w:rsidP="009B27CC">
      <w:r>
        <w:t xml:space="preserve">The 2009 </w:t>
      </w:r>
      <w:r w:rsidRPr="00D4364F">
        <w:t>ASCIA Position Paper on Hereditary Angioedema</w:t>
      </w:r>
      <w:r>
        <w:t xml:space="preserve"> reported a range of 1 in 10,000 to 1 in 150,000. This paper was last updated in August 2012</w:t>
      </w:r>
      <w:r>
        <w:rPr>
          <w:rStyle w:val="FootnoteReference"/>
        </w:rPr>
        <w:footnoteReference w:id="9"/>
      </w:r>
      <w:r>
        <w:t xml:space="preserve"> and still reports the same range in prevalence referencing </w:t>
      </w:r>
      <w:r w:rsidRPr="00C11F7D">
        <w:rPr>
          <w:rFonts w:cs="Arial"/>
          <w:color w:val="000000"/>
        </w:rPr>
        <w:t>Nzeako et al. (2001)</w:t>
      </w:r>
      <w:r w:rsidRPr="00C11F7D">
        <w:rPr>
          <w:rStyle w:val="FootnoteReference"/>
          <w:rFonts w:cs="Arial"/>
          <w:color w:val="000000"/>
        </w:rPr>
        <w:footnoteReference w:id="10"/>
      </w:r>
      <w:r w:rsidRPr="00C11F7D">
        <w:rPr>
          <w:rFonts w:cs="Arial"/>
          <w:color w:val="000000"/>
        </w:rPr>
        <w:t xml:space="preserve"> and Frank (2000)</w:t>
      </w:r>
      <w:r w:rsidRPr="00C11F7D">
        <w:rPr>
          <w:rStyle w:val="FootnoteReference"/>
          <w:rFonts w:cs="Arial"/>
          <w:color w:val="000000"/>
        </w:rPr>
        <w:footnoteReference w:id="11"/>
      </w:r>
      <w:r w:rsidRPr="00C11F7D">
        <w:rPr>
          <w:rFonts w:cs="Arial"/>
          <w:color w:val="000000"/>
        </w:rPr>
        <w:t>.</w:t>
      </w:r>
    </w:p>
    <w:p w:rsidR="009B27CC" w:rsidRPr="009B27CC" w:rsidRDefault="009B27CC" w:rsidP="009B27CC">
      <w:r w:rsidRPr="009B27CC">
        <w:t>Fay et al. (2002)</w:t>
      </w:r>
      <w:r w:rsidRPr="009B27CC">
        <w:rPr>
          <w:vertAlign w:val="superscript"/>
        </w:rPr>
        <w:t xml:space="preserve">5 </w:t>
      </w:r>
      <w:r w:rsidRPr="009B27CC">
        <w:t>quotes an estimate of 1 in 50,000 but does not reference a source.</w:t>
      </w:r>
    </w:p>
    <w:p w:rsidR="009B27CC" w:rsidRPr="009B27CC" w:rsidRDefault="009B27CC" w:rsidP="009B27CC">
      <w:r w:rsidRPr="009B27CC">
        <w:t>Bowen et al. (2008)</w:t>
      </w:r>
      <w:r w:rsidRPr="009B27CC">
        <w:rPr>
          <w:vertAlign w:val="superscript"/>
        </w:rPr>
        <w:t>6</w:t>
      </w:r>
      <w:r w:rsidRPr="009B27CC">
        <w:t xml:space="preserve"> states “The incidence of HAE is estimated at 1:10,000 to 1:150,000, with most authors quoting 1:10,000 to 1:50,000 (with most agreeing that 1:50,000 is the closest estimate), no ethnic group differences have been reported” referencing Zingale et al. (2006)</w:t>
      </w:r>
      <w:r w:rsidRPr="009B27CC">
        <w:rPr>
          <w:rStyle w:val="FootnoteReference"/>
        </w:rPr>
        <w:footnoteReference w:id="12"/>
      </w:r>
      <w:r w:rsidRPr="009B27CC">
        <w:t xml:space="preserve"> and Roche et al. (2005)</w:t>
      </w:r>
      <w:r w:rsidRPr="009B27CC">
        <w:rPr>
          <w:rStyle w:val="FootnoteReference"/>
        </w:rPr>
        <w:footnoteReference w:id="13"/>
      </w:r>
      <w:r w:rsidRPr="009B27CC">
        <w:t>. Presumably this statement should be referring to prevalence not incidence.</w:t>
      </w:r>
    </w:p>
    <w:p w:rsidR="009B27CC" w:rsidRPr="009B27CC" w:rsidRDefault="009B27CC" w:rsidP="009B27CC">
      <w:r w:rsidRPr="009B27CC">
        <w:t xml:space="preserve">Zingale et al. (2006)  states that “the </w:t>
      </w:r>
      <w:r w:rsidRPr="009B27CC">
        <w:rPr>
          <w:color w:val="000000"/>
          <w:shd w:val="clear" w:color="auto" w:fill="FFFFFF"/>
        </w:rPr>
        <w:t xml:space="preserve">prevalence of HAE in the population is set at 1:50 000 — a number without solid epidemiological basis, but nevertheless probably fairly accurate” </w:t>
      </w:r>
      <w:r w:rsidRPr="009B27CC">
        <w:t>Further investigation of sources for Zingale et al. (2006) did not provide any solid source for the prevalence estimate of 1:50,000.</w:t>
      </w:r>
    </w:p>
    <w:p w:rsidR="009B27CC" w:rsidRPr="009B27CC" w:rsidRDefault="009B27CC" w:rsidP="009B27CC">
      <w:r w:rsidRPr="009B27CC">
        <w:lastRenderedPageBreak/>
        <w:t>Roche et al. (2005)</w:t>
      </w:r>
      <w:r w:rsidRPr="009B27CC">
        <w:rPr>
          <w:rStyle w:val="FootnoteReference"/>
        </w:rPr>
        <w:footnoteReference w:id="14"/>
      </w:r>
      <w:r w:rsidR="00E42134">
        <w:t xml:space="preserve"> </w:t>
      </w:r>
      <w:r w:rsidRPr="009B27CC">
        <w:t xml:space="preserve">is the first of the above references to actually measure prevalence of HAE. They conclude “The detected minimal prevalence of HAE in Spain is 1.09 per 100,000 inhabitants. Because this is a rare disease and some patients may be misdiagnosed, this prevalence could be higher”. </w:t>
      </w:r>
    </w:p>
    <w:p w:rsidR="003B53ED" w:rsidRDefault="003B53ED" w:rsidP="009B4362">
      <w:r>
        <w:t>The actual</w:t>
      </w:r>
      <w:r w:rsidR="003C1337">
        <w:t xml:space="preserve"> number of patients in the</w:t>
      </w:r>
      <w:r>
        <w:t xml:space="preserve"> PBS data may provide a better estimate of the prevalence of HAE in Australia</w:t>
      </w:r>
      <w:r w:rsidR="00E00A0E">
        <w:t xml:space="preserve">. </w:t>
      </w:r>
      <w:r w:rsidR="003C1337">
        <w:t>However, a</w:t>
      </w:r>
      <w:r w:rsidR="00E00A0E">
        <w:t xml:space="preserve"> count of patients in any one year could underestimate prevalence as some patients have very infrequent attacks and the reported shelf-life of icatibant is 2 years.  </w:t>
      </w:r>
      <w:r>
        <w:t xml:space="preserve">The </w:t>
      </w:r>
      <w:r w:rsidR="00E00A0E">
        <w:t xml:space="preserve">PBS </w:t>
      </w:r>
      <w:r>
        <w:t>data shows that 184 individual patients received at least one PBS prescription of icatibant</w:t>
      </w:r>
      <w:r w:rsidR="00E00A0E">
        <w:t xml:space="preserve"> in the first 2 years of listing. Therefor</w:t>
      </w:r>
      <w:r w:rsidR="003C1337">
        <w:t>e</w:t>
      </w:r>
      <w:r w:rsidR="00E00A0E">
        <w:t xml:space="preserve"> prevalence is more likely to be in the range of 1 in 130,000.</w:t>
      </w:r>
    </w:p>
    <w:p w:rsidR="00307D6E" w:rsidRDefault="00307D6E" w:rsidP="009B4362">
      <w:r>
        <w:t xml:space="preserve">The number of </w:t>
      </w:r>
      <w:r w:rsidR="009B4362">
        <w:t xml:space="preserve">injections </w:t>
      </w:r>
      <w:r>
        <w:t>supplied per patient is higher than predicted.  This could be due to:</w:t>
      </w:r>
    </w:p>
    <w:p w:rsidR="00E63FED" w:rsidRDefault="00BC0E8F" w:rsidP="009B4362">
      <w:pPr>
        <w:pStyle w:val="ListParagraph"/>
        <w:numPr>
          <w:ilvl w:val="0"/>
          <w:numId w:val="7"/>
        </w:numPr>
      </w:pPr>
      <w:r>
        <w:t>P</w:t>
      </w:r>
      <w:r w:rsidR="00307D6E">
        <w:t>atients experiencing more attacks with moderate to severe symptoms than anticipated</w:t>
      </w:r>
      <w:r>
        <w:t>.</w:t>
      </w:r>
    </w:p>
    <w:p w:rsidR="00E63FED" w:rsidRDefault="00BC0E8F" w:rsidP="00555911">
      <w:pPr>
        <w:pStyle w:val="ListParagraph"/>
        <w:numPr>
          <w:ilvl w:val="0"/>
          <w:numId w:val="7"/>
        </w:numPr>
      </w:pPr>
      <w:r>
        <w:t>A</w:t>
      </w:r>
      <w:r w:rsidR="00E63FED">
        <w:t xml:space="preserve"> higher than expected rate of treatment of moderate to severe attacks</w:t>
      </w:r>
      <w:r>
        <w:t xml:space="preserve">: </w:t>
      </w:r>
      <w:r w:rsidR="00E63FED">
        <w:br/>
      </w:r>
      <w:r w:rsidR="00555911" w:rsidRPr="00555911">
        <w:t xml:space="preserve">The treatment rate of HAE attacks in the FAST trials was 31.6%. That is, the annual rate </w:t>
      </w:r>
      <w:r w:rsidR="00555911">
        <w:t xml:space="preserve">for all HAE attack sites </w:t>
      </w:r>
      <w:r w:rsidR="00555911" w:rsidRPr="00555911">
        <w:t xml:space="preserve">was 20.7 and the rate of treated attacks was 6.55 (which reduced to 3.25 for non-cutaneous attacks). </w:t>
      </w:r>
      <w:r w:rsidR="00555911">
        <w:t>It is possible that the</w:t>
      </w:r>
      <w:r w:rsidR="00555911" w:rsidRPr="00555911">
        <w:t xml:space="preserve"> actual treatment rate was higher than 31.6%</w:t>
      </w:r>
      <w:r w:rsidR="00555911">
        <w:t>.</w:t>
      </w:r>
    </w:p>
    <w:p w:rsidR="005D723E" w:rsidRDefault="00BC0E8F" w:rsidP="009B4362">
      <w:pPr>
        <w:pStyle w:val="ListParagraph"/>
        <w:numPr>
          <w:ilvl w:val="0"/>
          <w:numId w:val="7"/>
        </w:numPr>
      </w:pPr>
      <w:r>
        <w:t>A</w:t>
      </w:r>
      <w:r w:rsidR="00307D6E">
        <w:t xml:space="preserve"> higher </w:t>
      </w:r>
      <w:r w:rsidR="00270D62">
        <w:t xml:space="preserve">average </w:t>
      </w:r>
      <w:r w:rsidR="00307D6E">
        <w:t>number of injections per attack</w:t>
      </w:r>
      <w:r>
        <w:t>:</w:t>
      </w:r>
      <w:r w:rsidR="00C40EA4">
        <w:br/>
        <w:t xml:space="preserve">It </w:t>
      </w:r>
      <w:r w:rsidR="000C772C">
        <w:t xml:space="preserve">may be </w:t>
      </w:r>
      <w:r w:rsidR="00C40EA4">
        <w:t xml:space="preserve">reasonable to assume that the average injections per prescription is a reflection of the average injections per attack.   </w:t>
      </w:r>
      <w:r w:rsidR="00C87109">
        <w:t xml:space="preserve">The </w:t>
      </w:r>
      <w:r w:rsidR="00C40EA4" w:rsidRPr="00C366CB">
        <w:t>average number of injections per prescription was 1.21, 1.32 and 1.42 in Years 1, 2 and 3 YTD (i</w:t>
      </w:r>
      <w:r w:rsidR="00C63FB1">
        <w:t>.</w:t>
      </w:r>
      <w:r w:rsidR="00C40EA4" w:rsidRPr="00C366CB">
        <w:t>e. September to December 2014) of listing, respectively.</w:t>
      </w:r>
      <w:r w:rsidR="00C40EA4">
        <w:t xml:space="preserve"> These figures are higher than the 1.12 injections per attack assumed in the submission.</w:t>
      </w:r>
    </w:p>
    <w:p w:rsidR="000111B0" w:rsidRDefault="00BC0E8F" w:rsidP="000111B0">
      <w:pPr>
        <w:pStyle w:val="ListParagraph"/>
        <w:numPr>
          <w:ilvl w:val="0"/>
          <w:numId w:val="7"/>
        </w:numPr>
      </w:pPr>
      <w:r>
        <w:t>U</w:t>
      </w:r>
      <w:r w:rsidR="00F870F7">
        <w:t>se for cutaneous attacks</w:t>
      </w:r>
      <w:r>
        <w:t>:</w:t>
      </w:r>
      <w:r w:rsidR="009B4362">
        <w:br/>
      </w:r>
      <w:r w:rsidR="00F870F7">
        <w:t>The PBS current restriction does not explicitly exclu</w:t>
      </w:r>
      <w:r w:rsidR="000C772C">
        <w:t>de use for</w:t>
      </w:r>
      <w:r w:rsidR="00F870F7">
        <w:t xml:space="preserve"> of cutaneous attacks</w:t>
      </w:r>
      <w:r w:rsidR="005D723E">
        <w:t xml:space="preserve"> however </w:t>
      </w:r>
      <w:r w:rsidR="000C772C">
        <w:t xml:space="preserve">appropriate use </w:t>
      </w:r>
      <w:r w:rsidR="005D723E">
        <w:t>is cover</w:t>
      </w:r>
      <w:r w:rsidR="00FD456E">
        <w:t>ed</w:t>
      </w:r>
      <w:r w:rsidR="005D723E">
        <w:t xml:space="preserve"> by </w:t>
      </w:r>
      <w:r w:rsidR="00230068">
        <w:t xml:space="preserve">the Note section of the PBS listing which recommends an </w:t>
      </w:r>
      <w:r w:rsidR="005D723E">
        <w:t>“emergency Action Plan including training in recognition of the symptoms of hereditary angioedema and the self-administration of icatibant”</w:t>
      </w:r>
      <w:r w:rsidR="00FD456E">
        <w:t xml:space="preserve">. </w:t>
      </w:r>
      <w:r w:rsidR="00E63FED">
        <w:t>The ASCIA Action Plan and Position Paper submitted with the major submission to the July 2011 PBAC did not recommend treatment of “peripheral swelling” (i</w:t>
      </w:r>
      <w:r w:rsidR="00CC0A45">
        <w:t>.</w:t>
      </w:r>
      <w:r w:rsidR="00E63FED">
        <w:t xml:space="preserve">e. cutaneous attacks) with icatibant. </w:t>
      </w:r>
      <w:r w:rsidR="000C772C">
        <w:t>At the PBAC stakeholder meeting</w:t>
      </w:r>
      <w:r w:rsidR="00752E57">
        <w:t xml:space="preserve"> it was agreed that the drug should only be used to treated severe attacks. I</w:t>
      </w:r>
      <w:r w:rsidR="00E63FED">
        <w:t xml:space="preserve">n August 2012 (the month of PBS listing of icatibant) the ASCIA Position Paper </w:t>
      </w:r>
      <w:r w:rsidR="00BB0F56">
        <w:t xml:space="preserve">was revised to allow the use of icatibant for the treatment of cutaneous attacks. The ASCIA Action Plan was also revised to recommend treatment with icatibant of peripheral swelling with moderate to severe symptoms. This action plan appears to have been updated on the internet in April 2013 (estimated using the website </w:t>
      </w:r>
      <w:r w:rsidR="00BB0F56" w:rsidRPr="00BB0F56">
        <w:t>http://web.archive.org/</w:t>
      </w:r>
      <w:r w:rsidR="00BB0F56">
        <w:t>). Figure 1 shows that utilisation more than double</w:t>
      </w:r>
      <w:r w:rsidR="000C772C">
        <w:t>d</w:t>
      </w:r>
      <w:r w:rsidR="00BB0F56">
        <w:t xml:space="preserve"> between April and </w:t>
      </w:r>
      <w:r w:rsidR="006350E3">
        <w:t xml:space="preserve">May 2013 which may have been due to the change in the </w:t>
      </w:r>
      <w:r w:rsidR="006350E3">
        <w:lastRenderedPageBreak/>
        <w:t>ASCIA Action Plan to include treatment of cutaneous attacks with icatibant.</w:t>
      </w:r>
      <w:r w:rsidR="00734F47">
        <w:br/>
        <w:t>As noted in the results section, the greater than expect</w:t>
      </w:r>
      <w:r w:rsidR="00E37C69">
        <w:t>ed</w:t>
      </w:r>
      <w:r w:rsidR="00734F47">
        <w:t xml:space="preserve"> prescription</w:t>
      </w:r>
      <w:r w:rsidR="000111B0">
        <w:t>s</w:t>
      </w:r>
      <w:r w:rsidR="00734F47">
        <w:t xml:space="preserve"> per patient could be account</w:t>
      </w:r>
      <w:r w:rsidR="000C772C">
        <w:t>ed</w:t>
      </w:r>
      <w:r w:rsidR="00734F47">
        <w:t xml:space="preserve"> for by treatment of </w:t>
      </w:r>
      <w:r w:rsidR="00110BCE">
        <w:rPr>
          <w:noProof/>
          <w:color w:val="000000"/>
          <w:highlight w:val="black"/>
        </w:rPr>
        <w:t>''''''</w:t>
      </w:r>
      <w:r w:rsidR="00734F47">
        <w:t xml:space="preserve">% </w:t>
      </w:r>
      <w:r w:rsidR="000111B0">
        <w:t>of cutaneous attacks that were treated in the FAST trials.</w:t>
      </w:r>
      <w:r w:rsidR="007820B1">
        <w:t xml:space="preserve"> </w:t>
      </w:r>
    </w:p>
    <w:p w:rsidR="00FD456E" w:rsidRDefault="00BC0E8F" w:rsidP="00197317">
      <w:pPr>
        <w:pStyle w:val="ListParagraph"/>
        <w:numPr>
          <w:ilvl w:val="0"/>
          <w:numId w:val="7"/>
        </w:numPr>
      </w:pPr>
      <w:r>
        <w:t>U</w:t>
      </w:r>
      <w:r w:rsidR="00FD456E">
        <w:t>se for mild symptoms of non-cutaneous attacks</w:t>
      </w:r>
      <w:r>
        <w:t>:</w:t>
      </w:r>
      <w:r w:rsidR="00230068">
        <w:br/>
        <w:t xml:space="preserve">The non-treated attacks recorded in the FAST </w:t>
      </w:r>
      <w:r w:rsidR="00197317">
        <w:t xml:space="preserve">trials are most likely to be pre-attack </w:t>
      </w:r>
      <w:r w:rsidR="00197317" w:rsidRPr="00B24F17">
        <w:t xml:space="preserve">symptoms. The FAST Patient Trial Guide states “You should inject the study drug only when you develop the symptoms of an HAE attack, not when you have only pre-attack symptoms such as a rash or redness of the skin. You should wait until you feel that your HAE attack symptoms need treatment before you proceed with self-administration of the study drug”. The ASCIA Postion Paper on HAE </w:t>
      </w:r>
      <w:r w:rsidR="002A7BF9" w:rsidRPr="00B24F17">
        <w:t xml:space="preserve">seems to </w:t>
      </w:r>
      <w:r w:rsidR="00197317" w:rsidRPr="00B24F17">
        <w:t>refer to these pre-attack</w:t>
      </w:r>
      <w:r w:rsidR="00197317">
        <w:t xml:space="preserve"> symptoms as a prodrome</w:t>
      </w:r>
      <w:r w:rsidR="002A7BF9">
        <w:t xml:space="preserve"> and the ASCIA Action Plan seems to refer to them as mild HAE symptoms. </w:t>
      </w:r>
      <w:r w:rsidR="00734F47">
        <w:t xml:space="preserve">Thus the non-treated attacks in the FAST data can probably be regarded as </w:t>
      </w:r>
      <w:r w:rsidR="002A7BF9">
        <w:t>pre-attack</w:t>
      </w:r>
      <w:r w:rsidR="00734F47">
        <w:t>s</w:t>
      </w:r>
      <w:r w:rsidR="002A7BF9">
        <w:t>, prodrome</w:t>
      </w:r>
      <w:r w:rsidR="00734F47">
        <w:t>s</w:t>
      </w:r>
      <w:r w:rsidR="002A7BF9">
        <w:t xml:space="preserve"> and mild symptom</w:t>
      </w:r>
      <w:r w:rsidR="00734F47">
        <w:t xml:space="preserve"> attacks (these terms being synonymous). </w:t>
      </w:r>
      <w:r w:rsidR="002A7BF9">
        <w:t>Table</w:t>
      </w:r>
      <w:r w:rsidR="00734F47">
        <w:t xml:space="preserve"> 2 shows that there was a large difference between the number of attacks and number of treated attacks for each attack site, including the non-cutaneous sites. Thus there </w:t>
      </w:r>
      <w:r w:rsidR="007A69E6">
        <w:t>are</w:t>
      </w:r>
      <w:r w:rsidR="00734F47">
        <w:t xml:space="preserve"> a large </w:t>
      </w:r>
      <w:r w:rsidR="000111B0">
        <w:t xml:space="preserve">number </w:t>
      </w:r>
      <w:r w:rsidR="00734F47">
        <w:t xml:space="preserve">of mild </w:t>
      </w:r>
      <w:r w:rsidR="000111B0">
        <w:t xml:space="preserve">symptom attacks, the treatment of some of which may have contributed to the greater than expected </w:t>
      </w:r>
      <w:r w:rsidR="00DD407E">
        <w:t>pre</w:t>
      </w:r>
      <w:r w:rsidR="000111B0">
        <w:t>script</w:t>
      </w:r>
      <w:r w:rsidR="00DD407E">
        <w:t>ion</w:t>
      </w:r>
      <w:r w:rsidR="000111B0">
        <w:t>s and injections per patient.</w:t>
      </w:r>
    </w:p>
    <w:p w:rsidR="00307D6E" w:rsidRDefault="00BC0E8F" w:rsidP="009B4362">
      <w:pPr>
        <w:pStyle w:val="ListParagraph"/>
        <w:numPr>
          <w:ilvl w:val="0"/>
          <w:numId w:val="7"/>
        </w:numPr>
      </w:pPr>
      <w:r>
        <w:t>P</w:t>
      </w:r>
      <w:r w:rsidR="00307D6E">
        <w:t>atients having supplies on hand</w:t>
      </w:r>
      <w:r>
        <w:t xml:space="preserve">: </w:t>
      </w:r>
      <w:r w:rsidR="00C40EA4">
        <w:br/>
      </w:r>
      <w:r w:rsidR="007820B1">
        <w:t>This was</w:t>
      </w:r>
      <w:r w:rsidR="00C40EA4">
        <w:t xml:space="preserve"> not </w:t>
      </w:r>
      <w:r>
        <w:t>accounted for</w:t>
      </w:r>
      <w:r w:rsidR="00C40EA4">
        <w:t xml:space="preserve"> in the economic </w:t>
      </w:r>
      <w:r w:rsidR="007820B1">
        <w:t>or financial modelling, and it is possible that patients may have multiple supplies on hand.</w:t>
      </w:r>
    </w:p>
    <w:p w:rsidR="00C87109" w:rsidRPr="00E06703" w:rsidRDefault="00BC0E8F" w:rsidP="0041118D">
      <w:pPr>
        <w:pStyle w:val="ListParagraph"/>
        <w:numPr>
          <w:ilvl w:val="0"/>
          <w:numId w:val="7"/>
        </w:numPr>
      </w:pPr>
      <w:r>
        <w:t>Expiry</w:t>
      </w:r>
      <w:r w:rsidR="00307D6E">
        <w:t xml:space="preserve"> of icatibant for patients with infrequent attacks</w:t>
      </w:r>
      <w:r>
        <w:t>:</w:t>
      </w:r>
      <w:r w:rsidR="002275A5">
        <w:br/>
      </w:r>
      <w:r w:rsidR="007820B1">
        <w:t>W</w:t>
      </w:r>
      <w:r w:rsidR="002275A5" w:rsidRPr="00857675">
        <w:t xml:space="preserve">astage may also be a factor in the higher than predicted </w:t>
      </w:r>
      <w:r w:rsidR="002275A5">
        <w:t>pre</w:t>
      </w:r>
      <w:r w:rsidR="002275A5" w:rsidRPr="00857675">
        <w:t>script</w:t>
      </w:r>
      <w:r w:rsidR="002275A5">
        <w:t>ion</w:t>
      </w:r>
      <w:r w:rsidR="002275A5" w:rsidRPr="00857675">
        <w:t xml:space="preserve">s per patient. </w:t>
      </w:r>
      <w:r w:rsidR="007820B1">
        <w:t>I</w:t>
      </w:r>
      <w:r w:rsidR="002275A5">
        <w:t xml:space="preserve">n the submission to the </w:t>
      </w:r>
      <w:r w:rsidR="00735690">
        <w:t xml:space="preserve">July 2011 </w:t>
      </w:r>
      <w:r w:rsidR="002275A5">
        <w:t>PBAC (p. 51) the sponsor agreed to replace, free of charge, any drug that</w:t>
      </w:r>
      <w:r w:rsidR="00340554">
        <w:t xml:space="preserve"> exceeds its expiry date. A</w:t>
      </w:r>
      <w:r w:rsidR="002275A5">
        <w:t xml:space="preserve">ny replacement injections </w:t>
      </w:r>
      <w:r w:rsidR="00CF6E2A">
        <w:t>would</w:t>
      </w:r>
      <w:r w:rsidR="002275A5">
        <w:t xml:space="preserve"> not </w:t>
      </w:r>
      <w:r w:rsidR="00CF6E2A">
        <w:t xml:space="preserve">have </w:t>
      </w:r>
      <w:r w:rsidR="002275A5">
        <w:t>appear</w:t>
      </w:r>
      <w:r w:rsidR="00CF6E2A">
        <w:t>ed</w:t>
      </w:r>
      <w:r w:rsidR="002275A5">
        <w:t xml:space="preserve"> in the PBS data and </w:t>
      </w:r>
      <w:r w:rsidR="00340554">
        <w:t xml:space="preserve">so </w:t>
      </w:r>
      <w:r w:rsidR="00CF6E2A">
        <w:t xml:space="preserve">would </w:t>
      </w:r>
      <w:r w:rsidR="002275A5">
        <w:t xml:space="preserve">not </w:t>
      </w:r>
      <w:r w:rsidR="00CF6E2A">
        <w:t xml:space="preserve">have </w:t>
      </w:r>
      <w:r w:rsidR="002275A5">
        <w:t>contribute</w:t>
      </w:r>
      <w:r w:rsidR="00CF6E2A">
        <w:t>d</w:t>
      </w:r>
      <w:r w:rsidR="002275A5">
        <w:t xml:space="preserve"> to the </w:t>
      </w:r>
      <w:r w:rsidR="00735690">
        <w:t xml:space="preserve">higher than expected prescriptions per patients. Icatibant can be stored at room temperature and </w:t>
      </w:r>
      <w:r w:rsidR="00735690" w:rsidRPr="00E06703">
        <w:t>has a shelf-life of 24 months</w:t>
      </w:r>
      <w:r w:rsidR="00735690" w:rsidRPr="00E06703">
        <w:rPr>
          <w:rStyle w:val="FootnoteReference"/>
        </w:rPr>
        <w:footnoteReference w:id="15"/>
      </w:r>
      <w:r w:rsidR="00C87109" w:rsidRPr="00E06703">
        <w:t>.</w:t>
      </w:r>
      <w:r w:rsidR="007820B1" w:rsidRPr="00E06703">
        <w:t xml:space="preserve"> The Sponsor</w:t>
      </w:r>
      <w:r w:rsidR="0041118D" w:rsidRPr="00E06703">
        <w:t xml:space="preserve"> </w:t>
      </w:r>
      <w:r w:rsidR="00E06703" w:rsidRPr="00E06703">
        <w:t>wa</w:t>
      </w:r>
      <w:r w:rsidR="007820B1" w:rsidRPr="00E06703">
        <w:t>s requested to provide monthly data on the number of injections that have expired and been replaced</w:t>
      </w:r>
      <w:r w:rsidR="0041118D" w:rsidRPr="00E06703">
        <w:t xml:space="preserve"> in their pre-DUSC response</w:t>
      </w:r>
      <w:r w:rsidR="007820B1" w:rsidRPr="00E06703">
        <w:t>.</w:t>
      </w:r>
      <w:r w:rsidR="0048542D">
        <w:t xml:space="preserve"> </w:t>
      </w:r>
      <w:r w:rsidR="004B25A7" w:rsidRPr="00634A5B">
        <w:rPr>
          <w:bCs/>
        </w:rPr>
        <w:t>The sponsor reported only 20 syringes have been returned due to expiry since December 2012</w:t>
      </w:r>
      <w:r w:rsidR="004B25A7">
        <w:rPr>
          <w:bCs/>
        </w:rPr>
        <w:t>.</w:t>
      </w:r>
    </w:p>
    <w:p w:rsidR="00845019" w:rsidRDefault="00845019" w:rsidP="00F04734">
      <w:r>
        <w:t>One reason that injections per patient in Year 1 of listing (i</w:t>
      </w:r>
      <w:r w:rsidR="001011C8">
        <w:t>.</w:t>
      </w:r>
      <w:r>
        <w:t xml:space="preserve">e. 4.11, see Table 6) is </w:t>
      </w:r>
      <w:r w:rsidR="00B40948">
        <w:t xml:space="preserve">less </w:t>
      </w:r>
      <w:r>
        <w:t>than in Year 2 (i</w:t>
      </w:r>
      <w:r w:rsidR="00657ED8">
        <w:t>.</w:t>
      </w:r>
      <w:r>
        <w:t xml:space="preserve">e. 7.22) is the “half-year” effect. That is, as patients initiate treatment </w:t>
      </w:r>
      <w:r w:rsidR="004A7D4E">
        <w:t>progressively</w:t>
      </w:r>
      <w:r>
        <w:t xml:space="preserve"> throughout Year 1, they have less than a full year on treatment. If initiation</w:t>
      </w:r>
      <w:r w:rsidR="007A69E6">
        <w:t>s</w:t>
      </w:r>
      <w:r>
        <w:t xml:space="preserve"> </w:t>
      </w:r>
      <w:r w:rsidR="007A69E6">
        <w:t>are</w:t>
      </w:r>
      <w:r>
        <w:t xml:space="preserve"> constant </w:t>
      </w:r>
      <w:r w:rsidR="007A69E6">
        <w:t>throughout</w:t>
      </w:r>
      <w:r>
        <w:t xml:space="preserve"> the year, then the average time on treatment would be half a year. This effect is still present in Year 2 for initiators, but is diluted because of the large number of prevalent patients.</w:t>
      </w:r>
    </w:p>
    <w:p w:rsidR="00FA197D" w:rsidRDefault="00FA197D">
      <w:pPr>
        <w:spacing w:line="276" w:lineRule="auto"/>
        <w:rPr>
          <w:b/>
          <w:sz w:val="32"/>
          <w:szCs w:val="32"/>
        </w:rPr>
      </w:pPr>
      <w:r>
        <w:br w:type="page"/>
      </w:r>
    </w:p>
    <w:p w:rsidR="00E57E23" w:rsidRDefault="00C53C8B" w:rsidP="002746DA">
      <w:pPr>
        <w:pStyle w:val="Heading4"/>
      </w:pPr>
      <w:r w:rsidRPr="00C53C8B">
        <w:lastRenderedPageBreak/>
        <w:t>DUSC consideration</w:t>
      </w:r>
    </w:p>
    <w:p w:rsidR="002B198C" w:rsidRPr="00634A5B" w:rsidRDefault="002B198C" w:rsidP="002B198C">
      <w:pPr>
        <w:spacing w:before="240" w:after="60"/>
        <w:rPr>
          <w:bCs/>
        </w:rPr>
      </w:pPr>
      <w:r w:rsidRPr="00634A5B">
        <w:rPr>
          <w:bCs/>
        </w:rPr>
        <w:t>DUSC considered that the submission</w:t>
      </w:r>
      <w:r w:rsidR="00290443">
        <w:rPr>
          <w:bCs/>
        </w:rPr>
        <w:t xml:space="preserve"> to the PBAC</w:t>
      </w:r>
      <w:r w:rsidRPr="00634A5B">
        <w:rPr>
          <w:bCs/>
        </w:rPr>
        <w:t>:</w:t>
      </w:r>
    </w:p>
    <w:p w:rsidR="002B198C" w:rsidRPr="00634A5B" w:rsidRDefault="002B198C" w:rsidP="002B198C">
      <w:pPr>
        <w:pStyle w:val="ListParagraph"/>
        <w:numPr>
          <w:ilvl w:val="0"/>
          <w:numId w:val="29"/>
        </w:numPr>
        <w:spacing w:after="0"/>
        <w:rPr>
          <w:bCs/>
        </w:rPr>
      </w:pPr>
      <w:r w:rsidRPr="00634A5B">
        <w:t>Over-estimated the prevalent population.</w:t>
      </w:r>
      <w:r w:rsidRPr="00634A5B">
        <w:br/>
      </w:r>
      <w:r w:rsidRPr="00634A5B">
        <w:rPr>
          <w:bCs/>
        </w:rPr>
        <w:t xml:space="preserve">This was primarily due to uncertainty in estimating the prevalence of HAE in Australia. This flowed on to an over-estimate of the number of patients that would be treated with icatibant. </w:t>
      </w:r>
      <w:r w:rsidR="00F4553F">
        <w:rPr>
          <w:bCs/>
        </w:rPr>
        <w:t xml:space="preserve">The </w:t>
      </w:r>
      <w:r w:rsidRPr="00634A5B">
        <w:rPr>
          <w:bCs/>
        </w:rPr>
        <w:t xml:space="preserve">DUSC also noted that as there is no data on the use of icatibant in children and it should be used during pregnancy only if the potential benefit justifies the potential risk for the fetus (e.g. for treatment of potentially life threatening laryngeal attacks) that the size of the population who would be treated with icatibant may have been overestimated based on HAE prevalence estimates from the literature. </w:t>
      </w:r>
      <w:r w:rsidR="00EA734D">
        <w:rPr>
          <w:bCs/>
        </w:rPr>
        <w:t xml:space="preserve">The </w:t>
      </w:r>
      <w:r w:rsidRPr="00634A5B">
        <w:rPr>
          <w:bCs/>
        </w:rPr>
        <w:t>DUSC suggested that more emphasis be placed on sensitivity analysis of prevalence estimates for rarer diseases.</w:t>
      </w:r>
    </w:p>
    <w:p w:rsidR="002B198C" w:rsidRPr="00634A5B" w:rsidRDefault="002B198C" w:rsidP="002B198C">
      <w:pPr>
        <w:numPr>
          <w:ilvl w:val="0"/>
          <w:numId w:val="29"/>
        </w:numPr>
        <w:spacing w:before="240" w:after="60"/>
        <w:rPr>
          <w:bCs/>
        </w:rPr>
      </w:pPr>
      <w:r w:rsidRPr="00634A5B">
        <w:rPr>
          <w:bCs/>
        </w:rPr>
        <w:t xml:space="preserve">Under-estimated </w:t>
      </w:r>
      <w:r w:rsidR="008C3DEE">
        <w:rPr>
          <w:bCs/>
        </w:rPr>
        <w:t>pre</w:t>
      </w:r>
      <w:r w:rsidRPr="00634A5B">
        <w:rPr>
          <w:bCs/>
        </w:rPr>
        <w:t>script</w:t>
      </w:r>
      <w:r w:rsidR="008C3DEE">
        <w:rPr>
          <w:bCs/>
        </w:rPr>
        <w:t>ion</w:t>
      </w:r>
      <w:r w:rsidRPr="00634A5B">
        <w:rPr>
          <w:bCs/>
        </w:rPr>
        <w:t>s and injections per patient.</w:t>
      </w:r>
      <w:r w:rsidRPr="00634A5B">
        <w:rPr>
          <w:bCs/>
        </w:rPr>
        <w:br/>
        <w:t xml:space="preserve">This was most likely due to the use for mild symptoms or cutaneous attacks, both of which were excluded from the submission </w:t>
      </w:r>
      <w:r w:rsidR="00290443">
        <w:rPr>
          <w:bCs/>
        </w:rPr>
        <w:t xml:space="preserve">to the PBAC </w:t>
      </w:r>
      <w:r w:rsidRPr="00634A5B">
        <w:rPr>
          <w:bCs/>
        </w:rPr>
        <w:t>base case estimates. An additional factor was the need to have enough injections on-hand to treat an attack, which was not accounted for in the submission estimates.</w:t>
      </w:r>
    </w:p>
    <w:p w:rsidR="002B198C" w:rsidRPr="00634A5B" w:rsidRDefault="002B198C" w:rsidP="002B198C">
      <w:pPr>
        <w:numPr>
          <w:ilvl w:val="0"/>
          <w:numId w:val="29"/>
        </w:numPr>
        <w:spacing w:before="240" w:after="60"/>
        <w:rPr>
          <w:bCs/>
        </w:rPr>
      </w:pPr>
      <w:r w:rsidRPr="00634A5B">
        <w:rPr>
          <w:bCs/>
        </w:rPr>
        <w:t>Over-estimated R/PBS expenditure.</w:t>
      </w:r>
      <w:r w:rsidRPr="00634A5B">
        <w:rPr>
          <w:bCs/>
        </w:rPr>
        <w:br/>
        <w:t>This was due to the over-estimated prevalent population.</w:t>
      </w:r>
    </w:p>
    <w:p w:rsidR="002B198C" w:rsidRPr="00634A5B" w:rsidRDefault="003120CD" w:rsidP="002B198C">
      <w:pPr>
        <w:spacing w:before="240" w:after="60"/>
        <w:rPr>
          <w:bCs/>
        </w:rPr>
      </w:pPr>
      <w:r>
        <w:rPr>
          <w:bCs/>
        </w:rPr>
        <w:t xml:space="preserve">The </w:t>
      </w:r>
      <w:r w:rsidR="002B198C" w:rsidRPr="00634A5B">
        <w:rPr>
          <w:bCs/>
        </w:rPr>
        <w:t>DUSC also considered that the RSA was ineffective in protecting against higher than predicted injections per patient because of the lower than expected number of patients.</w:t>
      </w:r>
    </w:p>
    <w:p w:rsidR="002B198C" w:rsidRPr="00634A5B" w:rsidRDefault="003120CD" w:rsidP="002B198C">
      <w:pPr>
        <w:spacing w:before="240" w:after="60"/>
        <w:rPr>
          <w:bCs/>
        </w:rPr>
      </w:pPr>
      <w:r>
        <w:rPr>
          <w:bCs/>
        </w:rPr>
        <w:t xml:space="preserve">The </w:t>
      </w:r>
      <w:r w:rsidR="002B198C" w:rsidRPr="00634A5B">
        <w:rPr>
          <w:bCs/>
        </w:rPr>
        <w:t>DUSC noted that:</w:t>
      </w:r>
    </w:p>
    <w:p w:rsidR="002B198C" w:rsidRPr="00634A5B" w:rsidRDefault="002B198C" w:rsidP="002B198C">
      <w:pPr>
        <w:pStyle w:val="ListParagraph"/>
        <w:numPr>
          <w:ilvl w:val="0"/>
          <w:numId w:val="30"/>
        </w:numPr>
        <w:spacing w:before="240" w:after="60"/>
        <w:rPr>
          <w:bCs/>
        </w:rPr>
      </w:pPr>
      <w:r w:rsidRPr="00634A5B">
        <w:rPr>
          <w:bCs/>
        </w:rPr>
        <w:t xml:space="preserve">The severity and location of symptoms are not synonymous. The submission assumed that cutaneous attacks treated in the FAST trials only had mild symptoms, so in the Australian population these attacks would not be treated with PBS icatibant and thus were not included in the base-case economic model. </w:t>
      </w:r>
      <w:r w:rsidR="0078251F">
        <w:rPr>
          <w:bCs/>
        </w:rPr>
        <w:t xml:space="preserve">The </w:t>
      </w:r>
      <w:r w:rsidRPr="00634A5B">
        <w:rPr>
          <w:bCs/>
        </w:rPr>
        <w:t>DUSC asked the Secretariat to confirm if the incremental benefits in the base case were calculated on the basis of the entire population across the trial, or on just the non-cutaneous attacks.  The secretariat confirmed that the outcomes for the ITT population in the FAST trials, which included cutaneous attacks, were used in the economic evaluation. It was noted from the studies that the treatment effect for icatibant compared with placebo appears to be largely influenced by the time taken for cutaneous symptoms to resolve rather than the abdominal symptoms, which are not intended to be treated in the PBS population. However, this proposed benefit was not the key driver for the cost-effectiveness argument presented. The outcome of the economic evaluation was largely dependent on the difference in the utility weight for the attack-free health state between the two treatment arms, as elicited in a scenario-based utility valuation study.</w:t>
      </w:r>
    </w:p>
    <w:p w:rsidR="002B198C" w:rsidRPr="00634A5B" w:rsidRDefault="002B198C" w:rsidP="002B198C">
      <w:pPr>
        <w:numPr>
          <w:ilvl w:val="0"/>
          <w:numId w:val="30"/>
        </w:numPr>
        <w:spacing w:before="240" w:after="60"/>
        <w:rPr>
          <w:bCs/>
        </w:rPr>
      </w:pPr>
      <w:r w:rsidRPr="00634A5B">
        <w:rPr>
          <w:bCs/>
        </w:rPr>
        <w:t xml:space="preserve">The 2012 ASCIA position paper contains the statement “Patients may hold their own icatibant supply (a pack of two syringes) either for self-administration or for </w:t>
      </w:r>
      <w:r w:rsidRPr="00634A5B">
        <w:rPr>
          <w:bCs/>
        </w:rPr>
        <w:lastRenderedPageBreak/>
        <w:t xml:space="preserve">administration by a trained companion or a medical professional at a clinic or hospital”. </w:t>
      </w:r>
      <w:r w:rsidR="006079D6">
        <w:rPr>
          <w:bCs/>
        </w:rPr>
        <w:t xml:space="preserve">The </w:t>
      </w:r>
      <w:r w:rsidRPr="00634A5B">
        <w:rPr>
          <w:bCs/>
        </w:rPr>
        <w:t xml:space="preserve">DUSC noted that the pack available on the PBS only contains a single syringe and multiple syringes can be supplied on a single script if requested by the prescriber via PBS Authority Approval. </w:t>
      </w:r>
    </w:p>
    <w:p w:rsidR="002B198C" w:rsidRPr="00634A5B" w:rsidRDefault="002B198C" w:rsidP="002B198C">
      <w:pPr>
        <w:numPr>
          <w:ilvl w:val="0"/>
          <w:numId w:val="30"/>
        </w:numPr>
        <w:spacing w:before="240" w:after="60"/>
        <w:rPr>
          <w:bCs/>
        </w:rPr>
      </w:pPr>
      <w:r w:rsidRPr="00634A5B">
        <w:rPr>
          <w:bCs/>
        </w:rPr>
        <w:t xml:space="preserve">The sponsor reported only 20 syringes have been returned due to expiry since December 2012. </w:t>
      </w:r>
      <w:r w:rsidR="00CF0756">
        <w:rPr>
          <w:bCs/>
        </w:rPr>
        <w:t xml:space="preserve">The </w:t>
      </w:r>
      <w:r w:rsidRPr="00634A5B">
        <w:rPr>
          <w:bCs/>
        </w:rPr>
        <w:t xml:space="preserve">DUSC considered that this figure may increase now that icatibant has been listed for more than 2 years as icatibant has a reported shelf life of 2 years.  It is possible that patients will discard expired injections and </w:t>
      </w:r>
      <w:r w:rsidR="0095044B">
        <w:rPr>
          <w:bCs/>
        </w:rPr>
        <w:t xml:space="preserve">get </w:t>
      </w:r>
      <w:r w:rsidRPr="00634A5B">
        <w:rPr>
          <w:bCs/>
        </w:rPr>
        <w:t xml:space="preserve">a new </w:t>
      </w:r>
      <w:r w:rsidR="0095044B">
        <w:rPr>
          <w:bCs/>
        </w:rPr>
        <w:t>pre</w:t>
      </w:r>
      <w:r w:rsidRPr="00634A5B">
        <w:rPr>
          <w:bCs/>
        </w:rPr>
        <w:t>script</w:t>
      </w:r>
      <w:r w:rsidR="0095044B">
        <w:rPr>
          <w:bCs/>
        </w:rPr>
        <w:t>ion</w:t>
      </w:r>
      <w:r w:rsidRPr="00634A5B">
        <w:rPr>
          <w:bCs/>
        </w:rPr>
        <w:t xml:space="preserve"> </w:t>
      </w:r>
      <w:r w:rsidR="0095044B">
        <w:rPr>
          <w:bCs/>
        </w:rPr>
        <w:t xml:space="preserve">dispensed </w:t>
      </w:r>
      <w:r w:rsidRPr="00634A5B">
        <w:rPr>
          <w:bCs/>
        </w:rPr>
        <w:t>rather than having it replaced by the sponsor.</w:t>
      </w:r>
    </w:p>
    <w:p w:rsidR="002B198C" w:rsidRPr="00634A5B" w:rsidRDefault="002576BF" w:rsidP="002B198C">
      <w:pPr>
        <w:spacing w:before="240" w:after="60"/>
        <w:rPr>
          <w:bCs/>
        </w:rPr>
      </w:pPr>
      <w:r>
        <w:rPr>
          <w:bCs/>
        </w:rPr>
        <w:t xml:space="preserve">The </w:t>
      </w:r>
      <w:r w:rsidR="002B198C" w:rsidRPr="00634A5B">
        <w:rPr>
          <w:bCs/>
        </w:rPr>
        <w:t xml:space="preserve">ASCIA advised that they intend to update their HAE Position Statement, treatment algorithm and action plan by the end of 2015. As the action plan is referenced in the PBS restriction, </w:t>
      </w:r>
      <w:r w:rsidR="00FA377D">
        <w:rPr>
          <w:bCs/>
        </w:rPr>
        <w:t xml:space="preserve">the </w:t>
      </w:r>
      <w:r w:rsidR="002B198C" w:rsidRPr="00634A5B">
        <w:rPr>
          <w:bCs/>
        </w:rPr>
        <w:t xml:space="preserve">PBAC may wish to review the revised Action Plan to see if it is still aligns with cost-effective use of icatibant. </w:t>
      </w:r>
      <w:r w:rsidR="000124AD">
        <w:rPr>
          <w:bCs/>
        </w:rPr>
        <w:t xml:space="preserve">The </w:t>
      </w:r>
      <w:r w:rsidR="002B198C" w:rsidRPr="00634A5B">
        <w:rPr>
          <w:bCs/>
        </w:rPr>
        <w:t xml:space="preserve">ASCIA also considered it important for the committee to note that a recently published study (Maurer M. et al Allergy and Asthma Proceedings 2014) supports the early use of treatment of HAE with icatibant to shorten attacks more effectively. </w:t>
      </w:r>
    </w:p>
    <w:p w:rsidR="002B198C" w:rsidRPr="00634A5B" w:rsidRDefault="00150472" w:rsidP="002B198C">
      <w:pPr>
        <w:spacing w:before="240" w:after="60"/>
        <w:rPr>
          <w:bCs/>
        </w:rPr>
      </w:pPr>
      <w:r>
        <w:rPr>
          <w:bCs/>
        </w:rPr>
        <w:t xml:space="preserve">The </w:t>
      </w:r>
      <w:r w:rsidR="002B198C" w:rsidRPr="00634A5B">
        <w:rPr>
          <w:bCs/>
        </w:rPr>
        <w:t>DUSC suggested that the following additional analyses may be informative for any future reviews of icatibant utilisation:</w:t>
      </w:r>
    </w:p>
    <w:p w:rsidR="002B198C" w:rsidRPr="00634A5B" w:rsidRDefault="002B198C" w:rsidP="002B198C">
      <w:pPr>
        <w:numPr>
          <w:ilvl w:val="0"/>
          <w:numId w:val="31"/>
        </w:numPr>
        <w:spacing w:before="240" w:after="60"/>
        <w:rPr>
          <w:bCs/>
        </w:rPr>
      </w:pPr>
      <w:r w:rsidRPr="00634A5B">
        <w:rPr>
          <w:bCs/>
        </w:rPr>
        <w:t>An analysis by patient location (i</w:t>
      </w:r>
      <w:r w:rsidR="00C87EDC">
        <w:rPr>
          <w:bCs/>
        </w:rPr>
        <w:t>.</w:t>
      </w:r>
      <w:r w:rsidRPr="00634A5B">
        <w:rPr>
          <w:bCs/>
        </w:rPr>
        <w:t xml:space="preserve">e. rural vs urban) to see if rural patients are likely to have more injections on-hand than urban patients. </w:t>
      </w:r>
    </w:p>
    <w:p w:rsidR="002B198C" w:rsidRPr="00634A5B" w:rsidRDefault="002B198C" w:rsidP="002B198C">
      <w:pPr>
        <w:numPr>
          <w:ilvl w:val="0"/>
          <w:numId w:val="31"/>
        </w:numPr>
        <w:spacing w:before="240" w:after="60"/>
        <w:rPr>
          <w:bCs/>
        </w:rPr>
      </w:pPr>
      <w:r w:rsidRPr="00634A5B">
        <w:rPr>
          <w:bCs/>
        </w:rPr>
        <w:t>A co-administration / sequential analysis of icatibant with a prophylactic agent (i</w:t>
      </w:r>
      <w:r w:rsidR="00D54A58">
        <w:rPr>
          <w:bCs/>
        </w:rPr>
        <w:t>.</w:t>
      </w:r>
      <w:r w:rsidRPr="00634A5B">
        <w:rPr>
          <w:bCs/>
        </w:rPr>
        <w:t xml:space="preserve">e. danazol or tranexamic acid).  </w:t>
      </w:r>
    </w:p>
    <w:p w:rsidR="002B198C" w:rsidRPr="00634A5B" w:rsidRDefault="002B198C" w:rsidP="002B198C">
      <w:pPr>
        <w:numPr>
          <w:ilvl w:val="0"/>
          <w:numId w:val="31"/>
        </w:numPr>
        <w:spacing w:before="240" w:after="60"/>
        <w:rPr>
          <w:bCs/>
        </w:rPr>
      </w:pPr>
      <w:r w:rsidRPr="00634A5B">
        <w:rPr>
          <w:bCs/>
        </w:rPr>
        <w:t>An analysis by patient age to see if children were being treated.</w:t>
      </w:r>
    </w:p>
    <w:p w:rsidR="002B198C" w:rsidRPr="00673040" w:rsidRDefault="002B198C" w:rsidP="002B198C">
      <w:pPr>
        <w:spacing w:before="240" w:after="60"/>
        <w:rPr>
          <w:bCs/>
        </w:rPr>
      </w:pPr>
      <w:r>
        <w:rPr>
          <w:bCs/>
        </w:rPr>
        <w:t>The Secretariat informed DUSC that approximately 20 people aged less than 20 years were dispensed icatibant between August 2012 and December 2014. The vast majority of these were aged between 15 and 19 years.</w:t>
      </w:r>
    </w:p>
    <w:p w:rsidR="002B198C" w:rsidRPr="00634A5B" w:rsidRDefault="00634A5B" w:rsidP="002B198C">
      <w:pPr>
        <w:keepNext/>
        <w:spacing w:before="240" w:after="60"/>
        <w:outlineLvl w:val="3"/>
      </w:pPr>
      <w:r w:rsidRPr="00634A5B">
        <w:t>DUSC considered that the key findings were</w:t>
      </w:r>
      <w:r w:rsidR="00C068B2">
        <w:t>:</w:t>
      </w:r>
    </w:p>
    <w:p w:rsidR="002B198C" w:rsidRPr="002B198C" w:rsidRDefault="002B198C" w:rsidP="002B198C">
      <w:pPr>
        <w:pStyle w:val="PBACBullets"/>
        <w:rPr>
          <w:sz w:val="24"/>
        </w:rPr>
      </w:pPr>
      <w:r w:rsidRPr="002B198C">
        <w:rPr>
          <w:sz w:val="24"/>
        </w:rPr>
        <w:t xml:space="preserve">The number of prevalent icatibant patients was less than </w:t>
      </w:r>
      <w:r w:rsidR="00110BCE">
        <w:rPr>
          <w:noProof/>
          <w:color w:val="000000"/>
          <w:sz w:val="24"/>
          <w:highlight w:val="black"/>
        </w:rPr>
        <w:t>'''''''' '''''''</w:t>
      </w:r>
      <w:r w:rsidRPr="002B198C">
        <w:rPr>
          <w:sz w:val="24"/>
        </w:rPr>
        <w:t xml:space="preserve"> predicted.</w:t>
      </w:r>
    </w:p>
    <w:p w:rsidR="002B198C" w:rsidRPr="002B198C" w:rsidRDefault="002B198C" w:rsidP="002B198C">
      <w:pPr>
        <w:pStyle w:val="PBACBullets"/>
        <w:rPr>
          <w:sz w:val="24"/>
        </w:rPr>
      </w:pPr>
      <w:r w:rsidRPr="002B198C">
        <w:rPr>
          <w:sz w:val="24"/>
        </w:rPr>
        <w:t>Actual injections per patient has been more than expected.</w:t>
      </w:r>
    </w:p>
    <w:p w:rsidR="002B198C" w:rsidRPr="002B198C" w:rsidRDefault="002B198C" w:rsidP="002B198C">
      <w:pPr>
        <w:pStyle w:val="PBACBullets"/>
        <w:rPr>
          <w:sz w:val="24"/>
        </w:rPr>
      </w:pPr>
      <w:r w:rsidRPr="002B198C">
        <w:rPr>
          <w:sz w:val="24"/>
        </w:rPr>
        <w:t>The RSA has not achieved the intent of managing risk of greater than expected utilisation per patient because the number of patients was greatly overestimated.</w:t>
      </w:r>
    </w:p>
    <w:p w:rsidR="002B198C" w:rsidRPr="002B198C" w:rsidRDefault="002B198C" w:rsidP="002B198C">
      <w:pPr>
        <w:pStyle w:val="PBACBullets"/>
        <w:rPr>
          <w:b/>
          <w:bCs/>
          <w:sz w:val="24"/>
        </w:rPr>
      </w:pPr>
      <w:r w:rsidRPr="002B198C">
        <w:rPr>
          <w:sz w:val="24"/>
        </w:rPr>
        <w:t>The changing treatment algorithm may have led to</w:t>
      </w:r>
      <w:r w:rsidR="000C213D">
        <w:rPr>
          <w:sz w:val="24"/>
        </w:rPr>
        <w:t xml:space="preserve"> or</w:t>
      </w:r>
      <w:r w:rsidRPr="002B198C">
        <w:rPr>
          <w:sz w:val="24"/>
        </w:rPr>
        <w:t xml:space="preserve"> </w:t>
      </w:r>
      <w:r w:rsidR="0048542D">
        <w:rPr>
          <w:sz w:val="24"/>
        </w:rPr>
        <w:t xml:space="preserve">will </w:t>
      </w:r>
      <w:r w:rsidRPr="002B198C">
        <w:rPr>
          <w:sz w:val="24"/>
        </w:rPr>
        <w:t xml:space="preserve">lead to in the future, use outside the economic model base-case that </w:t>
      </w:r>
      <w:r w:rsidR="00472440">
        <w:rPr>
          <w:sz w:val="24"/>
        </w:rPr>
        <w:t xml:space="preserve">the </w:t>
      </w:r>
      <w:r w:rsidRPr="002B198C">
        <w:rPr>
          <w:sz w:val="24"/>
        </w:rPr>
        <w:t>PBAC agreed to when recommending icatibant.</w:t>
      </w:r>
      <w:r w:rsidRPr="002B198C">
        <w:rPr>
          <w:b/>
          <w:bCs/>
          <w:sz w:val="24"/>
        </w:rPr>
        <w:t xml:space="preserve"> </w:t>
      </w:r>
    </w:p>
    <w:p w:rsidR="002F5762" w:rsidRPr="00CF6E2A" w:rsidRDefault="002F5762" w:rsidP="002746DA">
      <w:pPr>
        <w:pStyle w:val="Heading4"/>
      </w:pPr>
      <w:r w:rsidRPr="00CF6E2A">
        <w:lastRenderedPageBreak/>
        <w:t>Actions undertaken by the Secretariat</w:t>
      </w:r>
    </w:p>
    <w:p w:rsidR="00290293" w:rsidRPr="00730B86" w:rsidRDefault="003772D7" w:rsidP="00290293">
      <w:r w:rsidRPr="003772D7">
        <w:t>This report</w:t>
      </w:r>
      <w:r>
        <w:t xml:space="preserve"> was provided to the </w:t>
      </w:r>
      <w:r w:rsidR="00290293">
        <w:t>Sponsor of icatibant (Shire Australia) for comment.</w:t>
      </w:r>
    </w:p>
    <w:p w:rsidR="002F5762" w:rsidRDefault="00290293" w:rsidP="00CF6E2A">
      <w:r>
        <w:t>A redacted version of the report was provided to</w:t>
      </w:r>
    </w:p>
    <w:p w:rsidR="003772D7" w:rsidRDefault="00730B86" w:rsidP="00730B86">
      <w:pPr>
        <w:pStyle w:val="ListParagraph"/>
        <w:numPr>
          <w:ilvl w:val="0"/>
          <w:numId w:val="27"/>
        </w:numPr>
      </w:pPr>
      <w:r w:rsidRPr="00730B86">
        <w:t>Australasian Society of Clinical Immunology and Allergy (ASCIA)</w:t>
      </w:r>
    </w:p>
    <w:p w:rsidR="00CF6E2A" w:rsidRDefault="00730B86" w:rsidP="00290293">
      <w:pPr>
        <w:pStyle w:val="ListParagraph"/>
        <w:numPr>
          <w:ilvl w:val="0"/>
          <w:numId w:val="27"/>
        </w:numPr>
      </w:pPr>
      <w:r w:rsidRPr="00730B86">
        <w:t>Medical Services Advisory Committee</w:t>
      </w:r>
      <w:r>
        <w:t xml:space="preserve"> (MSAC)</w:t>
      </w:r>
      <w:r w:rsidR="00290293">
        <w:t xml:space="preserve">.  </w:t>
      </w:r>
      <w:r w:rsidR="00290293" w:rsidRPr="00290293">
        <w:t>C1 Esterase Inhibitor (C1-INH) concentrate is proposed for inclusion on the National Products and Services List (NPSL) for the management of patients with a confirmed diagnosis of Hereditary angioedema (HAE) Type I or II</w:t>
      </w:r>
      <w:r w:rsidR="00ED3887">
        <w:rPr>
          <w:rStyle w:val="FootnoteReference"/>
        </w:rPr>
        <w:footnoteReference w:id="16"/>
      </w:r>
      <w:r w:rsidR="00290293" w:rsidRPr="00290293">
        <w:t>.</w:t>
      </w:r>
      <w:r w:rsidR="00290293">
        <w:t xml:space="preserve"> Utilisation of icatibant may inform this consideration.</w:t>
      </w:r>
    </w:p>
    <w:p w:rsidR="002746DA" w:rsidRPr="005E22C2" w:rsidRDefault="00C53C8B" w:rsidP="002746DA">
      <w:pPr>
        <w:pStyle w:val="Heading4"/>
      </w:pPr>
      <w:r>
        <w:t>DUSC</w:t>
      </w:r>
      <w:r w:rsidR="002746DA">
        <w:t xml:space="preserve"> actions</w:t>
      </w:r>
    </w:p>
    <w:p w:rsidR="00C17088" w:rsidRPr="00C17088" w:rsidRDefault="00C17088" w:rsidP="00C17088">
      <w:pPr>
        <w:pStyle w:val="PBACBullets"/>
        <w:numPr>
          <w:ilvl w:val="0"/>
          <w:numId w:val="0"/>
        </w:numPr>
        <w:ind w:left="357" w:hanging="357"/>
        <w:rPr>
          <w:sz w:val="24"/>
        </w:rPr>
      </w:pPr>
      <w:r w:rsidRPr="00C17088">
        <w:rPr>
          <w:sz w:val="24"/>
        </w:rPr>
        <w:t>The DUSC requested that:</w:t>
      </w:r>
    </w:p>
    <w:p w:rsidR="00C17088" w:rsidRPr="00C17088" w:rsidRDefault="00C17088" w:rsidP="00C17088">
      <w:pPr>
        <w:pStyle w:val="PBACBullets"/>
        <w:rPr>
          <w:sz w:val="24"/>
        </w:rPr>
      </w:pPr>
      <w:r w:rsidRPr="00C17088">
        <w:rPr>
          <w:sz w:val="24"/>
        </w:rPr>
        <w:t xml:space="preserve"> the report be provided to the PBAC. </w:t>
      </w:r>
    </w:p>
    <w:p w:rsidR="00C17088" w:rsidRPr="00C17088" w:rsidRDefault="00C17088" w:rsidP="00C17088">
      <w:pPr>
        <w:pStyle w:val="PBACBullets"/>
        <w:rPr>
          <w:sz w:val="24"/>
        </w:rPr>
      </w:pPr>
      <w:r w:rsidRPr="00C17088">
        <w:rPr>
          <w:sz w:val="24"/>
        </w:rPr>
        <w:t>ASCIA and NPS MedicineWise be asked to provide education on appropriate use and wastage minimisation (e</w:t>
      </w:r>
      <w:r w:rsidR="00234E5D">
        <w:rPr>
          <w:sz w:val="24"/>
        </w:rPr>
        <w:t>.</w:t>
      </w:r>
      <w:r w:rsidRPr="00C17088">
        <w:rPr>
          <w:sz w:val="24"/>
        </w:rPr>
        <w:t xml:space="preserve">g. how to return expired injections </w:t>
      </w:r>
      <w:r w:rsidR="00F42418">
        <w:rPr>
          <w:sz w:val="24"/>
        </w:rPr>
        <w:t xml:space="preserve">to the sponsor </w:t>
      </w:r>
      <w:r w:rsidRPr="00C17088">
        <w:rPr>
          <w:sz w:val="24"/>
        </w:rPr>
        <w:t>for replacement).</w:t>
      </w:r>
    </w:p>
    <w:p w:rsidR="00C17088" w:rsidRPr="00C17088" w:rsidRDefault="00C17088" w:rsidP="00473311">
      <w:pPr>
        <w:pStyle w:val="PBACBullets"/>
        <w:spacing w:after="200"/>
        <w:rPr>
          <w:sz w:val="24"/>
        </w:rPr>
      </w:pPr>
      <w:r w:rsidRPr="00C17088">
        <w:rPr>
          <w:sz w:val="24"/>
        </w:rPr>
        <w:t xml:space="preserve">ASCIA be asked to provide their 2015 revised HAE Action Plan as soon as it is available so that </w:t>
      </w:r>
      <w:r w:rsidR="000219B6">
        <w:rPr>
          <w:sz w:val="24"/>
        </w:rPr>
        <w:t xml:space="preserve">the </w:t>
      </w:r>
      <w:r w:rsidRPr="00C17088">
        <w:rPr>
          <w:sz w:val="24"/>
        </w:rPr>
        <w:t xml:space="preserve">PBAC can assess any implications for the PBS restriction of icatibant. </w:t>
      </w:r>
    </w:p>
    <w:p w:rsidR="00C53C8B" w:rsidRDefault="00C53C8B" w:rsidP="00C53C8B">
      <w:pPr>
        <w:pStyle w:val="Heading4"/>
      </w:pPr>
      <w:r w:rsidRPr="0092516A">
        <w:t>Context for analysis</w:t>
      </w:r>
    </w:p>
    <w:p w:rsidR="00C53C8B" w:rsidRDefault="00C53C8B" w:rsidP="00C53C8B">
      <w:r>
        <w:t>The DUSC is a Sub Committee of the Pharmaceutical Benefits Advisory Committee (PBAC). The DUSC assesses estimates on projected usage and financial cost of medicines.</w:t>
      </w:r>
    </w:p>
    <w:p w:rsidR="00C53C8B" w:rsidRDefault="00C53C8B" w:rsidP="00C53C8B">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C53C8B" w:rsidRDefault="00C53C8B" w:rsidP="00C53C8B">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C53C8B" w:rsidRDefault="00C53C8B" w:rsidP="00C53C8B">
      <w:r>
        <w:t>The utilisation analysis report was provided to the pharmaceutical sponsors of each drug and comments on the report were provided to DUSC prior to its consideration of the analysis.</w:t>
      </w:r>
    </w:p>
    <w:p w:rsidR="00C53C8B" w:rsidRDefault="00C53C8B" w:rsidP="00C53C8B">
      <w:pPr>
        <w:pStyle w:val="Heading4"/>
      </w:pPr>
      <w:r>
        <w:lastRenderedPageBreak/>
        <w:t>Sponsor</w:t>
      </w:r>
      <w:r w:rsidRPr="0092516A">
        <w:t>s</w:t>
      </w:r>
      <w:r>
        <w:t>’</w:t>
      </w:r>
      <w:r w:rsidRPr="0092516A">
        <w:t xml:space="preserve"> comments</w:t>
      </w:r>
    </w:p>
    <w:p w:rsidR="00C53C8B" w:rsidRPr="00DF69C3" w:rsidRDefault="00C53C8B" w:rsidP="00C53C8B">
      <w:pPr>
        <w:pStyle w:val="ListParagraph"/>
        <w:numPr>
          <w:ilvl w:val="0"/>
          <w:numId w:val="13"/>
        </w:numPr>
      </w:pPr>
      <w:r w:rsidRPr="00DF69C3">
        <w:t>Shire Australia Pty. Limited</w:t>
      </w:r>
    </w:p>
    <w:p w:rsidR="00A00679" w:rsidRDefault="005F6057" w:rsidP="00DF69C3">
      <w:pPr>
        <w:rPr>
          <w:highlight w:val="yellow"/>
        </w:rPr>
      </w:pPr>
      <w:r w:rsidRPr="003A5F4A">
        <w:t>The DUSC analysis has clarified the number of patients accessing icatibant in the first two years of listing and provided insights into the patterns of script usage for this rare and spontaneous condition. Shire will continue to work with DUSC and PBAC to ensure appropriate patient access</w:t>
      </w:r>
      <w:r>
        <w:t>.</w:t>
      </w:r>
    </w:p>
    <w:p w:rsidR="00C53C8B" w:rsidRDefault="00C53C8B" w:rsidP="00C53C8B">
      <w:pPr>
        <w:pStyle w:val="Heading4"/>
      </w:pPr>
      <w:r w:rsidRPr="00A4020E">
        <w:t>Disclaimer</w:t>
      </w:r>
    </w:p>
    <w:p w:rsidR="00C53C8B" w:rsidRDefault="00C53C8B" w:rsidP="00C53C8B">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C53C8B" w:rsidRDefault="00C53C8B" w:rsidP="00C53C8B">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C53C8B" w:rsidRDefault="00C53C8B" w:rsidP="00C53C8B">
      <w:r>
        <w:t xml:space="preserve">To the extent provided by law, DoH makes no warranties or representations as to accuracy or completeness of information contained in this report. </w:t>
      </w:r>
    </w:p>
    <w:p w:rsidR="00C53C8B" w:rsidRDefault="00C53C8B" w:rsidP="00C53C8B">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FE645A" w:rsidRDefault="00FE645A">
      <w:pPr>
        <w:spacing w:line="276" w:lineRule="auto"/>
      </w:pPr>
    </w:p>
    <w:sectPr w:rsidR="00FE645A" w:rsidSect="00E57E23">
      <w:headerReference w:type="even" r:id="rId12"/>
      <w:headerReference w:type="default" r:id="rId13"/>
      <w:footerReference w:type="even" r:id="rId14"/>
      <w:footerReference w:type="default" r:id="rId15"/>
      <w:headerReference w:type="first" r:id="rId16"/>
      <w:footerReference w:type="first" r:id="rId1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CE" w:rsidRDefault="00110BCE" w:rsidP="00A35800">
      <w:r>
        <w:separator/>
      </w:r>
    </w:p>
  </w:endnote>
  <w:endnote w:type="continuationSeparator" w:id="0">
    <w:p w:rsidR="00110BCE" w:rsidRDefault="00110BCE"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6C" w:rsidRDefault="008B346C"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B346C" w:rsidRDefault="008B346C"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681072"/>
      <w:docPartObj>
        <w:docPartGallery w:val="Page Numbers (Bottom of Page)"/>
        <w:docPartUnique/>
      </w:docPartObj>
    </w:sdtPr>
    <w:sdtEndPr/>
    <w:sdtContent>
      <w:sdt>
        <w:sdtPr>
          <w:id w:val="-2084432587"/>
          <w:docPartObj>
            <w:docPartGallery w:val="Page Numbers (Top of Page)"/>
            <w:docPartUnique/>
          </w:docPartObj>
        </w:sdtPr>
        <w:sdtEndPr/>
        <w:sdtContent>
          <w:p w:rsidR="008B346C" w:rsidRPr="00CB6ABE" w:rsidRDefault="008B346C" w:rsidP="00E57E23">
            <w:pPr>
              <w:pStyle w:val="Footer"/>
              <w:jc w:val="center"/>
              <w:rPr>
                <w:i/>
                <w:sz w:val="20"/>
                <w:szCs w:val="20"/>
              </w:rPr>
            </w:pPr>
            <w:r>
              <w:rPr>
                <w:i/>
                <w:sz w:val="20"/>
                <w:szCs w:val="20"/>
              </w:rPr>
              <w:t>Public Release Document, June 2015 DUSC Meeting</w:t>
            </w:r>
          </w:p>
          <w:p w:rsidR="008B346C" w:rsidRDefault="008B346C" w:rsidP="00E57E23">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470D42">
              <w:rPr>
                <w:bCs/>
                <w:i/>
                <w:noProof/>
                <w:sz w:val="20"/>
                <w:szCs w:val="20"/>
              </w:rPr>
              <w:t>5</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470D42">
              <w:rPr>
                <w:bCs/>
                <w:i/>
                <w:noProof/>
                <w:sz w:val="20"/>
                <w:szCs w:val="20"/>
              </w:rPr>
              <w:t>19</w:t>
            </w:r>
            <w:r w:rsidRPr="00CB6ABE">
              <w:rPr>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90698"/>
      <w:docPartObj>
        <w:docPartGallery w:val="Page Numbers (Bottom of Page)"/>
        <w:docPartUnique/>
      </w:docPartObj>
    </w:sdtPr>
    <w:sdtEndPr/>
    <w:sdtContent>
      <w:sdt>
        <w:sdtPr>
          <w:id w:val="-2107178181"/>
          <w:docPartObj>
            <w:docPartGallery w:val="Page Numbers (Top of Page)"/>
            <w:docPartUnique/>
          </w:docPartObj>
        </w:sdtPr>
        <w:sdtEndPr/>
        <w:sdtContent>
          <w:p w:rsidR="008B346C" w:rsidRPr="00CB6ABE" w:rsidRDefault="008B346C" w:rsidP="00E57E23">
            <w:pPr>
              <w:pStyle w:val="Footer"/>
              <w:jc w:val="center"/>
              <w:rPr>
                <w:i/>
                <w:sz w:val="20"/>
                <w:szCs w:val="20"/>
              </w:rPr>
            </w:pPr>
            <w:r>
              <w:rPr>
                <w:i/>
                <w:sz w:val="20"/>
                <w:szCs w:val="20"/>
              </w:rPr>
              <w:t>Public Release Document, June 2015 DUSC Meeting</w:t>
            </w:r>
          </w:p>
          <w:p w:rsidR="008B346C" w:rsidRDefault="008B346C" w:rsidP="00E57E23">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Pr>
                <w:bCs/>
                <w:i/>
                <w:noProof/>
                <w:sz w:val="20"/>
                <w:szCs w:val="20"/>
              </w:rPr>
              <w:t>1</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470D42">
              <w:rPr>
                <w:bCs/>
                <w:i/>
                <w:noProof/>
                <w:sz w:val="20"/>
                <w:szCs w:val="20"/>
              </w:rPr>
              <w:t>19</w:t>
            </w:r>
            <w:r w:rsidRPr="00CB6ABE">
              <w:rPr>
                <w:bCs/>
                <w:i/>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CE" w:rsidRDefault="00110BCE" w:rsidP="00A35800">
      <w:r>
        <w:separator/>
      </w:r>
    </w:p>
  </w:footnote>
  <w:footnote w:type="continuationSeparator" w:id="0">
    <w:p w:rsidR="00110BCE" w:rsidRDefault="00110BCE" w:rsidP="00A35800">
      <w:r>
        <w:continuationSeparator/>
      </w:r>
    </w:p>
  </w:footnote>
  <w:footnote w:id="1">
    <w:p w:rsidR="008B346C" w:rsidRDefault="008B346C" w:rsidP="00223F0B">
      <w:pPr>
        <w:pStyle w:val="FootnoteText"/>
      </w:pPr>
      <w:r>
        <w:rPr>
          <w:rStyle w:val="FootnoteReference"/>
        </w:rPr>
        <w:footnoteRef/>
      </w:r>
      <w:r>
        <w:t xml:space="preserve"> Icatibant (Firazyr) Product Information. Available from </w:t>
      </w:r>
      <w:hyperlink r:id="rId1" w:history="1">
        <w:r w:rsidRPr="008616AB">
          <w:rPr>
            <w:rStyle w:val="Hyperlink"/>
          </w:rPr>
          <w:t>https://www.ebs.tga.gov.au</w:t>
        </w:r>
      </w:hyperlink>
      <w:r>
        <w:t>, Accessed 2 Mar 2015</w:t>
      </w:r>
    </w:p>
  </w:footnote>
  <w:footnote w:id="2">
    <w:p w:rsidR="008B346C" w:rsidRDefault="008B346C" w:rsidP="00223F0B">
      <w:pPr>
        <w:pStyle w:val="FootnoteText"/>
      </w:pPr>
      <w:r>
        <w:rPr>
          <w:rStyle w:val="FootnoteReference"/>
        </w:rPr>
        <w:footnoteRef/>
      </w:r>
      <w:r>
        <w:t xml:space="preserve"> Icatibant (Firazyr) Consumer Medicines Information, Available from </w:t>
      </w:r>
      <w:hyperlink r:id="rId2" w:history="1">
        <w:r w:rsidRPr="008616AB">
          <w:rPr>
            <w:rStyle w:val="Hyperlink"/>
          </w:rPr>
          <w:t>https://www.ebs.tga.gov.au</w:t>
        </w:r>
      </w:hyperlink>
      <w:r>
        <w:t>, Accessed 2 Mar 2015</w:t>
      </w:r>
    </w:p>
  </w:footnote>
  <w:footnote w:id="3">
    <w:p w:rsidR="008B346C" w:rsidRDefault="008B346C" w:rsidP="00223F0B">
      <w:pPr>
        <w:pStyle w:val="FootnoteText"/>
      </w:pPr>
      <w:r>
        <w:rPr>
          <w:rStyle w:val="FootnoteReference"/>
        </w:rPr>
        <w:footnoteRef/>
      </w:r>
      <w:r>
        <w:t xml:space="preserve"> Australasian Society of Clinical Immunology and Allergy, Position Paper on Hereditary Angioedema, 2012</w:t>
      </w:r>
    </w:p>
  </w:footnote>
  <w:footnote w:id="4">
    <w:p w:rsidR="008B346C" w:rsidRDefault="008B346C">
      <w:pPr>
        <w:pStyle w:val="FootnoteText"/>
      </w:pPr>
      <w:r>
        <w:rPr>
          <w:rStyle w:val="FootnoteReference"/>
        </w:rPr>
        <w:footnoteRef/>
      </w:r>
      <w:r>
        <w:t xml:space="preserve"> </w:t>
      </w:r>
      <w:r w:rsidRPr="00E10A30">
        <w:t>Fay A, M Abinun M. Current management of hereditary angio-oedema (C'1 esterase inhibitor deficiency). J Clin Pathol. 2002 April; 55(4): 266–270.</w:t>
      </w:r>
    </w:p>
  </w:footnote>
  <w:footnote w:id="5">
    <w:p w:rsidR="008B346C" w:rsidRDefault="008B346C">
      <w:pPr>
        <w:pStyle w:val="FootnoteText"/>
      </w:pPr>
      <w:r>
        <w:rPr>
          <w:rStyle w:val="FootnoteReference"/>
        </w:rPr>
        <w:footnoteRef/>
      </w:r>
      <w:r>
        <w:t xml:space="preserve"> </w:t>
      </w:r>
      <w:r w:rsidRPr="00E10A30">
        <w:t>Bowen et al. Hereditary angiodema; a current state of the art review, VII: Canadian Hungarian 2007 International Consensus Algorithm for the Diagnosis, Therapy and Management of Hereditary Angioedema. Ann Allergy Asthma Immunol. 2008: 100(Suppl 2): S30-S40</w:t>
      </w:r>
    </w:p>
  </w:footnote>
  <w:footnote w:id="6">
    <w:p w:rsidR="008B346C" w:rsidRDefault="008B346C" w:rsidP="00AB6764">
      <w:pPr>
        <w:pStyle w:val="FootnoteText"/>
      </w:pPr>
      <w:r>
        <w:rPr>
          <w:rStyle w:val="FootnoteReference"/>
        </w:rPr>
        <w:footnoteRef/>
      </w:r>
      <w:r>
        <w:t xml:space="preserve"> </w:t>
      </w:r>
      <w:r w:rsidRPr="00267F52">
        <w:t>Report JE049-5121 Additional Efficacy Analyses For Studies JE049 #2103 (FAST-1) and JE049 #2102 (FAST-2)</w:t>
      </w:r>
    </w:p>
  </w:footnote>
  <w:footnote w:id="7">
    <w:p w:rsidR="008B346C" w:rsidRDefault="008B346C" w:rsidP="00252DD7">
      <w:pPr>
        <w:pStyle w:val="FootnoteText"/>
      </w:pPr>
      <w:r>
        <w:rPr>
          <w:rStyle w:val="FootnoteReference"/>
        </w:rPr>
        <w:footnoteRef/>
      </w:r>
      <w:r>
        <w:t xml:space="preserve"> </w:t>
      </w:r>
      <w:r w:rsidRPr="00E10A30">
        <w:t>Bowen et al. Hereditary angiodema; a current state of the art review, VII: Canadian Hungarian 2007 International Consensus Algorithm for the Diagnosis, Therapy and Management of Hereditary Angioedema. Ann Allergy Asthma Immunol. 2008: 100(Suppl 2): S30-S40</w:t>
      </w:r>
    </w:p>
  </w:footnote>
  <w:footnote w:id="8">
    <w:p w:rsidR="008B346C" w:rsidRDefault="008B346C" w:rsidP="006A29C0">
      <w:pPr>
        <w:pStyle w:val="FootnoteText"/>
      </w:pPr>
      <w:r>
        <w:rPr>
          <w:rStyle w:val="FootnoteReference"/>
        </w:rPr>
        <w:footnoteRef/>
      </w:r>
      <w:r>
        <w:t xml:space="preserve"> </w:t>
      </w:r>
      <w:r w:rsidRPr="00C2406B">
        <w:t xml:space="preserve">Based on a pooled of analysis of </w:t>
      </w:r>
      <w:r>
        <w:t>FAST-1</w:t>
      </w:r>
      <w:r w:rsidRPr="00C2406B">
        <w:t xml:space="preserve"> and </w:t>
      </w:r>
      <w:r>
        <w:t>FAST-2</w:t>
      </w:r>
      <w:r w:rsidRPr="00C2406B">
        <w:t>;</w:t>
      </w:r>
      <w:r w:rsidRPr="00267F52">
        <w:t xml:space="preserve"> Report JE049-5121 Additional Efficacy Analyses For Studies JE049 #2103 (FAST-1) and JE049 #2102 (FAST-2)</w:t>
      </w:r>
    </w:p>
  </w:footnote>
  <w:footnote w:id="9">
    <w:p w:rsidR="008B346C" w:rsidRDefault="008B346C" w:rsidP="009B27CC">
      <w:pPr>
        <w:pStyle w:val="FootnoteText"/>
      </w:pPr>
      <w:r>
        <w:rPr>
          <w:rStyle w:val="FootnoteReference"/>
        </w:rPr>
        <w:footnoteRef/>
      </w:r>
      <w:r>
        <w:t xml:space="preserve"> </w:t>
      </w:r>
      <w:r w:rsidRPr="00AB3A30">
        <w:t>http://www.allergy.org.au/images/stories/pospapers/ASCIA_HP_Position_Paper_HAE_2012.pdf</w:t>
      </w:r>
    </w:p>
  </w:footnote>
  <w:footnote w:id="10">
    <w:p w:rsidR="008B346C" w:rsidRDefault="008B346C" w:rsidP="009B27CC">
      <w:pPr>
        <w:pStyle w:val="FootnoteText"/>
      </w:pPr>
      <w:r>
        <w:rPr>
          <w:rStyle w:val="FootnoteReference"/>
        </w:rPr>
        <w:footnoteRef/>
      </w:r>
      <w:r>
        <w:t xml:space="preserve"> </w:t>
      </w:r>
      <w:r w:rsidRPr="00E10A30">
        <w:t>Nzeako UC, Frigas E, Tremaine WJ. Hereditary angioedema: a broad review for clinicians. Archives of Internal Medicine 2001; 161:2417-29.</w:t>
      </w:r>
    </w:p>
  </w:footnote>
  <w:footnote w:id="11">
    <w:p w:rsidR="008B346C" w:rsidRDefault="008B346C" w:rsidP="009B27CC">
      <w:pPr>
        <w:pStyle w:val="FootnoteText"/>
      </w:pPr>
      <w:r>
        <w:rPr>
          <w:rStyle w:val="FootnoteReference"/>
        </w:rPr>
        <w:footnoteRef/>
      </w:r>
      <w:r>
        <w:t xml:space="preserve"> </w:t>
      </w:r>
      <w:r w:rsidRPr="00AB3A30">
        <w:t>Frank MM Urticaria and angioedema. In: Goldman L, Bennett JC, editor. Cecil Textbook of Medicine. 21 ed. Philadelphia: WB Saunders Co; 2000. p. 1440-5.</w:t>
      </w:r>
    </w:p>
  </w:footnote>
  <w:footnote w:id="12">
    <w:p w:rsidR="008B346C" w:rsidRDefault="008B346C" w:rsidP="009B27CC">
      <w:pPr>
        <w:pStyle w:val="FootnoteText"/>
      </w:pPr>
      <w:r>
        <w:rPr>
          <w:rStyle w:val="FootnoteReference"/>
        </w:rPr>
        <w:footnoteRef/>
      </w:r>
      <w:r>
        <w:t xml:space="preserve"> </w:t>
      </w:r>
      <w:r w:rsidRPr="00EE5209">
        <w:t>Zingale LC, Beltrami L, Zanichelli A, et al. Angioedema without urticaria: a large clinical survey. CMAJ 2006;175:1065-70</w:t>
      </w:r>
    </w:p>
  </w:footnote>
  <w:footnote w:id="13">
    <w:p w:rsidR="008B346C" w:rsidRDefault="008B346C" w:rsidP="009B27CC">
      <w:pPr>
        <w:pStyle w:val="FootnoteText"/>
      </w:pPr>
      <w:r>
        <w:rPr>
          <w:rStyle w:val="FootnoteReference"/>
        </w:rPr>
        <w:footnoteRef/>
      </w:r>
      <w:r>
        <w:t xml:space="preserve"> Roche et al. </w:t>
      </w:r>
      <w:r w:rsidRPr="008C568D">
        <w:t>Hereditary angioedema due to C1 inhibitor deficiency: patient registry and approach to the prevalence in Spain.</w:t>
      </w:r>
      <w:r>
        <w:t xml:space="preserve"> </w:t>
      </w:r>
      <w:r w:rsidRPr="008C568D">
        <w:t>Ann Allergy Asthma Immunol. 2005 Apr;94(4):498-503.</w:t>
      </w:r>
    </w:p>
  </w:footnote>
  <w:footnote w:id="14">
    <w:p w:rsidR="008B346C" w:rsidRDefault="008B346C" w:rsidP="009B27CC">
      <w:pPr>
        <w:pStyle w:val="FootnoteText"/>
      </w:pPr>
      <w:r>
        <w:rPr>
          <w:rStyle w:val="FootnoteReference"/>
        </w:rPr>
        <w:footnoteRef/>
      </w:r>
      <w:r>
        <w:t xml:space="preserve"> Roche et al. </w:t>
      </w:r>
      <w:r w:rsidRPr="008C568D">
        <w:t>Hereditary angioedema due to C1 inhibitor deficiency: patient registry and approach to the prevalence in Spain.</w:t>
      </w:r>
      <w:r>
        <w:t xml:space="preserve"> </w:t>
      </w:r>
      <w:r w:rsidRPr="008C568D">
        <w:t>Ann Allergy Asthma Immunol. 2005 Apr;94(4):498-503.</w:t>
      </w:r>
    </w:p>
  </w:footnote>
  <w:footnote w:id="15">
    <w:p w:rsidR="008B346C" w:rsidRDefault="008B346C">
      <w:pPr>
        <w:pStyle w:val="FootnoteText"/>
      </w:pPr>
      <w:r>
        <w:rPr>
          <w:rStyle w:val="FootnoteReference"/>
        </w:rPr>
        <w:footnoteRef/>
      </w:r>
      <w:r>
        <w:t xml:space="preserve"> Icatibant s</w:t>
      </w:r>
      <w:r w:rsidRPr="00735690">
        <w:t xml:space="preserve">ubmission to the </w:t>
      </w:r>
      <w:r>
        <w:t xml:space="preserve">July 2011 </w:t>
      </w:r>
      <w:r w:rsidRPr="00735690">
        <w:t>PBAC (p. 51)</w:t>
      </w:r>
    </w:p>
  </w:footnote>
  <w:footnote w:id="16">
    <w:p w:rsidR="008B346C" w:rsidRDefault="008B346C" w:rsidP="00ED3887">
      <w:pPr>
        <w:rPr>
          <w:rFonts w:ascii="Arial" w:hAnsi="Arial" w:cs="Arial"/>
          <w:sz w:val="18"/>
          <w:szCs w:val="18"/>
        </w:rPr>
      </w:pPr>
      <w:r>
        <w:rPr>
          <w:rStyle w:val="FootnoteReference"/>
        </w:rPr>
        <w:footnoteRef/>
      </w:r>
      <w:r>
        <w:t xml:space="preserve"> </w:t>
      </w:r>
      <w:hyperlink r:id="rId3" w:history="1">
        <w:r>
          <w:rPr>
            <w:rStyle w:val="Hyperlink"/>
            <w:rFonts w:ascii="Arial" w:hAnsi="Arial" w:cs="Arial"/>
            <w:sz w:val="18"/>
            <w:szCs w:val="18"/>
          </w:rPr>
          <w:t>http://www.msac.gov.au/internet/msac/publishing.nsf/Content/1394-public</w:t>
        </w:r>
      </w:hyperlink>
    </w:p>
    <w:p w:rsidR="008B346C" w:rsidRDefault="008B346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6C" w:rsidRDefault="008B34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6C" w:rsidRDefault="008B34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6C" w:rsidRDefault="008B3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945"/>
    <w:multiLevelType w:val="hybridMultilevel"/>
    <w:tmpl w:val="5F3AB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26222B"/>
    <w:multiLevelType w:val="hybridMultilevel"/>
    <w:tmpl w:val="F27AE1F6"/>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BE0963"/>
    <w:multiLevelType w:val="hybridMultilevel"/>
    <w:tmpl w:val="7608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61561B"/>
    <w:multiLevelType w:val="hybridMultilevel"/>
    <w:tmpl w:val="3BF48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C91187"/>
    <w:multiLevelType w:val="hybridMultilevel"/>
    <w:tmpl w:val="4336E4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1087A0D"/>
    <w:multiLevelType w:val="hybridMultilevel"/>
    <w:tmpl w:val="1A7C4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E75F44"/>
    <w:multiLevelType w:val="hybridMultilevel"/>
    <w:tmpl w:val="F9004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2F3065D"/>
    <w:multiLevelType w:val="hybridMultilevel"/>
    <w:tmpl w:val="A70E3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55D1F0C"/>
    <w:multiLevelType w:val="hybridMultilevel"/>
    <w:tmpl w:val="7722B70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A7035FD"/>
    <w:multiLevelType w:val="hybridMultilevel"/>
    <w:tmpl w:val="DD989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CBB47EA"/>
    <w:multiLevelType w:val="hybridMultilevel"/>
    <w:tmpl w:val="53405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0CB12C9"/>
    <w:multiLevelType w:val="hybridMultilevel"/>
    <w:tmpl w:val="C3E4A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18576CF"/>
    <w:multiLevelType w:val="hybridMultilevel"/>
    <w:tmpl w:val="7A20C27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6EF26EE"/>
    <w:multiLevelType w:val="hybridMultilevel"/>
    <w:tmpl w:val="0CC64EF4"/>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1F2E99"/>
    <w:multiLevelType w:val="hybridMultilevel"/>
    <w:tmpl w:val="C0DAE8D2"/>
    <w:lvl w:ilvl="0" w:tplc="AF12C708">
      <w:start w:val="1"/>
      <w:numFmt w:val="bullet"/>
      <w:pStyle w:val="Body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2B11BD"/>
    <w:multiLevelType w:val="hybridMultilevel"/>
    <w:tmpl w:val="06AA25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97A2AAD"/>
    <w:multiLevelType w:val="hybridMultilevel"/>
    <w:tmpl w:val="B526E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A0A4BB5"/>
    <w:multiLevelType w:val="hybridMultilevel"/>
    <w:tmpl w:val="566E2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436DCF"/>
    <w:multiLevelType w:val="multilevel"/>
    <w:tmpl w:val="1A323E2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i w:val="0"/>
        <w:iCs w:val="0"/>
        <w:caps w:val="0"/>
        <w:strike w:val="0"/>
        <w:dstrike w:val="0"/>
        <w:outline w:val="0"/>
        <w:shadow w:val="0"/>
        <w:emboss w:val="0"/>
        <w:imprint w:val="0"/>
        <w:vanish w:val="0"/>
        <w:spacing w:val="0"/>
        <w:position w:val="0"/>
        <w:u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48D855B2"/>
    <w:multiLevelType w:val="hybridMultilevel"/>
    <w:tmpl w:val="953C89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155BEE"/>
    <w:multiLevelType w:val="hybridMultilevel"/>
    <w:tmpl w:val="13560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A6719E2"/>
    <w:multiLevelType w:val="hybridMultilevel"/>
    <w:tmpl w:val="BB949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D76109"/>
    <w:multiLevelType w:val="hybridMultilevel"/>
    <w:tmpl w:val="E4729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96E09FB"/>
    <w:multiLevelType w:val="hybridMultilevel"/>
    <w:tmpl w:val="27AEB856"/>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DD6697"/>
    <w:multiLevelType w:val="hybridMultilevel"/>
    <w:tmpl w:val="16424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4208B5"/>
    <w:multiLevelType w:val="hybridMultilevel"/>
    <w:tmpl w:val="86BC7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95E133F"/>
    <w:multiLevelType w:val="hybridMultilevel"/>
    <w:tmpl w:val="E49E1F04"/>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8F4A77"/>
    <w:multiLevelType w:val="hybridMultilevel"/>
    <w:tmpl w:val="65445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2880EB7"/>
    <w:multiLevelType w:val="hybridMultilevel"/>
    <w:tmpl w:val="BDF05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4D27BB1"/>
    <w:multiLevelType w:val="hybridMultilevel"/>
    <w:tmpl w:val="23828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5"/>
  </w:num>
  <w:num w:numId="3">
    <w:abstractNumId w:val="19"/>
  </w:num>
  <w:num w:numId="4">
    <w:abstractNumId w:val="2"/>
  </w:num>
  <w:num w:numId="5">
    <w:abstractNumId w:val="1"/>
  </w:num>
  <w:num w:numId="6">
    <w:abstractNumId w:val="10"/>
  </w:num>
  <w:num w:numId="7">
    <w:abstractNumId w:val="20"/>
  </w:num>
  <w:num w:numId="8">
    <w:abstractNumId w:val="21"/>
  </w:num>
  <w:num w:numId="9">
    <w:abstractNumId w:val="23"/>
  </w:num>
  <w:num w:numId="10">
    <w:abstractNumId w:val="6"/>
  </w:num>
  <w:num w:numId="11">
    <w:abstractNumId w:val="26"/>
  </w:num>
  <w:num w:numId="12">
    <w:abstractNumId w:val="11"/>
  </w:num>
  <w:num w:numId="13">
    <w:abstractNumId w:val="28"/>
  </w:num>
  <w:num w:numId="14">
    <w:abstractNumId w:val="16"/>
  </w:num>
  <w:num w:numId="15">
    <w:abstractNumId w:val="27"/>
  </w:num>
  <w:num w:numId="16">
    <w:abstractNumId w:val="25"/>
  </w:num>
  <w:num w:numId="17">
    <w:abstractNumId w:val="12"/>
  </w:num>
  <w:num w:numId="18">
    <w:abstractNumId w:val="14"/>
  </w:num>
  <w:num w:numId="19">
    <w:abstractNumId w:val="24"/>
  </w:num>
  <w:num w:numId="20">
    <w:abstractNumId w:val="30"/>
  </w:num>
  <w:num w:numId="21">
    <w:abstractNumId w:val="22"/>
  </w:num>
  <w:num w:numId="22">
    <w:abstractNumId w:val="18"/>
  </w:num>
  <w:num w:numId="23">
    <w:abstractNumId w:val="0"/>
  </w:num>
  <w:num w:numId="24">
    <w:abstractNumId w:val="3"/>
  </w:num>
  <w:num w:numId="25">
    <w:abstractNumId w:val="8"/>
  </w:num>
  <w:num w:numId="26">
    <w:abstractNumId w:val="9"/>
  </w:num>
  <w:num w:numId="27">
    <w:abstractNumId w:val="17"/>
  </w:num>
  <w:num w:numId="28">
    <w:abstractNumId w:val="13"/>
  </w:num>
  <w:num w:numId="29">
    <w:abstractNumId w:val="4"/>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removeDateAndTime/>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85A"/>
    <w:rsid w:val="000020CD"/>
    <w:rsid w:val="000024C9"/>
    <w:rsid w:val="00005E1C"/>
    <w:rsid w:val="00007CE4"/>
    <w:rsid w:val="000111B0"/>
    <w:rsid w:val="000124AD"/>
    <w:rsid w:val="000219B6"/>
    <w:rsid w:val="0003479C"/>
    <w:rsid w:val="0004359B"/>
    <w:rsid w:val="00044F77"/>
    <w:rsid w:val="00047BBC"/>
    <w:rsid w:val="000618E8"/>
    <w:rsid w:val="00066F59"/>
    <w:rsid w:val="00072D2F"/>
    <w:rsid w:val="0007317D"/>
    <w:rsid w:val="00077489"/>
    <w:rsid w:val="00080FFF"/>
    <w:rsid w:val="000844EA"/>
    <w:rsid w:val="000874E3"/>
    <w:rsid w:val="00090B80"/>
    <w:rsid w:val="0009117B"/>
    <w:rsid w:val="000928B1"/>
    <w:rsid w:val="000947EE"/>
    <w:rsid w:val="00094DCF"/>
    <w:rsid w:val="000A06F2"/>
    <w:rsid w:val="000A2198"/>
    <w:rsid w:val="000B119F"/>
    <w:rsid w:val="000B234C"/>
    <w:rsid w:val="000B32F8"/>
    <w:rsid w:val="000B796C"/>
    <w:rsid w:val="000C165F"/>
    <w:rsid w:val="000C213D"/>
    <w:rsid w:val="000C46BB"/>
    <w:rsid w:val="000C5F41"/>
    <w:rsid w:val="000C772C"/>
    <w:rsid w:val="000C7D8B"/>
    <w:rsid w:val="000E07E5"/>
    <w:rsid w:val="000E097F"/>
    <w:rsid w:val="000E0DDE"/>
    <w:rsid w:val="000E485D"/>
    <w:rsid w:val="000F2F51"/>
    <w:rsid w:val="000F483A"/>
    <w:rsid w:val="000F4BC6"/>
    <w:rsid w:val="001011C8"/>
    <w:rsid w:val="00110BCE"/>
    <w:rsid w:val="00113D74"/>
    <w:rsid w:val="00114ADD"/>
    <w:rsid w:val="0011516B"/>
    <w:rsid w:val="00117C5C"/>
    <w:rsid w:val="00121E17"/>
    <w:rsid w:val="001274F9"/>
    <w:rsid w:val="00132A0B"/>
    <w:rsid w:val="001377F2"/>
    <w:rsid w:val="00140835"/>
    <w:rsid w:val="001420B3"/>
    <w:rsid w:val="00144399"/>
    <w:rsid w:val="00146B42"/>
    <w:rsid w:val="00150472"/>
    <w:rsid w:val="001541B1"/>
    <w:rsid w:val="0015691C"/>
    <w:rsid w:val="00160D77"/>
    <w:rsid w:val="00163840"/>
    <w:rsid w:val="00165F8E"/>
    <w:rsid w:val="00167256"/>
    <w:rsid w:val="00170146"/>
    <w:rsid w:val="00176882"/>
    <w:rsid w:val="00177B27"/>
    <w:rsid w:val="00177C08"/>
    <w:rsid w:val="00180199"/>
    <w:rsid w:val="001836E7"/>
    <w:rsid w:val="00184745"/>
    <w:rsid w:val="0018597B"/>
    <w:rsid w:val="00190920"/>
    <w:rsid w:val="00197317"/>
    <w:rsid w:val="001B0B40"/>
    <w:rsid w:val="001B555A"/>
    <w:rsid w:val="001B5D37"/>
    <w:rsid w:val="001C4016"/>
    <w:rsid w:val="001C56C6"/>
    <w:rsid w:val="001C5F25"/>
    <w:rsid w:val="001C64CA"/>
    <w:rsid w:val="001D14A6"/>
    <w:rsid w:val="001D3155"/>
    <w:rsid w:val="001D7C54"/>
    <w:rsid w:val="001E31A6"/>
    <w:rsid w:val="001E3F75"/>
    <w:rsid w:val="001E4CAB"/>
    <w:rsid w:val="001E5A69"/>
    <w:rsid w:val="001E77D4"/>
    <w:rsid w:val="001F1318"/>
    <w:rsid w:val="001F2F3E"/>
    <w:rsid w:val="001F4906"/>
    <w:rsid w:val="00202576"/>
    <w:rsid w:val="00207561"/>
    <w:rsid w:val="00207793"/>
    <w:rsid w:val="00210ABB"/>
    <w:rsid w:val="00214013"/>
    <w:rsid w:val="00216328"/>
    <w:rsid w:val="00220088"/>
    <w:rsid w:val="002223B7"/>
    <w:rsid w:val="00223F0B"/>
    <w:rsid w:val="002275A5"/>
    <w:rsid w:val="00230068"/>
    <w:rsid w:val="00230D70"/>
    <w:rsid w:val="00234E5D"/>
    <w:rsid w:val="00234FA9"/>
    <w:rsid w:val="00235EA9"/>
    <w:rsid w:val="002362AC"/>
    <w:rsid w:val="0025236C"/>
    <w:rsid w:val="00252DD7"/>
    <w:rsid w:val="00253B37"/>
    <w:rsid w:val="00256563"/>
    <w:rsid w:val="002576BF"/>
    <w:rsid w:val="00261FB1"/>
    <w:rsid w:val="002674DA"/>
    <w:rsid w:val="00267F52"/>
    <w:rsid w:val="00270D62"/>
    <w:rsid w:val="00271A5C"/>
    <w:rsid w:val="002739B3"/>
    <w:rsid w:val="002746DA"/>
    <w:rsid w:val="002760EA"/>
    <w:rsid w:val="00280169"/>
    <w:rsid w:val="00290293"/>
    <w:rsid w:val="00290443"/>
    <w:rsid w:val="00290B14"/>
    <w:rsid w:val="00294EEE"/>
    <w:rsid w:val="00296DBD"/>
    <w:rsid w:val="002A0963"/>
    <w:rsid w:val="002A4294"/>
    <w:rsid w:val="002A480A"/>
    <w:rsid w:val="002A7BF9"/>
    <w:rsid w:val="002B198C"/>
    <w:rsid w:val="002C31DE"/>
    <w:rsid w:val="002C4118"/>
    <w:rsid w:val="002C4558"/>
    <w:rsid w:val="002C6E0C"/>
    <w:rsid w:val="002D0FC0"/>
    <w:rsid w:val="002D1C17"/>
    <w:rsid w:val="002D27A0"/>
    <w:rsid w:val="002E3337"/>
    <w:rsid w:val="002F2201"/>
    <w:rsid w:val="002F49A8"/>
    <w:rsid w:val="002F5762"/>
    <w:rsid w:val="002F61CA"/>
    <w:rsid w:val="00306B99"/>
    <w:rsid w:val="00307CA4"/>
    <w:rsid w:val="00307D6E"/>
    <w:rsid w:val="003120CD"/>
    <w:rsid w:val="00312792"/>
    <w:rsid w:val="0032027C"/>
    <w:rsid w:val="003260E9"/>
    <w:rsid w:val="00336813"/>
    <w:rsid w:val="003370D0"/>
    <w:rsid w:val="003379A1"/>
    <w:rsid w:val="00340554"/>
    <w:rsid w:val="00340F95"/>
    <w:rsid w:val="0035116E"/>
    <w:rsid w:val="003531ED"/>
    <w:rsid w:val="00356D2A"/>
    <w:rsid w:val="00357681"/>
    <w:rsid w:val="00362059"/>
    <w:rsid w:val="00362EDB"/>
    <w:rsid w:val="0036367D"/>
    <w:rsid w:val="00367FBD"/>
    <w:rsid w:val="0037625F"/>
    <w:rsid w:val="003772D7"/>
    <w:rsid w:val="003838D7"/>
    <w:rsid w:val="0038654E"/>
    <w:rsid w:val="0039017F"/>
    <w:rsid w:val="00393071"/>
    <w:rsid w:val="00395255"/>
    <w:rsid w:val="003B3FCF"/>
    <w:rsid w:val="003B53ED"/>
    <w:rsid w:val="003B7580"/>
    <w:rsid w:val="003C1337"/>
    <w:rsid w:val="003C3576"/>
    <w:rsid w:val="003D126D"/>
    <w:rsid w:val="003D2752"/>
    <w:rsid w:val="003D67C7"/>
    <w:rsid w:val="003E23FD"/>
    <w:rsid w:val="003E5ADB"/>
    <w:rsid w:val="003F2B4D"/>
    <w:rsid w:val="003F3585"/>
    <w:rsid w:val="003F7A38"/>
    <w:rsid w:val="00401E65"/>
    <w:rsid w:val="00404077"/>
    <w:rsid w:val="0041118D"/>
    <w:rsid w:val="00411981"/>
    <w:rsid w:val="004160CB"/>
    <w:rsid w:val="00426992"/>
    <w:rsid w:val="00443D47"/>
    <w:rsid w:val="004504AF"/>
    <w:rsid w:val="004529D9"/>
    <w:rsid w:val="004559D1"/>
    <w:rsid w:val="00455CD6"/>
    <w:rsid w:val="004610FE"/>
    <w:rsid w:val="00465EEB"/>
    <w:rsid w:val="00470D42"/>
    <w:rsid w:val="00472440"/>
    <w:rsid w:val="004732F7"/>
    <w:rsid w:val="00473311"/>
    <w:rsid w:val="00476B3C"/>
    <w:rsid w:val="00481108"/>
    <w:rsid w:val="00481B90"/>
    <w:rsid w:val="0048542D"/>
    <w:rsid w:val="0049042B"/>
    <w:rsid w:val="0049559C"/>
    <w:rsid w:val="004A10C6"/>
    <w:rsid w:val="004A458E"/>
    <w:rsid w:val="004A7D4E"/>
    <w:rsid w:val="004B1B4C"/>
    <w:rsid w:val="004B23E7"/>
    <w:rsid w:val="004B25A7"/>
    <w:rsid w:val="004B2884"/>
    <w:rsid w:val="004B306F"/>
    <w:rsid w:val="004B7F01"/>
    <w:rsid w:val="004C0F62"/>
    <w:rsid w:val="004C3186"/>
    <w:rsid w:val="004C5042"/>
    <w:rsid w:val="005012F9"/>
    <w:rsid w:val="00503998"/>
    <w:rsid w:val="0050623B"/>
    <w:rsid w:val="00507C47"/>
    <w:rsid w:val="005107E9"/>
    <w:rsid w:val="00513935"/>
    <w:rsid w:val="0051634A"/>
    <w:rsid w:val="0052183E"/>
    <w:rsid w:val="0052305B"/>
    <w:rsid w:val="00523336"/>
    <w:rsid w:val="005252D7"/>
    <w:rsid w:val="00525F08"/>
    <w:rsid w:val="005301AB"/>
    <w:rsid w:val="0053379D"/>
    <w:rsid w:val="005339F6"/>
    <w:rsid w:val="00543960"/>
    <w:rsid w:val="00545A14"/>
    <w:rsid w:val="00546E41"/>
    <w:rsid w:val="0055229D"/>
    <w:rsid w:val="00555911"/>
    <w:rsid w:val="00557636"/>
    <w:rsid w:val="00560F87"/>
    <w:rsid w:val="00561D89"/>
    <w:rsid w:val="00562E55"/>
    <w:rsid w:val="00562F71"/>
    <w:rsid w:val="00565608"/>
    <w:rsid w:val="005668B2"/>
    <w:rsid w:val="00571FA3"/>
    <w:rsid w:val="005728C5"/>
    <w:rsid w:val="00573B79"/>
    <w:rsid w:val="00576779"/>
    <w:rsid w:val="005812BB"/>
    <w:rsid w:val="00586805"/>
    <w:rsid w:val="00587724"/>
    <w:rsid w:val="00591512"/>
    <w:rsid w:val="005A5710"/>
    <w:rsid w:val="005A6731"/>
    <w:rsid w:val="005B48B4"/>
    <w:rsid w:val="005C1601"/>
    <w:rsid w:val="005C46C7"/>
    <w:rsid w:val="005C5D78"/>
    <w:rsid w:val="005C5E77"/>
    <w:rsid w:val="005C6661"/>
    <w:rsid w:val="005D23C5"/>
    <w:rsid w:val="005D3D3E"/>
    <w:rsid w:val="005D4652"/>
    <w:rsid w:val="005D4768"/>
    <w:rsid w:val="005D485B"/>
    <w:rsid w:val="005D723E"/>
    <w:rsid w:val="005E147D"/>
    <w:rsid w:val="005E170B"/>
    <w:rsid w:val="005E22C2"/>
    <w:rsid w:val="005E3B35"/>
    <w:rsid w:val="005F6057"/>
    <w:rsid w:val="006014F1"/>
    <w:rsid w:val="006027B0"/>
    <w:rsid w:val="00602B2E"/>
    <w:rsid w:val="00604235"/>
    <w:rsid w:val="00605771"/>
    <w:rsid w:val="006079D6"/>
    <w:rsid w:val="006112D6"/>
    <w:rsid w:val="00613474"/>
    <w:rsid w:val="00621392"/>
    <w:rsid w:val="00622C3F"/>
    <w:rsid w:val="00623038"/>
    <w:rsid w:val="0062455E"/>
    <w:rsid w:val="00624FF2"/>
    <w:rsid w:val="00633C24"/>
    <w:rsid w:val="00634A5B"/>
    <w:rsid w:val="00634BAB"/>
    <w:rsid w:val="006350E3"/>
    <w:rsid w:val="0063631C"/>
    <w:rsid w:val="00637C69"/>
    <w:rsid w:val="00650C3B"/>
    <w:rsid w:val="006537D9"/>
    <w:rsid w:val="00657ED8"/>
    <w:rsid w:val="00665DEF"/>
    <w:rsid w:val="00667E20"/>
    <w:rsid w:val="00671296"/>
    <w:rsid w:val="00675BB1"/>
    <w:rsid w:val="006776B3"/>
    <w:rsid w:val="006925E6"/>
    <w:rsid w:val="006A29C0"/>
    <w:rsid w:val="006A44F5"/>
    <w:rsid w:val="006A6B48"/>
    <w:rsid w:val="006A7758"/>
    <w:rsid w:val="006B4537"/>
    <w:rsid w:val="006B5694"/>
    <w:rsid w:val="006B709B"/>
    <w:rsid w:val="006C4354"/>
    <w:rsid w:val="006D1BEB"/>
    <w:rsid w:val="006E0162"/>
    <w:rsid w:val="006E0181"/>
    <w:rsid w:val="006E26D7"/>
    <w:rsid w:val="006E4EAF"/>
    <w:rsid w:val="006E60F0"/>
    <w:rsid w:val="006F62A5"/>
    <w:rsid w:val="00703B71"/>
    <w:rsid w:val="00705DAD"/>
    <w:rsid w:val="00705DE9"/>
    <w:rsid w:val="0071431D"/>
    <w:rsid w:val="00715009"/>
    <w:rsid w:val="00716A37"/>
    <w:rsid w:val="00720E7F"/>
    <w:rsid w:val="007219DD"/>
    <w:rsid w:val="007235F4"/>
    <w:rsid w:val="007247B9"/>
    <w:rsid w:val="00727D85"/>
    <w:rsid w:val="00730B86"/>
    <w:rsid w:val="007346C7"/>
    <w:rsid w:val="00734F47"/>
    <w:rsid w:val="00735690"/>
    <w:rsid w:val="00736041"/>
    <w:rsid w:val="007373EA"/>
    <w:rsid w:val="00737887"/>
    <w:rsid w:val="007408C7"/>
    <w:rsid w:val="007412B1"/>
    <w:rsid w:val="0074146E"/>
    <w:rsid w:val="00743DE9"/>
    <w:rsid w:val="007527F3"/>
    <w:rsid w:val="00752C37"/>
    <w:rsid w:val="00752C7F"/>
    <w:rsid w:val="00752E57"/>
    <w:rsid w:val="007632A5"/>
    <w:rsid w:val="00765B2F"/>
    <w:rsid w:val="00771D87"/>
    <w:rsid w:val="00776194"/>
    <w:rsid w:val="00776598"/>
    <w:rsid w:val="007775B2"/>
    <w:rsid w:val="007820B1"/>
    <w:rsid w:val="0078251F"/>
    <w:rsid w:val="0078332F"/>
    <w:rsid w:val="00791FCB"/>
    <w:rsid w:val="00796E84"/>
    <w:rsid w:val="00797C48"/>
    <w:rsid w:val="007A000F"/>
    <w:rsid w:val="007A69E6"/>
    <w:rsid w:val="007B4152"/>
    <w:rsid w:val="007B41C4"/>
    <w:rsid w:val="007B4D13"/>
    <w:rsid w:val="007B4F27"/>
    <w:rsid w:val="007B6CE8"/>
    <w:rsid w:val="007B72B5"/>
    <w:rsid w:val="007C0625"/>
    <w:rsid w:val="007C5664"/>
    <w:rsid w:val="007D5609"/>
    <w:rsid w:val="007D621F"/>
    <w:rsid w:val="007E2AA0"/>
    <w:rsid w:val="007E3EB2"/>
    <w:rsid w:val="007E7239"/>
    <w:rsid w:val="007F0334"/>
    <w:rsid w:val="007F7335"/>
    <w:rsid w:val="0080208E"/>
    <w:rsid w:val="00802485"/>
    <w:rsid w:val="0080553F"/>
    <w:rsid w:val="008142B4"/>
    <w:rsid w:val="00814552"/>
    <w:rsid w:val="00816F93"/>
    <w:rsid w:val="008309D7"/>
    <w:rsid w:val="00832324"/>
    <w:rsid w:val="008363F9"/>
    <w:rsid w:val="008366D4"/>
    <w:rsid w:val="0084051A"/>
    <w:rsid w:val="0084097A"/>
    <w:rsid w:val="00844171"/>
    <w:rsid w:val="00845019"/>
    <w:rsid w:val="008468CB"/>
    <w:rsid w:val="0085037B"/>
    <w:rsid w:val="0085666F"/>
    <w:rsid w:val="008615ED"/>
    <w:rsid w:val="00872016"/>
    <w:rsid w:val="00873FF4"/>
    <w:rsid w:val="00874BC1"/>
    <w:rsid w:val="008A0D51"/>
    <w:rsid w:val="008A1788"/>
    <w:rsid w:val="008A3BB3"/>
    <w:rsid w:val="008B25D9"/>
    <w:rsid w:val="008B346C"/>
    <w:rsid w:val="008B4E63"/>
    <w:rsid w:val="008C2200"/>
    <w:rsid w:val="008C2A1B"/>
    <w:rsid w:val="008C3DEE"/>
    <w:rsid w:val="008C568D"/>
    <w:rsid w:val="008C74DF"/>
    <w:rsid w:val="008D0F1B"/>
    <w:rsid w:val="008D1692"/>
    <w:rsid w:val="008D1B7F"/>
    <w:rsid w:val="008E13E9"/>
    <w:rsid w:val="008F098C"/>
    <w:rsid w:val="008F2913"/>
    <w:rsid w:val="00902FD0"/>
    <w:rsid w:val="00903C26"/>
    <w:rsid w:val="009053D3"/>
    <w:rsid w:val="0090616C"/>
    <w:rsid w:val="0091024B"/>
    <w:rsid w:val="00917251"/>
    <w:rsid w:val="0093088D"/>
    <w:rsid w:val="0093111F"/>
    <w:rsid w:val="009347F8"/>
    <w:rsid w:val="00935689"/>
    <w:rsid w:val="00940B39"/>
    <w:rsid w:val="00941F7B"/>
    <w:rsid w:val="0094233D"/>
    <w:rsid w:val="00946943"/>
    <w:rsid w:val="00947999"/>
    <w:rsid w:val="0095044B"/>
    <w:rsid w:val="009531AA"/>
    <w:rsid w:val="009602A6"/>
    <w:rsid w:val="00965EF7"/>
    <w:rsid w:val="009663B6"/>
    <w:rsid w:val="00967F54"/>
    <w:rsid w:val="009770D4"/>
    <w:rsid w:val="00980286"/>
    <w:rsid w:val="00982C08"/>
    <w:rsid w:val="00984FAA"/>
    <w:rsid w:val="00985E0C"/>
    <w:rsid w:val="00986617"/>
    <w:rsid w:val="00993B8F"/>
    <w:rsid w:val="00994FD6"/>
    <w:rsid w:val="009A4CD6"/>
    <w:rsid w:val="009B27CC"/>
    <w:rsid w:val="009B304B"/>
    <w:rsid w:val="009B3434"/>
    <w:rsid w:val="009B3F7C"/>
    <w:rsid w:val="009B4362"/>
    <w:rsid w:val="009C070B"/>
    <w:rsid w:val="009C0886"/>
    <w:rsid w:val="009C2972"/>
    <w:rsid w:val="009C35F2"/>
    <w:rsid w:val="009C77F5"/>
    <w:rsid w:val="009C7F1C"/>
    <w:rsid w:val="009D14F8"/>
    <w:rsid w:val="009E21A7"/>
    <w:rsid w:val="009F1BA0"/>
    <w:rsid w:val="009F54F2"/>
    <w:rsid w:val="009F69A2"/>
    <w:rsid w:val="00A00679"/>
    <w:rsid w:val="00A103ED"/>
    <w:rsid w:val="00A1144C"/>
    <w:rsid w:val="00A128BF"/>
    <w:rsid w:val="00A13C60"/>
    <w:rsid w:val="00A246B9"/>
    <w:rsid w:val="00A2512D"/>
    <w:rsid w:val="00A25808"/>
    <w:rsid w:val="00A25A8B"/>
    <w:rsid w:val="00A311A4"/>
    <w:rsid w:val="00A34614"/>
    <w:rsid w:val="00A35800"/>
    <w:rsid w:val="00A37EC6"/>
    <w:rsid w:val="00A406C0"/>
    <w:rsid w:val="00A40976"/>
    <w:rsid w:val="00A409E1"/>
    <w:rsid w:val="00A61C2C"/>
    <w:rsid w:val="00A62B6E"/>
    <w:rsid w:val="00A65966"/>
    <w:rsid w:val="00A66FEE"/>
    <w:rsid w:val="00A70A3A"/>
    <w:rsid w:val="00A84CAD"/>
    <w:rsid w:val="00A90E50"/>
    <w:rsid w:val="00A94802"/>
    <w:rsid w:val="00AA1686"/>
    <w:rsid w:val="00AA19DA"/>
    <w:rsid w:val="00AA2941"/>
    <w:rsid w:val="00AA2BE1"/>
    <w:rsid w:val="00AA3326"/>
    <w:rsid w:val="00AA58F2"/>
    <w:rsid w:val="00AA6B27"/>
    <w:rsid w:val="00AB3733"/>
    <w:rsid w:val="00AB3A30"/>
    <w:rsid w:val="00AB4331"/>
    <w:rsid w:val="00AB6764"/>
    <w:rsid w:val="00AB6B2B"/>
    <w:rsid w:val="00AB7C52"/>
    <w:rsid w:val="00AC0149"/>
    <w:rsid w:val="00AC0736"/>
    <w:rsid w:val="00AC0BB4"/>
    <w:rsid w:val="00AC707E"/>
    <w:rsid w:val="00AD41BA"/>
    <w:rsid w:val="00AE5211"/>
    <w:rsid w:val="00AE6A1B"/>
    <w:rsid w:val="00AF643D"/>
    <w:rsid w:val="00B02FA0"/>
    <w:rsid w:val="00B05310"/>
    <w:rsid w:val="00B1341F"/>
    <w:rsid w:val="00B24F17"/>
    <w:rsid w:val="00B30D85"/>
    <w:rsid w:val="00B34327"/>
    <w:rsid w:val="00B40948"/>
    <w:rsid w:val="00B45FAA"/>
    <w:rsid w:val="00B46AF9"/>
    <w:rsid w:val="00B46E9D"/>
    <w:rsid w:val="00B562F4"/>
    <w:rsid w:val="00B65DAB"/>
    <w:rsid w:val="00B66B5E"/>
    <w:rsid w:val="00B671D3"/>
    <w:rsid w:val="00B84298"/>
    <w:rsid w:val="00B9120F"/>
    <w:rsid w:val="00B924A4"/>
    <w:rsid w:val="00B934E3"/>
    <w:rsid w:val="00B937A0"/>
    <w:rsid w:val="00B96207"/>
    <w:rsid w:val="00BA3F06"/>
    <w:rsid w:val="00BB0D1A"/>
    <w:rsid w:val="00BB0F56"/>
    <w:rsid w:val="00BB1D3B"/>
    <w:rsid w:val="00BB3EF5"/>
    <w:rsid w:val="00BB4C89"/>
    <w:rsid w:val="00BB4DB5"/>
    <w:rsid w:val="00BC06BB"/>
    <w:rsid w:val="00BC0E8F"/>
    <w:rsid w:val="00BC35ED"/>
    <w:rsid w:val="00BC6777"/>
    <w:rsid w:val="00BD41D8"/>
    <w:rsid w:val="00BE042B"/>
    <w:rsid w:val="00BE35EF"/>
    <w:rsid w:val="00BF238E"/>
    <w:rsid w:val="00BF3727"/>
    <w:rsid w:val="00BF37D0"/>
    <w:rsid w:val="00BF6BC3"/>
    <w:rsid w:val="00C0076F"/>
    <w:rsid w:val="00C00961"/>
    <w:rsid w:val="00C01518"/>
    <w:rsid w:val="00C01668"/>
    <w:rsid w:val="00C032EC"/>
    <w:rsid w:val="00C040A4"/>
    <w:rsid w:val="00C04D44"/>
    <w:rsid w:val="00C068B2"/>
    <w:rsid w:val="00C1003B"/>
    <w:rsid w:val="00C10F12"/>
    <w:rsid w:val="00C11F7D"/>
    <w:rsid w:val="00C154E4"/>
    <w:rsid w:val="00C17088"/>
    <w:rsid w:val="00C23D22"/>
    <w:rsid w:val="00C24253"/>
    <w:rsid w:val="00C245EA"/>
    <w:rsid w:val="00C3332A"/>
    <w:rsid w:val="00C3417E"/>
    <w:rsid w:val="00C366CB"/>
    <w:rsid w:val="00C409C4"/>
    <w:rsid w:val="00C40EA4"/>
    <w:rsid w:val="00C41246"/>
    <w:rsid w:val="00C433B1"/>
    <w:rsid w:val="00C45E5F"/>
    <w:rsid w:val="00C46129"/>
    <w:rsid w:val="00C502A4"/>
    <w:rsid w:val="00C53C8B"/>
    <w:rsid w:val="00C53E4A"/>
    <w:rsid w:val="00C57837"/>
    <w:rsid w:val="00C610F6"/>
    <w:rsid w:val="00C63FB1"/>
    <w:rsid w:val="00C64020"/>
    <w:rsid w:val="00C64A35"/>
    <w:rsid w:val="00C65FCF"/>
    <w:rsid w:val="00C714D0"/>
    <w:rsid w:val="00C8637C"/>
    <w:rsid w:val="00C87109"/>
    <w:rsid w:val="00C87EDC"/>
    <w:rsid w:val="00C922AA"/>
    <w:rsid w:val="00C922B8"/>
    <w:rsid w:val="00C92A68"/>
    <w:rsid w:val="00C957CA"/>
    <w:rsid w:val="00CB0D45"/>
    <w:rsid w:val="00CB189B"/>
    <w:rsid w:val="00CB3A95"/>
    <w:rsid w:val="00CC0A45"/>
    <w:rsid w:val="00CC120D"/>
    <w:rsid w:val="00CC2212"/>
    <w:rsid w:val="00CC5BD6"/>
    <w:rsid w:val="00CC62B1"/>
    <w:rsid w:val="00CD1E1C"/>
    <w:rsid w:val="00CD5A16"/>
    <w:rsid w:val="00CD6DF2"/>
    <w:rsid w:val="00CD7AE8"/>
    <w:rsid w:val="00CE0EE6"/>
    <w:rsid w:val="00CE27A5"/>
    <w:rsid w:val="00CF0756"/>
    <w:rsid w:val="00CF18AC"/>
    <w:rsid w:val="00CF43E9"/>
    <w:rsid w:val="00CF6E2A"/>
    <w:rsid w:val="00CF7642"/>
    <w:rsid w:val="00D05E89"/>
    <w:rsid w:val="00D0644F"/>
    <w:rsid w:val="00D11B12"/>
    <w:rsid w:val="00D1373B"/>
    <w:rsid w:val="00D141B4"/>
    <w:rsid w:val="00D14446"/>
    <w:rsid w:val="00D151EB"/>
    <w:rsid w:val="00D16348"/>
    <w:rsid w:val="00D1778F"/>
    <w:rsid w:val="00D21E6B"/>
    <w:rsid w:val="00D2320F"/>
    <w:rsid w:val="00D2472A"/>
    <w:rsid w:val="00D247DC"/>
    <w:rsid w:val="00D33489"/>
    <w:rsid w:val="00D4364F"/>
    <w:rsid w:val="00D45B70"/>
    <w:rsid w:val="00D47736"/>
    <w:rsid w:val="00D511D6"/>
    <w:rsid w:val="00D5394F"/>
    <w:rsid w:val="00D54A58"/>
    <w:rsid w:val="00D62575"/>
    <w:rsid w:val="00D640DD"/>
    <w:rsid w:val="00D650CE"/>
    <w:rsid w:val="00D66B44"/>
    <w:rsid w:val="00D67123"/>
    <w:rsid w:val="00D7151F"/>
    <w:rsid w:val="00D73447"/>
    <w:rsid w:val="00D748D6"/>
    <w:rsid w:val="00D80ABF"/>
    <w:rsid w:val="00D81EF3"/>
    <w:rsid w:val="00D8563C"/>
    <w:rsid w:val="00D858AB"/>
    <w:rsid w:val="00D8758B"/>
    <w:rsid w:val="00D93575"/>
    <w:rsid w:val="00DA3333"/>
    <w:rsid w:val="00DA5FB8"/>
    <w:rsid w:val="00DA7D09"/>
    <w:rsid w:val="00DA7E8E"/>
    <w:rsid w:val="00DA7FC7"/>
    <w:rsid w:val="00DB6D75"/>
    <w:rsid w:val="00DC094B"/>
    <w:rsid w:val="00DC3DD5"/>
    <w:rsid w:val="00DC49E9"/>
    <w:rsid w:val="00DC7626"/>
    <w:rsid w:val="00DC7915"/>
    <w:rsid w:val="00DD2B4F"/>
    <w:rsid w:val="00DD407E"/>
    <w:rsid w:val="00DE0B96"/>
    <w:rsid w:val="00DE35E0"/>
    <w:rsid w:val="00DE59C2"/>
    <w:rsid w:val="00DE660E"/>
    <w:rsid w:val="00DF0B13"/>
    <w:rsid w:val="00DF2EB8"/>
    <w:rsid w:val="00DF4A94"/>
    <w:rsid w:val="00DF69C3"/>
    <w:rsid w:val="00E00A0E"/>
    <w:rsid w:val="00E024BC"/>
    <w:rsid w:val="00E066C3"/>
    <w:rsid w:val="00E06703"/>
    <w:rsid w:val="00E10A30"/>
    <w:rsid w:val="00E1353A"/>
    <w:rsid w:val="00E1564B"/>
    <w:rsid w:val="00E208A0"/>
    <w:rsid w:val="00E27874"/>
    <w:rsid w:val="00E308AF"/>
    <w:rsid w:val="00E34BB7"/>
    <w:rsid w:val="00E35165"/>
    <w:rsid w:val="00E35DA4"/>
    <w:rsid w:val="00E37C69"/>
    <w:rsid w:val="00E42134"/>
    <w:rsid w:val="00E42CD2"/>
    <w:rsid w:val="00E43B95"/>
    <w:rsid w:val="00E4473A"/>
    <w:rsid w:val="00E516D4"/>
    <w:rsid w:val="00E57E23"/>
    <w:rsid w:val="00E62964"/>
    <w:rsid w:val="00E6396A"/>
    <w:rsid w:val="00E63FED"/>
    <w:rsid w:val="00E65CFE"/>
    <w:rsid w:val="00E677DD"/>
    <w:rsid w:val="00E70ACF"/>
    <w:rsid w:val="00E74532"/>
    <w:rsid w:val="00E77263"/>
    <w:rsid w:val="00E7734C"/>
    <w:rsid w:val="00E80F59"/>
    <w:rsid w:val="00E871B4"/>
    <w:rsid w:val="00E90585"/>
    <w:rsid w:val="00E943FD"/>
    <w:rsid w:val="00EA3794"/>
    <w:rsid w:val="00EA734D"/>
    <w:rsid w:val="00EA7A51"/>
    <w:rsid w:val="00EB2811"/>
    <w:rsid w:val="00EB3B81"/>
    <w:rsid w:val="00EB47EE"/>
    <w:rsid w:val="00EB6C07"/>
    <w:rsid w:val="00EB7A34"/>
    <w:rsid w:val="00EC028D"/>
    <w:rsid w:val="00ED29FF"/>
    <w:rsid w:val="00ED3887"/>
    <w:rsid w:val="00ED633B"/>
    <w:rsid w:val="00EE478C"/>
    <w:rsid w:val="00EE5209"/>
    <w:rsid w:val="00F03A02"/>
    <w:rsid w:val="00F03A1F"/>
    <w:rsid w:val="00F04734"/>
    <w:rsid w:val="00F05F95"/>
    <w:rsid w:val="00F142FA"/>
    <w:rsid w:val="00F15958"/>
    <w:rsid w:val="00F227AD"/>
    <w:rsid w:val="00F23E8E"/>
    <w:rsid w:val="00F2583A"/>
    <w:rsid w:val="00F26285"/>
    <w:rsid w:val="00F30D8C"/>
    <w:rsid w:val="00F3169A"/>
    <w:rsid w:val="00F33797"/>
    <w:rsid w:val="00F35DD5"/>
    <w:rsid w:val="00F3771B"/>
    <w:rsid w:val="00F37AA7"/>
    <w:rsid w:val="00F400C0"/>
    <w:rsid w:val="00F42418"/>
    <w:rsid w:val="00F4553F"/>
    <w:rsid w:val="00F470B1"/>
    <w:rsid w:val="00F5052D"/>
    <w:rsid w:val="00F533B6"/>
    <w:rsid w:val="00F54172"/>
    <w:rsid w:val="00F56413"/>
    <w:rsid w:val="00F60063"/>
    <w:rsid w:val="00F65B34"/>
    <w:rsid w:val="00F72356"/>
    <w:rsid w:val="00F750C4"/>
    <w:rsid w:val="00F75AF8"/>
    <w:rsid w:val="00F8075B"/>
    <w:rsid w:val="00F80B49"/>
    <w:rsid w:val="00F85BD4"/>
    <w:rsid w:val="00F870F7"/>
    <w:rsid w:val="00F87263"/>
    <w:rsid w:val="00F94F7F"/>
    <w:rsid w:val="00F957FB"/>
    <w:rsid w:val="00F97E5A"/>
    <w:rsid w:val="00FA0CD4"/>
    <w:rsid w:val="00FA197D"/>
    <w:rsid w:val="00FA377D"/>
    <w:rsid w:val="00FA38B3"/>
    <w:rsid w:val="00FA5D10"/>
    <w:rsid w:val="00FB1D7A"/>
    <w:rsid w:val="00FB3011"/>
    <w:rsid w:val="00FB77FA"/>
    <w:rsid w:val="00FC272A"/>
    <w:rsid w:val="00FC3C8D"/>
    <w:rsid w:val="00FC4A73"/>
    <w:rsid w:val="00FC50F0"/>
    <w:rsid w:val="00FC559C"/>
    <w:rsid w:val="00FD456E"/>
    <w:rsid w:val="00FD5F39"/>
    <w:rsid w:val="00FD6164"/>
    <w:rsid w:val="00FE645A"/>
    <w:rsid w:val="00FF0280"/>
    <w:rsid w:val="00FF11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6112D6"/>
    <w:rPr>
      <w:color w:val="0000FF" w:themeColor="hyperlink"/>
      <w:u w:val="single"/>
    </w:rPr>
  </w:style>
  <w:style w:type="paragraph" w:styleId="ListParagraph">
    <w:name w:val="List Paragraph"/>
    <w:basedOn w:val="Normal"/>
    <w:link w:val="ListParagraphChar"/>
    <w:uiPriority w:val="34"/>
    <w:qFormat/>
    <w:rsid w:val="00F65B34"/>
    <w:pPr>
      <w:ind w:left="720"/>
      <w:contextualSpacing/>
    </w:pPr>
  </w:style>
  <w:style w:type="paragraph" w:styleId="BodyText">
    <w:name w:val="Body Text"/>
    <w:aliases w:val="ExecSummTextText"/>
    <w:basedOn w:val="Normal"/>
    <w:link w:val="BodyTextChar"/>
    <w:uiPriority w:val="99"/>
    <w:unhideWhenUsed/>
    <w:rsid w:val="00C65FCF"/>
    <w:pPr>
      <w:numPr>
        <w:numId w:val="2"/>
      </w:numPr>
      <w:spacing w:after="120"/>
    </w:pPr>
    <w:rPr>
      <w:rFonts w:ascii="Arial" w:eastAsia="Times New Roman" w:hAnsi="Arial" w:cs="Times New Roman"/>
      <w:sz w:val="20"/>
      <w:lang w:eastAsia="en-US"/>
    </w:rPr>
  </w:style>
  <w:style w:type="character" w:customStyle="1" w:styleId="BodyTextChar">
    <w:name w:val="Body Text Char"/>
    <w:aliases w:val="ExecSummTextText Char"/>
    <w:basedOn w:val="DefaultParagraphFont"/>
    <w:link w:val="BodyText"/>
    <w:uiPriority w:val="99"/>
    <w:rsid w:val="00C65FCF"/>
    <w:rPr>
      <w:rFonts w:ascii="Arial" w:eastAsia="Times New Roman" w:hAnsi="Arial" w:cs="Times New Roman"/>
      <w:sz w:val="20"/>
      <w:szCs w:val="24"/>
      <w:lang w:eastAsia="en-US"/>
    </w:rPr>
  </w:style>
  <w:style w:type="paragraph" w:styleId="EndnoteText">
    <w:name w:val="endnote text"/>
    <w:basedOn w:val="Normal"/>
    <w:link w:val="EndnoteTextChar"/>
    <w:uiPriority w:val="99"/>
    <w:semiHidden/>
    <w:unhideWhenUsed/>
    <w:rsid w:val="008F098C"/>
    <w:pPr>
      <w:spacing w:after="0"/>
    </w:pPr>
    <w:rPr>
      <w:sz w:val="20"/>
      <w:szCs w:val="20"/>
    </w:rPr>
  </w:style>
  <w:style w:type="character" w:customStyle="1" w:styleId="EndnoteTextChar">
    <w:name w:val="Endnote Text Char"/>
    <w:basedOn w:val="DefaultParagraphFont"/>
    <w:link w:val="EndnoteText"/>
    <w:uiPriority w:val="99"/>
    <w:semiHidden/>
    <w:rsid w:val="008F098C"/>
    <w:rPr>
      <w:sz w:val="20"/>
      <w:szCs w:val="20"/>
    </w:rPr>
  </w:style>
  <w:style w:type="character" w:styleId="EndnoteReference">
    <w:name w:val="endnote reference"/>
    <w:basedOn w:val="DefaultParagraphFont"/>
    <w:uiPriority w:val="99"/>
    <w:semiHidden/>
    <w:unhideWhenUsed/>
    <w:rsid w:val="008F098C"/>
    <w:rPr>
      <w:vertAlign w:val="superscript"/>
    </w:rPr>
  </w:style>
  <w:style w:type="character" w:styleId="FollowedHyperlink">
    <w:name w:val="FollowedHyperlink"/>
    <w:basedOn w:val="DefaultParagraphFont"/>
    <w:uiPriority w:val="99"/>
    <w:semiHidden/>
    <w:unhideWhenUsed/>
    <w:rsid w:val="0062455E"/>
    <w:rPr>
      <w:color w:val="800080" w:themeColor="followedHyperlink"/>
      <w:u w:val="single"/>
    </w:rPr>
  </w:style>
  <w:style w:type="paragraph" w:customStyle="1" w:styleId="DepartmentalHeading3">
    <w:name w:val="Departmental Heading 3"/>
    <w:basedOn w:val="Heading3"/>
    <w:rsid w:val="002A480A"/>
    <w:pPr>
      <w:keepNext/>
      <w:spacing w:after="60"/>
    </w:pPr>
    <w:rPr>
      <w:rFonts w:ascii="Arial" w:eastAsia="Times New Roman" w:hAnsi="Arial" w:cs="Times New Roman"/>
      <w:b w:val="0"/>
      <w:i/>
      <w:sz w:val="24"/>
      <w:szCs w:val="20"/>
    </w:rPr>
  </w:style>
  <w:style w:type="paragraph" w:customStyle="1" w:styleId="Default">
    <w:name w:val="Default"/>
    <w:rsid w:val="000618E8"/>
    <w:pPr>
      <w:autoSpaceDE w:val="0"/>
      <w:autoSpaceDN w:val="0"/>
      <w:adjustRightInd w:val="0"/>
      <w:spacing w:after="0" w:line="240" w:lineRule="auto"/>
    </w:pPr>
    <w:rPr>
      <w:rFonts w:ascii="Calibri" w:hAnsi="Calibri" w:cs="Calibri"/>
      <w:color w:val="000000"/>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
    <w:basedOn w:val="Normal"/>
    <w:next w:val="Normal"/>
    <w:link w:val="CaptionChar"/>
    <w:qFormat/>
    <w:rsid w:val="007A000F"/>
    <w:pPr>
      <w:keepNext/>
      <w:keepLines/>
      <w:spacing w:after="0" w:line="320" w:lineRule="exact"/>
    </w:pPr>
    <w:rPr>
      <w:rFonts w:ascii="Arial" w:eastAsia="Times New Roman" w:hAnsi="Arial" w:cs="Times New Roman"/>
      <w:b/>
      <w:bCs/>
      <w:sz w:val="22"/>
      <w:szCs w:val="22"/>
      <w:lang w:val="x-none" w:eastAsia="x-none"/>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7A000F"/>
    <w:rPr>
      <w:rFonts w:ascii="Arial" w:eastAsia="Times New Roman" w:hAnsi="Arial" w:cs="Times New Roman"/>
      <w:b/>
      <w:bCs/>
      <w:lang w:val="x-none" w:eastAsia="x-none"/>
    </w:rPr>
  </w:style>
  <w:style w:type="paragraph" w:customStyle="1" w:styleId="TableText">
    <w:name w:val="Table Text"/>
    <w:basedOn w:val="Normal"/>
    <w:qFormat/>
    <w:rsid w:val="007A000F"/>
    <w:pPr>
      <w:spacing w:before="80" w:after="80"/>
    </w:pPr>
    <w:rPr>
      <w:rFonts w:ascii="Arial" w:eastAsia="Times New Roman" w:hAnsi="Arial" w:cs="Times New Roman"/>
      <w:sz w:val="20"/>
      <w:szCs w:val="22"/>
    </w:rPr>
  </w:style>
  <w:style w:type="character" w:customStyle="1" w:styleId="ListParagraphChar">
    <w:name w:val="List Paragraph Char"/>
    <w:link w:val="ListParagraph"/>
    <w:uiPriority w:val="72"/>
    <w:rsid w:val="00D81EF3"/>
    <w:rPr>
      <w:sz w:val="24"/>
      <w:szCs w:val="24"/>
    </w:rPr>
  </w:style>
  <w:style w:type="paragraph" w:styleId="Revision">
    <w:name w:val="Revision"/>
    <w:hidden/>
    <w:uiPriority w:val="99"/>
    <w:semiHidden/>
    <w:rsid w:val="00230D70"/>
    <w:pPr>
      <w:spacing w:after="0" w:line="240" w:lineRule="auto"/>
    </w:pPr>
    <w:rPr>
      <w:sz w:val="24"/>
      <w:szCs w:val="24"/>
    </w:rPr>
  </w:style>
  <w:style w:type="paragraph" w:customStyle="1" w:styleId="PBACBullets">
    <w:name w:val="PBAC Bullets"/>
    <w:basedOn w:val="Normal"/>
    <w:qFormat/>
    <w:rsid w:val="002B198C"/>
    <w:pPr>
      <w:numPr>
        <w:numId w:val="28"/>
      </w:numPr>
      <w:spacing w:before="240" w:after="60"/>
      <w:ind w:left="357" w:hanging="357"/>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6112D6"/>
    <w:rPr>
      <w:color w:val="0000FF" w:themeColor="hyperlink"/>
      <w:u w:val="single"/>
    </w:rPr>
  </w:style>
  <w:style w:type="paragraph" w:styleId="ListParagraph">
    <w:name w:val="List Paragraph"/>
    <w:basedOn w:val="Normal"/>
    <w:link w:val="ListParagraphChar"/>
    <w:uiPriority w:val="34"/>
    <w:qFormat/>
    <w:rsid w:val="00F65B34"/>
    <w:pPr>
      <w:ind w:left="720"/>
      <w:contextualSpacing/>
    </w:pPr>
  </w:style>
  <w:style w:type="paragraph" w:styleId="BodyText">
    <w:name w:val="Body Text"/>
    <w:aliases w:val="ExecSummTextText"/>
    <w:basedOn w:val="Normal"/>
    <w:link w:val="BodyTextChar"/>
    <w:uiPriority w:val="99"/>
    <w:unhideWhenUsed/>
    <w:rsid w:val="00C65FCF"/>
    <w:pPr>
      <w:numPr>
        <w:numId w:val="2"/>
      </w:numPr>
      <w:spacing w:after="120"/>
    </w:pPr>
    <w:rPr>
      <w:rFonts w:ascii="Arial" w:eastAsia="Times New Roman" w:hAnsi="Arial" w:cs="Times New Roman"/>
      <w:sz w:val="20"/>
      <w:lang w:eastAsia="en-US"/>
    </w:rPr>
  </w:style>
  <w:style w:type="character" w:customStyle="1" w:styleId="BodyTextChar">
    <w:name w:val="Body Text Char"/>
    <w:aliases w:val="ExecSummTextText Char"/>
    <w:basedOn w:val="DefaultParagraphFont"/>
    <w:link w:val="BodyText"/>
    <w:uiPriority w:val="99"/>
    <w:rsid w:val="00C65FCF"/>
    <w:rPr>
      <w:rFonts w:ascii="Arial" w:eastAsia="Times New Roman" w:hAnsi="Arial" w:cs="Times New Roman"/>
      <w:sz w:val="20"/>
      <w:szCs w:val="24"/>
      <w:lang w:eastAsia="en-US"/>
    </w:rPr>
  </w:style>
  <w:style w:type="paragraph" w:styleId="EndnoteText">
    <w:name w:val="endnote text"/>
    <w:basedOn w:val="Normal"/>
    <w:link w:val="EndnoteTextChar"/>
    <w:uiPriority w:val="99"/>
    <w:semiHidden/>
    <w:unhideWhenUsed/>
    <w:rsid w:val="008F098C"/>
    <w:pPr>
      <w:spacing w:after="0"/>
    </w:pPr>
    <w:rPr>
      <w:sz w:val="20"/>
      <w:szCs w:val="20"/>
    </w:rPr>
  </w:style>
  <w:style w:type="character" w:customStyle="1" w:styleId="EndnoteTextChar">
    <w:name w:val="Endnote Text Char"/>
    <w:basedOn w:val="DefaultParagraphFont"/>
    <w:link w:val="EndnoteText"/>
    <w:uiPriority w:val="99"/>
    <w:semiHidden/>
    <w:rsid w:val="008F098C"/>
    <w:rPr>
      <w:sz w:val="20"/>
      <w:szCs w:val="20"/>
    </w:rPr>
  </w:style>
  <w:style w:type="character" w:styleId="EndnoteReference">
    <w:name w:val="endnote reference"/>
    <w:basedOn w:val="DefaultParagraphFont"/>
    <w:uiPriority w:val="99"/>
    <w:semiHidden/>
    <w:unhideWhenUsed/>
    <w:rsid w:val="008F098C"/>
    <w:rPr>
      <w:vertAlign w:val="superscript"/>
    </w:rPr>
  </w:style>
  <w:style w:type="character" w:styleId="FollowedHyperlink">
    <w:name w:val="FollowedHyperlink"/>
    <w:basedOn w:val="DefaultParagraphFont"/>
    <w:uiPriority w:val="99"/>
    <w:semiHidden/>
    <w:unhideWhenUsed/>
    <w:rsid w:val="0062455E"/>
    <w:rPr>
      <w:color w:val="800080" w:themeColor="followedHyperlink"/>
      <w:u w:val="single"/>
    </w:rPr>
  </w:style>
  <w:style w:type="paragraph" w:customStyle="1" w:styleId="DepartmentalHeading3">
    <w:name w:val="Departmental Heading 3"/>
    <w:basedOn w:val="Heading3"/>
    <w:rsid w:val="002A480A"/>
    <w:pPr>
      <w:keepNext/>
      <w:spacing w:after="60"/>
    </w:pPr>
    <w:rPr>
      <w:rFonts w:ascii="Arial" w:eastAsia="Times New Roman" w:hAnsi="Arial" w:cs="Times New Roman"/>
      <w:b w:val="0"/>
      <w:i/>
      <w:sz w:val="24"/>
      <w:szCs w:val="20"/>
    </w:rPr>
  </w:style>
  <w:style w:type="paragraph" w:customStyle="1" w:styleId="Default">
    <w:name w:val="Default"/>
    <w:rsid w:val="000618E8"/>
    <w:pPr>
      <w:autoSpaceDE w:val="0"/>
      <w:autoSpaceDN w:val="0"/>
      <w:adjustRightInd w:val="0"/>
      <w:spacing w:after="0" w:line="240" w:lineRule="auto"/>
    </w:pPr>
    <w:rPr>
      <w:rFonts w:ascii="Calibri" w:hAnsi="Calibri" w:cs="Calibri"/>
      <w:color w:val="000000"/>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
    <w:basedOn w:val="Normal"/>
    <w:next w:val="Normal"/>
    <w:link w:val="CaptionChar"/>
    <w:qFormat/>
    <w:rsid w:val="007A000F"/>
    <w:pPr>
      <w:keepNext/>
      <w:keepLines/>
      <w:spacing w:after="0" w:line="320" w:lineRule="exact"/>
    </w:pPr>
    <w:rPr>
      <w:rFonts w:ascii="Arial" w:eastAsia="Times New Roman" w:hAnsi="Arial" w:cs="Times New Roman"/>
      <w:b/>
      <w:bCs/>
      <w:sz w:val="22"/>
      <w:szCs w:val="22"/>
      <w:lang w:val="x-none" w:eastAsia="x-none"/>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7A000F"/>
    <w:rPr>
      <w:rFonts w:ascii="Arial" w:eastAsia="Times New Roman" w:hAnsi="Arial" w:cs="Times New Roman"/>
      <w:b/>
      <w:bCs/>
      <w:lang w:val="x-none" w:eastAsia="x-none"/>
    </w:rPr>
  </w:style>
  <w:style w:type="paragraph" w:customStyle="1" w:styleId="TableText">
    <w:name w:val="Table Text"/>
    <w:basedOn w:val="Normal"/>
    <w:qFormat/>
    <w:rsid w:val="007A000F"/>
    <w:pPr>
      <w:spacing w:before="80" w:after="80"/>
    </w:pPr>
    <w:rPr>
      <w:rFonts w:ascii="Arial" w:eastAsia="Times New Roman" w:hAnsi="Arial" w:cs="Times New Roman"/>
      <w:sz w:val="20"/>
      <w:szCs w:val="22"/>
    </w:rPr>
  </w:style>
  <w:style w:type="character" w:customStyle="1" w:styleId="ListParagraphChar">
    <w:name w:val="List Paragraph Char"/>
    <w:link w:val="ListParagraph"/>
    <w:uiPriority w:val="72"/>
    <w:rsid w:val="00D81EF3"/>
    <w:rPr>
      <w:sz w:val="24"/>
      <w:szCs w:val="24"/>
    </w:rPr>
  </w:style>
  <w:style w:type="paragraph" w:styleId="Revision">
    <w:name w:val="Revision"/>
    <w:hidden/>
    <w:uiPriority w:val="99"/>
    <w:semiHidden/>
    <w:rsid w:val="00230D70"/>
    <w:pPr>
      <w:spacing w:after="0" w:line="240" w:lineRule="auto"/>
    </w:pPr>
    <w:rPr>
      <w:sz w:val="24"/>
      <w:szCs w:val="24"/>
    </w:rPr>
  </w:style>
  <w:style w:type="paragraph" w:customStyle="1" w:styleId="PBACBullets">
    <w:name w:val="PBAC Bullets"/>
    <w:basedOn w:val="Normal"/>
    <w:qFormat/>
    <w:rsid w:val="002B198C"/>
    <w:pPr>
      <w:numPr>
        <w:numId w:val="28"/>
      </w:numPr>
      <w:spacing w:before="240" w:after="60"/>
      <w:ind w:left="357" w:hanging="357"/>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192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35178813">
      <w:bodyDiv w:val="1"/>
      <w:marLeft w:val="0"/>
      <w:marRight w:val="0"/>
      <w:marTop w:val="0"/>
      <w:marBottom w:val="0"/>
      <w:divBdr>
        <w:top w:val="none" w:sz="0" w:space="0" w:color="auto"/>
        <w:left w:val="none" w:sz="0" w:space="0" w:color="auto"/>
        <w:bottom w:val="none" w:sz="0" w:space="0" w:color="auto"/>
        <w:right w:val="none" w:sz="0" w:space="0" w:color="auto"/>
      </w:divBdr>
    </w:div>
    <w:div w:id="593826706">
      <w:bodyDiv w:val="1"/>
      <w:marLeft w:val="0"/>
      <w:marRight w:val="0"/>
      <w:marTop w:val="0"/>
      <w:marBottom w:val="0"/>
      <w:divBdr>
        <w:top w:val="none" w:sz="0" w:space="0" w:color="auto"/>
        <w:left w:val="none" w:sz="0" w:space="0" w:color="auto"/>
        <w:bottom w:val="none" w:sz="0" w:space="0" w:color="auto"/>
        <w:right w:val="none" w:sz="0" w:space="0" w:color="auto"/>
      </w:divBdr>
    </w:div>
    <w:div w:id="939919472">
      <w:bodyDiv w:val="1"/>
      <w:marLeft w:val="0"/>
      <w:marRight w:val="0"/>
      <w:marTop w:val="0"/>
      <w:marBottom w:val="0"/>
      <w:divBdr>
        <w:top w:val="none" w:sz="0" w:space="0" w:color="auto"/>
        <w:left w:val="none" w:sz="0" w:space="0" w:color="auto"/>
        <w:bottom w:val="none" w:sz="0" w:space="0" w:color="auto"/>
        <w:right w:val="none" w:sz="0" w:space="0" w:color="auto"/>
      </w:divBdr>
    </w:div>
    <w:div w:id="940987030">
      <w:bodyDiv w:val="1"/>
      <w:marLeft w:val="0"/>
      <w:marRight w:val="0"/>
      <w:marTop w:val="0"/>
      <w:marBottom w:val="0"/>
      <w:divBdr>
        <w:top w:val="none" w:sz="0" w:space="0" w:color="auto"/>
        <w:left w:val="none" w:sz="0" w:space="0" w:color="auto"/>
        <w:bottom w:val="none" w:sz="0" w:space="0" w:color="auto"/>
        <w:right w:val="none" w:sz="0" w:space="0" w:color="auto"/>
      </w:divBdr>
    </w:div>
    <w:div w:id="1176847253">
      <w:bodyDiv w:val="1"/>
      <w:marLeft w:val="0"/>
      <w:marRight w:val="0"/>
      <w:marTop w:val="0"/>
      <w:marBottom w:val="0"/>
      <w:divBdr>
        <w:top w:val="none" w:sz="0" w:space="0" w:color="auto"/>
        <w:left w:val="none" w:sz="0" w:space="0" w:color="auto"/>
        <w:bottom w:val="none" w:sz="0" w:space="0" w:color="auto"/>
        <w:right w:val="none" w:sz="0" w:space="0" w:color="auto"/>
      </w:divBdr>
    </w:div>
    <w:div w:id="1248540815">
      <w:bodyDiv w:val="1"/>
      <w:marLeft w:val="0"/>
      <w:marRight w:val="0"/>
      <w:marTop w:val="0"/>
      <w:marBottom w:val="0"/>
      <w:divBdr>
        <w:top w:val="none" w:sz="0" w:space="0" w:color="auto"/>
        <w:left w:val="none" w:sz="0" w:space="0" w:color="auto"/>
        <w:bottom w:val="none" w:sz="0" w:space="0" w:color="auto"/>
        <w:right w:val="none" w:sz="0" w:space="0" w:color="auto"/>
      </w:divBdr>
    </w:div>
    <w:div w:id="1252813734">
      <w:bodyDiv w:val="1"/>
      <w:marLeft w:val="0"/>
      <w:marRight w:val="0"/>
      <w:marTop w:val="0"/>
      <w:marBottom w:val="0"/>
      <w:divBdr>
        <w:top w:val="none" w:sz="0" w:space="0" w:color="auto"/>
        <w:left w:val="none" w:sz="0" w:space="0" w:color="auto"/>
        <w:bottom w:val="none" w:sz="0" w:space="0" w:color="auto"/>
        <w:right w:val="none" w:sz="0" w:space="0" w:color="auto"/>
      </w:divBdr>
    </w:div>
    <w:div w:id="1392146354">
      <w:bodyDiv w:val="1"/>
      <w:marLeft w:val="0"/>
      <w:marRight w:val="0"/>
      <w:marTop w:val="0"/>
      <w:marBottom w:val="0"/>
      <w:divBdr>
        <w:top w:val="none" w:sz="0" w:space="0" w:color="auto"/>
        <w:left w:val="none" w:sz="0" w:space="0" w:color="auto"/>
        <w:bottom w:val="none" w:sz="0" w:space="0" w:color="auto"/>
        <w:right w:val="none" w:sz="0" w:space="0" w:color="auto"/>
      </w:divBdr>
    </w:div>
    <w:div w:id="1457329518">
      <w:bodyDiv w:val="1"/>
      <w:marLeft w:val="0"/>
      <w:marRight w:val="0"/>
      <w:marTop w:val="0"/>
      <w:marBottom w:val="0"/>
      <w:divBdr>
        <w:top w:val="none" w:sz="0" w:space="0" w:color="auto"/>
        <w:left w:val="none" w:sz="0" w:space="0" w:color="auto"/>
        <w:bottom w:val="none" w:sz="0" w:space="0" w:color="auto"/>
        <w:right w:val="none" w:sz="0" w:space="0" w:color="auto"/>
      </w:divBdr>
    </w:div>
    <w:div w:id="1474835842">
      <w:bodyDiv w:val="1"/>
      <w:marLeft w:val="0"/>
      <w:marRight w:val="0"/>
      <w:marTop w:val="0"/>
      <w:marBottom w:val="0"/>
      <w:divBdr>
        <w:top w:val="none" w:sz="0" w:space="0" w:color="auto"/>
        <w:left w:val="none" w:sz="0" w:space="0" w:color="auto"/>
        <w:bottom w:val="none" w:sz="0" w:space="0" w:color="auto"/>
        <w:right w:val="none" w:sz="0" w:space="0" w:color="auto"/>
      </w:divBdr>
    </w:div>
    <w:div w:id="1659185345">
      <w:bodyDiv w:val="1"/>
      <w:marLeft w:val="0"/>
      <w:marRight w:val="0"/>
      <w:marTop w:val="0"/>
      <w:marBottom w:val="0"/>
      <w:divBdr>
        <w:top w:val="none" w:sz="0" w:space="0" w:color="auto"/>
        <w:left w:val="none" w:sz="0" w:space="0" w:color="auto"/>
        <w:bottom w:val="none" w:sz="0" w:space="0" w:color="auto"/>
        <w:right w:val="none" w:sz="0" w:space="0" w:color="auto"/>
      </w:divBdr>
    </w:div>
    <w:div w:id="1682855170">
      <w:bodyDiv w:val="1"/>
      <w:marLeft w:val="0"/>
      <w:marRight w:val="0"/>
      <w:marTop w:val="0"/>
      <w:marBottom w:val="0"/>
      <w:divBdr>
        <w:top w:val="none" w:sz="0" w:space="0" w:color="auto"/>
        <w:left w:val="none" w:sz="0" w:space="0" w:color="auto"/>
        <w:bottom w:val="none" w:sz="0" w:space="0" w:color="auto"/>
        <w:right w:val="none" w:sz="0" w:space="0" w:color="auto"/>
      </w:divBdr>
    </w:div>
    <w:div w:id="1690183662">
      <w:bodyDiv w:val="1"/>
      <w:marLeft w:val="0"/>
      <w:marRight w:val="0"/>
      <w:marTop w:val="0"/>
      <w:marBottom w:val="0"/>
      <w:divBdr>
        <w:top w:val="none" w:sz="0" w:space="0" w:color="auto"/>
        <w:left w:val="none" w:sz="0" w:space="0" w:color="auto"/>
        <w:bottom w:val="none" w:sz="0" w:space="0" w:color="auto"/>
        <w:right w:val="none" w:sz="0" w:space="0" w:color="auto"/>
      </w:divBdr>
    </w:div>
    <w:div w:id="1713843869">
      <w:bodyDiv w:val="1"/>
      <w:marLeft w:val="0"/>
      <w:marRight w:val="0"/>
      <w:marTop w:val="0"/>
      <w:marBottom w:val="0"/>
      <w:divBdr>
        <w:top w:val="none" w:sz="0" w:space="0" w:color="auto"/>
        <w:left w:val="none" w:sz="0" w:space="0" w:color="auto"/>
        <w:bottom w:val="none" w:sz="0" w:space="0" w:color="auto"/>
        <w:right w:val="none" w:sz="0" w:space="0" w:color="auto"/>
      </w:divBdr>
    </w:div>
    <w:div w:id="2074506651">
      <w:bodyDiv w:val="1"/>
      <w:marLeft w:val="0"/>
      <w:marRight w:val="0"/>
      <w:marTop w:val="0"/>
      <w:marBottom w:val="0"/>
      <w:divBdr>
        <w:top w:val="none" w:sz="0" w:space="0" w:color="auto"/>
        <w:left w:val="none" w:sz="0" w:space="0" w:color="auto"/>
        <w:bottom w:val="none" w:sz="0" w:space="0" w:color="auto"/>
        <w:right w:val="none" w:sz="0" w:space="0" w:color="auto"/>
      </w:divBdr>
    </w:div>
    <w:div w:id="2103211718">
      <w:bodyDiv w:val="1"/>
      <w:marLeft w:val="0"/>
      <w:marRight w:val="0"/>
      <w:marTop w:val="0"/>
      <w:marBottom w:val="0"/>
      <w:divBdr>
        <w:top w:val="none" w:sz="0" w:space="0" w:color="auto"/>
        <w:left w:val="none" w:sz="0" w:space="0" w:color="auto"/>
        <w:bottom w:val="none" w:sz="0" w:space="0" w:color="auto"/>
        <w:right w:val="none" w:sz="0" w:space="0" w:color="auto"/>
      </w:divBdr>
    </w:div>
    <w:div w:id="21434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1394-public" TargetMode="External"/><Relationship Id="rId2" Type="http://schemas.openxmlformats.org/officeDocument/2006/relationships/hyperlink" Target="https://www.ebs.tga.gov.au" TargetMode="External"/><Relationship Id="rId1" Type="http://schemas.openxmlformats.org/officeDocument/2006/relationships/hyperlink" Target="https://www.ebs.tga.gov.a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[D847 - figs1to3, tables5to7 - dop up to early Mar15 v2.xlsx]Sheet1!PivotTable1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pivotFmt>
      <c:pivotFmt>
        <c:idx val="5"/>
      </c:pivotFmt>
      <c:pivotFmt>
        <c:idx val="6"/>
      </c:pivotFmt>
      <c:pivotFmt>
        <c:idx val="7"/>
      </c:pivotFmt>
      <c:pivotFmt>
        <c:idx val="8"/>
      </c:pivotFmt>
    </c:pivotFmts>
    <c:plotArea>
      <c:layout/>
      <c:lineChart>
        <c:grouping val="standard"/>
        <c:varyColors val="0"/>
        <c:ser>
          <c:idx val="0"/>
          <c:order val="0"/>
          <c:tx>
            <c:strRef>
              <c:f>Sheet1!$B$5</c:f>
              <c:strCache>
                <c:ptCount val="1"/>
                <c:pt idx="0">
                  <c:v>Prescriptions</c:v>
                </c:pt>
              </c:strCache>
            </c:strRef>
          </c:tx>
          <c:cat>
            <c:strRef>
              <c:f>Sheet1!$A$6:$A$35</c:f>
              <c:strCache>
                <c:ptCount val="29"/>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pt idx="20">
                  <c:v>201404</c:v>
                </c:pt>
                <c:pt idx="21">
                  <c:v>201405</c:v>
                </c:pt>
                <c:pt idx="22">
                  <c:v>201406</c:v>
                </c:pt>
                <c:pt idx="23">
                  <c:v>201407</c:v>
                </c:pt>
                <c:pt idx="24">
                  <c:v>201408</c:v>
                </c:pt>
                <c:pt idx="25">
                  <c:v>201409</c:v>
                </c:pt>
                <c:pt idx="26">
                  <c:v>201410</c:v>
                </c:pt>
                <c:pt idx="27">
                  <c:v>201411</c:v>
                </c:pt>
                <c:pt idx="28">
                  <c:v>201412</c:v>
                </c:pt>
              </c:strCache>
            </c:strRef>
          </c:cat>
          <c:val>
            <c:numRef>
              <c:f>Sheet1!$B$6:$B$35</c:f>
              <c:numCache>
                <c:formatCode>General</c:formatCode>
                <c:ptCount val="29"/>
                <c:pt idx="0">
                  <c:v>14</c:v>
                </c:pt>
                <c:pt idx="1">
                  <c:v>22</c:v>
                </c:pt>
                <c:pt idx="2">
                  <c:v>32</c:v>
                </c:pt>
                <c:pt idx="3">
                  <c:v>31</c:v>
                </c:pt>
                <c:pt idx="4">
                  <c:v>31</c:v>
                </c:pt>
                <c:pt idx="5">
                  <c:v>21</c:v>
                </c:pt>
                <c:pt idx="6">
                  <c:v>36</c:v>
                </c:pt>
                <c:pt idx="7">
                  <c:v>36</c:v>
                </c:pt>
                <c:pt idx="8">
                  <c:v>26</c:v>
                </c:pt>
                <c:pt idx="9">
                  <c:v>72</c:v>
                </c:pt>
                <c:pt idx="10">
                  <c:v>54</c:v>
                </c:pt>
                <c:pt idx="11">
                  <c:v>55</c:v>
                </c:pt>
                <c:pt idx="12">
                  <c:v>58</c:v>
                </c:pt>
                <c:pt idx="13">
                  <c:v>49</c:v>
                </c:pt>
                <c:pt idx="14">
                  <c:v>58</c:v>
                </c:pt>
                <c:pt idx="15">
                  <c:v>59</c:v>
                </c:pt>
                <c:pt idx="16">
                  <c:v>78</c:v>
                </c:pt>
                <c:pt idx="17">
                  <c:v>78</c:v>
                </c:pt>
                <c:pt idx="18">
                  <c:v>51</c:v>
                </c:pt>
                <c:pt idx="19">
                  <c:v>67</c:v>
                </c:pt>
                <c:pt idx="20">
                  <c:v>75</c:v>
                </c:pt>
                <c:pt idx="21">
                  <c:v>79</c:v>
                </c:pt>
                <c:pt idx="22">
                  <c:v>66</c:v>
                </c:pt>
                <c:pt idx="23">
                  <c:v>85</c:v>
                </c:pt>
                <c:pt idx="24">
                  <c:v>91</c:v>
                </c:pt>
                <c:pt idx="25">
                  <c:v>90</c:v>
                </c:pt>
                <c:pt idx="26">
                  <c:v>95</c:v>
                </c:pt>
                <c:pt idx="27">
                  <c:v>74</c:v>
                </c:pt>
                <c:pt idx="28">
                  <c:v>113</c:v>
                </c:pt>
              </c:numCache>
            </c:numRef>
          </c:val>
          <c:smooth val="0"/>
        </c:ser>
        <c:ser>
          <c:idx val="1"/>
          <c:order val="1"/>
          <c:tx>
            <c:strRef>
              <c:f>Sheet1!$C$5</c:f>
              <c:strCache>
                <c:ptCount val="1"/>
                <c:pt idx="0">
                  <c:v>Injections</c:v>
                </c:pt>
              </c:strCache>
            </c:strRef>
          </c:tx>
          <c:cat>
            <c:strRef>
              <c:f>Sheet1!$A$6:$A$35</c:f>
              <c:strCache>
                <c:ptCount val="29"/>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pt idx="20">
                  <c:v>201404</c:v>
                </c:pt>
                <c:pt idx="21">
                  <c:v>201405</c:v>
                </c:pt>
                <c:pt idx="22">
                  <c:v>201406</c:v>
                </c:pt>
                <c:pt idx="23">
                  <c:v>201407</c:v>
                </c:pt>
                <c:pt idx="24">
                  <c:v>201408</c:v>
                </c:pt>
                <c:pt idx="25">
                  <c:v>201409</c:v>
                </c:pt>
                <c:pt idx="26">
                  <c:v>201410</c:v>
                </c:pt>
                <c:pt idx="27">
                  <c:v>201411</c:v>
                </c:pt>
                <c:pt idx="28">
                  <c:v>201412</c:v>
                </c:pt>
              </c:strCache>
            </c:strRef>
          </c:cat>
          <c:val>
            <c:numRef>
              <c:f>Sheet1!$C$6:$C$35</c:f>
              <c:numCache>
                <c:formatCode>General</c:formatCode>
                <c:ptCount val="29"/>
                <c:pt idx="0">
                  <c:v>14</c:v>
                </c:pt>
                <c:pt idx="1">
                  <c:v>24</c:v>
                </c:pt>
                <c:pt idx="2">
                  <c:v>32</c:v>
                </c:pt>
                <c:pt idx="3">
                  <c:v>38</c:v>
                </c:pt>
                <c:pt idx="4">
                  <c:v>35</c:v>
                </c:pt>
                <c:pt idx="5">
                  <c:v>21</c:v>
                </c:pt>
                <c:pt idx="6">
                  <c:v>47</c:v>
                </c:pt>
                <c:pt idx="7">
                  <c:v>45</c:v>
                </c:pt>
                <c:pt idx="8">
                  <c:v>31</c:v>
                </c:pt>
                <c:pt idx="9">
                  <c:v>89</c:v>
                </c:pt>
                <c:pt idx="10">
                  <c:v>79</c:v>
                </c:pt>
                <c:pt idx="11">
                  <c:v>63</c:v>
                </c:pt>
                <c:pt idx="12">
                  <c:v>69</c:v>
                </c:pt>
                <c:pt idx="13">
                  <c:v>56</c:v>
                </c:pt>
                <c:pt idx="14">
                  <c:v>78</c:v>
                </c:pt>
                <c:pt idx="15">
                  <c:v>68</c:v>
                </c:pt>
                <c:pt idx="16">
                  <c:v>113</c:v>
                </c:pt>
                <c:pt idx="17">
                  <c:v>99</c:v>
                </c:pt>
                <c:pt idx="18">
                  <c:v>79</c:v>
                </c:pt>
                <c:pt idx="19">
                  <c:v>92</c:v>
                </c:pt>
                <c:pt idx="20">
                  <c:v>97</c:v>
                </c:pt>
                <c:pt idx="21">
                  <c:v>98</c:v>
                </c:pt>
                <c:pt idx="22">
                  <c:v>85</c:v>
                </c:pt>
                <c:pt idx="23">
                  <c:v>113</c:v>
                </c:pt>
                <c:pt idx="24">
                  <c:v>121</c:v>
                </c:pt>
                <c:pt idx="25">
                  <c:v>133</c:v>
                </c:pt>
                <c:pt idx="26">
                  <c:v>120</c:v>
                </c:pt>
                <c:pt idx="27">
                  <c:v>105</c:v>
                </c:pt>
                <c:pt idx="28">
                  <c:v>163</c:v>
                </c:pt>
              </c:numCache>
            </c:numRef>
          </c:val>
          <c:smooth val="0"/>
        </c:ser>
        <c:dLbls>
          <c:showLegendKey val="0"/>
          <c:showVal val="0"/>
          <c:showCatName val="0"/>
          <c:showSerName val="0"/>
          <c:showPercent val="0"/>
          <c:showBubbleSize val="0"/>
        </c:dLbls>
        <c:marker val="1"/>
        <c:smooth val="0"/>
        <c:axId val="156686592"/>
        <c:axId val="37031936"/>
      </c:lineChart>
      <c:catAx>
        <c:axId val="156686592"/>
        <c:scaling>
          <c:orientation val="minMax"/>
        </c:scaling>
        <c:delete val="0"/>
        <c:axPos val="b"/>
        <c:majorTickMark val="out"/>
        <c:minorTickMark val="none"/>
        <c:tickLblPos val="nextTo"/>
        <c:crossAx val="37031936"/>
        <c:crosses val="autoZero"/>
        <c:auto val="1"/>
        <c:lblAlgn val="ctr"/>
        <c:lblOffset val="100"/>
        <c:noMultiLvlLbl val="0"/>
      </c:catAx>
      <c:valAx>
        <c:axId val="37031936"/>
        <c:scaling>
          <c:orientation val="minMax"/>
        </c:scaling>
        <c:delete val="0"/>
        <c:axPos val="l"/>
        <c:majorGridlines/>
        <c:numFmt formatCode="General" sourceLinked="1"/>
        <c:majorTickMark val="out"/>
        <c:minorTickMark val="none"/>
        <c:tickLblPos val="nextTo"/>
        <c:crossAx val="156686592"/>
        <c:crosses val="autoZero"/>
        <c:crossBetween val="between"/>
      </c:valAx>
    </c:plotArea>
    <c:legend>
      <c:legendPos val="r"/>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[D847 - figs1to3, tables5to7 - dop up to end Mar15 v2.xlsx]Sheet3!PivotTable2</c:name>
    <c:fmtId val="-1"/>
  </c:pivotSource>
  <c:chart>
    <c:autoTitleDeleted val="1"/>
    <c:pivotFmts>
      <c:pivotFmt>
        <c:idx val="0"/>
        <c:marker>
          <c:symbol val="none"/>
        </c:marker>
      </c:pivotFmt>
      <c:pivotFmt>
        <c:idx val="1"/>
        <c:marker>
          <c:symbol val="none"/>
        </c:marker>
      </c:pivotFmt>
      <c:pivotFmt>
        <c:idx val="2"/>
      </c:pivotFmt>
      <c:pivotFmt>
        <c:idx val="3"/>
        <c:marker>
          <c:symbol val="none"/>
        </c:marker>
      </c:pivotFmt>
      <c:pivotFmt>
        <c:idx val="4"/>
      </c:pivotFmt>
      <c:pivotFmt>
        <c:idx val="5"/>
      </c:pivotFmt>
      <c:pivotFmt>
        <c:idx val="6"/>
      </c:pivotFmt>
    </c:pivotFmts>
    <c:plotArea>
      <c:layout/>
      <c:lineChart>
        <c:grouping val="standard"/>
        <c:varyColors val="0"/>
        <c:ser>
          <c:idx val="0"/>
          <c:order val="0"/>
          <c:tx>
            <c:strRef>
              <c:f>Sheet3!$B$3:$B$4</c:f>
              <c:strCache>
                <c:ptCount val="1"/>
                <c:pt idx="0">
                  <c:v>initiating patients</c:v>
                </c:pt>
              </c:strCache>
            </c:strRef>
          </c:tx>
          <c:cat>
            <c:strRef>
              <c:f>Sheet3!$A$5:$A$33</c:f>
              <c:strCache>
                <c:ptCount val="28"/>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201310</c:v>
                </c:pt>
                <c:pt idx="14">
                  <c:v>201311</c:v>
                </c:pt>
                <c:pt idx="15">
                  <c:v>201312</c:v>
                </c:pt>
                <c:pt idx="16">
                  <c:v>201401</c:v>
                </c:pt>
                <c:pt idx="17">
                  <c:v>201402</c:v>
                </c:pt>
                <c:pt idx="18">
                  <c:v>201403</c:v>
                </c:pt>
                <c:pt idx="19">
                  <c:v>201404</c:v>
                </c:pt>
                <c:pt idx="20">
                  <c:v>201405</c:v>
                </c:pt>
                <c:pt idx="21">
                  <c:v>201406</c:v>
                </c:pt>
                <c:pt idx="22">
                  <c:v>201407</c:v>
                </c:pt>
                <c:pt idx="23">
                  <c:v>201408</c:v>
                </c:pt>
                <c:pt idx="24">
                  <c:v>201409</c:v>
                </c:pt>
                <c:pt idx="25">
                  <c:v>201410</c:v>
                </c:pt>
                <c:pt idx="26">
                  <c:v>201411</c:v>
                </c:pt>
                <c:pt idx="27">
                  <c:v>201412</c:v>
                </c:pt>
              </c:strCache>
            </c:strRef>
          </c:cat>
          <c:val>
            <c:numRef>
              <c:f>Sheet3!$B$5:$B$33</c:f>
              <c:numCache>
                <c:formatCode>General</c:formatCode>
                <c:ptCount val="28"/>
                <c:pt idx="0">
                  <c:v>13</c:v>
                </c:pt>
                <c:pt idx="1">
                  <c:v>17</c:v>
                </c:pt>
                <c:pt idx="2">
                  <c:v>14</c:v>
                </c:pt>
                <c:pt idx="3">
                  <c:v>13</c:v>
                </c:pt>
                <c:pt idx="4">
                  <c:v>10</c:v>
                </c:pt>
                <c:pt idx="5">
                  <c:v>8</c:v>
                </c:pt>
                <c:pt idx="6">
                  <c:v>11</c:v>
                </c:pt>
                <c:pt idx="7">
                  <c:v>9</c:v>
                </c:pt>
                <c:pt idx="8">
                  <c:v>4</c:v>
                </c:pt>
                <c:pt idx="9">
                  <c:v>11</c:v>
                </c:pt>
                <c:pt idx="10">
                  <c:v>6</c:v>
                </c:pt>
                <c:pt idx="11">
                  <c:v>10</c:v>
                </c:pt>
                <c:pt idx="12">
                  <c:v>8</c:v>
                </c:pt>
                <c:pt idx="13">
                  <c:v>3</c:v>
                </c:pt>
                <c:pt idx="14">
                  <c:v>8</c:v>
                </c:pt>
                <c:pt idx="15">
                  <c:v>7</c:v>
                </c:pt>
                <c:pt idx="16">
                  <c:v>5</c:v>
                </c:pt>
                <c:pt idx="17">
                  <c:v>5</c:v>
                </c:pt>
                <c:pt idx="18">
                  <c:v>3</c:v>
                </c:pt>
                <c:pt idx="19">
                  <c:v>4</c:v>
                </c:pt>
                <c:pt idx="20">
                  <c:v>8</c:v>
                </c:pt>
                <c:pt idx="21">
                  <c:v>3</c:v>
                </c:pt>
                <c:pt idx="22">
                  <c:v>4</c:v>
                </c:pt>
                <c:pt idx="23">
                  <c:v>5</c:v>
                </c:pt>
                <c:pt idx="24">
                  <c:v>4</c:v>
                </c:pt>
                <c:pt idx="25">
                  <c:v>5</c:v>
                </c:pt>
                <c:pt idx="26">
                  <c:v>4</c:v>
                </c:pt>
                <c:pt idx="27">
                  <c:v>7</c:v>
                </c:pt>
              </c:numCache>
            </c:numRef>
          </c:val>
          <c:smooth val="0"/>
        </c:ser>
        <c:dLbls>
          <c:showLegendKey val="0"/>
          <c:showVal val="0"/>
          <c:showCatName val="0"/>
          <c:showSerName val="0"/>
          <c:showPercent val="0"/>
          <c:showBubbleSize val="0"/>
        </c:dLbls>
        <c:marker val="1"/>
        <c:smooth val="0"/>
        <c:axId val="37040512"/>
        <c:axId val="37042048"/>
      </c:lineChart>
      <c:catAx>
        <c:axId val="37040512"/>
        <c:scaling>
          <c:orientation val="minMax"/>
        </c:scaling>
        <c:delete val="0"/>
        <c:axPos val="b"/>
        <c:majorTickMark val="out"/>
        <c:minorTickMark val="none"/>
        <c:tickLblPos val="nextTo"/>
        <c:crossAx val="37042048"/>
        <c:crosses val="autoZero"/>
        <c:auto val="1"/>
        <c:lblAlgn val="ctr"/>
        <c:lblOffset val="100"/>
        <c:noMultiLvlLbl val="0"/>
      </c:catAx>
      <c:valAx>
        <c:axId val="37042048"/>
        <c:scaling>
          <c:orientation val="minMax"/>
        </c:scaling>
        <c:delete val="0"/>
        <c:axPos val="l"/>
        <c:majorGridlines/>
        <c:numFmt formatCode="General" sourceLinked="1"/>
        <c:majorTickMark val="out"/>
        <c:minorTickMark val="none"/>
        <c:tickLblPos val="nextTo"/>
        <c:crossAx val="37040512"/>
        <c:crosses val="autoZero"/>
        <c:crossBetween val="between"/>
      </c:valAx>
    </c:plotArea>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(3)'!$G$2</c:f>
              <c:strCache>
                <c:ptCount val="1"/>
                <c:pt idx="0">
                  <c:v>Prescriptions</c:v>
                </c:pt>
              </c:strCache>
            </c:strRef>
          </c:tx>
          <c:invertIfNegative val="0"/>
          <c:cat>
            <c:strRef>
              <c:f>'Sheet1 (3)'!$F$3:$F$13</c:f>
              <c:strCache>
                <c:ptCount val="11"/>
                <c:pt idx="0">
                  <c:v>1</c:v>
                </c:pt>
                <c:pt idx="1">
                  <c:v>2</c:v>
                </c:pt>
                <c:pt idx="2">
                  <c:v>3</c:v>
                </c:pt>
                <c:pt idx="3">
                  <c:v>4</c:v>
                </c:pt>
                <c:pt idx="4">
                  <c:v>5</c:v>
                </c:pt>
                <c:pt idx="5">
                  <c:v>6</c:v>
                </c:pt>
                <c:pt idx="6">
                  <c:v>7</c:v>
                </c:pt>
                <c:pt idx="7">
                  <c:v>8-12</c:v>
                </c:pt>
                <c:pt idx="8">
                  <c:v>13-18</c:v>
                </c:pt>
                <c:pt idx="9">
                  <c:v>19-24</c:v>
                </c:pt>
                <c:pt idx="10">
                  <c:v>25+</c:v>
                </c:pt>
              </c:strCache>
            </c:strRef>
          </c:cat>
          <c:val>
            <c:numRef>
              <c:f>'Sheet1 (3)'!$G$3:$G$13</c:f>
              <c:numCache>
                <c:formatCode>General</c:formatCode>
                <c:ptCount val="11"/>
                <c:pt idx="0">
                  <c:v>52</c:v>
                </c:pt>
                <c:pt idx="1">
                  <c:v>33</c:v>
                </c:pt>
                <c:pt idx="2">
                  <c:v>9</c:v>
                </c:pt>
                <c:pt idx="3">
                  <c:v>14</c:v>
                </c:pt>
                <c:pt idx="4">
                  <c:v>6</c:v>
                </c:pt>
                <c:pt idx="5">
                  <c:v>4</c:v>
                </c:pt>
                <c:pt idx="6">
                  <c:v>6</c:v>
                </c:pt>
                <c:pt idx="7">
                  <c:v>11</c:v>
                </c:pt>
                <c:pt idx="8">
                  <c:v>7</c:v>
                </c:pt>
                <c:pt idx="9">
                  <c:v>6</c:v>
                </c:pt>
                <c:pt idx="10">
                  <c:v>4</c:v>
                </c:pt>
              </c:numCache>
            </c:numRef>
          </c:val>
        </c:ser>
        <c:ser>
          <c:idx val="1"/>
          <c:order val="1"/>
          <c:tx>
            <c:strRef>
              <c:f>'Sheet1 (3)'!$H$2</c:f>
              <c:strCache>
                <c:ptCount val="1"/>
                <c:pt idx="0">
                  <c:v>Injections</c:v>
                </c:pt>
              </c:strCache>
            </c:strRef>
          </c:tx>
          <c:invertIfNegative val="0"/>
          <c:cat>
            <c:strRef>
              <c:f>'Sheet1 (3)'!$F$3:$F$13</c:f>
              <c:strCache>
                <c:ptCount val="11"/>
                <c:pt idx="0">
                  <c:v>1</c:v>
                </c:pt>
                <c:pt idx="1">
                  <c:v>2</c:v>
                </c:pt>
                <c:pt idx="2">
                  <c:v>3</c:v>
                </c:pt>
                <c:pt idx="3">
                  <c:v>4</c:v>
                </c:pt>
                <c:pt idx="4">
                  <c:v>5</c:v>
                </c:pt>
                <c:pt idx="5">
                  <c:v>6</c:v>
                </c:pt>
                <c:pt idx="6">
                  <c:v>7</c:v>
                </c:pt>
                <c:pt idx="7">
                  <c:v>8-12</c:v>
                </c:pt>
                <c:pt idx="8">
                  <c:v>13-18</c:v>
                </c:pt>
                <c:pt idx="9">
                  <c:v>19-24</c:v>
                </c:pt>
                <c:pt idx="10">
                  <c:v>25+</c:v>
                </c:pt>
              </c:strCache>
            </c:strRef>
          </c:cat>
          <c:val>
            <c:numRef>
              <c:f>'Sheet1 (3)'!$H$3:$H$13</c:f>
              <c:numCache>
                <c:formatCode>General</c:formatCode>
                <c:ptCount val="11"/>
                <c:pt idx="0">
                  <c:v>49</c:v>
                </c:pt>
                <c:pt idx="1">
                  <c:v>35</c:v>
                </c:pt>
                <c:pt idx="2">
                  <c:v>9</c:v>
                </c:pt>
                <c:pt idx="3">
                  <c:v>14</c:v>
                </c:pt>
                <c:pt idx="4">
                  <c:v>7</c:v>
                </c:pt>
                <c:pt idx="5">
                  <c:v>4</c:v>
                </c:pt>
                <c:pt idx="6">
                  <c:v>5</c:v>
                </c:pt>
                <c:pt idx="7">
                  <c:v>10</c:v>
                </c:pt>
                <c:pt idx="8">
                  <c:v>4</c:v>
                </c:pt>
                <c:pt idx="9">
                  <c:v>7</c:v>
                </c:pt>
                <c:pt idx="10">
                  <c:v>8</c:v>
                </c:pt>
              </c:numCache>
            </c:numRef>
          </c:val>
        </c:ser>
        <c:dLbls>
          <c:showLegendKey val="0"/>
          <c:showVal val="0"/>
          <c:showCatName val="0"/>
          <c:showSerName val="0"/>
          <c:showPercent val="0"/>
          <c:showBubbleSize val="0"/>
        </c:dLbls>
        <c:gapWidth val="150"/>
        <c:axId val="37066240"/>
        <c:axId val="37067776"/>
      </c:barChart>
      <c:catAx>
        <c:axId val="37066240"/>
        <c:scaling>
          <c:orientation val="minMax"/>
        </c:scaling>
        <c:delete val="0"/>
        <c:axPos val="b"/>
        <c:majorTickMark val="none"/>
        <c:minorTickMark val="none"/>
        <c:tickLblPos val="nextTo"/>
        <c:crossAx val="37067776"/>
        <c:crosses val="autoZero"/>
        <c:auto val="1"/>
        <c:lblAlgn val="ctr"/>
        <c:lblOffset val="100"/>
        <c:noMultiLvlLbl val="0"/>
      </c:catAx>
      <c:valAx>
        <c:axId val="37067776"/>
        <c:scaling>
          <c:orientation val="minMax"/>
        </c:scaling>
        <c:delete val="0"/>
        <c:axPos val="l"/>
        <c:majorGridlines/>
        <c:title>
          <c:tx>
            <c:rich>
              <a:bodyPr rot="-5400000" vert="horz"/>
              <a:lstStyle/>
              <a:p>
                <a:pPr>
                  <a:defRPr sz="900" b="0"/>
                </a:pPr>
                <a:r>
                  <a:rPr lang="en-US" sz="900" b="0"/>
                  <a:t>Patients</a:t>
                </a:r>
              </a:p>
            </c:rich>
          </c:tx>
          <c:layout/>
          <c:overlay val="0"/>
        </c:title>
        <c:numFmt formatCode="General" sourceLinked="1"/>
        <c:majorTickMark val="none"/>
        <c:minorTickMark val="none"/>
        <c:tickLblPos val="nextTo"/>
        <c:crossAx val="37066240"/>
        <c:crosses val="autoZero"/>
        <c:crossBetween val="between"/>
      </c:valAx>
    </c:plotArea>
    <c:legend>
      <c:legendPos val="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CE6E-577B-4103-8D49-28FA6CBB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5857</Words>
  <Characters>33391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2015-09-29T00:01:00Z</dcterms:created>
  <dcterms:modified xsi:type="dcterms:W3CDTF">2015-10-21T23:09:00Z</dcterms:modified>
</cp:coreProperties>
</file>