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24" w:rsidRDefault="00773069" w:rsidP="00FE645A">
      <w:pPr>
        <w:pStyle w:val="Title"/>
      </w:pPr>
      <w:r>
        <w:t xml:space="preserve">Ipilimumab and </w:t>
      </w:r>
      <w:proofErr w:type="spellStart"/>
      <w:r>
        <w:t>dabrafenib</w:t>
      </w:r>
      <w:proofErr w:type="spellEnd"/>
      <w:r w:rsidR="001C4016">
        <w:t xml:space="preserve">: </w:t>
      </w:r>
      <w:r>
        <w:t xml:space="preserve">predicted versus actual </w:t>
      </w:r>
      <w:r w:rsidR="001C4016">
        <w:t>a</w:t>
      </w:r>
      <w:r w:rsidR="00935689">
        <w:t>nalysi</w:t>
      </w:r>
      <w:r>
        <w:t>s</w:t>
      </w:r>
    </w:p>
    <w:p w:rsidR="00736041" w:rsidRDefault="009053D3" w:rsidP="00A35800">
      <w:pPr>
        <w:pStyle w:val="Heading1"/>
      </w:pPr>
      <w:r>
        <w:t>D</w:t>
      </w:r>
      <w:r w:rsidR="00832324" w:rsidRPr="0063631C">
        <w:t>rug utilisation sub-commi</w:t>
      </w:r>
      <w:bookmarkStart w:id="0" w:name="_GoBack"/>
      <w:bookmarkEnd w:id="0"/>
      <w:r w:rsidR="00832324" w:rsidRPr="0063631C">
        <w:t xml:space="preserve">ttee </w:t>
      </w:r>
      <w:r w:rsidR="00832324">
        <w:t>(DUSC)</w:t>
      </w:r>
    </w:p>
    <w:p w:rsidR="009053D3" w:rsidRPr="000C46BB" w:rsidRDefault="00222F85" w:rsidP="000C46BB">
      <w:pPr>
        <w:pStyle w:val="Heading2"/>
      </w:pPr>
      <w:r>
        <w:t>October 2015</w:t>
      </w:r>
    </w:p>
    <w:p w:rsidR="005C6661" w:rsidRDefault="005C6661" w:rsidP="005C6661">
      <w:pPr>
        <w:pStyle w:val="Heading3"/>
      </w:pPr>
      <w:r>
        <w:t>Abstract</w:t>
      </w:r>
    </w:p>
    <w:p w:rsidR="005C6661" w:rsidRDefault="005C6661" w:rsidP="005C6661">
      <w:pPr>
        <w:pStyle w:val="Heading2"/>
      </w:pPr>
      <w:r>
        <w:t>Purpose</w:t>
      </w:r>
    </w:p>
    <w:p w:rsidR="00A02305" w:rsidRDefault="00436A20" w:rsidP="00A02305">
      <w:pPr>
        <w:rPr>
          <w:highlight w:val="yellow"/>
        </w:rPr>
      </w:pPr>
      <w:proofErr w:type="gramStart"/>
      <w:r>
        <w:t>To</w:t>
      </w:r>
      <w:r w:rsidR="00A02305" w:rsidRPr="005D5FA9">
        <w:t xml:space="preserve"> review </w:t>
      </w:r>
      <w:r w:rsidR="001116CF">
        <w:t xml:space="preserve">the predicted versus actual use of </w:t>
      </w:r>
      <w:r w:rsidR="005B5961">
        <w:t>ipilimumab</w:t>
      </w:r>
      <w:r w:rsidR="001116CF">
        <w:t xml:space="preserve"> and </w:t>
      </w:r>
      <w:proofErr w:type="spellStart"/>
      <w:r w:rsidR="001116CF">
        <w:t>dabrafenib</w:t>
      </w:r>
      <w:proofErr w:type="spellEnd"/>
      <w:r w:rsidR="001116CF">
        <w:t xml:space="preserve"> for </w:t>
      </w:r>
      <w:proofErr w:type="spellStart"/>
      <w:r w:rsidR="001116CF">
        <w:t>unresectable</w:t>
      </w:r>
      <w:proofErr w:type="spellEnd"/>
      <w:r w:rsidR="001116CF">
        <w:t xml:space="preserve"> melanoma, as requested by DUSC at its June 2014 meeting</w:t>
      </w:r>
      <w:r w:rsidR="001116CF" w:rsidRPr="005D5FA9">
        <w:t>.</w:t>
      </w:r>
      <w:proofErr w:type="gramEnd"/>
      <w:r w:rsidR="001116CF">
        <w:t xml:space="preserve"> The analysis of ipilimumab is a 24 month review; the analysis of </w:t>
      </w:r>
      <w:proofErr w:type="spellStart"/>
      <w:r w:rsidR="001116CF" w:rsidRPr="005D5FA9">
        <w:t>dabrafenib</w:t>
      </w:r>
      <w:proofErr w:type="spellEnd"/>
      <w:r w:rsidR="001116CF" w:rsidRPr="005D5FA9">
        <w:t xml:space="preserve"> </w:t>
      </w:r>
      <w:r w:rsidR="001116CF">
        <w:t xml:space="preserve">is a </w:t>
      </w:r>
      <w:r w:rsidR="00A02305" w:rsidRPr="005D5FA9">
        <w:t xml:space="preserve">12 month </w:t>
      </w:r>
      <w:r w:rsidR="001116CF">
        <w:t>review.</w:t>
      </w:r>
      <w:r w:rsidR="00A02305" w:rsidRPr="005D5FA9">
        <w:t xml:space="preserve"> </w:t>
      </w:r>
    </w:p>
    <w:p w:rsidR="002D144A" w:rsidRDefault="005B5961" w:rsidP="005C6661">
      <w:pPr>
        <w:pStyle w:val="Heading2"/>
      </w:pPr>
      <w:r>
        <w:t>L</w:t>
      </w:r>
      <w:r w:rsidR="002D144A">
        <w:t>isting on the P</w:t>
      </w:r>
      <w:r w:rsidR="00A95FA5">
        <w:t xml:space="preserve">harmaceutical </w:t>
      </w:r>
      <w:r w:rsidR="002D144A">
        <w:t>B</w:t>
      </w:r>
      <w:r w:rsidR="00A95FA5">
        <w:t xml:space="preserve">enefits </w:t>
      </w:r>
      <w:r w:rsidR="002D144A">
        <w:t>S</w:t>
      </w:r>
      <w:r w:rsidR="00A95FA5">
        <w:t>cheme (PBS)</w:t>
      </w:r>
    </w:p>
    <w:p w:rsidR="00781DD3" w:rsidRPr="00781DD3" w:rsidRDefault="00781DD3" w:rsidP="00781DD3">
      <w:pPr>
        <w:pStyle w:val="ListParagraph"/>
        <w:numPr>
          <w:ilvl w:val="0"/>
          <w:numId w:val="4"/>
        </w:numPr>
      </w:pPr>
      <w:r w:rsidRPr="00781DD3">
        <w:t>Ipilimumab</w:t>
      </w:r>
      <w:r>
        <w:t>, PBS listed 1 August 2013</w:t>
      </w:r>
    </w:p>
    <w:p w:rsidR="00781DD3" w:rsidRDefault="00781DD3" w:rsidP="00781DD3">
      <w:pPr>
        <w:pStyle w:val="ListParagraph"/>
        <w:numPr>
          <w:ilvl w:val="0"/>
          <w:numId w:val="4"/>
        </w:numPr>
      </w:pPr>
      <w:proofErr w:type="spellStart"/>
      <w:r w:rsidRPr="00781DD3">
        <w:t>Dabrafenib</w:t>
      </w:r>
      <w:proofErr w:type="spellEnd"/>
      <w:r>
        <w:t>, PBS listed 1 December 2013</w:t>
      </w:r>
    </w:p>
    <w:p w:rsidR="00F471D4" w:rsidRDefault="00F471D4" w:rsidP="00FF4648">
      <w:pPr>
        <w:pStyle w:val="ListParagraph"/>
      </w:pPr>
    </w:p>
    <w:p w:rsidR="005B5961" w:rsidRPr="00781DD3" w:rsidRDefault="00F471D4" w:rsidP="00EB7B8F">
      <w:pPr>
        <w:pStyle w:val="ListParagraph"/>
        <w:ind w:left="0"/>
      </w:pPr>
      <w:r w:rsidRPr="00F471D4">
        <w:t xml:space="preserve">Ipilimumab and </w:t>
      </w:r>
      <w:proofErr w:type="spellStart"/>
      <w:r w:rsidRPr="00F471D4">
        <w:t>dabrafenib</w:t>
      </w:r>
      <w:proofErr w:type="spellEnd"/>
      <w:r w:rsidRPr="00F471D4">
        <w:t xml:space="preserve"> are listed for </w:t>
      </w:r>
      <w:proofErr w:type="spellStart"/>
      <w:r w:rsidRPr="00F471D4">
        <w:t>unresectable</w:t>
      </w:r>
      <w:proofErr w:type="spellEnd"/>
      <w:r w:rsidRPr="00F471D4">
        <w:t xml:space="preserve"> Stage III or Stage IV malignant melanoma. </w:t>
      </w:r>
      <w:r w:rsidR="003E103B">
        <w:t xml:space="preserve">For </w:t>
      </w:r>
      <w:proofErr w:type="spellStart"/>
      <w:r w:rsidR="003E103B">
        <w:t>dabrafenib</w:t>
      </w:r>
      <w:proofErr w:type="spellEnd"/>
      <w:r w:rsidR="003E103B">
        <w:t xml:space="preserve">, the </w:t>
      </w:r>
      <w:r w:rsidR="003E103B" w:rsidRPr="002D54A7">
        <w:t xml:space="preserve">condition must </w:t>
      </w:r>
      <w:r w:rsidR="003E103B">
        <w:t>have</w:t>
      </w:r>
      <w:r w:rsidR="003E103B" w:rsidRPr="002D54A7">
        <w:t xml:space="preserve"> a BRAF V600 mutation</w:t>
      </w:r>
      <w:r w:rsidR="003E103B">
        <w:t xml:space="preserve"> and the patient must have </w:t>
      </w:r>
      <w:r w:rsidR="003E103B" w:rsidRPr="003E103B">
        <w:t>a WHO performance status of 2 or less</w:t>
      </w:r>
      <w:r w:rsidR="003E103B">
        <w:t xml:space="preserve">. </w:t>
      </w:r>
      <w:r w:rsidR="00BA7448">
        <w:t xml:space="preserve">The condition must not have been treated previously with PBS subsidised therapy; or the patient must have developed intolerance to another BRAF inhibitor of a severity necessitating permanent treatment withdrawal. </w:t>
      </w:r>
      <w:r w:rsidR="003E103B">
        <w:t xml:space="preserve">For continuing treatment, patients must have stable or responding disease. </w:t>
      </w:r>
      <w:r>
        <w:t xml:space="preserve">See </w:t>
      </w:r>
      <w:r w:rsidR="000D7F87" w:rsidRPr="00436A20">
        <w:t xml:space="preserve">the </w:t>
      </w:r>
      <w:r w:rsidR="000D7F87" w:rsidRPr="001A7DA5">
        <w:t>PBS website</w:t>
      </w:r>
      <w:r>
        <w:t xml:space="preserve"> for </w:t>
      </w:r>
      <w:r w:rsidR="00D84683">
        <w:t xml:space="preserve">the </w:t>
      </w:r>
      <w:r>
        <w:t>full restriction.</w:t>
      </w:r>
    </w:p>
    <w:p w:rsidR="005C6661" w:rsidRDefault="005C6661" w:rsidP="005C6661">
      <w:pPr>
        <w:pStyle w:val="Heading2"/>
      </w:pPr>
      <w:r>
        <w:t>Data Source / methodology</w:t>
      </w:r>
    </w:p>
    <w:p w:rsidR="00773069" w:rsidRDefault="00773069" w:rsidP="00773069">
      <w:r>
        <w:t xml:space="preserve">Prescription data </w:t>
      </w:r>
      <w:r w:rsidRPr="00143FC1">
        <w:t xml:space="preserve">were extracted from </w:t>
      </w:r>
      <w:r>
        <w:t xml:space="preserve">the </w:t>
      </w:r>
      <w:r w:rsidRPr="00143FC1">
        <w:t xml:space="preserve">Department of Human Services </w:t>
      </w:r>
      <w:r>
        <w:t xml:space="preserve">(DHS) </w:t>
      </w:r>
      <w:r w:rsidR="00BE47F1">
        <w:t>p</w:t>
      </w:r>
      <w:r w:rsidR="00365A90">
        <w:t>rescription</w:t>
      </w:r>
      <w:r w:rsidRPr="00143FC1">
        <w:t xml:space="preserve"> database</w:t>
      </w:r>
      <w:r w:rsidRPr="00143FC1" w:rsidDel="002136B0">
        <w:t xml:space="preserve"> </w:t>
      </w:r>
      <w:r w:rsidRPr="00143FC1">
        <w:t xml:space="preserve">for the period </w:t>
      </w:r>
      <w:r>
        <w:t>August 2013</w:t>
      </w:r>
      <w:r w:rsidRPr="00143FC1">
        <w:t xml:space="preserve"> </w:t>
      </w:r>
      <w:r w:rsidRPr="002D325D">
        <w:t xml:space="preserve">to </w:t>
      </w:r>
      <w:r w:rsidR="00436A20">
        <w:t>April</w:t>
      </w:r>
      <w:r>
        <w:t xml:space="preserve"> 2015</w:t>
      </w:r>
      <w:r w:rsidRPr="00143FC1">
        <w:t>, inclusive.</w:t>
      </w:r>
      <w:r>
        <w:t xml:space="preserve"> </w:t>
      </w:r>
    </w:p>
    <w:p w:rsidR="005C6661" w:rsidRDefault="005C6661" w:rsidP="005C6661">
      <w:pPr>
        <w:pStyle w:val="Heading2"/>
      </w:pPr>
      <w:r>
        <w:t>Key Findings</w:t>
      </w:r>
    </w:p>
    <w:p w:rsidR="001E2B10" w:rsidRDefault="001E2B10" w:rsidP="001E2B10">
      <w:pPr>
        <w:pStyle w:val="ListParagraph"/>
        <w:numPr>
          <w:ilvl w:val="0"/>
          <w:numId w:val="1"/>
        </w:numPr>
      </w:pPr>
      <w:r>
        <w:t xml:space="preserve">Since listing, 2,484 patients have been treated with </w:t>
      </w:r>
      <w:proofErr w:type="spellStart"/>
      <w:r>
        <w:t>dabrafenib</w:t>
      </w:r>
      <w:proofErr w:type="spellEnd"/>
      <w:r>
        <w:t xml:space="preserve"> or ipilimumab. In 2014:</w:t>
      </w:r>
    </w:p>
    <w:p w:rsidR="00373A5F" w:rsidRDefault="00373A5F" w:rsidP="001E2B10">
      <w:pPr>
        <w:pStyle w:val="ListParagraph"/>
        <w:numPr>
          <w:ilvl w:val="1"/>
          <w:numId w:val="1"/>
        </w:numPr>
      </w:pPr>
      <w:r>
        <w:t xml:space="preserve">1,642 patients were dispensed at least one prescription of </w:t>
      </w:r>
      <w:proofErr w:type="spellStart"/>
      <w:r>
        <w:t>dabrafenib</w:t>
      </w:r>
      <w:proofErr w:type="spellEnd"/>
      <w:r>
        <w:t xml:space="preserve"> or ipilimumab; </w:t>
      </w:r>
    </w:p>
    <w:p w:rsidR="001E2B10" w:rsidRPr="0048163B" w:rsidRDefault="001E2B10" w:rsidP="001E2B10">
      <w:pPr>
        <w:pStyle w:val="ListParagraph"/>
        <w:numPr>
          <w:ilvl w:val="1"/>
          <w:numId w:val="1"/>
        </w:numPr>
      </w:pPr>
      <w:r>
        <w:t>1,467</w:t>
      </w:r>
      <w:r w:rsidR="00373A5F">
        <w:t xml:space="preserve"> of these</w:t>
      </w:r>
      <w:r>
        <w:t xml:space="preserve"> patients </w:t>
      </w:r>
      <w:r w:rsidR="00373A5F">
        <w:t xml:space="preserve">were starting treatment with </w:t>
      </w:r>
      <w:proofErr w:type="spellStart"/>
      <w:r w:rsidR="00373A5F">
        <w:t>dabrafenib</w:t>
      </w:r>
      <w:proofErr w:type="spellEnd"/>
      <w:r w:rsidR="00373A5F">
        <w:t xml:space="preserve"> or ipilimumab for the first </w:t>
      </w:r>
      <w:r w:rsidR="00373A5F" w:rsidRPr="0048163B">
        <w:t xml:space="preserve">time. Of these, </w:t>
      </w:r>
      <w:r w:rsidRPr="0048163B">
        <w:t>7</w:t>
      </w:r>
      <w:r w:rsidR="00B959BD" w:rsidRPr="0048163B">
        <w:t>12</w:t>
      </w:r>
      <w:r w:rsidRPr="0048163B">
        <w:t xml:space="preserve"> patients started treatment with </w:t>
      </w:r>
      <w:proofErr w:type="spellStart"/>
      <w:r w:rsidRPr="0048163B">
        <w:t>dabrafenib</w:t>
      </w:r>
      <w:proofErr w:type="spellEnd"/>
      <w:r w:rsidRPr="0048163B">
        <w:t xml:space="preserve"> and </w:t>
      </w:r>
      <w:r w:rsidR="00B959BD" w:rsidRPr="0048163B">
        <w:t xml:space="preserve">755 </w:t>
      </w:r>
      <w:r w:rsidRPr="0048163B">
        <w:t xml:space="preserve">patients started treatment with ipilimumab. </w:t>
      </w:r>
    </w:p>
    <w:p w:rsidR="001E2B10" w:rsidRDefault="001E2B10" w:rsidP="001E2B10">
      <w:pPr>
        <w:pStyle w:val="ListParagraph"/>
        <w:numPr>
          <w:ilvl w:val="0"/>
          <w:numId w:val="1"/>
        </w:numPr>
      </w:pPr>
      <w:r>
        <w:t xml:space="preserve">The number of </w:t>
      </w:r>
      <w:r w:rsidR="00E71777">
        <w:t xml:space="preserve">new </w:t>
      </w:r>
      <w:r>
        <w:t xml:space="preserve">patients initiating </w:t>
      </w:r>
      <w:proofErr w:type="spellStart"/>
      <w:r>
        <w:t>dabrafenib</w:t>
      </w:r>
      <w:proofErr w:type="spellEnd"/>
      <w:r>
        <w:t xml:space="preserve"> and ipilimumab per month is similar.</w:t>
      </w:r>
    </w:p>
    <w:p w:rsidR="00BB0D1A" w:rsidRDefault="00BB0D1A">
      <w:pPr>
        <w:spacing w:line="276" w:lineRule="auto"/>
        <w:rPr>
          <w:rFonts w:eastAsiaTheme="majorEastAsia" w:cstheme="majorBidi"/>
          <w:b/>
          <w:bCs/>
          <w:sz w:val="32"/>
          <w:szCs w:val="26"/>
        </w:rPr>
      </w:pPr>
      <w:r>
        <w:br w:type="page"/>
      </w:r>
    </w:p>
    <w:p w:rsidR="00E677DD" w:rsidRDefault="00E677DD" w:rsidP="000C46BB">
      <w:pPr>
        <w:pStyle w:val="Heading4"/>
      </w:pPr>
      <w:r w:rsidRPr="000C46BB">
        <w:lastRenderedPageBreak/>
        <w:t xml:space="preserve">Purpose of </w:t>
      </w:r>
      <w:r w:rsidR="00D151EB" w:rsidRPr="000C46BB">
        <w:t>analysis</w:t>
      </w:r>
    </w:p>
    <w:p w:rsidR="00990DCF" w:rsidRDefault="0082747E" w:rsidP="00990DCF">
      <w:pPr>
        <w:rPr>
          <w:highlight w:val="yellow"/>
        </w:rPr>
      </w:pPr>
      <w:proofErr w:type="gramStart"/>
      <w:r>
        <w:t>To</w:t>
      </w:r>
      <w:r w:rsidRPr="005D5FA9">
        <w:t xml:space="preserve"> review </w:t>
      </w:r>
      <w:r>
        <w:t xml:space="preserve">the predicted versus actual use of ipilimumab and </w:t>
      </w:r>
      <w:proofErr w:type="spellStart"/>
      <w:r>
        <w:t>dabrafenib</w:t>
      </w:r>
      <w:proofErr w:type="spellEnd"/>
      <w:r>
        <w:t xml:space="preserve"> for </w:t>
      </w:r>
      <w:proofErr w:type="spellStart"/>
      <w:r>
        <w:t>unresectable</w:t>
      </w:r>
      <w:proofErr w:type="spellEnd"/>
      <w:r>
        <w:t xml:space="preserve"> melanoma, as requested by DUSC at its June 2014 meeting</w:t>
      </w:r>
      <w:r w:rsidRPr="005D5FA9">
        <w:t>.</w:t>
      </w:r>
      <w:proofErr w:type="gramEnd"/>
      <w:r>
        <w:t xml:space="preserve"> The analysis of ipilimumab is a 24 month review; the analysis of </w:t>
      </w:r>
      <w:proofErr w:type="spellStart"/>
      <w:r w:rsidRPr="005D5FA9">
        <w:t>dabrafenib</w:t>
      </w:r>
      <w:proofErr w:type="spellEnd"/>
      <w:r w:rsidRPr="005D5FA9">
        <w:t xml:space="preserve"> </w:t>
      </w:r>
      <w:r>
        <w:t xml:space="preserve">is a </w:t>
      </w:r>
      <w:r w:rsidRPr="005D5FA9">
        <w:t xml:space="preserve">12 month </w:t>
      </w:r>
      <w:r>
        <w:t>review.</w:t>
      </w:r>
      <w:r w:rsidRPr="005D5FA9">
        <w:t xml:space="preserve"> </w:t>
      </w:r>
    </w:p>
    <w:p w:rsidR="006537D9" w:rsidRPr="005E22C2" w:rsidRDefault="00736041" w:rsidP="001E4CAB">
      <w:pPr>
        <w:pStyle w:val="Heading4"/>
      </w:pPr>
      <w:r w:rsidRPr="005E22C2">
        <w:t>Background</w:t>
      </w:r>
    </w:p>
    <w:p w:rsidR="007247B9" w:rsidRDefault="007247B9" w:rsidP="00FE645A">
      <w:pPr>
        <w:pStyle w:val="Heading3"/>
      </w:pPr>
      <w:r>
        <w:t>Pharmacology</w:t>
      </w:r>
    </w:p>
    <w:p w:rsidR="002E71FA" w:rsidRPr="00DC25C1" w:rsidRDefault="002E71FA" w:rsidP="00AE4BAC">
      <w:r w:rsidRPr="00DC25C1">
        <w:t xml:space="preserve">Ipilimumab is </w:t>
      </w:r>
      <w:proofErr w:type="gramStart"/>
      <w:r w:rsidRPr="00DC25C1">
        <w:t>a protein which helps the immune system attack and destroy</w:t>
      </w:r>
      <w:proofErr w:type="gramEnd"/>
      <w:r w:rsidRPr="00DC25C1">
        <w:t xml:space="preserve"> cancer cells</w:t>
      </w:r>
      <w:r w:rsidR="00D57C22">
        <w:t>.</w:t>
      </w:r>
      <w:r w:rsidR="00A63AC4">
        <w:rPr>
          <w:rStyle w:val="FootnoteReference"/>
        </w:rPr>
        <w:footnoteReference w:id="1"/>
      </w:r>
      <w:r w:rsidR="002C60BC">
        <w:t xml:space="preserve"> </w:t>
      </w:r>
      <w:proofErr w:type="spellStart"/>
      <w:r w:rsidR="002C60BC">
        <w:t>Dabrafenib</w:t>
      </w:r>
      <w:proofErr w:type="spellEnd"/>
      <w:r w:rsidR="002C60BC">
        <w:t xml:space="preserve"> can be used to treat melanomas with a mutation in the BRAF gene</w:t>
      </w:r>
      <w:r w:rsidR="00D57C22">
        <w:t>.</w:t>
      </w:r>
      <w:r w:rsidR="00365A90">
        <w:rPr>
          <w:rStyle w:val="FootnoteReference"/>
        </w:rPr>
        <w:footnoteReference w:id="2"/>
      </w:r>
    </w:p>
    <w:p w:rsidR="001420B3" w:rsidRPr="005E22C2" w:rsidRDefault="00A52918" w:rsidP="00FE645A">
      <w:pPr>
        <w:pStyle w:val="Heading3"/>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rsidR="00FF4648" w:rsidRDefault="004709DF" w:rsidP="00FF4648">
      <w:r w:rsidRPr="00DC25C1">
        <w:t>Ipilimumab</w:t>
      </w:r>
      <w:r>
        <w:t xml:space="preserve">, as monotherapy, is indicated for the treatment of patients with </w:t>
      </w:r>
      <w:proofErr w:type="spellStart"/>
      <w:r>
        <w:t>unresectable</w:t>
      </w:r>
      <w:proofErr w:type="spellEnd"/>
      <w:r>
        <w:t xml:space="preserve"> or metastatic melanoma</w:t>
      </w:r>
      <w:bookmarkStart w:id="1" w:name="_Ref428881163"/>
      <w:r w:rsidR="00D57C22">
        <w:t>.</w:t>
      </w:r>
      <w:r w:rsidR="00A63AC4">
        <w:rPr>
          <w:rStyle w:val="FootnoteReference"/>
        </w:rPr>
        <w:footnoteReference w:id="3"/>
      </w:r>
      <w:bookmarkEnd w:id="1"/>
      <w:r w:rsidR="00FF4648" w:rsidRPr="00FF4648">
        <w:t xml:space="preserve"> </w:t>
      </w:r>
    </w:p>
    <w:p w:rsidR="00FF4648" w:rsidRDefault="0082747E" w:rsidP="00FF4648">
      <w:proofErr w:type="spellStart"/>
      <w:r>
        <w:t>Dabrafenib</w:t>
      </w:r>
      <w:proofErr w:type="spellEnd"/>
      <w:r>
        <w:t xml:space="preserve"> as monotherapy is indicated for the treatment of patients with BRAF V600 mutation positive </w:t>
      </w:r>
      <w:proofErr w:type="spellStart"/>
      <w:r>
        <w:t>unresectable</w:t>
      </w:r>
      <w:proofErr w:type="spellEnd"/>
      <w:r>
        <w:t xml:space="preserve"> Stage III or metastatic (Stage IV) melanoma. </w:t>
      </w:r>
      <w:proofErr w:type="spellStart"/>
      <w:r w:rsidR="00FF4648">
        <w:t>Dabrafenib</w:t>
      </w:r>
      <w:proofErr w:type="spellEnd"/>
      <w:r w:rsidR="00FF4648">
        <w:t xml:space="preserve"> in combination with </w:t>
      </w:r>
      <w:proofErr w:type="spellStart"/>
      <w:r w:rsidR="00FF4648">
        <w:t>trametinib</w:t>
      </w:r>
      <w:proofErr w:type="spellEnd"/>
      <w:r w:rsidR="00FF4648">
        <w:t xml:space="preserve"> is indicated for the treatment of patients with BRAF</w:t>
      </w:r>
      <w:r w:rsidR="008101FB">
        <w:t xml:space="preserve"> </w:t>
      </w:r>
      <w:r w:rsidR="00FF4648">
        <w:t xml:space="preserve">V600 mutation positive </w:t>
      </w:r>
      <w:proofErr w:type="spellStart"/>
      <w:r w:rsidR="00FF4648">
        <w:t>unresectable</w:t>
      </w:r>
      <w:proofErr w:type="spellEnd"/>
      <w:r w:rsidR="00FF4648">
        <w:t xml:space="preserve"> Stage III or metastatic (Stage IV) melanoma</w:t>
      </w:r>
      <w:r w:rsidR="00D57C22">
        <w:t>.</w:t>
      </w:r>
      <w:r w:rsidR="00363CEF">
        <w:rPr>
          <w:rStyle w:val="FootnoteReference"/>
        </w:rPr>
        <w:footnoteReference w:id="4"/>
      </w:r>
      <w:r w:rsidR="00FF4648">
        <w:t xml:space="preserve"> </w:t>
      </w:r>
    </w:p>
    <w:p w:rsidR="0082747E" w:rsidRPr="0082747E" w:rsidRDefault="0082747E" w:rsidP="0082747E">
      <w:pPr>
        <w:rPr>
          <w:b/>
          <w:i/>
        </w:rPr>
      </w:pPr>
      <w:r w:rsidRPr="0082747E">
        <w:rPr>
          <w:b/>
          <w:i/>
        </w:rPr>
        <w:t>Adverse event warning</w:t>
      </w:r>
    </w:p>
    <w:p w:rsidR="004709DF" w:rsidRDefault="004709DF" w:rsidP="004709DF">
      <w:r w:rsidRPr="00DC25C1">
        <w:t>Ipilimumab</w:t>
      </w:r>
      <w:r>
        <w:t xml:space="preserve"> is associated with inflammatory adverse reactions resulting from increased or excessive immune activity (immune-related adverse reactions).</w:t>
      </w:r>
    </w:p>
    <w:p w:rsidR="004709DF" w:rsidRDefault="004709DF" w:rsidP="004709DF">
      <w:r w:rsidRPr="00DC25C1">
        <w:t>Ipilimumab</w:t>
      </w:r>
      <w:r>
        <w:t xml:space="preserve"> can cause severe and life-threatening immune-related adverse reactions (</w:t>
      </w:r>
      <w:proofErr w:type="spellStart"/>
      <w:r>
        <w:t>irARs</w:t>
      </w:r>
      <w:proofErr w:type="spellEnd"/>
      <w:r>
        <w:t xml:space="preserve">), including </w:t>
      </w:r>
      <w:proofErr w:type="spellStart"/>
      <w:r>
        <w:t>enterocolitis</w:t>
      </w:r>
      <w:proofErr w:type="spellEnd"/>
      <w:r>
        <w:t xml:space="preserve">, intestinal perforation, hepatitis, dermatitis (including toxic epidermal </w:t>
      </w:r>
      <w:proofErr w:type="spellStart"/>
      <w:r>
        <w:t>necrolysis</w:t>
      </w:r>
      <w:proofErr w:type="spellEnd"/>
      <w:r>
        <w:t xml:space="preserve">), </w:t>
      </w:r>
      <w:proofErr w:type="spellStart"/>
      <w:r>
        <w:t>endocrinopathy</w:t>
      </w:r>
      <w:proofErr w:type="spellEnd"/>
      <w:r>
        <w:t xml:space="preserve"> (which may not be reversible), neuropathy, as well as </w:t>
      </w:r>
      <w:proofErr w:type="spellStart"/>
      <w:r>
        <w:t>irARs</w:t>
      </w:r>
      <w:proofErr w:type="spellEnd"/>
      <w:r>
        <w:t xml:space="preserve"> in other organ systems</w:t>
      </w:r>
      <w:r w:rsidR="0082747E">
        <w:t>.</w:t>
      </w:r>
      <w:r w:rsidR="007510E8">
        <w:t xml:space="preserve"> </w:t>
      </w:r>
      <w:r>
        <w:t>Early diagnosis and appropriate management are essential to minimi</w:t>
      </w:r>
      <w:r w:rsidR="00242FCE">
        <w:t>s</w:t>
      </w:r>
      <w:r>
        <w:t>e life-threatening complications</w:t>
      </w:r>
      <w:r w:rsidR="00D57C22">
        <w:t>.</w:t>
      </w:r>
      <w:r w:rsidR="00843B06">
        <w:rPr>
          <w:vertAlign w:val="superscript"/>
        </w:rPr>
        <w:t>3</w:t>
      </w:r>
    </w:p>
    <w:p w:rsidR="00FF4648" w:rsidRDefault="00FF4648" w:rsidP="004709DF">
      <w:pPr>
        <w:rPr>
          <w:highlight w:val="yellow"/>
        </w:rPr>
      </w:pPr>
    </w:p>
    <w:p w:rsidR="006B709B" w:rsidRDefault="006B709B" w:rsidP="002575FC">
      <w:pPr>
        <w:pStyle w:val="Heading3"/>
        <w:keepNext/>
      </w:pPr>
      <w:r>
        <w:lastRenderedPageBreak/>
        <w:t>Dosage and administration</w:t>
      </w:r>
    </w:p>
    <w:p w:rsidR="003370D0" w:rsidRPr="00A02305" w:rsidRDefault="00D57C22" w:rsidP="002575FC">
      <w:pPr>
        <w:pStyle w:val="Tabletitle"/>
        <w:keepNext/>
      </w:pPr>
      <w:r>
        <w:t>Table 1</w:t>
      </w:r>
      <w:r w:rsidR="003370D0" w:rsidRPr="00A02305">
        <w:t xml:space="preserve">: </w:t>
      </w:r>
      <w:r w:rsidR="00A02305">
        <w:t xml:space="preserve">Dosage and administration of ipilimumab and </w:t>
      </w:r>
      <w:proofErr w:type="spellStart"/>
      <w:r w:rsidR="00A02305">
        <w:t>dabrafenib</w:t>
      </w:r>
      <w:proofErr w:type="spellEnd"/>
      <w:r w:rsidR="00070423">
        <w:t xml:space="preserve"> (abridged)</w:t>
      </w:r>
    </w:p>
    <w:tbl>
      <w:tblPr>
        <w:tblStyle w:val="TableGrid"/>
        <w:tblW w:w="9180" w:type="dxa"/>
        <w:tblLook w:val="04A0" w:firstRow="1" w:lastRow="0" w:firstColumn="1" w:lastColumn="0" w:noHBand="0" w:noVBand="1"/>
        <w:tblCaption w:val="Dosage and administration of ipilimumab and dabrafenib (abridged)"/>
        <w:tblDescription w:val="The recommended dose of ipilimumab is 3mg/kg administered intravenously over 90 minutes every 3 weeks for a total of 4 doses. Where there is any withholding of a dose, ipilimumab should be resumed at a dose of 3mg/kg every 3 weeks until administration of all 4 planned doses or 16 weeks from the first administration, whichever occurs earlier.&#10;Additional treatment with ipilimumab (re-induction with 4 doses) may be considered for patients who develop progressive disease after prior complete response or partial response or after stable disease lasting longer than 3 months from the first tumour assessment. The recommended re-induction regimen of ipilimumab is 3 mg/kg administered IV over a 90-minute period every 3 weeks for a total of 4 doses as tolerated, regardless of the appearance of new lesions or growth of existing lesions.&#10;Confirmation of BRAF V600 mutation using an approved/validated test is required for selection of patients appropriate for dabrafenib monotherapy and in combination with trametinib.&#10;The recommended dose of dabrafenib used as monotherapy or in combination with trametinib is 150 mg (two 75 mg capsules) twice daily (corresponding to a total daily dose of 300 mg).&#10;Treatment should continue until disease progression or the development of unacceptable toxicity.&#10;"/>
      </w:tblPr>
      <w:tblGrid>
        <w:gridCol w:w="1951"/>
        <w:gridCol w:w="1276"/>
        <w:gridCol w:w="5953"/>
      </w:tblGrid>
      <w:tr w:rsidR="00AB3733" w:rsidRPr="00A35800" w:rsidTr="009A4A66">
        <w:trPr>
          <w:cantSplit/>
          <w:tblHeader/>
        </w:trPr>
        <w:tc>
          <w:tcPr>
            <w:tcW w:w="1951" w:type="dxa"/>
            <w:shd w:val="clear" w:color="auto" w:fill="BFBFBF" w:themeFill="background1" w:themeFillShade="BF"/>
          </w:tcPr>
          <w:p w:rsidR="00AB3733" w:rsidRPr="00A35800" w:rsidRDefault="00AB3733" w:rsidP="002575FC">
            <w:pPr>
              <w:pStyle w:val="Tableheading"/>
              <w:keepNext/>
              <w:rPr>
                <w:sz w:val="20"/>
                <w:szCs w:val="20"/>
              </w:rPr>
            </w:pPr>
            <w:r w:rsidRPr="00A35800">
              <w:rPr>
                <w:sz w:val="20"/>
                <w:szCs w:val="20"/>
              </w:rPr>
              <w:t>Brand name and sponsor</w:t>
            </w:r>
          </w:p>
        </w:tc>
        <w:tc>
          <w:tcPr>
            <w:tcW w:w="1276" w:type="dxa"/>
            <w:shd w:val="clear" w:color="auto" w:fill="BFBFBF" w:themeFill="background1" w:themeFillShade="BF"/>
          </w:tcPr>
          <w:p w:rsidR="00AB3733" w:rsidRPr="00A35800" w:rsidRDefault="00AB3733" w:rsidP="002575FC">
            <w:pPr>
              <w:pStyle w:val="Tableheading"/>
              <w:keepNext/>
              <w:rPr>
                <w:sz w:val="20"/>
                <w:szCs w:val="20"/>
              </w:rPr>
            </w:pPr>
            <w:r w:rsidRPr="00A35800">
              <w:rPr>
                <w:sz w:val="20"/>
                <w:szCs w:val="20"/>
              </w:rPr>
              <w:t>Product</w:t>
            </w:r>
          </w:p>
        </w:tc>
        <w:tc>
          <w:tcPr>
            <w:tcW w:w="5953" w:type="dxa"/>
            <w:shd w:val="clear" w:color="auto" w:fill="BFBFBF" w:themeFill="background1" w:themeFillShade="BF"/>
          </w:tcPr>
          <w:p w:rsidR="00AB3733" w:rsidRPr="00A35800" w:rsidRDefault="00AB3733" w:rsidP="002575FC">
            <w:pPr>
              <w:pStyle w:val="Tableheading"/>
              <w:keepNext/>
              <w:rPr>
                <w:sz w:val="20"/>
                <w:szCs w:val="20"/>
              </w:rPr>
            </w:pPr>
            <w:r w:rsidRPr="00A35800">
              <w:rPr>
                <w:sz w:val="20"/>
                <w:szCs w:val="20"/>
              </w:rPr>
              <w:t xml:space="preserve">Dose and frequency of administration </w:t>
            </w:r>
          </w:p>
        </w:tc>
      </w:tr>
      <w:tr w:rsidR="00AB3733" w:rsidRPr="00A35800" w:rsidTr="009A4A66">
        <w:trPr>
          <w:cantSplit/>
        </w:trPr>
        <w:tc>
          <w:tcPr>
            <w:tcW w:w="1951" w:type="dxa"/>
          </w:tcPr>
          <w:p w:rsidR="00E17ED3" w:rsidRPr="00A35800" w:rsidRDefault="00E17ED3" w:rsidP="00A35800">
            <w:pPr>
              <w:pStyle w:val="Tablewriting"/>
            </w:pPr>
            <w:proofErr w:type="spellStart"/>
            <w:r>
              <w:t>Yervoy</w:t>
            </w:r>
            <w:proofErr w:type="spellEnd"/>
            <w:r>
              <w:t>®</w:t>
            </w:r>
            <w:r>
              <w:br/>
            </w:r>
            <w:r w:rsidRPr="00E17ED3">
              <w:t>Bristol-Myers Squibb Australia Pty Ltd</w:t>
            </w:r>
          </w:p>
        </w:tc>
        <w:tc>
          <w:tcPr>
            <w:tcW w:w="1276" w:type="dxa"/>
          </w:tcPr>
          <w:p w:rsidR="00AB3733" w:rsidRPr="00A35800" w:rsidRDefault="00E17ED3" w:rsidP="00A35800">
            <w:pPr>
              <w:pStyle w:val="Tablewriting"/>
            </w:pPr>
            <w:r>
              <w:t>Ipilimumab</w:t>
            </w:r>
          </w:p>
        </w:tc>
        <w:tc>
          <w:tcPr>
            <w:tcW w:w="5953" w:type="dxa"/>
          </w:tcPr>
          <w:p w:rsidR="00EF7CBD" w:rsidRPr="00460C33" w:rsidRDefault="00EF7CBD" w:rsidP="00460C33">
            <w:pPr>
              <w:pStyle w:val="Tableheading"/>
              <w:jc w:val="left"/>
              <w:rPr>
                <w:b w:val="0"/>
                <w:sz w:val="20"/>
                <w:szCs w:val="20"/>
              </w:rPr>
            </w:pPr>
            <w:r w:rsidRPr="00460C33">
              <w:rPr>
                <w:b w:val="0"/>
                <w:sz w:val="20"/>
                <w:szCs w:val="20"/>
              </w:rPr>
              <w:t xml:space="preserve">The recommended dose of </w:t>
            </w:r>
            <w:r w:rsidR="003D53F3" w:rsidRPr="00460C33">
              <w:rPr>
                <w:b w:val="0"/>
                <w:sz w:val="20"/>
                <w:szCs w:val="20"/>
              </w:rPr>
              <w:t xml:space="preserve">ipilimumab </w:t>
            </w:r>
            <w:r w:rsidRPr="00460C33">
              <w:rPr>
                <w:b w:val="0"/>
                <w:sz w:val="20"/>
                <w:szCs w:val="20"/>
              </w:rPr>
              <w:t xml:space="preserve">is 3mg/kg administered intravenously over 90 minutes every 3 weeks for a total of 4 doses. Where there is any withholding of a dose, </w:t>
            </w:r>
            <w:r w:rsidR="003D53F3" w:rsidRPr="00460C33">
              <w:rPr>
                <w:b w:val="0"/>
                <w:sz w:val="20"/>
                <w:szCs w:val="20"/>
              </w:rPr>
              <w:t xml:space="preserve">ipilimumab </w:t>
            </w:r>
            <w:r w:rsidRPr="00460C33">
              <w:rPr>
                <w:b w:val="0"/>
                <w:sz w:val="20"/>
                <w:szCs w:val="20"/>
              </w:rPr>
              <w:t xml:space="preserve">should be resumed at a dose of 3mg/kg every 3 weeks until administration of all 4 planned doses or 16 weeks from the first administration, whichever occurs </w:t>
            </w:r>
            <w:proofErr w:type="gramStart"/>
            <w:r w:rsidRPr="00460C33">
              <w:rPr>
                <w:b w:val="0"/>
                <w:sz w:val="20"/>
                <w:szCs w:val="20"/>
              </w:rPr>
              <w:t>earlier.</w:t>
            </w:r>
            <w:proofErr w:type="gramEnd"/>
          </w:p>
          <w:p w:rsidR="00AB3733" w:rsidRPr="00460C33" w:rsidRDefault="00EF7CBD" w:rsidP="00460C33">
            <w:pPr>
              <w:pStyle w:val="Tableheading"/>
              <w:jc w:val="left"/>
              <w:rPr>
                <w:b w:val="0"/>
                <w:sz w:val="20"/>
                <w:szCs w:val="20"/>
              </w:rPr>
            </w:pPr>
            <w:r w:rsidRPr="00460C33">
              <w:rPr>
                <w:b w:val="0"/>
                <w:sz w:val="20"/>
                <w:szCs w:val="20"/>
              </w:rPr>
              <w:t xml:space="preserve">Additional treatment with </w:t>
            </w:r>
            <w:r w:rsidR="003D53F3" w:rsidRPr="00460C33">
              <w:rPr>
                <w:b w:val="0"/>
                <w:sz w:val="20"/>
                <w:szCs w:val="20"/>
              </w:rPr>
              <w:t>ipilimumab</w:t>
            </w:r>
            <w:r w:rsidRPr="00460C33">
              <w:rPr>
                <w:b w:val="0"/>
                <w:sz w:val="20"/>
                <w:szCs w:val="20"/>
              </w:rPr>
              <w:t xml:space="preserve"> (re-induction with 4 doses) may be considered for patients who develop </w:t>
            </w:r>
            <w:r w:rsidR="007B64F2" w:rsidRPr="00460C33">
              <w:rPr>
                <w:b w:val="0"/>
                <w:sz w:val="20"/>
                <w:szCs w:val="20"/>
              </w:rPr>
              <w:t xml:space="preserve">progressive disease </w:t>
            </w:r>
            <w:r w:rsidRPr="00460C33">
              <w:rPr>
                <w:b w:val="0"/>
                <w:sz w:val="20"/>
                <w:szCs w:val="20"/>
              </w:rPr>
              <w:t xml:space="preserve">after prior </w:t>
            </w:r>
            <w:r w:rsidR="007B64F2" w:rsidRPr="00460C33">
              <w:rPr>
                <w:b w:val="0"/>
                <w:sz w:val="20"/>
                <w:szCs w:val="20"/>
              </w:rPr>
              <w:t xml:space="preserve">complete response or partial </w:t>
            </w:r>
            <w:r w:rsidR="0048163B">
              <w:rPr>
                <w:b w:val="0"/>
                <w:sz w:val="20"/>
                <w:szCs w:val="20"/>
              </w:rPr>
              <w:t xml:space="preserve">response </w:t>
            </w:r>
            <w:r w:rsidR="005B7037">
              <w:rPr>
                <w:b w:val="0"/>
                <w:sz w:val="20"/>
                <w:szCs w:val="20"/>
              </w:rPr>
              <w:t xml:space="preserve">or </w:t>
            </w:r>
            <w:r w:rsidRPr="00460C33">
              <w:rPr>
                <w:b w:val="0"/>
                <w:sz w:val="20"/>
                <w:szCs w:val="20"/>
              </w:rPr>
              <w:t xml:space="preserve">after </w:t>
            </w:r>
            <w:r w:rsidR="007B64F2" w:rsidRPr="00460C33">
              <w:rPr>
                <w:b w:val="0"/>
                <w:sz w:val="20"/>
                <w:szCs w:val="20"/>
              </w:rPr>
              <w:t xml:space="preserve">stable disease </w:t>
            </w:r>
            <w:r w:rsidRPr="00460C33">
              <w:rPr>
                <w:b w:val="0"/>
                <w:sz w:val="20"/>
                <w:szCs w:val="20"/>
              </w:rPr>
              <w:t xml:space="preserve">lasting longer than 3 months from the first tumour assessment. The recommended re-induction regimen of </w:t>
            </w:r>
            <w:r w:rsidR="003D53F3" w:rsidRPr="00460C33">
              <w:rPr>
                <w:b w:val="0"/>
                <w:sz w:val="20"/>
                <w:szCs w:val="20"/>
              </w:rPr>
              <w:t>ipilimumab</w:t>
            </w:r>
            <w:r w:rsidRPr="00460C33">
              <w:rPr>
                <w:b w:val="0"/>
                <w:sz w:val="20"/>
                <w:szCs w:val="20"/>
              </w:rPr>
              <w:t xml:space="preserve"> is 3 mg/kg administered IV over a 90-minute period every 3 weeks for a total of 4 doses as tolerated, regardless of the appearance of new lesions or growth of existing lesions.</w:t>
            </w:r>
          </w:p>
        </w:tc>
      </w:tr>
      <w:tr w:rsidR="00E17ED3" w:rsidRPr="00A35800" w:rsidTr="009A4A66">
        <w:trPr>
          <w:cantSplit/>
        </w:trPr>
        <w:tc>
          <w:tcPr>
            <w:tcW w:w="1951" w:type="dxa"/>
          </w:tcPr>
          <w:p w:rsidR="00E17ED3" w:rsidRDefault="00E17ED3" w:rsidP="00A35800">
            <w:pPr>
              <w:pStyle w:val="Tablewriting"/>
            </w:pPr>
            <w:proofErr w:type="spellStart"/>
            <w:r>
              <w:t>Tafinlar</w:t>
            </w:r>
            <w:proofErr w:type="spellEnd"/>
            <w:r>
              <w:t>®</w:t>
            </w:r>
            <w:r>
              <w:br/>
            </w:r>
            <w:r w:rsidR="00B62EEC" w:rsidRPr="00B62EEC">
              <w:t>Novartis Pharmaceuticals Australia Pty Limited</w:t>
            </w:r>
          </w:p>
        </w:tc>
        <w:tc>
          <w:tcPr>
            <w:tcW w:w="1276" w:type="dxa"/>
          </w:tcPr>
          <w:p w:rsidR="00E17ED3" w:rsidRDefault="00E17ED3" w:rsidP="00A35800">
            <w:pPr>
              <w:pStyle w:val="Tablewriting"/>
            </w:pPr>
            <w:proofErr w:type="spellStart"/>
            <w:r>
              <w:t>Dabrafenib</w:t>
            </w:r>
            <w:proofErr w:type="spellEnd"/>
          </w:p>
        </w:tc>
        <w:tc>
          <w:tcPr>
            <w:tcW w:w="5953" w:type="dxa"/>
          </w:tcPr>
          <w:p w:rsidR="008D0A59" w:rsidRPr="00460C33" w:rsidRDefault="008D0A59" w:rsidP="00460C33">
            <w:pPr>
              <w:pStyle w:val="Tableheading"/>
              <w:jc w:val="left"/>
              <w:rPr>
                <w:b w:val="0"/>
                <w:sz w:val="20"/>
                <w:szCs w:val="20"/>
              </w:rPr>
            </w:pPr>
            <w:r w:rsidRPr="00460C33">
              <w:rPr>
                <w:b w:val="0"/>
                <w:sz w:val="20"/>
                <w:szCs w:val="20"/>
              </w:rPr>
              <w:t xml:space="preserve">Confirmation of BRAF V600 mutation using an approved/validated test is required for selection of patients appropriate for </w:t>
            </w:r>
            <w:proofErr w:type="spellStart"/>
            <w:r w:rsidR="003D53F3" w:rsidRPr="00460C33">
              <w:rPr>
                <w:b w:val="0"/>
                <w:sz w:val="20"/>
                <w:szCs w:val="20"/>
              </w:rPr>
              <w:t>dabrafenib</w:t>
            </w:r>
            <w:proofErr w:type="spellEnd"/>
            <w:r w:rsidR="003D53F3" w:rsidRPr="00460C33">
              <w:rPr>
                <w:b w:val="0"/>
                <w:sz w:val="20"/>
                <w:szCs w:val="20"/>
              </w:rPr>
              <w:t xml:space="preserve"> </w:t>
            </w:r>
            <w:r w:rsidRPr="00460C33">
              <w:rPr>
                <w:b w:val="0"/>
                <w:sz w:val="20"/>
                <w:szCs w:val="20"/>
              </w:rPr>
              <w:t xml:space="preserve">monotherapy and in combination with </w:t>
            </w:r>
            <w:proofErr w:type="spellStart"/>
            <w:r w:rsidRPr="00460C33">
              <w:rPr>
                <w:b w:val="0"/>
                <w:sz w:val="20"/>
                <w:szCs w:val="20"/>
              </w:rPr>
              <w:t>trametinib</w:t>
            </w:r>
            <w:proofErr w:type="spellEnd"/>
            <w:r w:rsidRPr="00460C33">
              <w:rPr>
                <w:b w:val="0"/>
                <w:sz w:val="20"/>
                <w:szCs w:val="20"/>
              </w:rPr>
              <w:t>.</w:t>
            </w:r>
          </w:p>
          <w:p w:rsidR="008D0A59" w:rsidRPr="00460C33" w:rsidRDefault="008D0A59" w:rsidP="00460C33">
            <w:pPr>
              <w:pStyle w:val="Tableheading"/>
              <w:jc w:val="left"/>
              <w:rPr>
                <w:b w:val="0"/>
                <w:sz w:val="20"/>
                <w:szCs w:val="20"/>
              </w:rPr>
            </w:pPr>
            <w:r w:rsidRPr="00460C33">
              <w:rPr>
                <w:b w:val="0"/>
                <w:sz w:val="20"/>
                <w:szCs w:val="20"/>
              </w:rPr>
              <w:t xml:space="preserve">The recommended dose of </w:t>
            </w:r>
            <w:proofErr w:type="spellStart"/>
            <w:r w:rsidR="003D53F3" w:rsidRPr="00460C33">
              <w:rPr>
                <w:b w:val="0"/>
                <w:sz w:val="20"/>
                <w:szCs w:val="20"/>
              </w:rPr>
              <w:t>dabrafenib</w:t>
            </w:r>
            <w:proofErr w:type="spellEnd"/>
            <w:r w:rsidRPr="00460C33">
              <w:rPr>
                <w:b w:val="0"/>
                <w:sz w:val="20"/>
                <w:szCs w:val="20"/>
              </w:rPr>
              <w:t xml:space="preserve"> used as monotherapy or in combination with </w:t>
            </w:r>
            <w:proofErr w:type="spellStart"/>
            <w:r w:rsidRPr="00460C33">
              <w:rPr>
                <w:b w:val="0"/>
                <w:sz w:val="20"/>
                <w:szCs w:val="20"/>
              </w:rPr>
              <w:t>trametinib</w:t>
            </w:r>
            <w:proofErr w:type="spellEnd"/>
            <w:r w:rsidRPr="00460C33">
              <w:rPr>
                <w:b w:val="0"/>
                <w:sz w:val="20"/>
                <w:szCs w:val="20"/>
              </w:rPr>
              <w:t xml:space="preserve"> is 150 mg (two 75 mg capsules) twice daily (corresponding to a total daily dose of 300 mg).</w:t>
            </w:r>
          </w:p>
          <w:p w:rsidR="008D0A59" w:rsidRPr="00460C33" w:rsidRDefault="008D0A59" w:rsidP="00460C33">
            <w:pPr>
              <w:pStyle w:val="Tableheading"/>
              <w:jc w:val="left"/>
              <w:rPr>
                <w:b w:val="0"/>
                <w:sz w:val="20"/>
                <w:szCs w:val="20"/>
              </w:rPr>
            </w:pPr>
            <w:r w:rsidRPr="00460C33">
              <w:rPr>
                <w:b w:val="0"/>
                <w:sz w:val="20"/>
                <w:szCs w:val="20"/>
              </w:rPr>
              <w:t>Treatment should continue until disease progression or the development of unacceptable toxicity.</w:t>
            </w:r>
          </w:p>
        </w:tc>
      </w:tr>
    </w:tbl>
    <w:p w:rsidR="00A35800" w:rsidRPr="00A03D71" w:rsidRDefault="003370D0" w:rsidP="00A35800">
      <w:pPr>
        <w:pStyle w:val="Notes"/>
      </w:pPr>
      <w:r w:rsidRPr="009A4A66">
        <w:t>Source:</w:t>
      </w:r>
      <w:r w:rsidR="00A03D71">
        <w:t xml:space="preserve"> </w:t>
      </w:r>
      <w:proofErr w:type="spellStart"/>
      <w:r w:rsidR="00A03D71">
        <w:t>Yervoy</w:t>
      </w:r>
      <w:proofErr w:type="spellEnd"/>
      <w:r w:rsidR="00A03D71">
        <w:t xml:space="preserve"> (ipilimumab) Australian approved product information. </w:t>
      </w:r>
      <w:r w:rsidR="0093229E">
        <w:t>Mulgrave</w:t>
      </w:r>
      <w:r w:rsidR="00A03D71">
        <w:t xml:space="preserve">: </w:t>
      </w:r>
      <w:r w:rsidR="0093229E">
        <w:t>Bristol-Myers Squibb Australia Pty Ltd</w:t>
      </w:r>
      <w:r w:rsidR="00A03D71">
        <w:t xml:space="preserve">. </w:t>
      </w:r>
      <w:r w:rsidR="0093229E">
        <w:t>Approved 27 June 2011, most recent update 9 April 2015.</w:t>
      </w:r>
      <w:r w:rsidR="00A03D71">
        <w:br/>
      </w:r>
      <w:proofErr w:type="spellStart"/>
      <w:r w:rsidR="00A03D71">
        <w:t>Tafinlar</w:t>
      </w:r>
      <w:proofErr w:type="spellEnd"/>
      <w:r w:rsidR="00A03D71">
        <w:t xml:space="preserve"> (</w:t>
      </w:r>
      <w:proofErr w:type="spellStart"/>
      <w:r w:rsidR="00A03D71">
        <w:t>dabrafenib</w:t>
      </w:r>
      <w:proofErr w:type="spellEnd"/>
      <w:r w:rsidR="00A03D71">
        <w:t xml:space="preserve">) Australian approved product information. </w:t>
      </w:r>
      <w:r w:rsidR="0093229E">
        <w:t>Macquarie Park</w:t>
      </w:r>
      <w:r w:rsidR="00A03D71">
        <w:t>: Novartis</w:t>
      </w:r>
      <w:r w:rsidR="00A03D71" w:rsidRPr="00A03D71">
        <w:t xml:space="preserve"> Pharmaceuticals Australia Pty Limited</w:t>
      </w:r>
      <w:r w:rsidR="00A03D71">
        <w:t xml:space="preserve">. Approved </w:t>
      </w:r>
      <w:r w:rsidR="0093229E">
        <w:t>21 August 2013</w:t>
      </w:r>
      <w:r w:rsidR="00A03D71">
        <w:t xml:space="preserve">, </w:t>
      </w:r>
      <w:r w:rsidR="0093229E">
        <w:t>most recent update</w:t>
      </w:r>
      <w:r w:rsidR="00A03D71">
        <w:t xml:space="preserve"> </w:t>
      </w:r>
      <w:r w:rsidR="0093229E">
        <w:t>10 July</w:t>
      </w:r>
      <w:r w:rsidR="00A03D71">
        <w:t xml:space="preserve"> </w:t>
      </w:r>
      <w:r w:rsidR="0093229E">
        <w:t>2015</w:t>
      </w:r>
      <w:r w:rsidR="00A03D71">
        <w:t>.</w:t>
      </w:r>
      <w:r w:rsidR="009A4A66" w:rsidRPr="009A4A66">
        <w:t xml:space="preserve"> </w:t>
      </w:r>
    </w:p>
    <w:p w:rsidR="00363CEF" w:rsidRPr="002F61CA" w:rsidRDefault="00F17D4B" w:rsidP="00F17D4B">
      <w:r w:rsidRPr="002F61CA">
        <w:t xml:space="preserve">The current Product Information (PI) and Consumer Medicine Information (CMI) are available from </w:t>
      </w:r>
      <w:r w:rsidRPr="001A7DA5">
        <w:t>the TGA (Product Information)</w:t>
      </w:r>
      <w:r>
        <w:t xml:space="preserve"> and </w:t>
      </w:r>
      <w:r w:rsidRPr="001A7DA5">
        <w:t>the TGA (Consumer Medicines Information)</w:t>
      </w:r>
      <w:r>
        <w:t>.</w:t>
      </w:r>
    </w:p>
    <w:p w:rsidR="001420B3" w:rsidRPr="007247B9" w:rsidRDefault="001420B3" w:rsidP="0093229E">
      <w:pPr>
        <w:pStyle w:val="Heading3"/>
        <w:keepNext/>
      </w:pPr>
      <w:r w:rsidRPr="007247B9">
        <w:t>Clinical situation</w:t>
      </w:r>
    </w:p>
    <w:p w:rsidR="001B08C9" w:rsidRDefault="001B08C9" w:rsidP="001B08C9">
      <w:r>
        <w:t>Melanoma is a type of skin cancer. There are three main types of skin cancer that are named after the cells that are affected: squamous cell carcinoma (SCC), basal cell carcinoma (BCC) and melanoma. Melanoma develops from the melanocytes.</w:t>
      </w:r>
      <w:r>
        <w:rPr>
          <w:rStyle w:val="FootnoteReference"/>
        </w:rPr>
        <w:footnoteReference w:id="5"/>
      </w:r>
      <w:r>
        <w:t xml:space="preserve"> </w:t>
      </w:r>
    </w:p>
    <w:p w:rsidR="00AE2E94" w:rsidRDefault="00AE2E94" w:rsidP="001B08C9">
      <w:r w:rsidRPr="00AE2E94">
        <w:t>Melanoma is the fourth most common cancer diagnosed in Australia</w:t>
      </w:r>
      <w:r>
        <w:rPr>
          <w:rStyle w:val="FootnoteReference"/>
        </w:rPr>
        <w:footnoteReference w:id="6"/>
      </w:r>
      <w:r w:rsidRPr="00AE2E94">
        <w:t>, which along with New Zealand has the world's highest incidence rate for melanoma.</w:t>
      </w:r>
      <w:r>
        <w:t xml:space="preserve"> In Australia in 2011, </w:t>
      </w:r>
      <w:r>
        <w:lastRenderedPageBreak/>
        <w:t>there were 1</w:t>
      </w:r>
      <w:r w:rsidR="000D7F87">
        <w:t>,</w:t>
      </w:r>
      <w:r>
        <w:t>544 deaths due to melanoma. Melanoma is the sixth most common cause of cancer death in Australian men and tenth most common in Australian women.</w:t>
      </w:r>
    </w:p>
    <w:p w:rsidR="00AE2E94" w:rsidRDefault="00AE2E94" w:rsidP="00AE2E94">
      <w:r>
        <w:t>After diagnosis, the first stage of treatment is surgery. Surgery can be curative for thin melanomas and requires that the melanoma be removed with at least 1–2cm of normal skin around it. If the draining lymph nodes are involved they are removed.</w:t>
      </w:r>
    </w:p>
    <w:p w:rsidR="006F0F6C" w:rsidRDefault="006F0F6C" w:rsidP="006F0F6C">
      <w:r>
        <w:t xml:space="preserve">Generally, </w:t>
      </w:r>
      <w:r w:rsidRPr="00D04413">
        <w:t>chemotherapy drugs have not been particularly effective in treating melanoma.</w:t>
      </w:r>
      <w:r>
        <w:rPr>
          <w:rStyle w:val="FootnoteReference"/>
        </w:rPr>
        <w:footnoteReference w:id="7"/>
      </w:r>
      <w:r w:rsidRPr="00D04413">
        <w:t xml:space="preserve"> </w:t>
      </w:r>
      <w:r>
        <w:t>In patients with melanoma, chemotherapy is reserved for the patients with metastatic disease.</w:t>
      </w:r>
    </w:p>
    <w:p w:rsidR="008D0A59" w:rsidRDefault="009F4F95" w:rsidP="00A35800">
      <w:r>
        <w:t xml:space="preserve">For </w:t>
      </w:r>
      <w:r w:rsidR="00471500">
        <w:t xml:space="preserve">some </w:t>
      </w:r>
      <w:r>
        <w:t>patients with melanoma immunotherapy may be used.</w:t>
      </w:r>
      <w:r w:rsidR="0086394B">
        <w:rPr>
          <w:rStyle w:val="FootnoteReference"/>
        </w:rPr>
        <w:footnoteReference w:id="8"/>
      </w:r>
      <w:r>
        <w:t xml:space="preserve"> </w:t>
      </w:r>
      <w:r w:rsidRPr="009F4F95">
        <w:t>Immunotherapy is the use of medicines to stimulate a patient</w:t>
      </w:r>
      <w:r w:rsidR="00CE7C49">
        <w:t>’s own immune system to recognis</w:t>
      </w:r>
      <w:r w:rsidRPr="009F4F95">
        <w:t>e and destroy cancer cells more effectively.</w:t>
      </w:r>
      <w:r w:rsidR="0086394B">
        <w:rPr>
          <w:rStyle w:val="FootnoteReference"/>
        </w:rPr>
        <w:footnoteReference w:id="9"/>
      </w:r>
      <w:r w:rsidRPr="009F4F95">
        <w:t xml:space="preserve"> </w:t>
      </w:r>
      <w:r w:rsidR="0086394B">
        <w:t xml:space="preserve">One example of immunotherapy for melanoma is </w:t>
      </w:r>
      <w:r w:rsidR="00080F82">
        <w:t>ipilimumab</w:t>
      </w:r>
      <w:r w:rsidR="0086394B">
        <w:t xml:space="preserve">. </w:t>
      </w:r>
      <w:r w:rsidR="008D0A59">
        <w:t xml:space="preserve">Ipilimumab may decrease the effect of </w:t>
      </w:r>
      <w:proofErr w:type="spellStart"/>
      <w:r w:rsidR="008D0A59">
        <w:t>immunosuppressants</w:t>
      </w:r>
      <w:proofErr w:type="spellEnd"/>
      <w:r w:rsidR="008D0A59">
        <w:t xml:space="preserve">, and </w:t>
      </w:r>
      <w:proofErr w:type="spellStart"/>
      <w:r w:rsidR="008D0A59">
        <w:t>immunosuppressants</w:t>
      </w:r>
      <w:proofErr w:type="spellEnd"/>
      <w:r w:rsidR="008D0A59">
        <w:t xml:space="preserve"> may affect the activity of ipilimumab. Autoimmune disease may be worsened by ipilimumab. Active disease should be controlled before starting patients on ipilimumab</w:t>
      </w:r>
      <w:r w:rsidR="00D84683">
        <w:t>.</w:t>
      </w:r>
      <w:r w:rsidR="00363CEF">
        <w:rPr>
          <w:rStyle w:val="FootnoteReference"/>
        </w:rPr>
        <w:footnoteReference w:id="10"/>
      </w:r>
      <w:r w:rsidR="00B16EFE">
        <w:t xml:space="preserve"> </w:t>
      </w:r>
    </w:p>
    <w:p w:rsidR="0086394B" w:rsidRPr="0086394B" w:rsidRDefault="0086394B" w:rsidP="00A35800">
      <w:r>
        <w:t xml:space="preserve">Targeted treatments such as </w:t>
      </w:r>
      <w:proofErr w:type="spellStart"/>
      <w:r>
        <w:t>dabrafenib</w:t>
      </w:r>
      <w:proofErr w:type="spellEnd"/>
      <w:r>
        <w:t xml:space="preserve"> may be used to treat patients with melanomas that have changes (or mutations) in the </w:t>
      </w:r>
      <w:r>
        <w:rPr>
          <w:i/>
        </w:rPr>
        <w:t>BRAF</w:t>
      </w:r>
      <w:r>
        <w:t xml:space="preserve"> gene. </w:t>
      </w:r>
    </w:p>
    <w:p w:rsidR="00656B1A" w:rsidRDefault="00656B1A">
      <w:pPr>
        <w:spacing w:line="276" w:lineRule="auto"/>
        <w:rPr>
          <w:b/>
          <w:sz w:val="28"/>
          <w:szCs w:val="28"/>
        </w:rPr>
      </w:pPr>
      <w:r>
        <w:br w:type="page"/>
      </w:r>
    </w:p>
    <w:p w:rsidR="00DF0B13" w:rsidRPr="007247B9" w:rsidRDefault="00DF0B13" w:rsidP="00FE645A">
      <w:pPr>
        <w:pStyle w:val="Heading3"/>
      </w:pPr>
      <w:r w:rsidRPr="007247B9">
        <w:lastRenderedPageBreak/>
        <w:t>PBS listing details</w:t>
      </w:r>
      <w:r w:rsidR="00D151EB">
        <w:t xml:space="preserve"> (as at </w:t>
      </w:r>
      <w:r w:rsidR="001976AD">
        <w:t>1 June 2015)</w:t>
      </w:r>
    </w:p>
    <w:p w:rsidR="003D53F3" w:rsidRPr="001420B3" w:rsidRDefault="003D53F3" w:rsidP="003D53F3">
      <w:pPr>
        <w:pStyle w:val="Tabletitle"/>
      </w:pPr>
      <w:r w:rsidRPr="001420B3">
        <w:t xml:space="preserve">Table </w:t>
      </w:r>
      <w:r w:rsidR="00D57C22">
        <w:t>2</w:t>
      </w:r>
      <w:r w:rsidRPr="001420B3">
        <w:t xml:space="preserve">: </w:t>
      </w:r>
      <w:r>
        <w:t>PBS listing of ipilimumab</w:t>
      </w:r>
    </w:p>
    <w:tbl>
      <w:tblPr>
        <w:tblStyle w:val="TableGrid"/>
        <w:tblW w:w="9064" w:type="dxa"/>
        <w:tblLayout w:type="fixed"/>
        <w:tblLook w:val="04A0" w:firstRow="1" w:lastRow="0" w:firstColumn="1" w:lastColumn="0" w:noHBand="0" w:noVBand="1"/>
        <w:tblCaption w:val="PBS listing of ipilimumab"/>
        <w:tblDescription w:val="Ipilimumab is dispensed as a 10 mL or 40 mL vial for injection, the DPMA is $47,585.30 in private hospitals and $47,478.28 in public hospitals (as at June 2015)."/>
      </w:tblPr>
      <w:tblGrid>
        <w:gridCol w:w="1526"/>
        <w:gridCol w:w="2410"/>
        <w:gridCol w:w="992"/>
        <w:gridCol w:w="850"/>
        <w:gridCol w:w="1418"/>
        <w:gridCol w:w="1868"/>
      </w:tblGrid>
      <w:tr w:rsidR="003D53F3" w:rsidRPr="00A35800" w:rsidTr="001815FB">
        <w:trPr>
          <w:trHeight w:val="694"/>
          <w:tblHeader/>
        </w:trPr>
        <w:tc>
          <w:tcPr>
            <w:tcW w:w="1526" w:type="dxa"/>
            <w:shd w:val="clear" w:color="auto" w:fill="BFBFBF" w:themeFill="background1" w:themeFillShade="BF"/>
          </w:tcPr>
          <w:p w:rsidR="003D53F3" w:rsidRPr="00A35800" w:rsidRDefault="003D53F3" w:rsidP="00986CE6">
            <w:pPr>
              <w:pStyle w:val="Tableheading"/>
              <w:rPr>
                <w:sz w:val="20"/>
                <w:szCs w:val="20"/>
              </w:rPr>
            </w:pPr>
            <w:r w:rsidRPr="00A35800">
              <w:rPr>
                <w:sz w:val="20"/>
                <w:szCs w:val="20"/>
              </w:rPr>
              <w:t>Item</w:t>
            </w:r>
          </w:p>
        </w:tc>
        <w:tc>
          <w:tcPr>
            <w:tcW w:w="2410" w:type="dxa"/>
            <w:shd w:val="clear" w:color="auto" w:fill="BFBFBF" w:themeFill="background1" w:themeFillShade="BF"/>
          </w:tcPr>
          <w:p w:rsidR="003D53F3" w:rsidRPr="00A35800" w:rsidRDefault="003D53F3" w:rsidP="00986CE6">
            <w:pPr>
              <w:pStyle w:val="Tableheading"/>
              <w:rPr>
                <w:sz w:val="20"/>
                <w:szCs w:val="20"/>
              </w:rPr>
            </w:pPr>
            <w:r w:rsidRPr="00A35800">
              <w:rPr>
                <w:sz w:val="20"/>
                <w:szCs w:val="20"/>
              </w:rPr>
              <w:t>Name, form &amp; strength, pack size</w:t>
            </w:r>
          </w:p>
        </w:tc>
        <w:tc>
          <w:tcPr>
            <w:tcW w:w="992" w:type="dxa"/>
            <w:shd w:val="clear" w:color="auto" w:fill="BFBFBF" w:themeFill="background1" w:themeFillShade="BF"/>
          </w:tcPr>
          <w:p w:rsidR="003D53F3" w:rsidRPr="00A35800" w:rsidRDefault="003D53F3" w:rsidP="00986CE6">
            <w:pPr>
              <w:pStyle w:val="Tableheading"/>
              <w:rPr>
                <w:sz w:val="20"/>
                <w:szCs w:val="20"/>
              </w:rPr>
            </w:pPr>
            <w:r w:rsidRPr="00A35800">
              <w:rPr>
                <w:sz w:val="20"/>
                <w:szCs w:val="20"/>
              </w:rPr>
              <w:t xml:space="preserve">Max. </w:t>
            </w:r>
            <w:r>
              <w:rPr>
                <w:sz w:val="20"/>
                <w:szCs w:val="20"/>
              </w:rPr>
              <w:t>amount</w:t>
            </w:r>
            <w:r w:rsidRPr="00A35800">
              <w:rPr>
                <w:sz w:val="20"/>
                <w:szCs w:val="20"/>
              </w:rPr>
              <w:t xml:space="preserve"> </w:t>
            </w:r>
          </w:p>
        </w:tc>
        <w:tc>
          <w:tcPr>
            <w:tcW w:w="850" w:type="dxa"/>
            <w:shd w:val="clear" w:color="auto" w:fill="BFBFBF" w:themeFill="background1" w:themeFillShade="BF"/>
          </w:tcPr>
          <w:p w:rsidR="003D53F3" w:rsidRPr="00A35800" w:rsidRDefault="003D53F3" w:rsidP="00986CE6">
            <w:pPr>
              <w:pStyle w:val="Tableheading"/>
              <w:rPr>
                <w:sz w:val="20"/>
                <w:szCs w:val="20"/>
              </w:rPr>
            </w:pPr>
            <w:proofErr w:type="spellStart"/>
            <w:r w:rsidRPr="00A35800">
              <w:rPr>
                <w:sz w:val="20"/>
                <w:szCs w:val="20"/>
              </w:rPr>
              <w:t>Rpts</w:t>
            </w:r>
            <w:proofErr w:type="spellEnd"/>
            <w:r w:rsidRPr="00A35800">
              <w:rPr>
                <w:sz w:val="20"/>
                <w:szCs w:val="20"/>
              </w:rPr>
              <w:t xml:space="preserve"> </w:t>
            </w:r>
          </w:p>
        </w:tc>
        <w:tc>
          <w:tcPr>
            <w:tcW w:w="1418" w:type="dxa"/>
            <w:shd w:val="clear" w:color="auto" w:fill="BFBFBF" w:themeFill="background1" w:themeFillShade="BF"/>
          </w:tcPr>
          <w:p w:rsidR="003D53F3" w:rsidRPr="00A35800" w:rsidRDefault="003D53F3" w:rsidP="00986CE6">
            <w:pPr>
              <w:pStyle w:val="Tableheading"/>
              <w:rPr>
                <w:sz w:val="20"/>
                <w:szCs w:val="20"/>
              </w:rPr>
            </w:pPr>
            <w:r>
              <w:rPr>
                <w:sz w:val="20"/>
                <w:szCs w:val="20"/>
              </w:rPr>
              <w:t>DPMA</w:t>
            </w:r>
          </w:p>
        </w:tc>
        <w:tc>
          <w:tcPr>
            <w:tcW w:w="1868" w:type="dxa"/>
            <w:shd w:val="clear" w:color="auto" w:fill="BFBFBF" w:themeFill="background1" w:themeFillShade="BF"/>
          </w:tcPr>
          <w:p w:rsidR="003D53F3" w:rsidRPr="00A35800" w:rsidRDefault="003D53F3" w:rsidP="00986CE6">
            <w:pPr>
              <w:pStyle w:val="Tableheading"/>
              <w:rPr>
                <w:sz w:val="20"/>
                <w:szCs w:val="20"/>
              </w:rPr>
            </w:pPr>
            <w:r w:rsidRPr="00A35800">
              <w:rPr>
                <w:sz w:val="20"/>
                <w:szCs w:val="20"/>
              </w:rPr>
              <w:t>Brand name and manufacturer</w:t>
            </w:r>
          </w:p>
        </w:tc>
      </w:tr>
      <w:tr w:rsidR="00AF4424" w:rsidRPr="00A35800" w:rsidTr="001815FB">
        <w:trPr>
          <w:trHeight w:val="546"/>
        </w:trPr>
        <w:tc>
          <w:tcPr>
            <w:tcW w:w="1526" w:type="dxa"/>
            <w:vMerge w:val="restart"/>
            <w:shd w:val="clear" w:color="auto" w:fill="auto"/>
          </w:tcPr>
          <w:p w:rsidR="00AF4424" w:rsidRPr="00460C33" w:rsidRDefault="00AF4424" w:rsidP="008B15A7">
            <w:pPr>
              <w:pStyle w:val="Tableheading"/>
              <w:jc w:val="left"/>
              <w:rPr>
                <w:b w:val="0"/>
                <w:sz w:val="20"/>
                <w:szCs w:val="20"/>
              </w:rPr>
            </w:pPr>
            <w:r w:rsidRPr="00460C33">
              <w:rPr>
                <w:b w:val="0"/>
                <w:sz w:val="20"/>
                <w:szCs w:val="20"/>
              </w:rPr>
              <w:t xml:space="preserve">2638W </w:t>
            </w:r>
            <w:r w:rsidR="008B15A7">
              <w:rPr>
                <w:b w:val="0"/>
                <w:sz w:val="20"/>
                <w:szCs w:val="20"/>
              </w:rPr>
              <w:br/>
            </w:r>
            <w:r w:rsidRPr="00460C33">
              <w:rPr>
                <w:b w:val="0"/>
                <w:sz w:val="20"/>
                <w:szCs w:val="20"/>
              </w:rPr>
              <w:t>(private hospitals)</w:t>
            </w:r>
          </w:p>
        </w:tc>
        <w:tc>
          <w:tcPr>
            <w:tcW w:w="2410" w:type="dxa"/>
            <w:shd w:val="clear" w:color="auto" w:fill="auto"/>
          </w:tcPr>
          <w:p w:rsidR="00AF4424" w:rsidRPr="00460C33" w:rsidRDefault="00AF4424" w:rsidP="00460C33">
            <w:pPr>
              <w:pStyle w:val="Tableheading"/>
              <w:jc w:val="left"/>
              <w:rPr>
                <w:b w:val="0"/>
                <w:sz w:val="20"/>
                <w:szCs w:val="20"/>
              </w:rPr>
            </w:pPr>
            <w:r w:rsidRPr="00460C33">
              <w:rPr>
                <w:b w:val="0"/>
                <w:sz w:val="20"/>
                <w:szCs w:val="20"/>
              </w:rPr>
              <w:t>IPILIMUMAB</w:t>
            </w:r>
            <w:r w:rsidRPr="00460C33">
              <w:rPr>
                <w:b w:val="0"/>
                <w:sz w:val="20"/>
                <w:szCs w:val="20"/>
              </w:rPr>
              <w:br/>
            </w:r>
            <w:proofErr w:type="spellStart"/>
            <w:r w:rsidRPr="00460C33">
              <w:rPr>
                <w:b w:val="0"/>
                <w:sz w:val="20"/>
                <w:szCs w:val="20"/>
              </w:rPr>
              <w:t>ipilimumab</w:t>
            </w:r>
            <w:proofErr w:type="spellEnd"/>
            <w:r w:rsidRPr="00460C33">
              <w:rPr>
                <w:b w:val="0"/>
                <w:sz w:val="20"/>
                <w:szCs w:val="20"/>
              </w:rPr>
              <w:t xml:space="preserve"> 200 mg/40 mL injection, 1 x 40 mL vial</w:t>
            </w:r>
          </w:p>
        </w:tc>
        <w:tc>
          <w:tcPr>
            <w:tcW w:w="992" w:type="dxa"/>
            <w:vMerge w:val="restart"/>
            <w:shd w:val="clear" w:color="auto" w:fill="auto"/>
          </w:tcPr>
          <w:p w:rsidR="00AF4424" w:rsidRPr="00A35800" w:rsidRDefault="00AF4424" w:rsidP="00986CE6">
            <w:pPr>
              <w:pStyle w:val="Tablewriting"/>
            </w:pPr>
            <w:r>
              <w:t>360 mg</w:t>
            </w:r>
          </w:p>
        </w:tc>
        <w:tc>
          <w:tcPr>
            <w:tcW w:w="850" w:type="dxa"/>
            <w:vMerge w:val="restart"/>
            <w:shd w:val="clear" w:color="auto" w:fill="auto"/>
          </w:tcPr>
          <w:p w:rsidR="00AF4424" w:rsidRPr="00A35800" w:rsidRDefault="00AF4424" w:rsidP="00986CE6">
            <w:pPr>
              <w:pStyle w:val="Tablewriting"/>
            </w:pPr>
            <w:r>
              <w:t>3</w:t>
            </w:r>
          </w:p>
        </w:tc>
        <w:tc>
          <w:tcPr>
            <w:tcW w:w="1418" w:type="dxa"/>
            <w:vMerge w:val="restart"/>
            <w:shd w:val="clear" w:color="auto" w:fill="auto"/>
          </w:tcPr>
          <w:p w:rsidR="00AF4424" w:rsidRPr="00A35800" w:rsidRDefault="00AF4424" w:rsidP="00986CE6">
            <w:pPr>
              <w:pStyle w:val="Tablewriting"/>
            </w:pPr>
            <w:r w:rsidRPr="002A0647">
              <w:t>$47</w:t>
            </w:r>
            <w:r>
              <w:t>,</w:t>
            </w:r>
            <w:r w:rsidRPr="002A0647">
              <w:t>585.30</w:t>
            </w:r>
          </w:p>
        </w:tc>
        <w:tc>
          <w:tcPr>
            <w:tcW w:w="1868" w:type="dxa"/>
            <w:vMerge w:val="restart"/>
            <w:shd w:val="clear" w:color="auto" w:fill="auto"/>
          </w:tcPr>
          <w:p w:rsidR="00AF4424" w:rsidRDefault="00AF4424" w:rsidP="00986CE6">
            <w:pPr>
              <w:pStyle w:val="Tablewriting"/>
            </w:pPr>
            <w:proofErr w:type="spellStart"/>
            <w:r w:rsidRPr="002A0647">
              <w:t>Yervoy</w:t>
            </w:r>
            <w:proofErr w:type="spellEnd"/>
          </w:p>
          <w:p w:rsidR="00AF4424" w:rsidRPr="00A35800" w:rsidRDefault="00AF4424" w:rsidP="00986CE6">
            <w:pPr>
              <w:pStyle w:val="Tablewriting"/>
            </w:pPr>
            <w:r w:rsidRPr="002A0647">
              <w:t>Bristol-Myers Squibb Australia Pty Ltd</w:t>
            </w:r>
          </w:p>
        </w:tc>
      </w:tr>
      <w:tr w:rsidR="00AF4424" w:rsidRPr="00A35800" w:rsidTr="001815FB">
        <w:trPr>
          <w:trHeight w:val="546"/>
        </w:trPr>
        <w:tc>
          <w:tcPr>
            <w:tcW w:w="1526" w:type="dxa"/>
            <w:vMerge/>
            <w:shd w:val="clear" w:color="auto" w:fill="auto"/>
          </w:tcPr>
          <w:p w:rsidR="00AF4424" w:rsidRPr="00460C33" w:rsidRDefault="00AF4424" w:rsidP="00460C33">
            <w:pPr>
              <w:pStyle w:val="Tableheading"/>
              <w:jc w:val="left"/>
              <w:rPr>
                <w:b w:val="0"/>
                <w:sz w:val="20"/>
                <w:szCs w:val="20"/>
              </w:rPr>
            </w:pPr>
          </w:p>
        </w:tc>
        <w:tc>
          <w:tcPr>
            <w:tcW w:w="2410" w:type="dxa"/>
            <w:shd w:val="clear" w:color="auto" w:fill="auto"/>
          </w:tcPr>
          <w:p w:rsidR="00AF4424" w:rsidRPr="00460C33" w:rsidRDefault="00AF4424" w:rsidP="00460C33">
            <w:pPr>
              <w:pStyle w:val="Tableheading"/>
              <w:jc w:val="left"/>
              <w:rPr>
                <w:b w:val="0"/>
                <w:sz w:val="20"/>
                <w:szCs w:val="20"/>
              </w:rPr>
            </w:pPr>
            <w:r w:rsidRPr="00460C33">
              <w:rPr>
                <w:b w:val="0"/>
                <w:sz w:val="20"/>
                <w:szCs w:val="20"/>
              </w:rPr>
              <w:t>IPILIMUMAB</w:t>
            </w:r>
            <w:r w:rsidRPr="00460C33">
              <w:rPr>
                <w:b w:val="0"/>
                <w:sz w:val="20"/>
                <w:szCs w:val="20"/>
              </w:rPr>
              <w:br/>
            </w:r>
            <w:proofErr w:type="spellStart"/>
            <w:r w:rsidRPr="00460C33">
              <w:rPr>
                <w:b w:val="0"/>
                <w:sz w:val="20"/>
                <w:szCs w:val="20"/>
              </w:rPr>
              <w:t>ipilimumab</w:t>
            </w:r>
            <w:proofErr w:type="spellEnd"/>
            <w:r w:rsidRPr="00460C33">
              <w:rPr>
                <w:b w:val="0"/>
                <w:sz w:val="20"/>
                <w:szCs w:val="20"/>
              </w:rPr>
              <w:t xml:space="preserve"> 50 mg/10 mL injection, 1 x 10 mL vial</w:t>
            </w:r>
          </w:p>
        </w:tc>
        <w:tc>
          <w:tcPr>
            <w:tcW w:w="992" w:type="dxa"/>
            <w:vMerge/>
            <w:shd w:val="clear" w:color="auto" w:fill="auto"/>
          </w:tcPr>
          <w:p w:rsidR="00AF4424" w:rsidRPr="00A35800" w:rsidRDefault="00AF4424" w:rsidP="00986CE6">
            <w:pPr>
              <w:pStyle w:val="Tablewriting"/>
            </w:pPr>
          </w:p>
        </w:tc>
        <w:tc>
          <w:tcPr>
            <w:tcW w:w="850" w:type="dxa"/>
            <w:vMerge/>
            <w:shd w:val="clear" w:color="auto" w:fill="auto"/>
          </w:tcPr>
          <w:p w:rsidR="00AF4424" w:rsidRPr="00A35800" w:rsidRDefault="00AF4424" w:rsidP="00986CE6">
            <w:pPr>
              <w:pStyle w:val="Tablewriting"/>
            </w:pPr>
          </w:p>
        </w:tc>
        <w:tc>
          <w:tcPr>
            <w:tcW w:w="1418" w:type="dxa"/>
            <w:vMerge/>
            <w:shd w:val="clear" w:color="auto" w:fill="auto"/>
          </w:tcPr>
          <w:p w:rsidR="00AF4424" w:rsidRPr="00A35800" w:rsidRDefault="00AF4424" w:rsidP="00986CE6">
            <w:pPr>
              <w:pStyle w:val="Tablewriting"/>
            </w:pPr>
          </w:p>
        </w:tc>
        <w:tc>
          <w:tcPr>
            <w:tcW w:w="1868" w:type="dxa"/>
            <w:vMerge/>
            <w:shd w:val="clear" w:color="auto" w:fill="auto"/>
          </w:tcPr>
          <w:p w:rsidR="00AF4424" w:rsidRPr="00A35800" w:rsidRDefault="00AF4424" w:rsidP="00986CE6">
            <w:pPr>
              <w:pStyle w:val="Tablewriting"/>
            </w:pPr>
          </w:p>
        </w:tc>
      </w:tr>
      <w:tr w:rsidR="00AF4424" w:rsidRPr="00A35800" w:rsidTr="001815FB">
        <w:trPr>
          <w:trHeight w:val="546"/>
        </w:trPr>
        <w:tc>
          <w:tcPr>
            <w:tcW w:w="1526" w:type="dxa"/>
            <w:vMerge w:val="restart"/>
            <w:shd w:val="clear" w:color="auto" w:fill="auto"/>
          </w:tcPr>
          <w:p w:rsidR="00AF4424" w:rsidRPr="00460C33" w:rsidRDefault="00AF4424" w:rsidP="008B15A7">
            <w:pPr>
              <w:pStyle w:val="Tableheading"/>
              <w:jc w:val="left"/>
              <w:rPr>
                <w:b w:val="0"/>
                <w:sz w:val="20"/>
                <w:szCs w:val="20"/>
              </w:rPr>
            </w:pPr>
            <w:r w:rsidRPr="00460C33">
              <w:rPr>
                <w:b w:val="0"/>
                <w:sz w:val="20"/>
                <w:szCs w:val="20"/>
              </w:rPr>
              <w:t xml:space="preserve">2643D </w:t>
            </w:r>
            <w:r w:rsidR="008B15A7">
              <w:rPr>
                <w:b w:val="0"/>
                <w:sz w:val="20"/>
                <w:szCs w:val="20"/>
              </w:rPr>
              <w:br/>
            </w:r>
            <w:r w:rsidRPr="00460C33">
              <w:rPr>
                <w:b w:val="0"/>
                <w:sz w:val="20"/>
                <w:szCs w:val="20"/>
              </w:rPr>
              <w:t>(private hospitals</w:t>
            </w:r>
            <w:r w:rsidR="008B15A7">
              <w:rPr>
                <w:b w:val="0"/>
                <w:sz w:val="20"/>
                <w:szCs w:val="20"/>
              </w:rPr>
              <w:t>, grandfathered patients</w:t>
            </w:r>
            <w:r w:rsidRPr="00460C33">
              <w:rPr>
                <w:b w:val="0"/>
                <w:sz w:val="20"/>
                <w:szCs w:val="20"/>
              </w:rPr>
              <w:t>)</w:t>
            </w:r>
          </w:p>
        </w:tc>
        <w:tc>
          <w:tcPr>
            <w:tcW w:w="2410" w:type="dxa"/>
            <w:shd w:val="clear" w:color="auto" w:fill="auto"/>
          </w:tcPr>
          <w:p w:rsidR="00AF4424" w:rsidRPr="00460C33" w:rsidRDefault="00AF4424" w:rsidP="00460C33">
            <w:pPr>
              <w:pStyle w:val="Tableheading"/>
              <w:jc w:val="left"/>
              <w:rPr>
                <w:b w:val="0"/>
                <w:sz w:val="20"/>
                <w:szCs w:val="20"/>
              </w:rPr>
            </w:pPr>
            <w:r w:rsidRPr="00460C33">
              <w:rPr>
                <w:b w:val="0"/>
                <w:sz w:val="20"/>
                <w:szCs w:val="20"/>
              </w:rPr>
              <w:t>IPILIMUMAB</w:t>
            </w:r>
            <w:r w:rsidRPr="00460C33">
              <w:rPr>
                <w:b w:val="0"/>
                <w:sz w:val="20"/>
                <w:szCs w:val="20"/>
              </w:rPr>
              <w:br/>
            </w:r>
            <w:proofErr w:type="spellStart"/>
            <w:r w:rsidRPr="00460C33">
              <w:rPr>
                <w:b w:val="0"/>
                <w:sz w:val="20"/>
                <w:szCs w:val="20"/>
              </w:rPr>
              <w:t>ipilimumab</w:t>
            </w:r>
            <w:proofErr w:type="spellEnd"/>
            <w:r w:rsidRPr="00460C33">
              <w:rPr>
                <w:b w:val="0"/>
                <w:sz w:val="20"/>
                <w:szCs w:val="20"/>
              </w:rPr>
              <w:t xml:space="preserve"> 200 mg/40 mL injection, 1 x 40 mL vial</w:t>
            </w:r>
          </w:p>
        </w:tc>
        <w:tc>
          <w:tcPr>
            <w:tcW w:w="992" w:type="dxa"/>
            <w:vMerge w:val="restart"/>
            <w:shd w:val="clear" w:color="auto" w:fill="auto"/>
          </w:tcPr>
          <w:p w:rsidR="00AF4424" w:rsidRPr="00A35800" w:rsidRDefault="00AF4424" w:rsidP="00F50F1D">
            <w:pPr>
              <w:pStyle w:val="Tablewriting"/>
            </w:pPr>
            <w:r>
              <w:t>360 mg</w:t>
            </w:r>
          </w:p>
          <w:p w:rsidR="00AF4424" w:rsidRPr="00A35800" w:rsidRDefault="00AF4424" w:rsidP="00F50F1D">
            <w:pPr>
              <w:pStyle w:val="Tablewriting"/>
            </w:pPr>
          </w:p>
        </w:tc>
        <w:tc>
          <w:tcPr>
            <w:tcW w:w="850" w:type="dxa"/>
            <w:vMerge w:val="restart"/>
            <w:shd w:val="clear" w:color="auto" w:fill="auto"/>
          </w:tcPr>
          <w:p w:rsidR="00AF4424" w:rsidRPr="00A35800" w:rsidRDefault="00AF4424" w:rsidP="00F50F1D">
            <w:pPr>
              <w:pStyle w:val="Tablewriting"/>
            </w:pPr>
            <w:r>
              <w:t>2</w:t>
            </w:r>
          </w:p>
        </w:tc>
        <w:tc>
          <w:tcPr>
            <w:tcW w:w="1418" w:type="dxa"/>
            <w:vMerge w:val="restart"/>
            <w:shd w:val="clear" w:color="auto" w:fill="auto"/>
          </w:tcPr>
          <w:p w:rsidR="00AF4424" w:rsidRPr="00A35800" w:rsidRDefault="00AF4424" w:rsidP="00F50F1D">
            <w:pPr>
              <w:pStyle w:val="Tablewriting"/>
            </w:pPr>
            <w:r w:rsidRPr="002A0647">
              <w:t>$47</w:t>
            </w:r>
            <w:r>
              <w:t>,</w:t>
            </w:r>
            <w:r w:rsidRPr="002A0647">
              <w:t>585.30</w:t>
            </w:r>
          </w:p>
        </w:tc>
        <w:tc>
          <w:tcPr>
            <w:tcW w:w="1868" w:type="dxa"/>
            <w:vMerge/>
            <w:shd w:val="clear" w:color="auto" w:fill="auto"/>
          </w:tcPr>
          <w:p w:rsidR="00AF4424" w:rsidRPr="00A35800" w:rsidRDefault="00AF4424" w:rsidP="00F50F1D">
            <w:pPr>
              <w:pStyle w:val="Tablewriting"/>
            </w:pPr>
          </w:p>
        </w:tc>
      </w:tr>
      <w:tr w:rsidR="00AF4424" w:rsidRPr="00A35800" w:rsidTr="001815FB">
        <w:trPr>
          <w:trHeight w:val="546"/>
        </w:trPr>
        <w:tc>
          <w:tcPr>
            <w:tcW w:w="1526" w:type="dxa"/>
            <w:vMerge/>
            <w:shd w:val="clear" w:color="auto" w:fill="auto"/>
          </w:tcPr>
          <w:p w:rsidR="00AF4424" w:rsidRPr="00460C33" w:rsidRDefault="00AF4424" w:rsidP="00460C33">
            <w:pPr>
              <w:pStyle w:val="Tableheading"/>
              <w:jc w:val="left"/>
              <w:rPr>
                <w:b w:val="0"/>
                <w:sz w:val="20"/>
                <w:szCs w:val="20"/>
              </w:rPr>
            </w:pPr>
          </w:p>
        </w:tc>
        <w:tc>
          <w:tcPr>
            <w:tcW w:w="2410" w:type="dxa"/>
            <w:shd w:val="clear" w:color="auto" w:fill="auto"/>
          </w:tcPr>
          <w:p w:rsidR="00AF4424" w:rsidRPr="00460C33" w:rsidRDefault="00AF4424" w:rsidP="00460C33">
            <w:pPr>
              <w:pStyle w:val="Tableheading"/>
              <w:jc w:val="left"/>
              <w:rPr>
                <w:b w:val="0"/>
                <w:sz w:val="20"/>
                <w:szCs w:val="20"/>
              </w:rPr>
            </w:pPr>
            <w:r w:rsidRPr="00460C33">
              <w:rPr>
                <w:b w:val="0"/>
                <w:sz w:val="20"/>
                <w:szCs w:val="20"/>
              </w:rPr>
              <w:t>IPILIMUMAB</w:t>
            </w:r>
            <w:r w:rsidRPr="00460C33">
              <w:rPr>
                <w:b w:val="0"/>
                <w:sz w:val="20"/>
                <w:szCs w:val="20"/>
              </w:rPr>
              <w:br/>
            </w:r>
            <w:proofErr w:type="spellStart"/>
            <w:r w:rsidRPr="00460C33">
              <w:rPr>
                <w:b w:val="0"/>
                <w:sz w:val="20"/>
                <w:szCs w:val="20"/>
              </w:rPr>
              <w:t>ipilimumab</w:t>
            </w:r>
            <w:proofErr w:type="spellEnd"/>
            <w:r w:rsidRPr="00460C33">
              <w:rPr>
                <w:b w:val="0"/>
                <w:sz w:val="20"/>
                <w:szCs w:val="20"/>
              </w:rPr>
              <w:t xml:space="preserve"> 50 mg/10 mL injection, 1 x 10 mL vial</w:t>
            </w:r>
          </w:p>
        </w:tc>
        <w:tc>
          <w:tcPr>
            <w:tcW w:w="992" w:type="dxa"/>
            <w:vMerge/>
            <w:shd w:val="clear" w:color="auto" w:fill="auto"/>
          </w:tcPr>
          <w:p w:rsidR="00AF4424" w:rsidRPr="00A35800" w:rsidRDefault="00AF4424" w:rsidP="00F50F1D">
            <w:pPr>
              <w:pStyle w:val="Tablewriting"/>
            </w:pPr>
          </w:p>
        </w:tc>
        <w:tc>
          <w:tcPr>
            <w:tcW w:w="850" w:type="dxa"/>
            <w:vMerge/>
            <w:shd w:val="clear" w:color="auto" w:fill="auto"/>
          </w:tcPr>
          <w:p w:rsidR="00AF4424" w:rsidRPr="00A35800" w:rsidRDefault="00AF4424" w:rsidP="00F50F1D">
            <w:pPr>
              <w:pStyle w:val="Tablewriting"/>
            </w:pPr>
          </w:p>
        </w:tc>
        <w:tc>
          <w:tcPr>
            <w:tcW w:w="1418" w:type="dxa"/>
            <w:vMerge/>
            <w:shd w:val="clear" w:color="auto" w:fill="auto"/>
          </w:tcPr>
          <w:p w:rsidR="00AF4424" w:rsidRPr="00A35800" w:rsidRDefault="00AF4424" w:rsidP="00F50F1D">
            <w:pPr>
              <w:pStyle w:val="Tablewriting"/>
            </w:pPr>
          </w:p>
        </w:tc>
        <w:tc>
          <w:tcPr>
            <w:tcW w:w="1868" w:type="dxa"/>
            <w:vMerge/>
            <w:shd w:val="clear" w:color="auto" w:fill="auto"/>
          </w:tcPr>
          <w:p w:rsidR="00AF4424" w:rsidRPr="00A35800" w:rsidRDefault="00AF4424" w:rsidP="00F50F1D">
            <w:pPr>
              <w:pStyle w:val="Tablewriting"/>
            </w:pPr>
          </w:p>
        </w:tc>
      </w:tr>
      <w:tr w:rsidR="00AF4424" w:rsidRPr="00A35800" w:rsidTr="001815FB">
        <w:trPr>
          <w:trHeight w:val="546"/>
        </w:trPr>
        <w:tc>
          <w:tcPr>
            <w:tcW w:w="1526" w:type="dxa"/>
            <w:vMerge w:val="restart"/>
            <w:shd w:val="clear" w:color="auto" w:fill="auto"/>
          </w:tcPr>
          <w:p w:rsidR="00AF4424" w:rsidRPr="00460C33" w:rsidRDefault="00AF4424" w:rsidP="008B15A7">
            <w:pPr>
              <w:pStyle w:val="Tableheading"/>
              <w:jc w:val="left"/>
              <w:rPr>
                <w:b w:val="0"/>
                <w:sz w:val="20"/>
                <w:szCs w:val="20"/>
              </w:rPr>
            </w:pPr>
            <w:r w:rsidRPr="00460C33">
              <w:rPr>
                <w:b w:val="0"/>
                <w:sz w:val="20"/>
                <w:szCs w:val="20"/>
              </w:rPr>
              <w:t xml:space="preserve">2641B </w:t>
            </w:r>
            <w:r w:rsidR="008B15A7">
              <w:rPr>
                <w:b w:val="0"/>
                <w:sz w:val="20"/>
                <w:szCs w:val="20"/>
              </w:rPr>
              <w:br/>
            </w:r>
            <w:r w:rsidRPr="00460C33">
              <w:rPr>
                <w:b w:val="0"/>
                <w:sz w:val="20"/>
                <w:szCs w:val="20"/>
              </w:rPr>
              <w:t>(public hospitals)</w:t>
            </w:r>
          </w:p>
        </w:tc>
        <w:tc>
          <w:tcPr>
            <w:tcW w:w="2410" w:type="dxa"/>
            <w:shd w:val="clear" w:color="auto" w:fill="auto"/>
          </w:tcPr>
          <w:p w:rsidR="00AF4424" w:rsidRPr="00460C33" w:rsidRDefault="00AF4424" w:rsidP="00460C33">
            <w:pPr>
              <w:pStyle w:val="Tableheading"/>
              <w:jc w:val="left"/>
              <w:rPr>
                <w:b w:val="0"/>
                <w:sz w:val="20"/>
                <w:szCs w:val="20"/>
              </w:rPr>
            </w:pPr>
            <w:r w:rsidRPr="00460C33">
              <w:rPr>
                <w:b w:val="0"/>
                <w:sz w:val="20"/>
                <w:szCs w:val="20"/>
              </w:rPr>
              <w:t>IPILIMUMAB</w:t>
            </w:r>
            <w:r w:rsidRPr="00460C33">
              <w:rPr>
                <w:b w:val="0"/>
                <w:sz w:val="20"/>
                <w:szCs w:val="20"/>
              </w:rPr>
              <w:br/>
            </w:r>
            <w:proofErr w:type="spellStart"/>
            <w:r w:rsidRPr="00460C33">
              <w:rPr>
                <w:b w:val="0"/>
                <w:sz w:val="20"/>
                <w:szCs w:val="20"/>
              </w:rPr>
              <w:t>ipilimumab</w:t>
            </w:r>
            <w:proofErr w:type="spellEnd"/>
            <w:r w:rsidRPr="00460C33">
              <w:rPr>
                <w:b w:val="0"/>
                <w:sz w:val="20"/>
                <w:szCs w:val="20"/>
              </w:rPr>
              <w:t xml:space="preserve"> 200 mg/40 mL injection, 1 x 40 mL vial</w:t>
            </w:r>
          </w:p>
        </w:tc>
        <w:tc>
          <w:tcPr>
            <w:tcW w:w="992" w:type="dxa"/>
            <w:vMerge w:val="restart"/>
            <w:shd w:val="clear" w:color="auto" w:fill="auto"/>
          </w:tcPr>
          <w:p w:rsidR="00AF4424" w:rsidRPr="00A35800" w:rsidRDefault="00AF4424" w:rsidP="00986CE6">
            <w:pPr>
              <w:pStyle w:val="Tablewriting"/>
            </w:pPr>
            <w:r>
              <w:t>360 mg</w:t>
            </w:r>
          </w:p>
          <w:p w:rsidR="00AF4424" w:rsidRPr="00A35800" w:rsidRDefault="00AF4424" w:rsidP="00986CE6">
            <w:pPr>
              <w:pStyle w:val="Tablewriting"/>
            </w:pPr>
          </w:p>
        </w:tc>
        <w:tc>
          <w:tcPr>
            <w:tcW w:w="850" w:type="dxa"/>
            <w:vMerge w:val="restart"/>
            <w:shd w:val="clear" w:color="auto" w:fill="auto"/>
          </w:tcPr>
          <w:p w:rsidR="00AF4424" w:rsidRPr="00A35800" w:rsidRDefault="00AF4424" w:rsidP="00986CE6">
            <w:pPr>
              <w:pStyle w:val="Tablewriting"/>
            </w:pPr>
            <w:r>
              <w:t>3</w:t>
            </w:r>
          </w:p>
        </w:tc>
        <w:tc>
          <w:tcPr>
            <w:tcW w:w="1418" w:type="dxa"/>
            <w:vMerge w:val="restart"/>
            <w:shd w:val="clear" w:color="auto" w:fill="auto"/>
          </w:tcPr>
          <w:p w:rsidR="00AF4424" w:rsidRPr="00A35800" w:rsidRDefault="00AF4424" w:rsidP="00986CE6">
            <w:pPr>
              <w:pStyle w:val="Tablewriting"/>
            </w:pPr>
            <w:r w:rsidRPr="002A0647">
              <w:t>$47</w:t>
            </w:r>
            <w:r>
              <w:t>,</w:t>
            </w:r>
            <w:r w:rsidRPr="002A0647">
              <w:t>478.28</w:t>
            </w:r>
          </w:p>
        </w:tc>
        <w:tc>
          <w:tcPr>
            <w:tcW w:w="1868" w:type="dxa"/>
            <w:vMerge/>
            <w:shd w:val="clear" w:color="auto" w:fill="auto"/>
          </w:tcPr>
          <w:p w:rsidR="00AF4424" w:rsidRPr="00A35800" w:rsidRDefault="00AF4424" w:rsidP="00986CE6">
            <w:pPr>
              <w:pStyle w:val="Tablewriting"/>
            </w:pPr>
          </w:p>
        </w:tc>
      </w:tr>
      <w:tr w:rsidR="00AF4424" w:rsidRPr="00A35800" w:rsidTr="001815FB">
        <w:trPr>
          <w:trHeight w:val="546"/>
        </w:trPr>
        <w:tc>
          <w:tcPr>
            <w:tcW w:w="1526" w:type="dxa"/>
            <w:vMerge/>
            <w:shd w:val="clear" w:color="auto" w:fill="auto"/>
          </w:tcPr>
          <w:p w:rsidR="00AF4424" w:rsidRPr="00460C33" w:rsidRDefault="00AF4424" w:rsidP="00460C33">
            <w:pPr>
              <w:pStyle w:val="Tableheading"/>
              <w:jc w:val="left"/>
              <w:rPr>
                <w:b w:val="0"/>
                <w:sz w:val="20"/>
                <w:szCs w:val="20"/>
              </w:rPr>
            </w:pPr>
          </w:p>
        </w:tc>
        <w:tc>
          <w:tcPr>
            <w:tcW w:w="2410" w:type="dxa"/>
            <w:shd w:val="clear" w:color="auto" w:fill="auto"/>
          </w:tcPr>
          <w:p w:rsidR="00AF4424" w:rsidRPr="00460C33" w:rsidRDefault="00AF4424" w:rsidP="00460C33">
            <w:pPr>
              <w:pStyle w:val="Tableheading"/>
              <w:jc w:val="left"/>
              <w:rPr>
                <w:b w:val="0"/>
                <w:sz w:val="20"/>
                <w:szCs w:val="20"/>
              </w:rPr>
            </w:pPr>
            <w:r w:rsidRPr="00460C33">
              <w:rPr>
                <w:b w:val="0"/>
                <w:sz w:val="20"/>
                <w:szCs w:val="20"/>
              </w:rPr>
              <w:t>IPILIMUMAB</w:t>
            </w:r>
            <w:r w:rsidRPr="00460C33">
              <w:rPr>
                <w:b w:val="0"/>
                <w:sz w:val="20"/>
                <w:szCs w:val="20"/>
              </w:rPr>
              <w:br/>
            </w:r>
            <w:proofErr w:type="spellStart"/>
            <w:r w:rsidRPr="00460C33">
              <w:rPr>
                <w:b w:val="0"/>
                <w:sz w:val="20"/>
                <w:szCs w:val="20"/>
              </w:rPr>
              <w:t>ipilimumab</w:t>
            </w:r>
            <w:proofErr w:type="spellEnd"/>
            <w:r w:rsidRPr="00460C33">
              <w:rPr>
                <w:b w:val="0"/>
                <w:sz w:val="20"/>
                <w:szCs w:val="20"/>
              </w:rPr>
              <w:t xml:space="preserve"> 50 mg/10 mL injection, 1 x 10 mL vial</w:t>
            </w:r>
          </w:p>
        </w:tc>
        <w:tc>
          <w:tcPr>
            <w:tcW w:w="992" w:type="dxa"/>
            <w:vMerge/>
            <w:shd w:val="clear" w:color="auto" w:fill="auto"/>
          </w:tcPr>
          <w:p w:rsidR="00AF4424" w:rsidRPr="00A35800" w:rsidRDefault="00AF4424" w:rsidP="00986CE6">
            <w:pPr>
              <w:pStyle w:val="Tablewriting"/>
            </w:pPr>
          </w:p>
        </w:tc>
        <w:tc>
          <w:tcPr>
            <w:tcW w:w="850" w:type="dxa"/>
            <w:vMerge/>
            <w:shd w:val="clear" w:color="auto" w:fill="auto"/>
          </w:tcPr>
          <w:p w:rsidR="00AF4424" w:rsidRPr="00A35800" w:rsidRDefault="00AF4424" w:rsidP="00986CE6">
            <w:pPr>
              <w:pStyle w:val="Tablewriting"/>
            </w:pPr>
          </w:p>
        </w:tc>
        <w:tc>
          <w:tcPr>
            <w:tcW w:w="1418" w:type="dxa"/>
            <w:vMerge/>
            <w:shd w:val="clear" w:color="auto" w:fill="auto"/>
          </w:tcPr>
          <w:p w:rsidR="00AF4424" w:rsidRPr="00A35800" w:rsidRDefault="00AF4424" w:rsidP="00986CE6">
            <w:pPr>
              <w:pStyle w:val="Tablewriting"/>
            </w:pPr>
          </w:p>
        </w:tc>
        <w:tc>
          <w:tcPr>
            <w:tcW w:w="1868" w:type="dxa"/>
            <w:vMerge/>
            <w:shd w:val="clear" w:color="auto" w:fill="auto"/>
          </w:tcPr>
          <w:p w:rsidR="00AF4424" w:rsidRPr="00A35800" w:rsidRDefault="00AF4424" w:rsidP="00986CE6">
            <w:pPr>
              <w:pStyle w:val="Tablewriting"/>
            </w:pPr>
          </w:p>
        </w:tc>
      </w:tr>
      <w:tr w:rsidR="00AF4424" w:rsidRPr="00A35800" w:rsidTr="001815FB">
        <w:trPr>
          <w:trHeight w:val="546"/>
        </w:trPr>
        <w:tc>
          <w:tcPr>
            <w:tcW w:w="1526" w:type="dxa"/>
            <w:vMerge w:val="restart"/>
            <w:shd w:val="clear" w:color="auto" w:fill="auto"/>
          </w:tcPr>
          <w:p w:rsidR="00AF4424" w:rsidRPr="00460C33" w:rsidRDefault="00AF4424" w:rsidP="008B15A7">
            <w:pPr>
              <w:pStyle w:val="Tableheading"/>
              <w:jc w:val="left"/>
              <w:rPr>
                <w:b w:val="0"/>
                <w:sz w:val="20"/>
                <w:szCs w:val="20"/>
              </w:rPr>
            </w:pPr>
            <w:r w:rsidRPr="00460C33">
              <w:rPr>
                <w:b w:val="0"/>
                <w:sz w:val="20"/>
                <w:szCs w:val="20"/>
              </w:rPr>
              <w:t xml:space="preserve">2663E </w:t>
            </w:r>
            <w:r w:rsidR="008B15A7">
              <w:rPr>
                <w:b w:val="0"/>
                <w:sz w:val="20"/>
                <w:szCs w:val="20"/>
              </w:rPr>
              <w:br/>
            </w:r>
            <w:r w:rsidRPr="00460C33">
              <w:rPr>
                <w:b w:val="0"/>
                <w:sz w:val="20"/>
                <w:szCs w:val="20"/>
              </w:rPr>
              <w:t>(public hospitals</w:t>
            </w:r>
            <w:r w:rsidR="008B15A7">
              <w:rPr>
                <w:b w:val="0"/>
                <w:sz w:val="20"/>
                <w:szCs w:val="20"/>
              </w:rPr>
              <w:t>, grandfathered patients</w:t>
            </w:r>
            <w:r w:rsidRPr="00460C33">
              <w:rPr>
                <w:b w:val="0"/>
                <w:sz w:val="20"/>
                <w:szCs w:val="20"/>
              </w:rPr>
              <w:t>)</w:t>
            </w:r>
          </w:p>
        </w:tc>
        <w:tc>
          <w:tcPr>
            <w:tcW w:w="2410" w:type="dxa"/>
            <w:shd w:val="clear" w:color="auto" w:fill="auto"/>
          </w:tcPr>
          <w:p w:rsidR="00AF4424" w:rsidRPr="00460C33" w:rsidRDefault="00AF4424" w:rsidP="00460C33">
            <w:pPr>
              <w:pStyle w:val="Tableheading"/>
              <w:jc w:val="left"/>
              <w:rPr>
                <w:b w:val="0"/>
                <w:sz w:val="20"/>
                <w:szCs w:val="20"/>
              </w:rPr>
            </w:pPr>
            <w:r w:rsidRPr="00460C33">
              <w:rPr>
                <w:b w:val="0"/>
                <w:sz w:val="20"/>
                <w:szCs w:val="20"/>
              </w:rPr>
              <w:t>IPILIMUMAB</w:t>
            </w:r>
            <w:r w:rsidRPr="00460C33">
              <w:rPr>
                <w:b w:val="0"/>
                <w:sz w:val="20"/>
                <w:szCs w:val="20"/>
              </w:rPr>
              <w:br/>
            </w:r>
            <w:proofErr w:type="spellStart"/>
            <w:r w:rsidRPr="00460C33">
              <w:rPr>
                <w:b w:val="0"/>
                <w:sz w:val="20"/>
                <w:szCs w:val="20"/>
              </w:rPr>
              <w:t>ipilimumab</w:t>
            </w:r>
            <w:proofErr w:type="spellEnd"/>
            <w:r w:rsidRPr="00460C33">
              <w:rPr>
                <w:b w:val="0"/>
                <w:sz w:val="20"/>
                <w:szCs w:val="20"/>
              </w:rPr>
              <w:t xml:space="preserve"> 200 mg/40 mL injection, 1 x 40 mL vial</w:t>
            </w:r>
          </w:p>
        </w:tc>
        <w:tc>
          <w:tcPr>
            <w:tcW w:w="992" w:type="dxa"/>
            <w:vMerge w:val="restart"/>
            <w:shd w:val="clear" w:color="auto" w:fill="auto"/>
          </w:tcPr>
          <w:p w:rsidR="00AF4424" w:rsidRPr="00A35800" w:rsidRDefault="00AF4424" w:rsidP="00986CE6">
            <w:pPr>
              <w:pStyle w:val="Tablewriting"/>
            </w:pPr>
            <w:r>
              <w:t>360 mg</w:t>
            </w:r>
          </w:p>
          <w:p w:rsidR="00AF4424" w:rsidRPr="00A35800" w:rsidRDefault="00AF4424" w:rsidP="00986CE6">
            <w:pPr>
              <w:pStyle w:val="Tablewriting"/>
            </w:pPr>
          </w:p>
        </w:tc>
        <w:tc>
          <w:tcPr>
            <w:tcW w:w="850" w:type="dxa"/>
            <w:vMerge w:val="restart"/>
            <w:shd w:val="clear" w:color="auto" w:fill="auto"/>
          </w:tcPr>
          <w:p w:rsidR="00AF4424" w:rsidRPr="00A35800" w:rsidRDefault="00AF4424" w:rsidP="00986CE6">
            <w:pPr>
              <w:pStyle w:val="Tablewriting"/>
            </w:pPr>
            <w:r>
              <w:t>2</w:t>
            </w:r>
          </w:p>
        </w:tc>
        <w:tc>
          <w:tcPr>
            <w:tcW w:w="1418" w:type="dxa"/>
            <w:vMerge w:val="restart"/>
            <w:shd w:val="clear" w:color="auto" w:fill="auto"/>
          </w:tcPr>
          <w:p w:rsidR="00AF4424" w:rsidRPr="00A35800" w:rsidRDefault="00AF4424" w:rsidP="00986CE6">
            <w:pPr>
              <w:pStyle w:val="Tablewriting"/>
            </w:pPr>
            <w:r w:rsidRPr="002A0647">
              <w:t>$47</w:t>
            </w:r>
            <w:r>
              <w:t>,</w:t>
            </w:r>
            <w:r w:rsidRPr="002A0647">
              <w:t>478.28</w:t>
            </w:r>
          </w:p>
        </w:tc>
        <w:tc>
          <w:tcPr>
            <w:tcW w:w="1868" w:type="dxa"/>
            <w:vMerge/>
            <w:shd w:val="clear" w:color="auto" w:fill="auto"/>
          </w:tcPr>
          <w:p w:rsidR="00AF4424" w:rsidRPr="00A35800" w:rsidRDefault="00AF4424" w:rsidP="00986CE6">
            <w:pPr>
              <w:pStyle w:val="Tablewriting"/>
            </w:pPr>
          </w:p>
        </w:tc>
      </w:tr>
      <w:tr w:rsidR="00AF4424" w:rsidRPr="00A35800" w:rsidTr="001815FB">
        <w:trPr>
          <w:trHeight w:val="546"/>
        </w:trPr>
        <w:tc>
          <w:tcPr>
            <w:tcW w:w="1526" w:type="dxa"/>
            <w:vMerge/>
            <w:shd w:val="clear" w:color="auto" w:fill="auto"/>
          </w:tcPr>
          <w:p w:rsidR="00AF4424" w:rsidRPr="00460C33" w:rsidRDefault="00AF4424" w:rsidP="00460C33">
            <w:pPr>
              <w:pStyle w:val="Tableheading"/>
              <w:jc w:val="left"/>
              <w:rPr>
                <w:b w:val="0"/>
                <w:sz w:val="20"/>
                <w:szCs w:val="20"/>
              </w:rPr>
            </w:pPr>
          </w:p>
        </w:tc>
        <w:tc>
          <w:tcPr>
            <w:tcW w:w="2410" w:type="dxa"/>
            <w:shd w:val="clear" w:color="auto" w:fill="auto"/>
          </w:tcPr>
          <w:p w:rsidR="00AF4424" w:rsidRPr="00460C33" w:rsidRDefault="00AF4424" w:rsidP="00460C33">
            <w:pPr>
              <w:pStyle w:val="Tableheading"/>
              <w:jc w:val="left"/>
              <w:rPr>
                <w:b w:val="0"/>
                <w:sz w:val="20"/>
                <w:szCs w:val="20"/>
              </w:rPr>
            </w:pPr>
            <w:r w:rsidRPr="00460C33">
              <w:rPr>
                <w:b w:val="0"/>
                <w:sz w:val="20"/>
                <w:szCs w:val="20"/>
              </w:rPr>
              <w:t>IPILIMUMAB</w:t>
            </w:r>
            <w:r w:rsidRPr="00460C33">
              <w:rPr>
                <w:b w:val="0"/>
                <w:sz w:val="20"/>
                <w:szCs w:val="20"/>
              </w:rPr>
              <w:br/>
            </w:r>
            <w:proofErr w:type="spellStart"/>
            <w:r w:rsidRPr="00460C33">
              <w:rPr>
                <w:b w:val="0"/>
                <w:sz w:val="20"/>
                <w:szCs w:val="20"/>
              </w:rPr>
              <w:t>ipilimumab</w:t>
            </w:r>
            <w:proofErr w:type="spellEnd"/>
            <w:r w:rsidRPr="00460C33">
              <w:rPr>
                <w:b w:val="0"/>
                <w:sz w:val="20"/>
                <w:szCs w:val="20"/>
              </w:rPr>
              <w:t xml:space="preserve"> 50 mg/10 mL injection, 1 x 10 mL vial</w:t>
            </w:r>
          </w:p>
        </w:tc>
        <w:tc>
          <w:tcPr>
            <w:tcW w:w="992" w:type="dxa"/>
            <w:vMerge/>
            <w:shd w:val="clear" w:color="auto" w:fill="auto"/>
          </w:tcPr>
          <w:p w:rsidR="00AF4424" w:rsidRPr="00A35800" w:rsidRDefault="00AF4424" w:rsidP="00986CE6">
            <w:pPr>
              <w:pStyle w:val="Tablewriting"/>
            </w:pPr>
          </w:p>
        </w:tc>
        <w:tc>
          <w:tcPr>
            <w:tcW w:w="850" w:type="dxa"/>
            <w:vMerge/>
            <w:shd w:val="clear" w:color="auto" w:fill="auto"/>
          </w:tcPr>
          <w:p w:rsidR="00AF4424" w:rsidRPr="00A35800" w:rsidRDefault="00AF4424" w:rsidP="00986CE6">
            <w:pPr>
              <w:pStyle w:val="Tablewriting"/>
            </w:pPr>
          </w:p>
        </w:tc>
        <w:tc>
          <w:tcPr>
            <w:tcW w:w="1418" w:type="dxa"/>
            <w:vMerge/>
            <w:shd w:val="clear" w:color="auto" w:fill="auto"/>
          </w:tcPr>
          <w:p w:rsidR="00AF4424" w:rsidRPr="00A35800" w:rsidRDefault="00AF4424" w:rsidP="00986CE6">
            <w:pPr>
              <w:pStyle w:val="Tablewriting"/>
            </w:pPr>
          </w:p>
        </w:tc>
        <w:tc>
          <w:tcPr>
            <w:tcW w:w="1868" w:type="dxa"/>
            <w:vMerge/>
            <w:shd w:val="clear" w:color="auto" w:fill="auto"/>
          </w:tcPr>
          <w:p w:rsidR="00AF4424" w:rsidRPr="00A35800" w:rsidRDefault="00AF4424" w:rsidP="00986CE6">
            <w:pPr>
              <w:pStyle w:val="Tablewriting"/>
            </w:pPr>
          </w:p>
        </w:tc>
      </w:tr>
    </w:tbl>
    <w:p w:rsidR="003D53F3" w:rsidRPr="00A35800" w:rsidRDefault="003D53F3" w:rsidP="003D53F3">
      <w:pPr>
        <w:pStyle w:val="Notes"/>
      </w:pPr>
      <w:r w:rsidRPr="00A35800">
        <w:t xml:space="preserve">Source: </w:t>
      </w:r>
      <w:r>
        <w:t xml:space="preserve">the </w:t>
      </w:r>
      <w:r w:rsidRPr="001A7DA5">
        <w:t>PBS website</w:t>
      </w:r>
      <w:r>
        <w:t xml:space="preserve">.  </w:t>
      </w:r>
      <w:r w:rsidR="009A4A66" w:rsidRPr="009A4A66">
        <w:t>Special Pricing Arrangements apply.</w:t>
      </w:r>
    </w:p>
    <w:p w:rsidR="001420B3" w:rsidRPr="001420B3" w:rsidRDefault="001420B3" w:rsidP="003D53F3">
      <w:pPr>
        <w:pStyle w:val="Tabletitle"/>
        <w:keepNext/>
      </w:pPr>
      <w:r w:rsidRPr="001420B3">
        <w:t xml:space="preserve">Table </w:t>
      </w:r>
      <w:r w:rsidR="00D57C22">
        <w:t>3</w:t>
      </w:r>
      <w:r w:rsidRPr="001420B3">
        <w:t xml:space="preserve">: </w:t>
      </w:r>
      <w:r w:rsidR="009663B6">
        <w:t>PB</w:t>
      </w:r>
      <w:r w:rsidR="003D53F3">
        <w:t xml:space="preserve">S listing of </w:t>
      </w:r>
      <w:proofErr w:type="spellStart"/>
      <w:r w:rsidR="003D53F3">
        <w:t>dabrafenib</w:t>
      </w:r>
      <w:proofErr w:type="spellEnd"/>
    </w:p>
    <w:tbl>
      <w:tblPr>
        <w:tblStyle w:val="TableGrid"/>
        <w:tblW w:w="9064" w:type="dxa"/>
        <w:tblLayout w:type="fixed"/>
        <w:tblLook w:val="04A0" w:firstRow="1" w:lastRow="0" w:firstColumn="1" w:lastColumn="0" w:noHBand="0" w:noVBand="1"/>
        <w:tblCaption w:val="PBS listing of dabrafenib"/>
        <w:tblDescription w:val="Dabrafenib is dispensed as a 50 mg or 75 mg capsule in a pack of 120. The DPMQ of the packs of 50 mg capsules is $5,888.15 and the DPMQ of the packs of 75 mg capsules is $8,758.87 (as at June 2015)."/>
      </w:tblPr>
      <w:tblGrid>
        <w:gridCol w:w="969"/>
        <w:gridCol w:w="2825"/>
        <w:gridCol w:w="1134"/>
        <w:gridCol w:w="850"/>
        <w:gridCol w:w="1418"/>
        <w:gridCol w:w="1868"/>
      </w:tblGrid>
      <w:tr w:rsidR="0093111F" w:rsidRPr="00A35800" w:rsidTr="009A4A66">
        <w:trPr>
          <w:trHeight w:val="694"/>
          <w:tblHeader/>
        </w:trPr>
        <w:tc>
          <w:tcPr>
            <w:tcW w:w="969"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Item</w:t>
            </w:r>
          </w:p>
        </w:tc>
        <w:tc>
          <w:tcPr>
            <w:tcW w:w="2825"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Name, form &amp; strength, pack size</w:t>
            </w:r>
          </w:p>
        </w:tc>
        <w:tc>
          <w:tcPr>
            <w:tcW w:w="1134"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Max</w:t>
            </w:r>
            <w:r w:rsidR="00A13C60" w:rsidRPr="00A35800">
              <w:rPr>
                <w:sz w:val="20"/>
                <w:szCs w:val="20"/>
              </w:rPr>
              <w:t xml:space="preserve">. </w:t>
            </w:r>
            <w:r w:rsidRPr="00A35800">
              <w:rPr>
                <w:sz w:val="20"/>
                <w:szCs w:val="20"/>
              </w:rPr>
              <w:t xml:space="preserve">quant. </w:t>
            </w:r>
          </w:p>
        </w:tc>
        <w:tc>
          <w:tcPr>
            <w:tcW w:w="850" w:type="dxa"/>
            <w:shd w:val="clear" w:color="auto" w:fill="BFBFBF" w:themeFill="background1" w:themeFillShade="BF"/>
          </w:tcPr>
          <w:p w:rsidR="0093111F" w:rsidRPr="00A35800" w:rsidRDefault="0093111F" w:rsidP="00A35800">
            <w:pPr>
              <w:pStyle w:val="Tableheading"/>
              <w:rPr>
                <w:sz w:val="20"/>
                <w:szCs w:val="20"/>
              </w:rPr>
            </w:pPr>
            <w:proofErr w:type="spellStart"/>
            <w:r w:rsidRPr="00A35800">
              <w:rPr>
                <w:sz w:val="20"/>
                <w:szCs w:val="20"/>
              </w:rPr>
              <w:t>Rpts</w:t>
            </w:r>
            <w:proofErr w:type="spellEnd"/>
            <w:r w:rsidRPr="00A35800">
              <w:rPr>
                <w:sz w:val="20"/>
                <w:szCs w:val="20"/>
              </w:rPr>
              <w:t xml:space="preserve"> </w:t>
            </w:r>
          </w:p>
        </w:tc>
        <w:tc>
          <w:tcPr>
            <w:tcW w:w="1418"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DPMQ</w:t>
            </w:r>
          </w:p>
        </w:tc>
        <w:tc>
          <w:tcPr>
            <w:tcW w:w="1868" w:type="dxa"/>
            <w:shd w:val="clear" w:color="auto" w:fill="BFBFBF" w:themeFill="background1" w:themeFillShade="BF"/>
          </w:tcPr>
          <w:p w:rsidR="0093111F" w:rsidRPr="00A35800" w:rsidRDefault="0093111F" w:rsidP="00A35800">
            <w:pPr>
              <w:pStyle w:val="Tableheading"/>
              <w:rPr>
                <w:sz w:val="20"/>
                <w:szCs w:val="20"/>
              </w:rPr>
            </w:pPr>
            <w:r w:rsidRPr="00A35800">
              <w:rPr>
                <w:sz w:val="20"/>
                <w:szCs w:val="20"/>
              </w:rPr>
              <w:t>Brand name and manufacturer</w:t>
            </w:r>
          </w:p>
        </w:tc>
      </w:tr>
      <w:tr w:rsidR="001976AD" w:rsidRPr="00A35800" w:rsidTr="009A4A66">
        <w:trPr>
          <w:trHeight w:val="552"/>
          <w:tblHeader/>
        </w:trPr>
        <w:tc>
          <w:tcPr>
            <w:tcW w:w="969" w:type="dxa"/>
            <w:shd w:val="clear" w:color="auto" w:fill="auto"/>
          </w:tcPr>
          <w:p w:rsidR="001976AD" w:rsidRPr="00460C33" w:rsidRDefault="001976AD" w:rsidP="00460C33">
            <w:pPr>
              <w:pStyle w:val="Tableheading"/>
              <w:jc w:val="left"/>
              <w:rPr>
                <w:b w:val="0"/>
                <w:sz w:val="20"/>
                <w:szCs w:val="20"/>
              </w:rPr>
            </w:pPr>
            <w:r w:rsidRPr="00460C33">
              <w:rPr>
                <w:b w:val="0"/>
                <w:sz w:val="20"/>
                <w:szCs w:val="20"/>
              </w:rPr>
              <w:t>10003L</w:t>
            </w:r>
          </w:p>
        </w:tc>
        <w:tc>
          <w:tcPr>
            <w:tcW w:w="2825" w:type="dxa"/>
            <w:shd w:val="clear" w:color="auto" w:fill="auto"/>
          </w:tcPr>
          <w:p w:rsidR="001976AD" w:rsidRPr="00460C33" w:rsidRDefault="001976AD" w:rsidP="00460C33">
            <w:pPr>
              <w:pStyle w:val="Tableheading"/>
              <w:jc w:val="left"/>
              <w:rPr>
                <w:b w:val="0"/>
                <w:sz w:val="20"/>
                <w:szCs w:val="20"/>
              </w:rPr>
            </w:pPr>
            <w:r w:rsidRPr="00460C33">
              <w:rPr>
                <w:b w:val="0"/>
                <w:sz w:val="20"/>
                <w:szCs w:val="20"/>
              </w:rPr>
              <w:t>DABRAFENIB</w:t>
            </w:r>
            <w:r w:rsidR="002A0647" w:rsidRPr="00460C33">
              <w:rPr>
                <w:b w:val="0"/>
                <w:sz w:val="20"/>
                <w:szCs w:val="20"/>
              </w:rPr>
              <w:br/>
            </w:r>
            <w:proofErr w:type="spellStart"/>
            <w:r w:rsidRPr="00460C33">
              <w:rPr>
                <w:b w:val="0"/>
                <w:sz w:val="20"/>
                <w:szCs w:val="20"/>
              </w:rPr>
              <w:t>dabrafenib</w:t>
            </w:r>
            <w:proofErr w:type="spellEnd"/>
            <w:r w:rsidRPr="00460C33">
              <w:rPr>
                <w:b w:val="0"/>
                <w:sz w:val="20"/>
                <w:szCs w:val="20"/>
              </w:rPr>
              <w:t xml:space="preserve"> 75 mg capsule, 120</w:t>
            </w:r>
          </w:p>
        </w:tc>
        <w:tc>
          <w:tcPr>
            <w:tcW w:w="1134" w:type="dxa"/>
            <w:shd w:val="clear" w:color="auto" w:fill="auto"/>
          </w:tcPr>
          <w:p w:rsidR="001976AD" w:rsidRPr="00460C33" w:rsidRDefault="001976AD" w:rsidP="00460C33">
            <w:pPr>
              <w:pStyle w:val="Tableheading"/>
              <w:jc w:val="left"/>
              <w:rPr>
                <w:b w:val="0"/>
                <w:sz w:val="20"/>
                <w:szCs w:val="20"/>
              </w:rPr>
            </w:pPr>
            <w:r w:rsidRPr="00460C33">
              <w:rPr>
                <w:b w:val="0"/>
                <w:sz w:val="20"/>
                <w:szCs w:val="20"/>
              </w:rPr>
              <w:t>120</w:t>
            </w:r>
          </w:p>
        </w:tc>
        <w:tc>
          <w:tcPr>
            <w:tcW w:w="850" w:type="dxa"/>
            <w:shd w:val="clear" w:color="auto" w:fill="auto"/>
          </w:tcPr>
          <w:p w:rsidR="001976AD" w:rsidRPr="00460C33" w:rsidRDefault="001976AD" w:rsidP="00460C33">
            <w:pPr>
              <w:pStyle w:val="Tableheading"/>
              <w:jc w:val="left"/>
              <w:rPr>
                <w:b w:val="0"/>
                <w:sz w:val="20"/>
                <w:szCs w:val="20"/>
              </w:rPr>
            </w:pPr>
            <w:r w:rsidRPr="00460C33">
              <w:rPr>
                <w:b w:val="0"/>
                <w:sz w:val="20"/>
                <w:szCs w:val="20"/>
              </w:rPr>
              <w:t>5</w:t>
            </w:r>
          </w:p>
        </w:tc>
        <w:tc>
          <w:tcPr>
            <w:tcW w:w="1418" w:type="dxa"/>
            <w:shd w:val="clear" w:color="auto" w:fill="auto"/>
          </w:tcPr>
          <w:p w:rsidR="001976AD" w:rsidRPr="00A35800" w:rsidRDefault="001976AD" w:rsidP="00A35800">
            <w:pPr>
              <w:pStyle w:val="Tablewriting"/>
            </w:pPr>
            <w:r>
              <w:t>$8</w:t>
            </w:r>
            <w:r w:rsidR="005E54C8">
              <w:t>,</w:t>
            </w:r>
            <w:r>
              <w:t>758.87</w:t>
            </w:r>
          </w:p>
        </w:tc>
        <w:tc>
          <w:tcPr>
            <w:tcW w:w="1868" w:type="dxa"/>
            <w:vMerge w:val="restart"/>
            <w:shd w:val="clear" w:color="auto" w:fill="auto"/>
          </w:tcPr>
          <w:p w:rsidR="001976AD" w:rsidRDefault="001976AD" w:rsidP="00A35800">
            <w:pPr>
              <w:pStyle w:val="Tablewriting"/>
            </w:pPr>
            <w:proofErr w:type="spellStart"/>
            <w:r w:rsidRPr="001976AD">
              <w:t>Tafinlar</w:t>
            </w:r>
            <w:proofErr w:type="spellEnd"/>
          </w:p>
          <w:p w:rsidR="001976AD" w:rsidRPr="00A35800" w:rsidRDefault="00B62EEC" w:rsidP="00A35800">
            <w:pPr>
              <w:pStyle w:val="Tablewriting"/>
            </w:pPr>
            <w:r w:rsidRPr="00B62EEC">
              <w:t>Novartis Pharmaceuticals Australia Pty Limited</w:t>
            </w:r>
          </w:p>
        </w:tc>
      </w:tr>
      <w:tr w:rsidR="001976AD" w:rsidRPr="00A35800" w:rsidTr="009A4A66">
        <w:trPr>
          <w:trHeight w:val="546"/>
          <w:tblHeader/>
        </w:trPr>
        <w:tc>
          <w:tcPr>
            <w:tcW w:w="969" w:type="dxa"/>
            <w:shd w:val="clear" w:color="auto" w:fill="auto"/>
          </w:tcPr>
          <w:p w:rsidR="001976AD" w:rsidRPr="00460C33" w:rsidRDefault="001976AD" w:rsidP="00460C33">
            <w:pPr>
              <w:pStyle w:val="Tableheading"/>
              <w:jc w:val="left"/>
              <w:rPr>
                <w:b w:val="0"/>
                <w:sz w:val="20"/>
                <w:szCs w:val="20"/>
              </w:rPr>
            </w:pPr>
            <w:r w:rsidRPr="00460C33">
              <w:rPr>
                <w:b w:val="0"/>
                <w:sz w:val="20"/>
                <w:szCs w:val="20"/>
              </w:rPr>
              <w:t>2846T</w:t>
            </w:r>
          </w:p>
        </w:tc>
        <w:tc>
          <w:tcPr>
            <w:tcW w:w="2825" w:type="dxa"/>
            <w:shd w:val="clear" w:color="auto" w:fill="auto"/>
          </w:tcPr>
          <w:p w:rsidR="001976AD" w:rsidRPr="00460C33" w:rsidRDefault="001976AD" w:rsidP="00460C33">
            <w:pPr>
              <w:pStyle w:val="Tableheading"/>
              <w:jc w:val="left"/>
              <w:rPr>
                <w:b w:val="0"/>
                <w:sz w:val="20"/>
                <w:szCs w:val="20"/>
              </w:rPr>
            </w:pPr>
            <w:r w:rsidRPr="00460C33">
              <w:rPr>
                <w:b w:val="0"/>
                <w:sz w:val="20"/>
                <w:szCs w:val="20"/>
              </w:rPr>
              <w:t>DABRAFENIB</w:t>
            </w:r>
            <w:r w:rsidR="002A0647" w:rsidRPr="00460C33">
              <w:rPr>
                <w:b w:val="0"/>
                <w:sz w:val="20"/>
                <w:szCs w:val="20"/>
              </w:rPr>
              <w:br/>
            </w:r>
            <w:proofErr w:type="spellStart"/>
            <w:r w:rsidRPr="00460C33">
              <w:rPr>
                <w:b w:val="0"/>
                <w:sz w:val="20"/>
                <w:szCs w:val="20"/>
              </w:rPr>
              <w:t>dabrafenib</w:t>
            </w:r>
            <w:proofErr w:type="spellEnd"/>
            <w:r w:rsidRPr="00460C33">
              <w:rPr>
                <w:b w:val="0"/>
                <w:sz w:val="20"/>
                <w:szCs w:val="20"/>
              </w:rPr>
              <w:t xml:space="preserve"> 75 mg capsule, 120</w:t>
            </w:r>
          </w:p>
        </w:tc>
        <w:tc>
          <w:tcPr>
            <w:tcW w:w="1134" w:type="dxa"/>
            <w:shd w:val="clear" w:color="auto" w:fill="auto"/>
          </w:tcPr>
          <w:p w:rsidR="001976AD" w:rsidRPr="00460C33" w:rsidRDefault="001976AD" w:rsidP="00460C33">
            <w:pPr>
              <w:pStyle w:val="Tableheading"/>
              <w:jc w:val="left"/>
              <w:rPr>
                <w:b w:val="0"/>
                <w:sz w:val="20"/>
                <w:szCs w:val="20"/>
              </w:rPr>
            </w:pPr>
            <w:r w:rsidRPr="00460C33">
              <w:rPr>
                <w:b w:val="0"/>
                <w:sz w:val="20"/>
                <w:szCs w:val="20"/>
              </w:rPr>
              <w:t>120</w:t>
            </w:r>
          </w:p>
        </w:tc>
        <w:tc>
          <w:tcPr>
            <w:tcW w:w="850" w:type="dxa"/>
            <w:shd w:val="clear" w:color="auto" w:fill="auto"/>
          </w:tcPr>
          <w:p w:rsidR="001976AD" w:rsidRPr="00460C33" w:rsidRDefault="001976AD" w:rsidP="00460C33">
            <w:pPr>
              <w:pStyle w:val="Tableheading"/>
              <w:jc w:val="left"/>
              <w:rPr>
                <w:b w:val="0"/>
                <w:sz w:val="20"/>
                <w:szCs w:val="20"/>
              </w:rPr>
            </w:pPr>
            <w:r w:rsidRPr="00460C33">
              <w:rPr>
                <w:b w:val="0"/>
                <w:sz w:val="20"/>
                <w:szCs w:val="20"/>
              </w:rPr>
              <w:t>3</w:t>
            </w:r>
          </w:p>
        </w:tc>
        <w:tc>
          <w:tcPr>
            <w:tcW w:w="1418" w:type="dxa"/>
            <w:shd w:val="clear" w:color="auto" w:fill="auto"/>
          </w:tcPr>
          <w:p w:rsidR="001976AD" w:rsidRPr="00A35800" w:rsidRDefault="001976AD" w:rsidP="00A35800">
            <w:pPr>
              <w:pStyle w:val="Tablewriting"/>
            </w:pPr>
            <w:r>
              <w:t>$8</w:t>
            </w:r>
            <w:r w:rsidR="005E54C8">
              <w:t>,</w:t>
            </w:r>
            <w:r>
              <w:t>758.87</w:t>
            </w:r>
          </w:p>
        </w:tc>
        <w:tc>
          <w:tcPr>
            <w:tcW w:w="1868" w:type="dxa"/>
            <w:vMerge/>
            <w:shd w:val="clear" w:color="auto" w:fill="auto"/>
          </w:tcPr>
          <w:p w:rsidR="001976AD" w:rsidRPr="00A35800" w:rsidRDefault="001976AD" w:rsidP="00A35800">
            <w:pPr>
              <w:pStyle w:val="Tablewriting"/>
            </w:pPr>
          </w:p>
        </w:tc>
      </w:tr>
      <w:tr w:rsidR="001976AD" w:rsidRPr="00A35800" w:rsidTr="009A4A66">
        <w:trPr>
          <w:trHeight w:val="546"/>
          <w:tblHeader/>
        </w:trPr>
        <w:tc>
          <w:tcPr>
            <w:tcW w:w="969" w:type="dxa"/>
            <w:shd w:val="clear" w:color="auto" w:fill="auto"/>
          </w:tcPr>
          <w:p w:rsidR="001976AD" w:rsidRPr="00460C33" w:rsidRDefault="001976AD" w:rsidP="00460C33">
            <w:pPr>
              <w:pStyle w:val="Tableheading"/>
              <w:jc w:val="left"/>
              <w:rPr>
                <w:b w:val="0"/>
                <w:sz w:val="20"/>
                <w:szCs w:val="20"/>
              </w:rPr>
            </w:pPr>
            <w:r w:rsidRPr="00460C33">
              <w:rPr>
                <w:b w:val="0"/>
                <w:sz w:val="20"/>
                <w:szCs w:val="20"/>
              </w:rPr>
              <w:t>2954L</w:t>
            </w:r>
          </w:p>
        </w:tc>
        <w:tc>
          <w:tcPr>
            <w:tcW w:w="2825" w:type="dxa"/>
            <w:shd w:val="clear" w:color="auto" w:fill="auto"/>
          </w:tcPr>
          <w:p w:rsidR="001976AD" w:rsidRPr="00460C33" w:rsidRDefault="001976AD" w:rsidP="00460C33">
            <w:pPr>
              <w:pStyle w:val="Tableheading"/>
              <w:jc w:val="left"/>
              <w:rPr>
                <w:b w:val="0"/>
                <w:sz w:val="20"/>
                <w:szCs w:val="20"/>
              </w:rPr>
            </w:pPr>
            <w:r w:rsidRPr="00460C33">
              <w:rPr>
                <w:b w:val="0"/>
                <w:sz w:val="20"/>
                <w:szCs w:val="20"/>
              </w:rPr>
              <w:t>DABRAFENIB</w:t>
            </w:r>
            <w:r w:rsidR="002A0647" w:rsidRPr="00460C33">
              <w:rPr>
                <w:b w:val="0"/>
                <w:sz w:val="20"/>
                <w:szCs w:val="20"/>
              </w:rPr>
              <w:br/>
            </w:r>
            <w:proofErr w:type="spellStart"/>
            <w:r w:rsidRPr="00460C33">
              <w:rPr>
                <w:b w:val="0"/>
                <w:sz w:val="20"/>
                <w:szCs w:val="20"/>
              </w:rPr>
              <w:t>dabrafenib</w:t>
            </w:r>
            <w:proofErr w:type="spellEnd"/>
            <w:r w:rsidRPr="00460C33">
              <w:rPr>
                <w:b w:val="0"/>
                <w:sz w:val="20"/>
                <w:szCs w:val="20"/>
              </w:rPr>
              <w:t xml:space="preserve"> 50 mg capsule, 120</w:t>
            </w:r>
          </w:p>
        </w:tc>
        <w:tc>
          <w:tcPr>
            <w:tcW w:w="1134" w:type="dxa"/>
            <w:shd w:val="clear" w:color="auto" w:fill="auto"/>
          </w:tcPr>
          <w:p w:rsidR="001976AD" w:rsidRPr="00460C33" w:rsidRDefault="001976AD" w:rsidP="00460C33">
            <w:pPr>
              <w:pStyle w:val="Tableheading"/>
              <w:jc w:val="left"/>
              <w:rPr>
                <w:b w:val="0"/>
                <w:sz w:val="20"/>
                <w:szCs w:val="20"/>
              </w:rPr>
            </w:pPr>
            <w:r w:rsidRPr="00460C33">
              <w:rPr>
                <w:b w:val="0"/>
                <w:sz w:val="20"/>
                <w:szCs w:val="20"/>
              </w:rPr>
              <w:t>120</w:t>
            </w:r>
          </w:p>
        </w:tc>
        <w:tc>
          <w:tcPr>
            <w:tcW w:w="850" w:type="dxa"/>
            <w:shd w:val="clear" w:color="auto" w:fill="auto"/>
          </w:tcPr>
          <w:p w:rsidR="001976AD" w:rsidRPr="00460C33" w:rsidRDefault="001976AD" w:rsidP="00460C33">
            <w:pPr>
              <w:pStyle w:val="Tableheading"/>
              <w:jc w:val="left"/>
              <w:rPr>
                <w:b w:val="0"/>
                <w:sz w:val="20"/>
                <w:szCs w:val="20"/>
              </w:rPr>
            </w:pPr>
            <w:r w:rsidRPr="00460C33">
              <w:rPr>
                <w:b w:val="0"/>
                <w:sz w:val="20"/>
                <w:szCs w:val="20"/>
              </w:rPr>
              <w:t>5</w:t>
            </w:r>
          </w:p>
        </w:tc>
        <w:tc>
          <w:tcPr>
            <w:tcW w:w="1418" w:type="dxa"/>
            <w:shd w:val="clear" w:color="auto" w:fill="auto"/>
          </w:tcPr>
          <w:p w:rsidR="001976AD" w:rsidRPr="00A35800" w:rsidRDefault="001976AD" w:rsidP="00A35800">
            <w:pPr>
              <w:pStyle w:val="Tablewriting"/>
            </w:pPr>
            <w:r>
              <w:t>$5</w:t>
            </w:r>
            <w:r w:rsidR="005E54C8">
              <w:t>,</w:t>
            </w:r>
            <w:r>
              <w:t>888.15</w:t>
            </w:r>
          </w:p>
        </w:tc>
        <w:tc>
          <w:tcPr>
            <w:tcW w:w="1868" w:type="dxa"/>
            <w:vMerge/>
            <w:shd w:val="clear" w:color="auto" w:fill="auto"/>
          </w:tcPr>
          <w:p w:rsidR="001976AD" w:rsidRPr="00A35800" w:rsidRDefault="001976AD" w:rsidP="00A35800">
            <w:pPr>
              <w:pStyle w:val="Tablewriting"/>
            </w:pPr>
          </w:p>
        </w:tc>
      </w:tr>
      <w:tr w:rsidR="001976AD" w:rsidRPr="00A35800" w:rsidTr="009A4A66">
        <w:trPr>
          <w:trHeight w:val="546"/>
          <w:tblHeader/>
        </w:trPr>
        <w:tc>
          <w:tcPr>
            <w:tcW w:w="969" w:type="dxa"/>
            <w:shd w:val="clear" w:color="auto" w:fill="auto"/>
          </w:tcPr>
          <w:p w:rsidR="001976AD" w:rsidRPr="00460C33" w:rsidRDefault="001976AD" w:rsidP="00460C33">
            <w:pPr>
              <w:pStyle w:val="Tableheading"/>
              <w:jc w:val="left"/>
              <w:rPr>
                <w:b w:val="0"/>
                <w:sz w:val="20"/>
                <w:szCs w:val="20"/>
              </w:rPr>
            </w:pPr>
            <w:r w:rsidRPr="00460C33">
              <w:rPr>
                <w:b w:val="0"/>
                <w:sz w:val="20"/>
                <w:szCs w:val="20"/>
              </w:rPr>
              <w:t>2963Y</w:t>
            </w:r>
          </w:p>
        </w:tc>
        <w:tc>
          <w:tcPr>
            <w:tcW w:w="2825" w:type="dxa"/>
            <w:shd w:val="clear" w:color="auto" w:fill="auto"/>
          </w:tcPr>
          <w:p w:rsidR="001976AD" w:rsidRPr="00460C33" w:rsidRDefault="001976AD" w:rsidP="00460C33">
            <w:pPr>
              <w:pStyle w:val="Tableheading"/>
              <w:jc w:val="left"/>
              <w:rPr>
                <w:b w:val="0"/>
                <w:sz w:val="20"/>
                <w:szCs w:val="20"/>
              </w:rPr>
            </w:pPr>
            <w:r w:rsidRPr="00460C33">
              <w:rPr>
                <w:b w:val="0"/>
                <w:sz w:val="20"/>
                <w:szCs w:val="20"/>
              </w:rPr>
              <w:t>DABRAFENIB</w:t>
            </w:r>
            <w:r w:rsidR="002A0647" w:rsidRPr="00460C33">
              <w:rPr>
                <w:b w:val="0"/>
                <w:sz w:val="20"/>
                <w:szCs w:val="20"/>
              </w:rPr>
              <w:br/>
            </w:r>
            <w:proofErr w:type="spellStart"/>
            <w:r w:rsidRPr="00460C33">
              <w:rPr>
                <w:b w:val="0"/>
                <w:sz w:val="20"/>
                <w:szCs w:val="20"/>
              </w:rPr>
              <w:t>dabrafenib</w:t>
            </w:r>
            <w:proofErr w:type="spellEnd"/>
            <w:r w:rsidRPr="00460C33">
              <w:rPr>
                <w:b w:val="0"/>
                <w:sz w:val="20"/>
                <w:szCs w:val="20"/>
              </w:rPr>
              <w:t xml:space="preserve"> 50 mg capsule, 120</w:t>
            </w:r>
          </w:p>
        </w:tc>
        <w:tc>
          <w:tcPr>
            <w:tcW w:w="1134" w:type="dxa"/>
            <w:shd w:val="clear" w:color="auto" w:fill="auto"/>
          </w:tcPr>
          <w:p w:rsidR="001976AD" w:rsidRPr="00460C33" w:rsidRDefault="001976AD" w:rsidP="00460C33">
            <w:pPr>
              <w:pStyle w:val="Tableheading"/>
              <w:jc w:val="left"/>
              <w:rPr>
                <w:b w:val="0"/>
                <w:sz w:val="20"/>
                <w:szCs w:val="20"/>
              </w:rPr>
            </w:pPr>
            <w:r w:rsidRPr="00460C33">
              <w:rPr>
                <w:b w:val="0"/>
                <w:sz w:val="20"/>
                <w:szCs w:val="20"/>
              </w:rPr>
              <w:t>120</w:t>
            </w:r>
          </w:p>
        </w:tc>
        <w:tc>
          <w:tcPr>
            <w:tcW w:w="850" w:type="dxa"/>
            <w:shd w:val="clear" w:color="auto" w:fill="auto"/>
          </w:tcPr>
          <w:p w:rsidR="001976AD" w:rsidRPr="00460C33" w:rsidRDefault="001976AD" w:rsidP="00460C33">
            <w:pPr>
              <w:pStyle w:val="Tableheading"/>
              <w:jc w:val="left"/>
              <w:rPr>
                <w:b w:val="0"/>
                <w:sz w:val="20"/>
                <w:szCs w:val="20"/>
              </w:rPr>
            </w:pPr>
            <w:r w:rsidRPr="00460C33">
              <w:rPr>
                <w:b w:val="0"/>
                <w:sz w:val="20"/>
                <w:szCs w:val="20"/>
              </w:rPr>
              <w:t>3</w:t>
            </w:r>
          </w:p>
        </w:tc>
        <w:tc>
          <w:tcPr>
            <w:tcW w:w="1418" w:type="dxa"/>
            <w:shd w:val="clear" w:color="auto" w:fill="auto"/>
          </w:tcPr>
          <w:p w:rsidR="001976AD" w:rsidRPr="00A35800" w:rsidRDefault="001976AD" w:rsidP="00A35800">
            <w:pPr>
              <w:pStyle w:val="Tablewriting"/>
            </w:pPr>
            <w:r>
              <w:t>$5</w:t>
            </w:r>
            <w:r w:rsidR="005E54C8">
              <w:t>,</w:t>
            </w:r>
            <w:r>
              <w:t>888.15</w:t>
            </w:r>
          </w:p>
        </w:tc>
        <w:tc>
          <w:tcPr>
            <w:tcW w:w="1868" w:type="dxa"/>
            <w:vMerge/>
            <w:shd w:val="clear" w:color="auto" w:fill="auto"/>
          </w:tcPr>
          <w:p w:rsidR="001976AD" w:rsidRPr="00A35800" w:rsidRDefault="001976AD" w:rsidP="00A35800">
            <w:pPr>
              <w:pStyle w:val="Tablewriting"/>
            </w:pPr>
          </w:p>
        </w:tc>
      </w:tr>
    </w:tbl>
    <w:p w:rsidR="007247B9" w:rsidRPr="00A35800" w:rsidRDefault="007408C7" w:rsidP="00BB1D3B">
      <w:pPr>
        <w:pStyle w:val="Notes"/>
      </w:pPr>
      <w:r w:rsidRPr="00A35800">
        <w:t xml:space="preserve">Source: </w:t>
      </w:r>
      <w:r w:rsidR="001624D7">
        <w:t xml:space="preserve">the </w:t>
      </w:r>
      <w:r w:rsidR="001624D7" w:rsidRPr="001A7DA5">
        <w:t>PBS website</w:t>
      </w:r>
      <w:r w:rsidR="001624D7">
        <w:t>.</w:t>
      </w:r>
      <w:r w:rsidR="0080485E">
        <w:t xml:space="preserve">  </w:t>
      </w:r>
      <w:r w:rsidR="009A4A66" w:rsidRPr="009A4A66">
        <w:t>Special Pricing Arrangements apply.</w:t>
      </w:r>
    </w:p>
    <w:p w:rsidR="00656B1A" w:rsidRDefault="00656B1A">
      <w:pPr>
        <w:spacing w:line="276" w:lineRule="auto"/>
        <w:rPr>
          <w:b/>
          <w:i/>
        </w:rPr>
      </w:pPr>
      <w:r>
        <w:br w:type="page"/>
      </w:r>
    </w:p>
    <w:p w:rsidR="004C3186" w:rsidRDefault="004C3186" w:rsidP="00C245EA">
      <w:pPr>
        <w:pStyle w:val="Heading2"/>
      </w:pPr>
      <w:r>
        <w:lastRenderedPageBreak/>
        <w:t>Restriction</w:t>
      </w:r>
    </w:p>
    <w:p w:rsidR="00BA7448" w:rsidRDefault="003D53F3" w:rsidP="00BA7448">
      <w:r>
        <w:t>I</w:t>
      </w:r>
      <w:r w:rsidR="00523BD6">
        <w:t xml:space="preserve">pilimumab and </w:t>
      </w:r>
      <w:proofErr w:type="spellStart"/>
      <w:r w:rsidR="00523BD6">
        <w:t>dabrafenib</w:t>
      </w:r>
      <w:proofErr w:type="spellEnd"/>
      <w:r w:rsidR="00523BD6">
        <w:t xml:space="preserve"> are listed for </w:t>
      </w:r>
      <w:r w:rsidR="002D54A7">
        <w:t xml:space="preserve">monotherapy in </w:t>
      </w:r>
      <w:proofErr w:type="spellStart"/>
      <w:r w:rsidR="00523BD6">
        <w:t>u</w:t>
      </w:r>
      <w:r w:rsidR="00523BD6" w:rsidRPr="00523BD6">
        <w:t>nresectable</w:t>
      </w:r>
      <w:proofErr w:type="spellEnd"/>
      <w:r w:rsidR="00523BD6" w:rsidRPr="00523BD6">
        <w:t xml:space="preserve"> Stage III or Stage IV malignant melanoma</w:t>
      </w:r>
      <w:r w:rsidR="002D54A7">
        <w:t xml:space="preserve">. </w:t>
      </w:r>
      <w:r w:rsidR="00BA7448">
        <w:t xml:space="preserve">For ipilimumab, induction treatment must be as monotherapy and </w:t>
      </w:r>
      <w:r w:rsidR="00BA7448" w:rsidRPr="00BA7448">
        <w:t>the treatment must not exceed a total of 4 doses at a maximum dose of 3 mg per kg every 3 weeks.</w:t>
      </w:r>
      <w:r w:rsidR="00BA7448">
        <w:t xml:space="preserve"> For re-induction treatment, the patient must have progressive disease after achieving an initial objective response to the most recent course of ipilimumab induction or re-induction treatment, and the treatment must not exceed a total of 4 doses at a maximum dose of 3 mg per kg every 3 weeks.</w:t>
      </w:r>
    </w:p>
    <w:p w:rsidR="00523BD6" w:rsidRPr="00523BD6" w:rsidRDefault="002D54A7" w:rsidP="00A35800">
      <w:r>
        <w:t xml:space="preserve">For </w:t>
      </w:r>
      <w:proofErr w:type="spellStart"/>
      <w:r>
        <w:t>dabrafenib</w:t>
      </w:r>
      <w:proofErr w:type="spellEnd"/>
      <w:r>
        <w:t xml:space="preserve">, the </w:t>
      </w:r>
      <w:r w:rsidRPr="002D54A7">
        <w:t xml:space="preserve">condition must </w:t>
      </w:r>
      <w:r w:rsidR="003D53F3">
        <w:t>have</w:t>
      </w:r>
      <w:r w:rsidRPr="002D54A7">
        <w:t xml:space="preserve"> a BRAF V600 mutation</w:t>
      </w:r>
      <w:r w:rsidR="003E103B">
        <w:t xml:space="preserve"> and the patient must have </w:t>
      </w:r>
      <w:r w:rsidR="003E103B" w:rsidRPr="003E103B">
        <w:t>a WHO performance status of 2 or less</w:t>
      </w:r>
      <w:r>
        <w:t>.</w:t>
      </w:r>
      <w:r w:rsidR="00AF4424">
        <w:t xml:space="preserve"> </w:t>
      </w:r>
      <w:r w:rsidR="00BA7448">
        <w:t xml:space="preserve">The condition must not have been treated previously with PBS subsidised therapy; or the patient must have developed intolerance to another BRAF inhibitor of a severity necessitating permanent treatment withdrawal. </w:t>
      </w:r>
      <w:r w:rsidR="003E103B">
        <w:t>For continuing treatment, p</w:t>
      </w:r>
      <w:r w:rsidR="00AF4424">
        <w:t xml:space="preserve">atients must have stable </w:t>
      </w:r>
      <w:r w:rsidR="003E103B">
        <w:t xml:space="preserve">or responding disease. </w:t>
      </w:r>
    </w:p>
    <w:p w:rsidR="006775F1" w:rsidRPr="002971FE" w:rsidRDefault="006775F1" w:rsidP="00A35800">
      <w:r w:rsidRPr="006775F1">
        <w:t xml:space="preserve">For </w:t>
      </w:r>
      <w:r w:rsidR="00835337">
        <w:t xml:space="preserve">details of the current PBS listing refer to the </w:t>
      </w:r>
      <w:r w:rsidR="00835337" w:rsidRPr="001A7DA5">
        <w:t xml:space="preserve">PBS </w:t>
      </w:r>
      <w:r w:rsidR="00835337" w:rsidRPr="002971FE">
        <w:t>website</w:t>
      </w:r>
      <w:r w:rsidR="00835337" w:rsidRPr="002971FE">
        <w:rPr>
          <w:rStyle w:val="Hyperlink"/>
          <w:u w:val="none"/>
        </w:rPr>
        <w:t>.</w:t>
      </w:r>
    </w:p>
    <w:p w:rsidR="00C55E57" w:rsidRDefault="00C55E57" w:rsidP="00C55E57">
      <w:pPr>
        <w:pStyle w:val="Heading2"/>
      </w:pPr>
      <w:r>
        <w:t>Date of listing on the Pharmaceutical Benefits Scheme (PBS)</w:t>
      </w:r>
    </w:p>
    <w:p w:rsidR="00C55E57" w:rsidRPr="00781DD3" w:rsidRDefault="00C55E57" w:rsidP="00C55E57">
      <w:pPr>
        <w:pStyle w:val="ListParagraph"/>
        <w:numPr>
          <w:ilvl w:val="0"/>
          <w:numId w:val="4"/>
        </w:numPr>
      </w:pPr>
      <w:r w:rsidRPr="00781DD3">
        <w:t>Ipilimumab</w:t>
      </w:r>
      <w:r>
        <w:t>, PBS listed 1 August 2013</w:t>
      </w:r>
    </w:p>
    <w:p w:rsidR="00C55E57" w:rsidRDefault="00C55E57" w:rsidP="00C55E57">
      <w:pPr>
        <w:pStyle w:val="ListParagraph"/>
        <w:numPr>
          <w:ilvl w:val="0"/>
          <w:numId w:val="4"/>
        </w:numPr>
      </w:pPr>
      <w:proofErr w:type="spellStart"/>
      <w:r w:rsidRPr="00781DD3">
        <w:t>Dabrafenib</w:t>
      </w:r>
      <w:proofErr w:type="spellEnd"/>
      <w:r>
        <w:t>, PBS listed 1 December 2013</w:t>
      </w:r>
    </w:p>
    <w:p w:rsidR="00C55E57" w:rsidRPr="00781DD3" w:rsidRDefault="00C55E57" w:rsidP="00C55E57">
      <w:pPr>
        <w:pStyle w:val="ListParagraph"/>
        <w:numPr>
          <w:ilvl w:val="0"/>
          <w:numId w:val="4"/>
        </w:numPr>
      </w:pPr>
      <w:proofErr w:type="spellStart"/>
      <w:r>
        <w:t>Trametinib</w:t>
      </w:r>
      <w:proofErr w:type="spellEnd"/>
      <w:r>
        <w:t xml:space="preserve">, PBS listed 1 </w:t>
      </w:r>
      <w:r w:rsidR="00EF6361">
        <w:t xml:space="preserve">August </w:t>
      </w:r>
      <w:r>
        <w:t xml:space="preserve">2015 – not included in </w:t>
      </w:r>
      <w:r w:rsidR="002575FC">
        <w:t xml:space="preserve">predicted versus actual </w:t>
      </w:r>
      <w:r>
        <w:t>review</w:t>
      </w:r>
    </w:p>
    <w:p w:rsidR="00675BB1" w:rsidRPr="00675BB1" w:rsidRDefault="00675BB1" w:rsidP="009A4A66">
      <w:pPr>
        <w:pStyle w:val="Heading2"/>
        <w:keepNext/>
      </w:pPr>
      <w:r w:rsidRPr="00675BB1">
        <w:t>Changes to listing</w:t>
      </w:r>
    </w:p>
    <w:p w:rsidR="009C35F2" w:rsidRDefault="00A02305" w:rsidP="00A35800">
      <w:r>
        <w:t xml:space="preserve">The listings of ipilimumab for Private Hospital or Private Clinic use was changed from an Authority </w:t>
      </w:r>
      <w:proofErr w:type="gramStart"/>
      <w:r>
        <w:t>Required</w:t>
      </w:r>
      <w:proofErr w:type="gramEnd"/>
      <w:r>
        <w:t xml:space="preserve"> to an Authority Required (STREAMLINED) listing on 1 February 2015.</w:t>
      </w:r>
    </w:p>
    <w:p w:rsidR="00BF544D" w:rsidRPr="002F61CA" w:rsidRDefault="00BF544D" w:rsidP="00BF544D">
      <w:r w:rsidRPr="002F61CA">
        <w:t xml:space="preserve">Current PBS listing details are available from </w:t>
      </w:r>
      <w:r>
        <w:t xml:space="preserve">the </w:t>
      </w:r>
      <w:r w:rsidRPr="001A7DA5">
        <w:t>PBS website</w:t>
      </w:r>
      <w:r>
        <w:t>.</w:t>
      </w:r>
    </w:p>
    <w:p w:rsidR="00736041" w:rsidRPr="005E22C2" w:rsidRDefault="00394AEE" w:rsidP="00FE645A">
      <w:pPr>
        <w:pStyle w:val="Heading3"/>
      </w:pPr>
      <w:r>
        <w:t>Relevant aspects of</w:t>
      </w:r>
      <w:r w:rsidR="00736041" w:rsidRPr="005E22C2">
        <w:t xml:space="preserve"> consideration</w:t>
      </w:r>
      <w:r>
        <w:t xml:space="preserve"> by the Pharmaceutical Benefits Advisory Committee (PBAC)</w:t>
      </w:r>
    </w:p>
    <w:p w:rsidR="008A5636" w:rsidRPr="008A5636" w:rsidRDefault="008A5636" w:rsidP="00A35800">
      <w:pPr>
        <w:rPr>
          <w:b/>
          <w:i/>
        </w:rPr>
      </w:pPr>
      <w:r w:rsidRPr="008A5636">
        <w:rPr>
          <w:b/>
          <w:i/>
        </w:rPr>
        <w:t>Ipilimumab</w:t>
      </w:r>
    </w:p>
    <w:p w:rsidR="00436906" w:rsidRDefault="00436906" w:rsidP="00A35800">
      <w:r w:rsidRPr="00436906">
        <w:t xml:space="preserve">Ipilimumab was recommended by the PBAC at its November 2012 meeting. The PBAC recommended ipilimumab for monotherapy in a patient with </w:t>
      </w:r>
      <w:proofErr w:type="spellStart"/>
      <w:r w:rsidRPr="00436906">
        <w:t>unresectable</w:t>
      </w:r>
      <w:proofErr w:type="spellEnd"/>
      <w:r w:rsidRPr="00436906">
        <w:t xml:space="preserve"> Stage III or Stage IV malignant melanoma in the context of high-clinical need and no effective therapies available.  The PBAC acknowledged the high clinical need for effective drugs to treat malignant melanoma.</w:t>
      </w:r>
      <w:r>
        <w:t xml:space="preserve"> </w:t>
      </w:r>
    </w:p>
    <w:p w:rsidR="00436906" w:rsidRDefault="00436906" w:rsidP="00436906">
      <w:r>
        <w:t>The likely number of patients per year was estimated in the submission to be significantly less than 10,000 in Year 5. The submission’s estimated net cost per year to the Government was in the range of $60 - $100 million in Year 5.</w:t>
      </w:r>
    </w:p>
    <w:p w:rsidR="00436906" w:rsidRDefault="004659E7" w:rsidP="00436906">
      <w:r>
        <w:t>The PBAC recommended the i</w:t>
      </w:r>
      <w:r w:rsidRPr="004659E7">
        <w:t>mplementation of a mechanism to verify the anticipated overall survival benefits of ipilimumab in real world clinical pract</w:t>
      </w:r>
      <w:r w:rsidR="00C94430">
        <w:t xml:space="preserve">ice in Australia and the </w:t>
      </w:r>
      <w:r w:rsidR="00C94430">
        <w:lastRenderedPageBreak/>
        <w:t>n</w:t>
      </w:r>
      <w:r w:rsidR="00C94430" w:rsidRPr="00C94430">
        <w:t>egotiation of a suitable risk share agreement with significant rebates in order to manage the risks to Commonwealth financial expenditure in terms of number of patients and dose</w:t>
      </w:r>
      <w:r w:rsidR="00C94430">
        <w:t>.</w:t>
      </w:r>
    </w:p>
    <w:p w:rsidR="00D94863" w:rsidRDefault="00D94863" w:rsidP="00D94863">
      <w:r>
        <w:t xml:space="preserve">For further details refer to </w:t>
      </w:r>
      <w:r w:rsidRPr="00F65F0D">
        <w:t xml:space="preserve">the </w:t>
      </w:r>
      <w:r w:rsidRPr="001A7DA5">
        <w:t>Public Summary Document</w:t>
      </w:r>
      <w:r w:rsidRPr="00F65F0D">
        <w:t xml:space="preserve"> from the </w:t>
      </w:r>
      <w:r w:rsidR="00C94430">
        <w:t xml:space="preserve">November 2012 </w:t>
      </w:r>
      <w:r>
        <w:t>PBAC meeting.</w:t>
      </w:r>
    </w:p>
    <w:p w:rsidR="008A5636" w:rsidRPr="008A5636" w:rsidRDefault="008A5636" w:rsidP="00D94863">
      <w:pPr>
        <w:rPr>
          <w:b/>
          <w:i/>
        </w:rPr>
      </w:pPr>
      <w:proofErr w:type="spellStart"/>
      <w:r w:rsidRPr="008A5636">
        <w:rPr>
          <w:b/>
          <w:i/>
        </w:rPr>
        <w:t>Dabrafenib</w:t>
      </w:r>
      <w:proofErr w:type="spellEnd"/>
    </w:p>
    <w:p w:rsidR="0034613D" w:rsidRDefault="00C94430" w:rsidP="00D94863">
      <w:proofErr w:type="spellStart"/>
      <w:r>
        <w:t>Dabrafenib</w:t>
      </w:r>
      <w:proofErr w:type="spellEnd"/>
      <w:r>
        <w:t xml:space="preserve"> was recommended by the PBAC at its July 2013 meeting. </w:t>
      </w:r>
    </w:p>
    <w:p w:rsidR="00C94430" w:rsidRDefault="00C94430" w:rsidP="00C94430">
      <w:r>
        <w:t>The PBAC noted that it is difficult to estimate the population size before the relevant data are collected on the prevalence of the BRAF mutation sub-types in the Australian population.</w:t>
      </w:r>
    </w:p>
    <w:p w:rsidR="00C94430" w:rsidRDefault="00C94430" w:rsidP="00C94430">
      <w:r>
        <w:t>The PBAC noted that there may be some cost offsets for the use of ipilimumab if 30 – 40 % of patients with melanoma are treated with a BRAF inhibitor as first line treatment.</w:t>
      </w:r>
    </w:p>
    <w:p w:rsidR="0034613D" w:rsidRDefault="0034613D" w:rsidP="0034613D">
      <w:r>
        <w:t xml:space="preserve">For further details refer to </w:t>
      </w:r>
      <w:r w:rsidRPr="00F65F0D">
        <w:t xml:space="preserve">the </w:t>
      </w:r>
      <w:r w:rsidRPr="001A7DA5">
        <w:t>Public Summary Document</w:t>
      </w:r>
      <w:r w:rsidRPr="00F65F0D">
        <w:t xml:space="preserve"> from the </w:t>
      </w:r>
      <w:r w:rsidR="00352015">
        <w:t xml:space="preserve">July 2013 </w:t>
      </w:r>
      <w:r>
        <w:t>PBAC meeting.</w:t>
      </w:r>
    </w:p>
    <w:p w:rsidR="000F2F51" w:rsidRDefault="00ED633B" w:rsidP="007D699D">
      <w:pPr>
        <w:pStyle w:val="Heading3"/>
        <w:keepNext/>
      </w:pPr>
      <w:r>
        <w:t>A</w:t>
      </w:r>
      <w:r w:rsidR="000F2F51">
        <w:t xml:space="preserve">pproach </w:t>
      </w:r>
      <w:r>
        <w:t xml:space="preserve">taken to </w:t>
      </w:r>
      <w:r w:rsidR="000F2F51">
        <w:t>estimat</w:t>
      </w:r>
      <w:r>
        <w:t>e</w:t>
      </w:r>
      <w:r w:rsidR="000F2F51">
        <w:t xml:space="preserve"> utilisation</w:t>
      </w:r>
    </w:p>
    <w:p w:rsidR="008A5636" w:rsidRPr="008A5636" w:rsidRDefault="008A5636" w:rsidP="008A5636">
      <w:pPr>
        <w:rPr>
          <w:b/>
          <w:i/>
        </w:rPr>
      </w:pPr>
      <w:r w:rsidRPr="008A5636">
        <w:rPr>
          <w:b/>
          <w:i/>
        </w:rPr>
        <w:t>Ipilimumab</w:t>
      </w:r>
    </w:p>
    <w:p w:rsidR="008A5636" w:rsidRPr="00B336E0" w:rsidRDefault="00B6771C" w:rsidP="00A35800">
      <w:r w:rsidRPr="00B336E0">
        <w:t>The ipilimumab</w:t>
      </w:r>
      <w:r w:rsidR="00C56151">
        <w:t xml:space="preserve"> submission used an epidemiological</w:t>
      </w:r>
      <w:r w:rsidRPr="00B336E0">
        <w:t xml:space="preserve"> approach</w:t>
      </w:r>
      <w:r w:rsidR="00C07929">
        <w:t xml:space="preserve"> from mortality of melanoma</w:t>
      </w:r>
      <w:r w:rsidRPr="00B336E0">
        <w:t xml:space="preserve"> to estimate utilisation.</w:t>
      </w:r>
      <w:r w:rsidR="00D36BCA">
        <w:t xml:space="preserve"> </w:t>
      </w:r>
      <w:r w:rsidR="00C07929">
        <w:t>To estimate the n</w:t>
      </w:r>
      <w:r w:rsidR="00C07929" w:rsidRPr="00C07929">
        <w:t xml:space="preserve">umber of patients in Australia with advanced </w:t>
      </w:r>
      <w:r w:rsidR="00B95F5D">
        <w:t xml:space="preserve">(Stage </w:t>
      </w:r>
      <w:proofErr w:type="spellStart"/>
      <w:r w:rsidR="00B95F5D">
        <w:t>IIIc</w:t>
      </w:r>
      <w:proofErr w:type="spellEnd"/>
      <w:r w:rsidR="00B95F5D">
        <w:t xml:space="preserve"> and IV) </w:t>
      </w:r>
      <w:r w:rsidR="00C07929" w:rsidRPr="00C07929">
        <w:t xml:space="preserve">melanoma </w:t>
      </w:r>
      <w:r w:rsidR="00C07929">
        <w:t xml:space="preserve">the </w:t>
      </w:r>
      <w:r w:rsidR="00C07929" w:rsidRPr="00C07929">
        <w:t xml:space="preserve">sponsor applied 12 month survival data from </w:t>
      </w:r>
      <w:r w:rsidR="00C07929">
        <w:t>more than</w:t>
      </w:r>
      <w:r w:rsidR="00C07929" w:rsidRPr="00C07929">
        <w:t xml:space="preserve"> 2</w:t>
      </w:r>
      <w:r w:rsidR="00C07929">
        <w:t>,</w:t>
      </w:r>
      <w:r w:rsidR="00C07929" w:rsidRPr="00C07929">
        <w:t>000 patients with advanced melanoma (</w:t>
      </w:r>
      <w:proofErr w:type="spellStart"/>
      <w:r w:rsidR="00C07929" w:rsidRPr="00C07929">
        <w:t>Korn</w:t>
      </w:r>
      <w:proofErr w:type="spellEnd"/>
      <w:r w:rsidR="00C07929" w:rsidRPr="00C07929">
        <w:t xml:space="preserve"> et al 2008) to AIHW 2007 melanoma mortality data.</w:t>
      </w:r>
      <w:r w:rsidR="00B95F5D">
        <w:t xml:space="preserve"> The sponsor then estimated the </w:t>
      </w:r>
      <w:r w:rsidR="005E54C8">
        <w:t xml:space="preserve">proportion </w:t>
      </w:r>
      <w:r w:rsidR="00B95F5D">
        <w:t>of BRAF positive patients to be 48% (Long et al 2011).</w:t>
      </w:r>
      <w:r w:rsidR="000F0857">
        <w:t xml:space="preserve"> </w:t>
      </w:r>
    </w:p>
    <w:p w:rsidR="008A5636" w:rsidRPr="008A5636" w:rsidRDefault="008A5636" w:rsidP="008A5636">
      <w:pPr>
        <w:rPr>
          <w:b/>
          <w:i/>
        </w:rPr>
      </w:pPr>
      <w:proofErr w:type="spellStart"/>
      <w:r w:rsidRPr="008A5636">
        <w:rPr>
          <w:b/>
          <w:i/>
        </w:rPr>
        <w:t>Dabrafenib</w:t>
      </w:r>
      <w:proofErr w:type="spellEnd"/>
    </w:p>
    <w:p w:rsidR="008A5636" w:rsidRDefault="00C56151" w:rsidP="00A35800">
      <w:pPr>
        <w:rPr>
          <w:highlight w:val="yellow"/>
        </w:rPr>
      </w:pPr>
      <w:r w:rsidRPr="00C56151">
        <w:t xml:space="preserve">The </w:t>
      </w:r>
      <w:proofErr w:type="spellStart"/>
      <w:r w:rsidRPr="00C56151">
        <w:t>dabrafen</w:t>
      </w:r>
      <w:r>
        <w:t>ib</w:t>
      </w:r>
      <w:proofErr w:type="spellEnd"/>
      <w:r>
        <w:t xml:space="preserve"> submission used an epidemiological</w:t>
      </w:r>
      <w:r w:rsidRPr="00B336E0">
        <w:t xml:space="preserve"> approach</w:t>
      </w:r>
      <w:r w:rsidR="001104D3">
        <w:t xml:space="preserve">, </w:t>
      </w:r>
      <w:r w:rsidR="00857189">
        <w:t>and took</w:t>
      </w:r>
      <w:r w:rsidR="001104D3">
        <w:t xml:space="preserve"> </w:t>
      </w:r>
      <w:r w:rsidR="001104D3" w:rsidRPr="001104D3">
        <w:t>Australian incidence and mortality rates</w:t>
      </w:r>
      <w:r w:rsidR="001104D3">
        <w:t xml:space="preserve"> of melanoma from the </w:t>
      </w:r>
      <w:r w:rsidR="004C6969" w:rsidRPr="004C6969">
        <w:t>Australian Cancer Incidence and Mortality Workbook from the Australian Institute of Health and Welfare (AIHW 2011)</w:t>
      </w:r>
      <w:r w:rsidR="001104D3">
        <w:t>.</w:t>
      </w:r>
    </w:p>
    <w:p w:rsidR="00D64E2B" w:rsidRPr="008A5636" w:rsidRDefault="00D64E2B" w:rsidP="00D64E2B">
      <w:pPr>
        <w:rPr>
          <w:b/>
          <w:i/>
        </w:rPr>
      </w:pPr>
      <w:r>
        <w:rPr>
          <w:b/>
          <w:i/>
        </w:rPr>
        <w:t>Final agreed estimates</w:t>
      </w:r>
    </w:p>
    <w:p w:rsidR="00D64E2B" w:rsidRDefault="00D64E2B" w:rsidP="0082747E">
      <w:r w:rsidRPr="00C56151">
        <w:t xml:space="preserve">The </w:t>
      </w:r>
      <w:r>
        <w:t>final agreed estimates</w:t>
      </w:r>
      <w:r w:rsidR="005575AA">
        <w:t xml:space="preserve"> </w:t>
      </w:r>
      <w:r w:rsidR="00E83385">
        <w:t xml:space="preserve">between the Department and the sponsors </w:t>
      </w:r>
      <w:r w:rsidR="005575AA">
        <w:t xml:space="preserve">used the age standardised incidence and mortality of melanoma from the AIHW to predicted Australian population from ABS data. After estimating the proportion of patients with stage III and IV </w:t>
      </w:r>
      <w:proofErr w:type="spellStart"/>
      <w:r w:rsidR="005575AA">
        <w:t>unresectable</w:t>
      </w:r>
      <w:proofErr w:type="spellEnd"/>
      <w:r w:rsidR="005575AA">
        <w:t xml:space="preserve"> disease, estimates </w:t>
      </w:r>
      <w:r w:rsidR="0082747E">
        <w:t>predicted</w:t>
      </w:r>
      <w:r w:rsidR="005575AA">
        <w:t xml:space="preserve"> the number of eligible patients to be between 2</w:t>
      </w:r>
      <w:r w:rsidR="00BD0D96">
        <w:t>,</w:t>
      </w:r>
      <w:r w:rsidR="005575AA">
        <w:t>000 and 3</w:t>
      </w:r>
      <w:r w:rsidR="00BD0D96">
        <w:t>,</w:t>
      </w:r>
      <w:r w:rsidR="005575AA">
        <w:t xml:space="preserve">000 per year. </w:t>
      </w:r>
    </w:p>
    <w:p w:rsidR="00CB0A6B" w:rsidRDefault="00CB0A6B">
      <w:pPr>
        <w:spacing w:line="276" w:lineRule="auto"/>
      </w:pPr>
      <w:r>
        <w:br w:type="page"/>
      </w:r>
    </w:p>
    <w:p w:rsidR="005B2CAA" w:rsidRDefault="005575AA" w:rsidP="0082747E">
      <w:r>
        <w:lastRenderedPageBreak/>
        <w:t>The estimated proportion of BRAF mutation positive patients was 45.80%.</w:t>
      </w:r>
      <w:r w:rsidR="00E83385">
        <w:rPr>
          <w:rStyle w:val="FootnoteReference"/>
        </w:rPr>
        <w:footnoteReference w:id="11"/>
      </w:r>
      <w:r w:rsidR="00D13392">
        <w:t xml:space="preserve"> </w:t>
      </w:r>
    </w:p>
    <w:p w:rsidR="005575AA" w:rsidRDefault="0071623D" w:rsidP="0082747E">
      <w:proofErr w:type="spellStart"/>
      <w:r>
        <w:t>Dabrafenib</w:t>
      </w:r>
      <w:proofErr w:type="spellEnd"/>
      <w:r>
        <w:t xml:space="preserve"> </w:t>
      </w:r>
      <w:r w:rsidR="001A7DA5">
        <w:rPr>
          <w:noProof/>
          <w:color w:val="000000"/>
          <w:highlight w:val="black"/>
        </w:rPr>
        <w:t xml:space="preserve">''''''''''''''''' ''''''' </w:t>
      </w:r>
      <w:r>
        <w:t xml:space="preserve">of (BRAF positive) </w:t>
      </w:r>
      <w:r w:rsidR="001B3E80">
        <w:t xml:space="preserve">patients </w:t>
      </w:r>
      <w:r>
        <w:t xml:space="preserve">would have a WHO performance status of 2 or less, and </w:t>
      </w:r>
      <w:r w:rsidR="001A7DA5">
        <w:rPr>
          <w:noProof/>
          <w:color w:val="000000"/>
          <w:highlight w:val="black"/>
        </w:rPr>
        <w:t>''''''''</w:t>
      </w:r>
      <w:r>
        <w:t xml:space="preserve"> of those patients would commence </w:t>
      </w:r>
      <w:proofErr w:type="spellStart"/>
      <w:r>
        <w:t>dabrafenib</w:t>
      </w:r>
      <w:proofErr w:type="spellEnd"/>
      <w:r>
        <w:t>.</w:t>
      </w:r>
      <w:r w:rsidR="00CE5A06">
        <w:t xml:space="preserve"> Of the patients treated, it was assumed </w:t>
      </w:r>
      <w:r w:rsidR="001A7DA5">
        <w:rPr>
          <w:noProof/>
          <w:color w:val="000000"/>
          <w:highlight w:val="black"/>
        </w:rPr>
        <w:t>''''''''</w:t>
      </w:r>
      <w:r w:rsidR="00CE5A06">
        <w:t xml:space="preserve">% would be compliant and the average treatment duration would be </w:t>
      </w:r>
      <w:r w:rsidR="001A7DA5">
        <w:rPr>
          <w:noProof/>
          <w:color w:val="000000"/>
          <w:highlight w:val="black"/>
        </w:rPr>
        <w:t>''''''''</w:t>
      </w:r>
      <w:r w:rsidR="00CE5A06">
        <w:t xml:space="preserve"> months, using one pack of </w:t>
      </w:r>
      <w:proofErr w:type="spellStart"/>
      <w:r w:rsidR="00CE5A06">
        <w:t>dabrafenib</w:t>
      </w:r>
      <w:proofErr w:type="spellEnd"/>
      <w:r w:rsidR="00CE5A06">
        <w:t xml:space="preserve"> per month.</w:t>
      </w:r>
    </w:p>
    <w:p w:rsidR="0071623D" w:rsidRDefault="0071623D" w:rsidP="0082747E">
      <w:r>
        <w:t xml:space="preserve">The ipilimumab agreed estimates </w:t>
      </w:r>
      <w:r w:rsidR="00974341">
        <w:t>assumed</w:t>
      </w:r>
      <w:r>
        <w:t xml:space="preserve"> 89.4% of eligible patients would receive first line treatment, and 34% of those patients would be treated with ipilimumab. The proportion of patients who would receive second line treatment was 77%</w:t>
      </w:r>
      <w:r w:rsidR="001B3E80">
        <w:t>,</w:t>
      </w:r>
      <w:r>
        <w:t xml:space="preserve"> and 27% of those would receive ipilimumab. The ipilimumab estimates assumed </w:t>
      </w:r>
      <w:r w:rsidR="00CE5A06">
        <w:t xml:space="preserve">induction patients would receive an average of 3.4 doses, that 6.6% would continue to </w:t>
      </w:r>
      <w:proofErr w:type="spellStart"/>
      <w:r w:rsidR="00CE5A06">
        <w:t>reinduction</w:t>
      </w:r>
      <w:proofErr w:type="spellEnd"/>
      <w:r w:rsidR="00CE5A06">
        <w:t xml:space="preserve"> treatment, and that these patients would receive an average of 4 doses of ipilimumab.</w:t>
      </w:r>
    </w:p>
    <w:p w:rsidR="00094DCF" w:rsidRDefault="00ED633B" w:rsidP="00FE645A">
      <w:pPr>
        <w:pStyle w:val="Heading3"/>
      </w:pPr>
      <w:r>
        <w:t xml:space="preserve">Previous reviews by </w:t>
      </w:r>
      <w:r w:rsidR="00177B86">
        <w:t xml:space="preserve">the </w:t>
      </w:r>
      <w:r>
        <w:t>DUSC</w:t>
      </w:r>
    </w:p>
    <w:p w:rsidR="00525DBF" w:rsidRPr="00525DBF" w:rsidRDefault="001B3E80" w:rsidP="00525DBF">
      <w:r>
        <w:t xml:space="preserve">The utilisation of </w:t>
      </w:r>
      <w:proofErr w:type="spellStart"/>
      <w:r>
        <w:t>dabrafenib</w:t>
      </w:r>
      <w:proofErr w:type="spellEnd"/>
      <w:r>
        <w:t xml:space="preserve"> and ipilimumab </w:t>
      </w:r>
      <w:r w:rsidR="00525DBF">
        <w:t>ha</w:t>
      </w:r>
      <w:r>
        <w:t>s not</w:t>
      </w:r>
      <w:r w:rsidR="00525DBF">
        <w:t xml:space="preserve"> been previously reviewed by DUSC. The most recent review</w:t>
      </w:r>
      <w:r w:rsidR="00065654">
        <w:t xml:space="preserve"> by DUSC</w:t>
      </w:r>
      <w:r w:rsidR="00525DBF">
        <w:t xml:space="preserve"> of </w:t>
      </w:r>
      <w:r w:rsidR="00065654">
        <w:t xml:space="preserve">a drug to treat </w:t>
      </w:r>
      <w:r w:rsidR="00525DBF">
        <w:t>metastatic malignant melanoma</w:t>
      </w:r>
      <w:r w:rsidR="00065654">
        <w:t xml:space="preserve"> </w:t>
      </w:r>
      <w:r w:rsidR="00525DBF">
        <w:t xml:space="preserve">was </w:t>
      </w:r>
      <w:proofErr w:type="spellStart"/>
      <w:r w:rsidR="00080F82" w:rsidRPr="00080F82">
        <w:t>fotemustine</w:t>
      </w:r>
      <w:proofErr w:type="spellEnd"/>
      <w:r w:rsidR="00080F82" w:rsidRPr="00080F82">
        <w:t xml:space="preserve"> </w:t>
      </w:r>
      <w:r w:rsidR="00525DBF">
        <w:t xml:space="preserve">in </w:t>
      </w:r>
      <w:r w:rsidR="00065654">
        <w:t>September 2006.</w:t>
      </w:r>
    </w:p>
    <w:p w:rsidR="00E677DD" w:rsidRPr="005E22C2" w:rsidRDefault="00E677DD" w:rsidP="00587724">
      <w:pPr>
        <w:pStyle w:val="Heading4"/>
      </w:pPr>
      <w:r w:rsidRPr="005E22C2">
        <w:t>Method</w:t>
      </w:r>
      <w:r w:rsidR="001B5D37" w:rsidRPr="005E22C2">
        <w:t>s</w:t>
      </w:r>
    </w:p>
    <w:p w:rsidR="00773069" w:rsidRDefault="00773069" w:rsidP="00773069">
      <w:r>
        <w:t xml:space="preserve">Prescription data </w:t>
      </w:r>
      <w:r w:rsidRPr="00143FC1">
        <w:t xml:space="preserve">were extracted from </w:t>
      </w:r>
      <w:r>
        <w:t xml:space="preserve">the </w:t>
      </w:r>
      <w:r w:rsidRPr="00143FC1">
        <w:t xml:space="preserve">Department of Human Services </w:t>
      </w:r>
      <w:r>
        <w:t xml:space="preserve">(DHS) </w:t>
      </w:r>
      <w:r w:rsidR="00033802">
        <w:t>p</w:t>
      </w:r>
      <w:r w:rsidR="005E54C8">
        <w:t>rescription</w:t>
      </w:r>
      <w:r w:rsidRPr="00143FC1">
        <w:t xml:space="preserve"> database</w:t>
      </w:r>
      <w:r w:rsidRPr="00143FC1" w:rsidDel="002136B0">
        <w:t xml:space="preserve"> </w:t>
      </w:r>
      <w:r w:rsidRPr="00143FC1">
        <w:t xml:space="preserve">for the </w:t>
      </w:r>
      <w:r w:rsidR="003E043B">
        <w:t xml:space="preserve">supply </w:t>
      </w:r>
      <w:r w:rsidRPr="00143FC1">
        <w:t xml:space="preserve">period </w:t>
      </w:r>
      <w:r>
        <w:t>August 2013</w:t>
      </w:r>
      <w:r w:rsidRPr="00143FC1">
        <w:t xml:space="preserve"> </w:t>
      </w:r>
      <w:r w:rsidRPr="002D325D">
        <w:t xml:space="preserve">to </w:t>
      </w:r>
      <w:r w:rsidR="00400F2F">
        <w:t>April</w:t>
      </w:r>
      <w:r w:rsidR="00402F77">
        <w:t xml:space="preserve"> </w:t>
      </w:r>
      <w:r>
        <w:t>2015</w:t>
      </w:r>
      <w:r w:rsidRPr="00143FC1">
        <w:t>, inclusive.</w:t>
      </w:r>
      <w:r>
        <w:t xml:space="preserve"> </w:t>
      </w:r>
      <w:r w:rsidR="00F443D6" w:rsidRPr="00CF7365">
        <w:t>Th</w:t>
      </w:r>
      <w:r w:rsidR="005E54C8">
        <w:t xml:space="preserve">is </w:t>
      </w:r>
      <w:r w:rsidR="00F443D6" w:rsidRPr="00CF7365">
        <w:t xml:space="preserve">database </w:t>
      </w:r>
      <w:r w:rsidR="00F443D6">
        <w:t>contains</w:t>
      </w:r>
      <w:r w:rsidR="00F443D6" w:rsidRPr="00CF7365">
        <w:t xml:space="preserve"> data on PBS prescriptions submitted to DHS for payment of a PBS/RPBS </w:t>
      </w:r>
      <w:r w:rsidR="003E043B">
        <w:t xml:space="preserve">(R/PBS) </w:t>
      </w:r>
      <w:r w:rsidR="00F443D6" w:rsidRPr="00CF7365">
        <w:t>subsidy by the Govern</w:t>
      </w:r>
      <w:r w:rsidR="00F443D6">
        <w:t>ment</w:t>
      </w:r>
      <w:r w:rsidR="003E043B">
        <w:t>.</w:t>
      </w:r>
    </w:p>
    <w:p w:rsidR="003E043B" w:rsidRDefault="003E043B" w:rsidP="00524D13">
      <w:r>
        <w:t>All data were extracted based on the date of supply to the patient. The data differs from that available from the DHS (Medicare) PBS statistics website</w:t>
      </w:r>
      <w:r w:rsidRPr="00BF4776">
        <w:t xml:space="preserve"> </w:t>
      </w:r>
      <w:r>
        <w:t>which is based on the date of processing and is only for subsidised R/PBS prescriptions (under patient co-payment not included).</w:t>
      </w:r>
      <w:r>
        <w:rPr>
          <w:rStyle w:val="FootnoteReference"/>
        </w:rPr>
        <w:footnoteReference w:id="12"/>
      </w:r>
    </w:p>
    <w:p w:rsidR="008B7884" w:rsidRDefault="008B7884" w:rsidP="00524D13">
      <w:r w:rsidRPr="00174E61">
        <w:rPr>
          <w:rFonts w:cstheme="minorHAnsi"/>
        </w:rPr>
        <w:t xml:space="preserve">An analysis of the number of incident and prevalent patients was undertaken using the </w:t>
      </w:r>
      <w:r w:rsidR="003E043B">
        <w:rPr>
          <w:rFonts w:cstheme="minorHAnsi"/>
        </w:rPr>
        <w:t xml:space="preserve">DHS </w:t>
      </w:r>
      <w:r w:rsidR="00033802">
        <w:rPr>
          <w:rFonts w:cstheme="minorHAnsi"/>
        </w:rPr>
        <w:t>p</w:t>
      </w:r>
      <w:r w:rsidR="003E043B">
        <w:rPr>
          <w:rFonts w:cstheme="minorHAnsi"/>
        </w:rPr>
        <w:t xml:space="preserve">rescription </w:t>
      </w:r>
      <w:r w:rsidRPr="00174E61">
        <w:rPr>
          <w:rFonts w:cstheme="minorHAnsi"/>
        </w:rPr>
        <w:t>data</w:t>
      </w:r>
      <w:r>
        <w:rPr>
          <w:rFonts w:cstheme="minorHAnsi"/>
        </w:rPr>
        <w:t xml:space="preserve">. Patient counts were based on de-identified unique patient identification numbers (PINs) from the prescription data. Initiations were </w:t>
      </w:r>
      <w:r w:rsidR="007E3630">
        <w:rPr>
          <w:rFonts w:cstheme="minorHAnsi"/>
        </w:rPr>
        <w:t>identified</w:t>
      </w:r>
      <w:r w:rsidR="002C7D07">
        <w:rPr>
          <w:rFonts w:cstheme="minorHAnsi"/>
        </w:rPr>
        <w:t xml:space="preserve"> as the first supply of either </w:t>
      </w:r>
      <w:proofErr w:type="spellStart"/>
      <w:r w:rsidR="002C7D07">
        <w:rPr>
          <w:rFonts w:cstheme="minorHAnsi"/>
        </w:rPr>
        <w:t>dabrafenib</w:t>
      </w:r>
      <w:proofErr w:type="spellEnd"/>
      <w:r w:rsidR="002C7D07">
        <w:rPr>
          <w:rFonts w:cstheme="minorHAnsi"/>
        </w:rPr>
        <w:t xml:space="preserve"> or ipilimumab</w:t>
      </w:r>
      <w:r>
        <w:rPr>
          <w:rFonts w:cstheme="minorHAnsi"/>
        </w:rPr>
        <w:t>.</w:t>
      </w:r>
      <w:r w:rsidR="00F156D3">
        <w:rPr>
          <w:rFonts w:cstheme="minorHAnsi"/>
        </w:rPr>
        <w:t xml:space="preserve"> Where</w:t>
      </w:r>
      <w:r w:rsidR="00637713">
        <w:rPr>
          <w:rFonts w:cstheme="minorHAnsi"/>
        </w:rPr>
        <w:t xml:space="preserve"> analyses are by drug</w:t>
      </w:r>
      <w:r w:rsidR="00F156D3">
        <w:rPr>
          <w:rFonts w:cstheme="minorHAnsi"/>
        </w:rPr>
        <w:t xml:space="preserve">, a patient who </w:t>
      </w:r>
      <w:r w:rsidR="00637713">
        <w:rPr>
          <w:rFonts w:cstheme="minorHAnsi"/>
        </w:rPr>
        <w:t>initiates both drugs</w:t>
      </w:r>
      <w:r w:rsidR="00F156D3">
        <w:rPr>
          <w:rFonts w:cstheme="minorHAnsi"/>
        </w:rPr>
        <w:t xml:space="preserve"> is counted once for each drug.</w:t>
      </w:r>
      <w:r>
        <w:rPr>
          <w:rFonts w:cstheme="minorHAnsi"/>
        </w:rPr>
        <w:t xml:space="preserve"> Patients were identified as being </w:t>
      </w:r>
      <w:r w:rsidR="001B3E80">
        <w:rPr>
          <w:rFonts w:cstheme="minorHAnsi"/>
        </w:rPr>
        <w:t>on treatment (</w:t>
      </w:r>
      <w:r>
        <w:rPr>
          <w:rFonts w:cstheme="minorHAnsi"/>
        </w:rPr>
        <w:t>prevalent</w:t>
      </w:r>
      <w:r w:rsidR="001B3E80">
        <w:rPr>
          <w:rFonts w:cstheme="minorHAnsi"/>
        </w:rPr>
        <w:t>)</w:t>
      </w:r>
      <w:r>
        <w:rPr>
          <w:rFonts w:cstheme="minorHAnsi"/>
        </w:rPr>
        <w:t xml:space="preserve"> if they had received at least one dispensing of </w:t>
      </w:r>
      <w:r w:rsidR="00400F2F">
        <w:rPr>
          <w:rFonts w:cstheme="minorHAnsi"/>
        </w:rPr>
        <w:t xml:space="preserve">ipilimumab or </w:t>
      </w:r>
      <w:proofErr w:type="spellStart"/>
      <w:r w:rsidR="00400F2F">
        <w:rPr>
          <w:rFonts w:cstheme="minorHAnsi"/>
        </w:rPr>
        <w:t>dabrafenib</w:t>
      </w:r>
      <w:proofErr w:type="spellEnd"/>
      <w:r>
        <w:rPr>
          <w:rFonts w:cstheme="minorHAnsi"/>
        </w:rPr>
        <w:t xml:space="preserve"> in </w:t>
      </w:r>
      <w:r w:rsidR="00400F2F">
        <w:rPr>
          <w:rFonts w:cstheme="minorHAnsi"/>
        </w:rPr>
        <w:t xml:space="preserve">the specified </w:t>
      </w:r>
      <w:r w:rsidR="004D10C7">
        <w:rPr>
          <w:rFonts w:cstheme="minorHAnsi"/>
        </w:rPr>
        <w:t>period</w:t>
      </w:r>
      <w:r>
        <w:rPr>
          <w:rFonts w:cstheme="minorHAnsi"/>
        </w:rPr>
        <w:t xml:space="preserve">. </w:t>
      </w:r>
    </w:p>
    <w:p w:rsidR="001104D3" w:rsidRPr="000226B3" w:rsidRDefault="001104D3" w:rsidP="00A35800">
      <w:pPr>
        <w:rPr>
          <w:rFonts w:eastAsia="Calibri" w:cs="Times New Roman"/>
        </w:rPr>
      </w:pPr>
      <w:r>
        <w:rPr>
          <w:rFonts w:eastAsia="Calibri" w:cs="Times New Roman"/>
        </w:rPr>
        <w:t>Analyses were undertaken in SAS.</w:t>
      </w:r>
    </w:p>
    <w:p w:rsidR="00C714D0" w:rsidRPr="005E22C2" w:rsidRDefault="00C714D0" w:rsidP="001F4906">
      <w:pPr>
        <w:pStyle w:val="Heading4"/>
      </w:pPr>
      <w:r w:rsidRPr="005E22C2">
        <w:lastRenderedPageBreak/>
        <w:t>Results</w:t>
      </w:r>
    </w:p>
    <w:p w:rsidR="00736041" w:rsidRPr="005E22C2" w:rsidRDefault="001B5D37" w:rsidP="00FE645A">
      <w:pPr>
        <w:pStyle w:val="Heading3"/>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rsidR="006A44F5" w:rsidRDefault="00736041" w:rsidP="001F4906">
      <w:pPr>
        <w:pStyle w:val="Heading2"/>
      </w:pPr>
      <w:r w:rsidRPr="005E22C2">
        <w:t>Overall utilisation</w:t>
      </w:r>
    </w:p>
    <w:p w:rsidR="00541051" w:rsidRDefault="00541051" w:rsidP="00541051">
      <w:r>
        <w:t>Prescription volume patterns for medicines used to treat melanoma are likely</w:t>
      </w:r>
      <w:r w:rsidR="00435F17">
        <w:t xml:space="preserve"> to be</w:t>
      </w:r>
      <w:r>
        <w:t xml:space="preserve"> driven by the PBS </w:t>
      </w:r>
      <w:r w:rsidRPr="00541051">
        <w:t>listing dates</w:t>
      </w:r>
      <w:r>
        <w:t xml:space="preserve">, </w:t>
      </w:r>
      <w:r w:rsidRPr="00541051">
        <w:t>access to treatments outside of the PBS</w:t>
      </w:r>
      <w:r>
        <w:t>, and</w:t>
      </w:r>
      <w:r w:rsidRPr="00541051">
        <w:t xml:space="preserve"> </w:t>
      </w:r>
      <w:r>
        <w:t xml:space="preserve">the difference in the dosage, administration and treatment duration of </w:t>
      </w:r>
      <w:r w:rsidR="00435F17">
        <w:t xml:space="preserve">the </w:t>
      </w:r>
      <w:r>
        <w:t>medicines</w:t>
      </w:r>
      <w:r w:rsidR="00435F17">
        <w:t xml:space="preserve">. </w:t>
      </w:r>
      <w:proofErr w:type="spellStart"/>
      <w:r>
        <w:t>Dabrafenib</w:t>
      </w:r>
      <w:proofErr w:type="spellEnd"/>
      <w:r>
        <w:t xml:space="preserve"> is taken orally twice daily until disease progression or the development of unacceptable toxicity. Ipilimumab is administered as a course of treatment. The initial course of treatment is referred to as induction</w:t>
      </w:r>
      <w:proofErr w:type="gramStart"/>
      <w:r>
        <w:t>,</w:t>
      </w:r>
      <w:proofErr w:type="gramEnd"/>
      <w:r>
        <w:t xml:space="preserve"> then subsequent treatment is referred to as </w:t>
      </w:r>
      <w:proofErr w:type="spellStart"/>
      <w:r>
        <w:t>reinduction</w:t>
      </w:r>
      <w:proofErr w:type="spellEnd"/>
      <w:r>
        <w:t>. Each course of ipilimumab includes four doses which are administered every three weeks.</w:t>
      </w:r>
    </w:p>
    <w:p w:rsidR="00541051" w:rsidRPr="00541051" w:rsidRDefault="00541051" w:rsidP="00436A20">
      <w:r>
        <w:t xml:space="preserve">Figure </w:t>
      </w:r>
      <w:r w:rsidR="00ED3072">
        <w:t>1</w:t>
      </w:r>
      <w:r>
        <w:t xml:space="preserve"> shows the monthly number of prescriptions supplied for ipilimumab and </w:t>
      </w:r>
      <w:proofErr w:type="spellStart"/>
      <w:r>
        <w:t>dabrafenib</w:t>
      </w:r>
      <w:proofErr w:type="spellEnd"/>
      <w:r>
        <w:t xml:space="preserve">.   </w:t>
      </w:r>
    </w:p>
    <w:p w:rsidR="006A70A1" w:rsidRDefault="00FE1851" w:rsidP="00A35800">
      <w:pPr>
        <w:rPr>
          <w:highlight w:val="yellow"/>
        </w:rPr>
      </w:pPr>
      <w:r>
        <w:rPr>
          <w:noProof/>
        </w:rPr>
        <w:drawing>
          <wp:inline distT="0" distB="0" distL="0" distR="0" wp14:anchorId="5115C99E" wp14:editId="2BAED608">
            <wp:extent cx="5687695" cy="3703686"/>
            <wp:effectExtent l="0" t="0" r="27305" b="11430"/>
            <wp:docPr id="1" name="Chart 1" descr="Prescriptions supplied by month for dabrafenib and ipilimumab" title="Prescriptions supplied by month for dabrafenib and ipilimumab"/>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A70A1" w:rsidRPr="006A70A1" w:rsidRDefault="006A70A1" w:rsidP="006A70A1">
      <w:pPr>
        <w:pStyle w:val="Figuretitle"/>
      </w:pPr>
      <w:r w:rsidRPr="006A70A1">
        <w:t xml:space="preserve">Figure </w:t>
      </w:r>
      <w:r w:rsidR="00D57C22">
        <w:t>1</w:t>
      </w:r>
      <w:r w:rsidRPr="006A70A1">
        <w:t xml:space="preserve">: Prescriptions </w:t>
      </w:r>
      <w:r w:rsidR="006605B6">
        <w:t xml:space="preserve">supplied </w:t>
      </w:r>
      <w:r w:rsidRPr="006A70A1">
        <w:t xml:space="preserve">by month for </w:t>
      </w:r>
      <w:proofErr w:type="spellStart"/>
      <w:r w:rsidRPr="006A70A1">
        <w:t>dabrafenib</w:t>
      </w:r>
      <w:proofErr w:type="spellEnd"/>
      <w:r w:rsidRPr="006A70A1">
        <w:t xml:space="preserve"> and ipilimumab</w:t>
      </w:r>
    </w:p>
    <w:p w:rsidR="006A70A1" w:rsidRDefault="006A70A1" w:rsidP="00A35800">
      <w:pPr>
        <w:rPr>
          <w:highlight w:val="yellow"/>
        </w:rPr>
      </w:pPr>
    </w:p>
    <w:p w:rsidR="00A01694" w:rsidRDefault="00FD2909" w:rsidP="00A35800">
      <w:r>
        <w:t>The number of prescriptions of ipilimumab increased rapidly the fir</w:t>
      </w:r>
      <w:r w:rsidR="00BD0D96">
        <w:t>st three months of listing (August to October</w:t>
      </w:r>
      <w:r>
        <w:t xml:space="preserve"> 2013). The subsequent decline (</w:t>
      </w:r>
      <w:r w:rsidR="00BD0D96">
        <w:t>November</w:t>
      </w:r>
      <w:r>
        <w:t xml:space="preserve"> </w:t>
      </w:r>
      <w:r w:rsidR="00BD0D96">
        <w:t>20</w:t>
      </w:r>
      <w:r>
        <w:t xml:space="preserve">13 </w:t>
      </w:r>
      <w:r w:rsidR="00BD0D96">
        <w:t>to</w:t>
      </w:r>
      <w:r>
        <w:t xml:space="preserve"> </w:t>
      </w:r>
      <w:r w:rsidR="00BD0D96">
        <w:t>February 20</w:t>
      </w:r>
      <w:r>
        <w:t>14) is likely du</w:t>
      </w:r>
      <w:r w:rsidR="00AA6E9D">
        <w:t>e</w:t>
      </w:r>
      <w:r>
        <w:t xml:space="preserve"> to patients completing the induction phase of ipilimumab</w:t>
      </w:r>
      <w:r w:rsidR="00A01694">
        <w:t xml:space="preserve"> </w:t>
      </w:r>
      <w:r>
        <w:t>and</w:t>
      </w:r>
      <w:r w:rsidR="00A01694">
        <w:t xml:space="preserve"> also due to the availability of</w:t>
      </w:r>
      <w:r>
        <w:t xml:space="preserve"> </w:t>
      </w:r>
      <w:proofErr w:type="spellStart"/>
      <w:r>
        <w:t>dabrafenib</w:t>
      </w:r>
      <w:proofErr w:type="spellEnd"/>
      <w:r>
        <w:t xml:space="preserve"> through the PBS</w:t>
      </w:r>
      <w:r w:rsidR="008E16EC">
        <w:t xml:space="preserve"> </w:t>
      </w:r>
      <w:r>
        <w:t xml:space="preserve">from 1 December 2013. </w:t>
      </w:r>
      <w:r w:rsidR="007867ED">
        <w:t>The</w:t>
      </w:r>
      <w:r>
        <w:t xml:space="preserve"> subsequent increase and then plateauing of ipilimumab prescriptions </w:t>
      </w:r>
      <w:r w:rsidR="008E16EC">
        <w:t xml:space="preserve">(February to </w:t>
      </w:r>
      <w:r w:rsidR="00AA6E9D">
        <w:t>Apr</w:t>
      </w:r>
      <w:r w:rsidR="008E16EC">
        <w:t>il</w:t>
      </w:r>
      <w:r w:rsidR="00AA6E9D">
        <w:t xml:space="preserve"> </w:t>
      </w:r>
      <w:r w:rsidR="008E16EC">
        <w:t>20</w:t>
      </w:r>
      <w:r w:rsidR="00AA6E9D">
        <w:t xml:space="preserve">14) </w:t>
      </w:r>
      <w:r w:rsidR="00813BA0">
        <w:t xml:space="preserve">could be due </w:t>
      </w:r>
      <w:r>
        <w:t>to patients wh</w:t>
      </w:r>
      <w:r w:rsidR="00AA6E9D">
        <w:t>o</w:t>
      </w:r>
      <w:r>
        <w:t xml:space="preserve"> received ipilimumab induction moving to </w:t>
      </w:r>
      <w:proofErr w:type="spellStart"/>
      <w:r>
        <w:t>reinduction</w:t>
      </w:r>
      <w:proofErr w:type="spellEnd"/>
      <w:r>
        <w:t xml:space="preserve"> therapy</w:t>
      </w:r>
      <w:r w:rsidR="00DD5BD9">
        <w:t xml:space="preserve">. </w:t>
      </w:r>
      <w:r w:rsidR="00DD5BD9">
        <w:lastRenderedPageBreak/>
        <w:t xml:space="preserve">However, an analysis of patients who </w:t>
      </w:r>
      <w:r w:rsidR="001B3E80">
        <w:t xml:space="preserve">received </w:t>
      </w:r>
      <w:r w:rsidR="00DD5BD9">
        <w:t>ipilimumab induction therapy</w:t>
      </w:r>
      <w:r w:rsidR="001B3E80">
        <w:t xml:space="preserve"> through the PBS</w:t>
      </w:r>
      <w:r w:rsidR="00DD5BD9">
        <w:t xml:space="preserve"> shows </w:t>
      </w:r>
      <w:r w:rsidR="00947815">
        <w:t>only 36</w:t>
      </w:r>
      <w:r w:rsidR="00DD5BD9" w:rsidRPr="00DD5BD9">
        <w:t xml:space="preserve"> patients </w:t>
      </w:r>
      <w:r w:rsidR="00DD5BD9">
        <w:t>have</w:t>
      </w:r>
      <w:r w:rsidR="00DD5BD9" w:rsidRPr="00DD5BD9">
        <w:t xml:space="preserve"> receive</w:t>
      </w:r>
      <w:r w:rsidR="00DD5BD9">
        <w:t xml:space="preserve">d treatment for </w:t>
      </w:r>
      <w:proofErr w:type="spellStart"/>
      <w:r w:rsidR="00DD5BD9">
        <w:t>reinduction</w:t>
      </w:r>
      <w:proofErr w:type="spellEnd"/>
      <w:r w:rsidR="00DD5BD9">
        <w:t xml:space="preserve"> (less than 3%)</w:t>
      </w:r>
      <w:r w:rsidR="00DD5BD9" w:rsidRPr="00DD5BD9">
        <w:t xml:space="preserve">. </w:t>
      </w:r>
      <w:r w:rsidR="006605B6">
        <w:t>T</w:t>
      </w:r>
      <w:r w:rsidR="00DD5BD9" w:rsidRPr="00DD5BD9">
        <w:t xml:space="preserve">o </w:t>
      </w:r>
      <w:r w:rsidR="006605B6">
        <w:t xml:space="preserve">protect </w:t>
      </w:r>
      <w:r w:rsidR="00DD5BD9" w:rsidRPr="00DD5BD9">
        <w:t>privacy,</w:t>
      </w:r>
      <w:r w:rsidR="006605B6">
        <w:t xml:space="preserve"> </w:t>
      </w:r>
      <w:r w:rsidR="00BB0694">
        <w:t>p</w:t>
      </w:r>
      <w:r w:rsidR="00BB0694" w:rsidRPr="00BB0694">
        <w:t xml:space="preserve">atient level analyses for </w:t>
      </w:r>
      <w:proofErr w:type="spellStart"/>
      <w:r w:rsidR="00BB0694" w:rsidRPr="00BB0694">
        <w:t>reinduction</w:t>
      </w:r>
      <w:proofErr w:type="spellEnd"/>
      <w:r w:rsidR="00BB0694" w:rsidRPr="00BB0694">
        <w:t xml:space="preserve"> patient</w:t>
      </w:r>
      <w:r w:rsidR="00BB0694">
        <w:t>s</w:t>
      </w:r>
      <w:r w:rsidR="00BB0694" w:rsidRPr="00BB0694">
        <w:t xml:space="preserve"> ha</w:t>
      </w:r>
      <w:r w:rsidR="00BB0694">
        <w:t xml:space="preserve">ve </w:t>
      </w:r>
      <w:r w:rsidR="00DD5BD9" w:rsidRPr="00DD5BD9">
        <w:t>been suppressed</w:t>
      </w:r>
      <w:r w:rsidR="00BB0694">
        <w:t xml:space="preserve"> in this report</w:t>
      </w:r>
      <w:r w:rsidR="001B3E80">
        <w:t>, however</w:t>
      </w:r>
      <w:r w:rsidR="00BB0694">
        <w:t xml:space="preserve"> t</w:t>
      </w:r>
      <w:r w:rsidR="00DD5BD9" w:rsidRPr="00DD5BD9">
        <w:t>he treatment these patients receive</w:t>
      </w:r>
      <w:r w:rsidR="000A32B1">
        <w:t>d</w:t>
      </w:r>
      <w:r w:rsidR="00DD5BD9" w:rsidRPr="00DD5BD9">
        <w:t xml:space="preserve"> has been included in the overall use of ipilimumab</w:t>
      </w:r>
      <w:r w:rsidR="00436A20">
        <w:t xml:space="preserve"> (see </w:t>
      </w:r>
      <w:r w:rsidR="004D10C7">
        <w:t xml:space="preserve">Table </w:t>
      </w:r>
      <w:r w:rsidR="00ED3072">
        <w:t>4</w:t>
      </w:r>
      <w:r w:rsidR="00436A20">
        <w:t>)</w:t>
      </w:r>
      <w:r w:rsidR="00DD5BD9" w:rsidRPr="00DD5BD9">
        <w:t xml:space="preserve">. Due to the small numbers of patients continuing to </w:t>
      </w:r>
      <w:proofErr w:type="spellStart"/>
      <w:r w:rsidR="00DD5BD9" w:rsidRPr="00DD5BD9">
        <w:t>reinduction</w:t>
      </w:r>
      <w:proofErr w:type="spellEnd"/>
      <w:r w:rsidR="00DD5BD9" w:rsidRPr="00DD5BD9">
        <w:t xml:space="preserve"> treatment, this has negligible effect on the overall treatment patterns.</w:t>
      </w:r>
      <w:r w:rsidR="00DD5BD9">
        <w:t xml:space="preserve"> </w:t>
      </w:r>
      <w:r w:rsidR="00813BA0">
        <w:t xml:space="preserve">A </w:t>
      </w:r>
      <w:r w:rsidR="00DD5BD9">
        <w:t>further</w:t>
      </w:r>
      <w:r w:rsidR="00813BA0">
        <w:t xml:space="preserve"> reason </w:t>
      </w:r>
      <w:r w:rsidR="001B3E80">
        <w:t xml:space="preserve">for the increase in ipilimumab utilisation in early 2014 </w:t>
      </w:r>
      <w:r w:rsidR="00813BA0">
        <w:t xml:space="preserve">could be </w:t>
      </w:r>
      <w:r>
        <w:t xml:space="preserve">BRAF patients who have received first line </w:t>
      </w:r>
      <w:proofErr w:type="spellStart"/>
      <w:r>
        <w:t>dabrafenib</w:t>
      </w:r>
      <w:proofErr w:type="spellEnd"/>
      <w:r w:rsidR="00813BA0">
        <w:t xml:space="preserve"> (PBS or non-PBS)</w:t>
      </w:r>
      <w:r w:rsidR="00376AA0">
        <w:t xml:space="preserve"> </w:t>
      </w:r>
      <w:r w:rsidR="00AA6E9D">
        <w:t xml:space="preserve">and </w:t>
      </w:r>
      <w:r w:rsidR="00A01694">
        <w:t xml:space="preserve">have </w:t>
      </w:r>
      <w:r w:rsidR="00AA6E9D">
        <w:t>experienc</w:t>
      </w:r>
      <w:r w:rsidR="00A01694">
        <w:t>ed</w:t>
      </w:r>
      <w:r w:rsidR="00AA6E9D">
        <w:t xml:space="preserve"> disease</w:t>
      </w:r>
      <w:r>
        <w:t xml:space="preserve"> progression</w:t>
      </w:r>
      <w:r w:rsidR="00AA6E9D">
        <w:t xml:space="preserve"> </w:t>
      </w:r>
      <w:r w:rsidR="00AA6E9D" w:rsidRPr="00AA6E9D">
        <w:t>moving to ipilimumab</w:t>
      </w:r>
      <w:r>
        <w:t xml:space="preserve">. </w:t>
      </w:r>
    </w:p>
    <w:p w:rsidR="00A01694" w:rsidRDefault="00A01694" w:rsidP="00A35800">
      <w:r>
        <w:t>PBS p</w:t>
      </w:r>
      <w:r w:rsidR="00AA6E9D">
        <w:t>rescription</w:t>
      </w:r>
      <w:r w:rsidR="00634C15">
        <w:t xml:space="preserve"> number</w:t>
      </w:r>
      <w:r>
        <w:t>s</w:t>
      </w:r>
      <w:r w:rsidR="00634C15">
        <w:t xml:space="preserve"> may</w:t>
      </w:r>
      <w:r>
        <w:t xml:space="preserve"> not represent all treatment of metastatic melanoma in Australia</w:t>
      </w:r>
      <w:r w:rsidR="005B7037">
        <w:t>,</w:t>
      </w:r>
      <w:r w:rsidR="00634C15">
        <w:t xml:space="preserve"> due to patients </w:t>
      </w:r>
      <w:r>
        <w:t>being treated with</w:t>
      </w:r>
      <w:r w:rsidR="00634C15">
        <w:t xml:space="preserve"> other medicines for melanoma through access programs or clinical trials.</w:t>
      </w:r>
      <w:r>
        <w:t xml:space="preserve"> </w:t>
      </w:r>
      <w:r w:rsidRPr="00A13CAB">
        <w:t>For example</w:t>
      </w:r>
      <w:r w:rsidR="00A13CAB" w:rsidRPr="00A13CAB">
        <w:t>,</w:t>
      </w:r>
      <w:r w:rsidRPr="00A13CAB">
        <w:t xml:space="preserve"> there were cl</w:t>
      </w:r>
      <w:r w:rsidR="00A13CAB" w:rsidRPr="00A13CAB">
        <w:t>inical trials for pembrolizumab and</w:t>
      </w:r>
      <w:r w:rsidRPr="00A13CAB">
        <w:t xml:space="preserve"> nivolumab</w:t>
      </w:r>
      <w:r w:rsidR="00A13CAB" w:rsidRPr="00A13CAB">
        <w:t xml:space="preserve"> </w:t>
      </w:r>
      <w:r w:rsidR="00A13CAB">
        <w:t>during 2013 and 2014</w:t>
      </w:r>
      <w:r w:rsidR="00845F5C">
        <w:t>, and there were</w:t>
      </w:r>
      <w:r w:rsidRPr="00A13CAB">
        <w:t xml:space="preserve"> patient access programs for </w:t>
      </w:r>
      <w:r w:rsidRPr="002668E2">
        <w:t>pembrolizumab</w:t>
      </w:r>
      <w:r w:rsidR="00845F5C">
        <w:t xml:space="preserve">, </w:t>
      </w:r>
      <w:proofErr w:type="spellStart"/>
      <w:r w:rsidR="00845F5C">
        <w:t>trametinib</w:t>
      </w:r>
      <w:proofErr w:type="spellEnd"/>
      <w:r w:rsidR="00845F5C">
        <w:t xml:space="preserve"> and </w:t>
      </w:r>
      <w:r w:rsidR="00845F5C" w:rsidRPr="00A13CAB">
        <w:t>nivolumab</w:t>
      </w:r>
      <w:r w:rsidR="00845F5C">
        <w:t xml:space="preserve">. The patient </w:t>
      </w:r>
      <w:r w:rsidR="00845F5C" w:rsidRPr="00A13CAB">
        <w:t xml:space="preserve">access programs for </w:t>
      </w:r>
      <w:r w:rsidR="00845F5C" w:rsidRPr="002668E2">
        <w:t>pembrolizumab</w:t>
      </w:r>
      <w:r w:rsidR="00845F5C">
        <w:t xml:space="preserve"> a</w:t>
      </w:r>
      <w:r w:rsidR="00845F5C" w:rsidRPr="002668E2">
        <w:t xml:space="preserve">nd </w:t>
      </w:r>
      <w:proofErr w:type="spellStart"/>
      <w:r w:rsidR="00845F5C">
        <w:t>trametinib</w:t>
      </w:r>
      <w:proofErr w:type="spellEnd"/>
      <w:r w:rsidR="00845F5C">
        <w:t xml:space="preserve"> finished when these drugs were listed on the PBS in 2015, however the patient access program</w:t>
      </w:r>
      <w:r w:rsidR="00845F5C" w:rsidRPr="00A13CAB">
        <w:t xml:space="preserve"> for</w:t>
      </w:r>
      <w:r w:rsidR="00845F5C" w:rsidRPr="00845F5C">
        <w:t xml:space="preserve"> </w:t>
      </w:r>
      <w:r w:rsidR="00845F5C" w:rsidRPr="00A13CAB">
        <w:t xml:space="preserve">nivolumab </w:t>
      </w:r>
      <w:r w:rsidR="00F87C57">
        <w:t xml:space="preserve">was </w:t>
      </w:r>
      <w:r w:rsidR="00845F5C">
        <w:t>still current</w:t>
      </w:r>
      <w:r w:rsidR="00F87C57">
        <w:t xml:space="preserve"> at the time of reporting</w:t>
      </w:r>
      <w:r w:rsidR="002668E2">
        <w:t>.</w:t>
      </w:r>
    </w:p>
    <w:p w:rsidR="00630807" w:rsidRDefault="00634C15" w:rsidP="00A35800">
      <w:r>
        <w:t xml:space="preserve">Analysis of the numbers of patients treated and pathways through treatment provided in the following section shed further light on use of melanoma medicines through the PBS. </w:t>
      </w:r>
    </w:p>
    <w:p w:rsidR="00F14BF7" w:rsidRDefault="00F14BF7" w:rsidP="00F14BF7">
      <w:r>
        <w:br w:type="page"/>
      </w:r>
    </w:p>
    <w:p w:rsidR="00F14BF7" w:rsidRDefault="003D57D8" w:rsidP="00A35800">
      <w:r>
        <w:lastRenderedPageBreak/>
        <w:t>Figure</w:t>
      </w:r>
      <w:r w:rsidR="00ED3072">
        <w:t xml:space="preserve"> 2</w:t>
      </w:r>
      <w:r>
        <w:t xml:space="preserve"> below shows the number of patients initiating </w:t>
      </w:r>
      <w:proofErr w:type="spellStart"/>
      <w:r w:rsidR="00F14D85">
        <w:t>dabrafenib</w:t>
      </w:r>
      <w:proofErr w:type="spellEnd"/>
      <w:r w:rsidR="00F14D85">
        <w:t xml:space="preserve"> or ipili</w:t>
      </w:r>
      <w:r w:rsidR="00CD01E8">
        <w:t>mumab</w:t>
      </w:r>
      <w:r w:rsidR="0014618E">
        <w:t>, including patients initiating PBS therapy and first time switch</w:t>
      </w:r>
      <w:r w:rsidR="00571342">
        <w:t>es</w:t>
      </w:r>
      <w:r>
        <w:t>.</w:t>
      </w:r>
      <w:r w:rsidR="00CD01E8">
        <w:t xml:space="preserve"> </w:t>
      </w:r>
    </w:p>
    <w:p w:rsidR="00C55E57" w:rsidRDefault="00FE1851" w:rsidP="00C9381D">
      <w:pPr>
        <w:pStyle w:val="Figuretitle"/>
      </w:pPr>
      <w:r>
        <w:rPr>
          <w:noProof/>
          <w:lang w:val="en-AU"/>
        </w:rPr>
        <w:drawing>
          <wp:inline distT="0" distB="0" distL="0" distR="0" wp14:anchorId="72FDC92E" wp14:editId="23E8185D">
            <wp:extent cx="5719313" cy="3873261"/>
            <wp:effectExtent l="0" t="0" r="15240" b="13335"/>
            <wp:docPr id="3" name="Chart 3" descr="Patients initiating dabrafenib and ipilimumab showing initiation drug, by month" title="Patients initiating dabrafenib and ipilimumab showing initiation drug, by month"/>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D57C22">
        <w:t>Figure 2</w:t>
      </w:r>
      <w:r w:rsidR="00C9381D" w:rsidRPr="006A70A1">
        <w:t xml:space="preserve">: </w:t>
      </w:r>
      <w:r w:rsidR="00C30C19">
        <w:t xml:space="preserve">Patients </w:t>
      </w:r>
      <w:r w:rsidR="00A547E0">
        <w:t xml:space="preserve">initiating </w:t>
      </w:r>
      <w:proofErr w:type="spellStart"/>
      <w:r w:rsidR="00C9381D" w:rsidRPr="006A70A1">
        <w:t>dabrafenib</w:t>
      </w:r>
      <w:proofErr w:type="spellEnd"/>
      <w:r w:rsidR="00C9381D" w:rsidRPr="006A70A1">
        <w:t xml:space="preserve"> and ipilimumab</w:t>
      </w:r>
      <w:r w:rsidR="00A547E0">
        <w:t xml:space="preserve"> showing </w:t>
      </w:r>
      <w:r w:rsidR="007867ED">
        <w:t>initiation</w:t>
      </w:r>
      <w:r w:rsidR="00A547E0">
        <w:t xml:space="preserve"> drug,</w:t>
      </w:r>
      <w:r w:rsidR="00A547E0" w:rsidRPr="00A547E0">
        <w:t xml:space="preserve"> </w:t>
      </w:r>
      <w:r w:rsidR="00A547E0">
        <w:t xml:space="preserve">by </w:t>
      </w:r>
      <w:r w:rsidR="00A547E0" w:rsidRPr="006A70A1">
        <w:t>month</w:t>
      </w:r>
    </w:p>
    <w:p w:rsidR="00C55E57" w:rsidRDefault="004E30AA" w:rsidP="00C55E57">
      <w:pPr>
        <w:pStyle w:val="Notes"/>
      </w:pPr>
      <w:proofErr w:type="spellStart"/>
      <w:r>
        <w:t>Dabrafenib</w:t>
      </w:r>
      <w:proofErr w:type="spellEnd"/>
      <w:r>
        <w:t xml:space="preserve"> – </w:t>
      </w:r>
      <w:proofErr w:type="spellStart"/>
      <w:r>
        <w:t>Dabrafenib</w:t>
      </w:r>
      <w:proofErr w:type="spellEnd"/>
      <w:r>
        <w:t xml:space="preserve">: Patients initiating </w:t>
      </w:r>
      <w:proofErr w:type="spellStart"/>
      <w:r>
        <w:t>dabrafenib</w:t>
      </w:r>
      <w:proofErr w:type="spellEnd"/>
      <w:r>
        <w:t xml:space="preserve"> as their first PBS treatment</w:t>
      </w:r>
      <w:r>
        <w:br/>
        <w:t>Ipilimumab – Ipilimumab: Patients initiating ipilimumab as their first PBS treatment</w:t>
      </w:r>
      <w:r>
        <w:br/>
      </w:r>
      <w:proofErr w:type="spellStart"/>
      <w:r>
        <w:t>Dabrafenib</w:t>
      </w:r>
      <w:proofErr w:type="spellEnd"/>
      <w:r>
        <w:t xml:space="preserve"> – Ipilimumab: Patients </w:t>
      </w:r>
      <w:r w:rsidR="00F14D85">
        <w:t>who initiated therapy on</w:t>
      </w:r>
      <w:r>
        <w:t xml:space="preserve"> </w:t>
      </w:r>
      <w:proofErr w:type="spellStart"/>
      <w:r>
        <w:t>dabrafenib</w:t>
      </w:r>
      <w:proofErr w:type="spellEnd"/>
      <w:r>
        <w:t xml:space="preserve"> who </w:t>
      </w:r>
      <w:r w:rsidR="00F14D85">
        <w:t>are now initiating</w:t>
      </w:r>
      <w:r>
        <w:t xml:space="preserve"> ipilimumab </w:t>
      </w:r>
      <w:r>
        <w:br/>
      </w:r>
      <w:proofErr w:type="spellStart"/>
      <w:r>
        <w:t>Ipilimumab</w:t>
      </w:r>
      <w:proofErr w:type="spellEnd"/>
      <w:r>
        <w:t xml:space="preserve"> – </w:t>
      </w:r>
      <w:proofErr w:type="spellStart"/>
      <w:r>
        <w:t>Dabrafenib</w:t>
      </w:r>
      <w:proofErr w:type="spellEnd"/>
      <w:r>
        <w:t xml:space="preserve">: Patients </w:t>
      </w:r>
      <w:r w:rsidR="00F14D85">
        <w:t xml:space="preserve">who initiated therapy on </w:t>
      </w:r>
      <w:r>
        <w:t xml:space="preserve">ipilimumab who </w:t>
      </w:r>
      <w:r w:rsidR="00F14D85">
        <w:t xml:space="preserve">are now initiating </w:t>
      </w:r>
      <w:proofErr w:type="spellStart"/>
      <w:r>
        <w:t>dabraf</w:t>
      </w:r>
      <w:r w:rsidR="00F14D85">
        <w:t>enib</w:t>
      </w:r>
      <w:proofErr w:type="spellEnd"/>
      <w:r w:rsidR="00F14D85">
        <w:t xml:space="preserve"> </w:t>
      </w:r>
    </w:p>
    <w:p w:rsidR="004E30AA" w:rsidRDefault="005922F6" w:rsidP="00A35800">
      <w:r>
        <w:t xml:space="preserve">The high number of </w:t>
      </w:r>
      <w:r w:rsidR="003D57D8">
        <w:t>patients</w:t>
      </w:r>
      <w:r>
        <w:t xml:space="preserve"> initiating ipilimumab in August 2013 represents </w:t>
      </w:r>
      <w:r w:rsidR="00F50F1D">
        <w:t>accumulated</w:t>
      </w:r>
      <w:r>
        <w:t xml:space="preserve"> demand </w:t>
      </w:r>
      <w:r w:rsidR="003D57D8">
        <w:t xml:space="preserve">for melanoma treatment </w:t>
      </w:r>
      <w:r>
        <w:t xml:space="preserve">and </w:t>
      </w:r>
      <w:r w:rsidR="003D57D8">
        <w:t xml:space="preserve">movement of patients accessing ipilimumab through </w:t>
      </w:r>
      <w:r w:rsidR="00547D49">
        <w:t xml:space="preserve">the </w:t>
      </w:r>
      <w:r w:rsidR="003D57D8">
        <w:t>access progra</w:t>
      </w:r>
      <w:r w:rsidR="00ED3072">
        <w:t xml:space="preserve">m or privately to PBS therapy. </w:t>
      </w:r>
      <w:r w:rsidR="003D57D8">
        <w:t xml:space="preserve">Similarly, when </w:t>
      </w:r>
      <w:proofErr w:type="spellStart"/>
      <w:r w:rsidR="003D57D8">
        <w:t>dabrafenib</w:t>
      </w:r>
      <w:proofErr w:type="spellEnd"/>
      <w:r w:rsidR="003D57D8">
        <w:t xml:space="preserve"> was listed </w:t>
      </w:r>
      <w:r w:rsidR="00F50F1D">
        <w:t>four</w:t>
      </w:r>
      <w:r w:rsidR="003D57D8">
        <w:t xml:space="preserve"> months later a high number of patients initiated PBS </w:t>
      </w:r>
      <w:proofErr w:type="spellStart"/>
      <w:r w:rsidR="003D57D8">
        <w:t>dabrafenib</w:t>
      </w:r>
      <w:proofErr w:type="spellEnd"/>
      <w:r w:rsidR="003D57D8">
        <w:t xml:space="preserve">. The vast majority of </w:t>
      </w:r>
      <w:proofErr w:type="spellStart"/>
      <w:r w:rsidR="003D57D8">
        <w:t>dabrafenib</w:t>
      </w:r>
      <w:proofErr w:type="spellEnd"/>
      <w:r w:rsidR="003D57D8">
        <w:t xml:space="preserve"> use in the first few months was as a first-line PBS therapy</w:t>
      </w:r>
      <w:r w:rsidR="004E30AA">
        <w:t>, although patients may have received treatment outside of the PBS</w:t>
      </w:r>
      <w:r w:rsidR="00F50F1D">
        <w:t xml:space="preserve">. </w:t>
      </w:r>
    </w:p>
    <w:p w:rsidR="007C5243" w:rsidRDefault="00F50F1D" w:rsidP="00A35800">
      <w:r>
        <w:t xml:space="preserve">Over time there appears to be </w:t>
      </w:r>
      <w:r w:rsidR="004E30AA">
        <w:t>a growing number of</w:t>
      </w:r>
      <w:r>
        <w:t xml:space="preserve"> patients accessing ipilimumab after </w:t>
      </w:r>
      <w:proofErr w:type="spellStart"/>
      <w:r>
        <w:t>dabrafenib</w:t>
      </w:r>
      <w:proofErr w:type="spellEnd"/>
      <w:r w:rsidR="00743CBD" w:rsidRPr="00743CBD">
        <w:t xml:space="preserve"> which may be expected as patients who have the BRAF V600 mutation are more likely to use </w:t>
      </w:r>
      <w:proofErr w:type="spellStart"/>
      <w:r w:rsidR="00743CBD" w:rsidRPr="00743CBD">
        <w:t>dabrafenib</w:t>
      </w:r>
      <w:proofErr w:type="spellEnd"/>
      <w:r w:rsidR="00743CBD" w:rsidRPr="00743CBD">
        <w:t xml:space="preserve"> as first line treatment.</w:t>
      </w:r>
      <w:r>
        <w:t xml:space="preserve"> The number of patients accessing </w:t>
      </w:r>
      <w:proofErr w:type="spellStart"/>
      <w:r w:rsidR="004E30AA">
        <w:t>dabrafenib</w:t>
      </w:r>
      <w:proofErr w:type="spellEnd"/>
      <w:r w:rsidR="004E30AA">
        <w:t xml:space="preserve"> after </w:t>
      </w:r>
      <w:r w:rsidR="00F14D85">
        <w:t>initiating therapy with</w:t>
      </w:r>
      <w:r w:rsidR="004E30AA">
        <w:t xml:space="preserve"> ipilimumab is very low and often zero</w:t>
      </w:r>
      <w:r w:rsidR="00260FF0">
        <w:t xml:space="preserve"> per month</w:t>
      </w:r>
      <w:r w:rsidR="005B7037">
        <w:t>.</w:t>
      </w:r>
      <w:r w:rsidR="00884EE3">
        <w:t xml:space="preserve"> </w:t>
      </w:r>
      <w:r w:rsidR="00743CBD">
        <w:t xml:space="preserve">The low overall number of patients receiving a second line of PBS therapy could be because </w:t>
      </w:r>
      <w:r w:rsidR="007C5243">
        <w:t xml:space="preserve">patients have died, are unsuitable for or choose not to receive further PBS treatment, or are enrolled in clinical trials or access programs.   </w:t>
      </w:r>
    </w:p>
    <w:p w:rsidR="00975F64" w:rsidRDefault="00914E7A" w:rsidP="00A35800">
      <w:r>
        <w:t xml:space="preserve">The </w:t>
      </w:r>
      <w:proofErr w:type="gramStart"/>
      <w:r>
        <w:t>number of p</w:t>
      </w:r>
      <w:r w:rsidR="00C55E57">
        <w:t xml:space="preserve">atients initiating </w:t>
      </w:r>
      <w:r>
        <w:t xml:space="preserve">first line PBS therapy with either </w:t>
      </w:r>
      <w:proofErr w:type="spellStart"/>
      <w:r w:rsidR="00C55E57">
        <w:t>dabrafenib</w:t>
      </w:r>
      <w:proofErr w:type="spellEnd"/>
      <w:r w:rsidR="00C55E57">
        <w:t xml:space="preserve"> </w:t>
      </w:r>
      <w:r>
        <w:t xml:space="preserve">or </w:t>
      </w:r>
      <w:r w:rsidR="00C55E57">
        <w:t>ipilimumab are</w:t>
      </w:r>
      <w:proofErr w:type="gramEnd"/>
      <w:r w:rsidR="00C55E57">
        <w:t xml:space="preserve"> now comparable.</w:t>
      </w:r>
      <w:r w:rsidR="007C5243">
        <w:t xml:space="preserve"> Th</w:t>
      </w:r>
      <w:r>
        <w:t>is</w:t>
      </w:r>
      <w:r w:rsidR="007C5243">
        <w:t xml:space="preserve"> is consistent with the anticipated proportion of patients who are BRAF </w:t>
      </w:r>
      <w:r>
        <w:t xml:space="preserve">positive (about 50%) </w:t>
      </w:r>
      <w:r w:rsidR="007C5243">
        <w:t xml:space="preserve">and </w:t>
      </w:r>
      <w:r w:rsidR="007C5243" w:rsidRPr="00974341">
        <w:t>use of a targeted therapy as first line</w:t>
      </w:r>
      <w:r w:rsidR="00974341" w:rsidRPr="00974341">
        <w:t xml:space="preserve"> therapy in this group</w:t>
      </w:r>
      <w:r w:rsidR="007C5243" w:rsidRPr="00974341">
        <w:t xml:space="preserve">. </w:t>
      </w:r>
      <w:r w:rsidR="00C55E57" w:rsidRPr="00974341">
        <w:t xml:space="preserve"> </w:t>
      </w:r>
    </w:p>
    <w:p w:rsidR="00C01312" w:rsidRDefault="00C01312" w:rsidP="00A35800">
      <w:r>
        <w:lastRenderedPageBreak/>
        <w:t xml:space="preserve">Due to the different </w:t>
      </w:r>
      <w:r w:rsidR="001407A7">
        <w:t xml:space="preserve">regimens </w:t>
      </w:r>
      <w:r>
        <w:t>of the</w:t>
      </w:r>
      <w:r w:rsidRPr="00C01312">
        <w:t xml:space="preserve"> </w:t>
      </w:r>
      <w:r>
        <w:t xml:space="preserve">two medicines, it is difficult to compare the number of prevalent patients </w:t>
      </w:r>
      <w:r w:rsidR="001407A7">
        <w:t xml:space="preserve">considered to be </w:t>
      </w:r>
      <w:r w:rsidR="00A6775D">
        <w:t>on</w:t>
      </w:r>
      <w:r w:rsidR="001407A7">
        <w:t xml:space="preserve"> treatment at any one time. Patients who have finished ipilimumab induction therapy and who have stable disease will not appear in the data until they undergo </w:t>
      </w:r>
      <w:proofErr w:type="spellStart"/>
      <w:r w:rsidR="001407A7">
        <w:t>reinduction</w:t>
      </w:r>
      <w:proofErr w:type="spellEnd"/>
      <w:r w:rsidR="006605B6">
        <w:t>.</w:t>
      </w:r>
      <w:r w:rsidR="001407A7">
        <w:t xml:space="preserve"> </w:t>
      </w:r>
    </w:p>
    <w:p w:rsidR="00C974A7" w:rsidRDefault="00C974A7" w:rsidP="00C974A7">
      <w:pPr>
        <w:pStyle w:val="Heading2"/>
        <w:keepNext/>
      </w:pPr>
      <w:r>
        <w:t>P</w:t>
      </w:r>
      <w:r w:rsidRPr="005E22C2">
        <w:t>atient level analysis</w:t>
      </w:r>
      <w:r>
        <w:t xml:space="preserve"> </w:t>
      </w:r>
    </w:p>
    <w:p w:rsidR="0048612C" w:rsidRDefault="00ED3072" w:rsidP="00A35800">
      <w:r>
        <w:t>Table 4</w:t>
      </w:r>
      <w:r w:rsidR="00DD5BD9">
        <w:t xml:space="preserve"> below summarises the initiating and treated patients for </w:t>
      </w:r>
      <w:proofErr w:type="spellStart"/>
      <w:r w:rsidR="00DD5BD9">
        <w:t>dabrafenib</w:t>
      </w:r>
      <w:proofErr w:type="spellEnd"/>
      <w:r w:rsidR="00DD5BD9">
        <w:t xml:space="preserve"> and ipilimumab by month, and </w:t>
      </w:r>
      <w:r w:rsidR="00974341">
        <w:t>notes</w:t>
      </w:r>
      <w:r w:rsidR="00DD5BD9">
        <w:t xml:space="preserve"> the mean and median number of prescriptions </w:t>
      </w:r>
      <w:r w:rsidR="00667DAF">
        <w:t xml:space="preserve">that </w:t>
      </w:r>
      <w:r w:rsidR="00DD5BD9">
        <w:t xml:space="preserve">each monthly initiating group had. </w:t>
      </w:r>
    </w:p>
    <w:p w:rsidR="0048612C" w:rsidRDefault="00BB0694" w:rsidP="00A35800">
      <w:r>
        <w:t>For ipilimumab, the</w:t>
      </w:r>
      <w:r w:rsidR="0090396D">
        <w:t xml:space="preserve"> mean and</w:t>
      </w:r>
      <w:r>
        <w:t xml:space="preserve"> </w:t>
      </w:r>
      <w:r w:rsidR="00B75157">
        <w:t xml:space="preserve">median </w:t>
      </w:r>
      <w:r>
        <w:t xml:space="preserve">number of </w:t>
      </w:r>
      <w:r w:rsidR="0048612C">
        <w:t xml:space="preserve">prescriptions </w:t>
      </w:r>
      <w:r>
        <w:t>per patient is</w:t>
      </w:r>
      <w:r w:rsidR="00DD5BD9">
        <w:t xml:space="preserve"> </w:t>
      </w:r>
      <w:r w:rsidR="0090396D">
        <w:t xml:space="preserve">between </w:t>
      </w:r>
      <w:r>
        <w:t xml:space="preserve">3 </w:t>
      </w:r>
      <w:r w:rsidR="0090396D">
        <w:t>and</w:t>
      </w:r>
      <w:r w:rsidR="00590B25">
        <w:t> </w:t>
      </w:r>
      <w:r>
        <w:t xml:space="preserve">4. </w:t>
      </w:r>
      <w:r w:rsidR="0048612C">
        <w:t>The data on the number of ipilimumab prescriptions includes both</w:t>
      </w:r>
      <w:r w:rsidR="0048612C" w:rsidRPr="0048612C">
        <w:t xml:space="preserve"> induction</w:t>
      </w:r>
      <w:r w:rsidR="0048612C">
        <w:t xml:space="preserve"> and</w:t>
      </w:r>
      <w:r w:rsidR="0048612C" w:rsidRPr="0048612C">
        <w:t xml:space="preserve"> </w:t>
      </w:r>
      <w:proofErr w:type="spellStart"/>
      <w:r w:rsidR="0048612C" w:rsidRPr="0048612C">
        <w:t>reinduction</w:t>
      </w:r>
      <w:proofErr w:type="spellEnd"/>
      <w:r w:rsidR="0048612C">
        <w:t xml:space="preserve"> for all patients (including those grandfathered onto the PBS). </w:t>
      </w:r>
      <w:r w:rsidR="0048612C" w:rsidRPr="0048612C">
        <w:t xml:space="preserve">As previously mentioned, </w:t>
      </w:r>
      <w:proofErr w:type="spellStart"/>
      <w:r w:rsidR="0048612C" w:rsidRPr="0048612C">
        <w:t>reinduction</w:t>
      </w:r>
      <w:proofErr w:type="spellEnd"/>
      <w:r w:rsidR="0048612C" w:rsidRPr="0048612C">
        <w:t xml:space="preserve"> data is not presented separately </w:t>
      </w:r>
      <w:r w:rsidR="00ED3072">
        <w:t>in Table 4</w:t>
      </w:r>
      <w:r w:rsidR="0048612C">
        <w:t xml:space="preserve"> </w:t>
      </w:r>
      <w:r w:rsidR="0048612C" w:rsidRPr="0048612C">
        <w:t xml:space="preserve">to protect privacy as very few patients undergo </w:t>
      </w:r>
      <w:proofErr w:type="spellStart"/>
      <w:r w:rsidR="0048612C" w:rsidRPr="0048612C">
        <w:t>reinduction</w:t>
      </w:r>
      <w:proofErr w:type="spellEnd"/>
      <w:r w:rsidR="0048612C" w:rsidRPr="0048612C">
        <w:t xml:space="preserve"> therapy.</w:t>
      </w:r>
      <w:r w:rsidR="0048612C">
        <w:t xml:space="preserve"> The data (not shown) indicate that f</w:t>
      </w:r>
      <w:r>
        <w:t xml:space="preserve">or </w:t>
      </w:r>
      <w:proofErr w:type="gramStart"/>
      <w:r>
        <w:t>patients</w:t>
      </w:r>
      <w:proofErr w:type="gramEnd"/>
      <w:r>
        <w:t xml:space="preserve"> who initiated on an induction code and received </w:t>
      </w:r>
      <w:proofErr w:type="spellStart"/>
      <w:r>
        <w:t>reinduction</w:t>
      </w:r>
      <w:proofErr w:type="spellEnd"/>
      <w:r w:rsidRPr="00BB0694">
        <w:t xml:space="preserve"> </w:t>
      </w:r>
      <w:r>
        <w:t xml:space="preserve">treatment, the mean number of </w:t>
      </w:r>
      <w:proofErr w:type="spellStart"/>
      <w:r>
        <w:t>reinduction</w:t>
      </w:r>
      <w:proofErr w:type="spellEnd"/>
      <w:r>
        <w:t xml:space="preserve"> treatments was 2.47 and the median number was 2. </w:t>
      </w:r>
    </w:p>
    <w:p w:rsidR="00DD5BD9" w:rsidRDefault="00CB5925" w:rsidP="00A35800">
      <w:proofErr w:type="spellStart"/>
      <w:r>
        <w:t>D</w:t>
      </w:r>
      <w:r w:rsidR="00BB0694">
        <w:t>abrafenib</w:t>
      </w:r>
      <w:proofErr w:type="spellEnd"/>
      <w:r w:rsidR="00BB0694">
        <w:t xml:space="preserve"> patients who initiated </w:t>
      </w:r>
      <w:proofErr w:type="spellStart"/>
      <w:r w:rsidR="00BB0694">
        <w:t>dabrafenib</w:t>
      </w:r>
      <w:proofErr w:type="spellEnd"/>
      <w:r w:rsidR="00BB0694">
        <w:t xml:space="preserve"> between December 2013 and </w:t>
      </w:r>
      <w:r w:rsidR="00460D60">
        <w:t xml:space="preserve">April </w:t>
      </w:r>
      <w:r w:rsidR="00BB0694">
        <w:t xml:space="preserve">2014 have </w:t>
      </w:r>
      <w:r>
        <w:t xml:space="preserve">at least 12 months follow-up </w:t>
      </w:r>
      <w:r w:rsidR="00BB0694">
        <w:t xml:space="preserve">time to consider the number of prescriptions per patient. The </w:t>
      </w:r>
      <w:r w:rsidR="0090396D">
        <w:t xml:space="preserve">mean and </w:t>
      </w:r>
      <w:r w:rsidR="00B75157">
        <w:t xml:space="preserve">median </w:t>
      </w:r>
      <w:r w:rsidR="00BB0694">
        <w:t xml:space="preserve">number of prescriptions per patient </w:t>
      </w:r>
      <w:r>
        <w:t xml:space="preserve">initiating </w:t>
      </w:r>
      <w:proofErr w:type="spellStart"/>
      <w:r w:rsidR="00DD5BD9">
        <w:t>dabrafenib</w:t>
      </w:r>
      <w:proofErr w:type="spellEnd"/>
      <w:r>
        <w:t xml:space="preserve"> in this period</w:t>
      </w:r>
      <w:r w:rsidR="00DD5BD9">
        <w:t xml:space="preserve"> </w:t>
      </w:r>
      <w:r w:rsidR="00590B25">
        <w:t>is</w:t>
      </w:r>
      <w:r w:rsidR="00DD5BD9">
        <w:t xml:space="preserve"> </w:t>
      </w:r>
      <w:r w:rsidR="0090396D">
        <w:t xml:space="preserve">between </w:t>
      </w:r>
      <w:r w:rsidR="00DD5BD9">
        <w:t xml:space="preserve">6 </w:t>
      </w:r>
      <w:r w:rsidR="0090396D">
        <w:t>and</w:t>
      </w:r>
      <w:r w:rsidR="00590B25">
        <w:t> </w:t>
      </w:r>
      <w:r w:rsidR="00DD5BD9">
        <w:t>8.</w:t>
      </w:r>
      <w:r w:rsidR="00C974A7">
        <w:t xml:space="preserve"> </w:t>
      </w:r>
    </w:p>
    <w:p w:rsidR="00C974A7" w:rsidRDefault="00C974A7" w:rsidP="00A35800">
      <w:r>
        <w:t xml:space="preserve">The overall number of patients treated with either </w:t>
      </w:r>
      <w:proofErr w:type="spellStart"/>
      <w:r>
        <w:t>dabrafenib</w:t>
      </w:r>
      <w:proofErr w:type="spellEnd"/>
      <w:r>
        <w:t xml:space="preserve"> or ipilimumab each month appears to </w:t>
      </w:r>
      <w:r w:rsidR="00C10DE6">
        <w:t xml:space="preserve">have stabilised at </w:t>
      </w:r>
      <w:proofErr w:type="gramStart"/>
      <w:r w:rsidR="00C10DE6">
        <w:t>between 500 to</w:t>
      </w:r>
      <w:r>
        <w:t xml:space="preserve"> 600 per month</w:t>
      </w:r>
      <w:proofErr w:type="gramEnd"/>
      <w:r>
        <w:t xml:space="preserve">. </w:t>
      </w:r>
    </w:p>
    <w:p w:rsidR="00BB0694" w:rsidRDefault="00BB0694" w:rsidP="00A35800"/>
    <w:p w:rsidR="009960CD" w:rsidRDefault="009960CD" w:rsidP="00A35800"/>
    <w:p w:rsidR="008242F6" w:rsidRDefault="008242F6" w:rsidP="00A35800">
      <w:pPr>
        <w:sectPr w:rsidR="008242F6" w:rsidSect="00DD188C">
          <w:headerReference w:type="even" r:id="rId11"/>
          <w:headerReference w:type="default" r:id="rId12"/>
          <w:footerReference w:type="even" r:id="rId13"/>
          <w:footerReference w:type="default" r:id="rId14"/>
          <w:headerReference w:type="first" r:id="rId15"/>
          <w:footerReference w:type="first" r:id="rId16"/>
          <w:pgSz w:w="11906" w:h="16838"/>
          <w:pgMar w:top="1644" w:right="1361" w:bottom="1644" w:left="1588" w:header="709" w:footer="709" w:gutter="0"/>
          <w:cols w:space="708"/>
          <w:docGrid w:linePitch="360"/>
        </w:sectPr>
      </w:pPr>
    </w:p>
    <w:p w:rsidR="008242F6" w:rsidRDefault="00D57C22" w:rsidP="008242F6">
      <w:pPr>
        <w:pStyle w:val="Tabletitle"/>
      </w:pPr>
      <w:r>
        <w:lastRenderedPageBreak/>
        <w:t>Table 4</w:t>
      </w:r>
      <w:r w:rsidR="008242F6">
        <w:t>: Number of patients</w:t>
      </w:r>
      <w:r w:rsidR="00664DC4">
        <w:t xml:space="preserve"> initiated and</w:t>
      </w:r>
      <w:r w:rsidR="008242F6">
        <w:t xml:space="preserve"> treated each month with </w:t>
      </w:r>
      <w:proofErr w:type="spellStart"/>
      <w:r w:rsidR="008242F6">
        <w:t>dabrafenib</w:t>
      </w:r>
      <w:proofErr w:type="spellEnd"/>
      <w:r w:rsidR="008242F6">
        <w:t xml:space="preserve"> and ipilimumab</w:t>
      </w:r>
    </w:p>
    <w:tbl>
      <w:tblPr>
        <w:tblW w:w="13673" w:type="dxa"/>
        <w:tblInd w:w="93" w:type="dxa"/>
        <w:tblLayout w:type="fixed"/>
        <w:tblLook w:val="04A0" w:firstRow="1" w:lastRow="0" w:firstColumn="1" w:lastColumn="0" w:noHBand="0" w:noVBand="1"/>
        <w:tblCaption w:val="Number of patients initiated and treated each month with dabrafenib and ipilimumab"/>
        <w:tblDescription w:val="Number of patients initiated and treated each month with dabrafenib and ipilimumab"/>
      </w:tblPr>
      <w:tblGrid>
        <w:gridCol w:w="1243"/>
        <w:gridCol w:w="1243"/>
        <w:gridCol w:w="1243"/>
        <w:gridCol w:w="1243"/>
        <w:gridCol w:w="1243"/>
        <w:gridCol w:w="1243"/>
        <w:gridCol w:w="1243"/>
        <w:gridCol w:w="1243"/>
        <w:gridCol w:w="1243"/>
        <w:gridCol w:w="1243"/>
        <w:gridCol w:w="1243"/>
      </w:tblGrid>
      <w:tr w:rsidR="00445520" w:rsidRPr="00637713" w:rsidTr="00445520">
        <w:trPr>
          <w:trHeight w:val="300"/>
        </w:trPr>
        <w:tc>
          <w:tcPr>
            <w:tcW w:w="1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45520" w:rsidRPr="00637713" w:rsidRDefault="00445520" w:rsidP="00460C33">
            <w:pPr>
              <w:spacing w:after="0"/>
              <w:rPr>
                <w:rFonts w:ascii="Calibri" w:eastAsia="Times New Roman" w:hAnsi="Calibri" w:cs="Times New Roman"/>
                <w:sz w:val="20"/>
                <w:szCs w:val="20"/>
              </w:rPr>
            </w:pPr>
          </w:p>
        </w:tc>
        <w:tc>
          <w:tcPr>
            <w:tcW w:w="1243"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445520" w:rsidRPr="00637713" w:rsidRDefault="00445520" w:rsidP="00460C33">
            <w:pPr>
              <w:spacing w:after="0"/>
              <w:jc w:val="right"/>
              <w:rPr>
                <w:rFonts w:ascii="Calibri" w:eastAsia="Times New Roman" w:hAnsi="Calibri" w:cs="Times New Roman"/>
                <w:sz w:val="20"/>
                <w:szCs w:val="20"/>
              </w:rPr>
            </w:pPr>
          </w:p>
        </w:tc>
        <w:tc>
          <w:tcPr>
            <w:tcW w:w="124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445520" w:rsidRPr="006C5F89" w:rsidRDefault="00445520" w:rsidP="006C5F89">
            <w:pPr>
              <w:spacing w:after="0"/>
              <w:jc w:val="right"/>
              <w:rPr>
                <w:rFonts w:ascii="Calibri" w:eastAsia="Times New Roman" w:hAnsi="Calibri" w:cs="Times New Roman"/>
                <w:sz w:val="20"/>
                <w:szCs w:val="20"/>
              </w:rPr>
            </w:pPr>
          </w:p>
        </w:tc>
        <w:tc>
          <w:tcPr>
            <w:tcW w:w="497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5520" w:rsidRPr="00637713" w:rsidRDefault="00445520" w:rsidP="00445520">
            <w:pPr>
              <w:spacing w:after="0"/>
              <w:jc w:val="center"/>
              <w:rPr>
                <w:rFonts w:ascii="Calibri" w:hAnsi="Calibri"/>
                <w:sz w:val="20"/>
                <w:szCs w:val="20"/>
              </w:rPr>
            </w:pPr>
            <w:r w:rsidRPr="005442DD">
              <w:rPr>
                <w:rFonts w:ascii="Calibri" w:eastAsia="Times New Roman" w:hAnsi="Calibri" w:cs="Times New Roman"/>
                <w:b/>
                <w:sz w:val="20"/>
                <w:szCs w:val="20"/>
              </w:rPr>
              <w:t>Ipilimumab</w:t>
            </w:r>
          </w:p>
        </w:tc>
        <w:tc>
          <w:tcPr>
            <w:tcW w:w="4972"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tcPr>
          <w:p w:rsidR="00445520" w:rsidRPr="00637713" w:rsidRDefault="00445520" w:rsidP="00445520">
            <w:pPr>
              <w:spacing w:after="0"/>
              <w:jc w:val="center"/>
              <w:rPr>
                <w:rFonts w:ascii="Calibri" w:eastAsia="Times New Roman" w:hAnsi="Calibri" w:cs="Times New Roman"/>
                <w:sz w:val="20"/>
                <w:szCs w:val="20"/>
              </w:rPr>
            </w:pPr>
            <w:proofErr w:type="spellStart"/>
            <w:r w:rsidRPr="005442DD">
              <w:rPr>
                <w:rFonts w:ascii="Calibri" w:eastAsia="Times New Roman" w:hAnsi="Calibri" w:cs="Times New Roman"/>
                <w:b/>
                <w:sz w:val="20"/>
                <w:szCs w:val="20"/>
              </w:rPr>
              <w:t>Dabrafenib</w:t>
            </w:r>
            <w:proofErr w:type="spellEnd"/>
          </w:p>
        </w:tc>
      </w:tr>
      <w:tr w:rsidR="00445520" w:rsidRPr="00637713" w:rsidTr="00445520">
        <w:trPr>
          <w:trHeight w:val="300"/>
        </w:trPr>
        <w:tc>
          <w:tcPr>
            <w:tcW w:w="124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45520" w:rsidRPr="00637713" w:rsidRDefault="00445520" w:rsidP="00460C33">
            <w:pPr>
              <w:spacing w:after="0"/>
              <w:rPr>
                <w:rFonts w:ascii="Calibri" w:eastAsia="Times New Roman" w:hAnsi="Calibri" w:cs="Times New Roman"/>
                <w:sz w:val="20"/>
                <w:szCs w:val="20"/>
              </w:rPr>
            </w:pPr>
            <w:r w:rsidRPr="005442DD">
              <w:rPr>
                <w:rFonts w:ascii="Calibri" w:eastAsia="Times New Roman" w:hAnsi="Calibri" w:cs="Times New Roman"/>
                <w:b/>
                <w:sz w:val="20"/>
                <w:szCs w:val="20"/>
              </w:rPr>
              <w:t>Month of supply</w:t>
            </w:r>
          </w:p>
        </w:tc>
        <w:tc>
          <w:tcPr>
            <w:tcW w:w="1243" w:type="dxa"/>
            <w:vMerge w:val="restart"/>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445520" w:rsidRPr="00637713" w:rsidRDefault="00445520" w:rsidP="00445520">
            <w:pPr>
              <w:spacing w:after="0"/>
              <w:jc w:val="center"/>
              <w:rPr>
                <w:rFonts w:ascii="Calibri" w:eastAsia="Times New Roman" w:hAnsi="Calibri" w:cs="Times New Roman"/>
                <w:sz w:val="20"/>
                <w:szCs w:val="20"/>
              </w:rPr>
            </w:pPr>
            <w:r w:rsidRPr="005442DD">
              <w:rPr>
                <w:rFonts w:ascii="Calibri" w:eastAsia="Times New Roman" w:hAnsi="Calibri" w:cs="Times New Roman"/>
                <w:b/>
                <w:sz w:val="20"/>
                <w:szCs w:val="20"/>
              </w:rPr>
              <w:t>Patients dispensed a prescription</w:t>
            </w:r>
          </w:p>
        </w:tc>
        <w:tc>
          <w:tcPr>
            <w:tcW w:w="1243" w:type="dxa"/>
            <w:vMerge w:val="restart"/>
            <w:tcBorders>
              <w:top w:val="single" w:sz="4" w:space="0" w:color="auto"/>
              <w:left w:val="nil"/>
              <w:bottom w:val="single" w:sz="4" w:space="0" w:color="auto"/>
              <w:right w:val="single" w:sz="4" w:space="0" w:color="auto"/>
            </w:tcBorders>
            <w:shd w:val="clear" w:color="auto" w:fill="BFBFBF" w:themeFill="background1" w:themeFillShade="BF"/>
            <w:vAlign w:val="center"/>
          </w:tcPr>
          <w:p w:rsidR="00445520" w:rsidRPr="006C5F89" w:rsidRDefault="00445520" w:rsidP="00445520">
            <w:pPr>
              <w:spacing w:after="0"/>
              <w:jc w:val="center"/>
              <w:rPr>
                <w:rFonts w:ascii="Calibri" w:eastAsia="Times New Roman" w:hAnsi="Calibri" w:cs="Times New Roman"/>
                <w:sz w:val="20"/>
                <w:szCs w:val="20"/>
              </w:rPr>
            </w:pPr>
            <w:r>
              <w:rPr>
                <w:rFonts w:ascii="Calibri" w:eastAsia="Times New Roman" w:hAnsi="Calibri" w:cs="Times New Roman"/>
                <w:b/>
                <w:sz w:val="20"/>
                <w:szCs w:val="20"/>
              </w:rPr>
              <w:t xml:space="preserve">Patients initiating ipilimumab or </w:t>
            </w:r>
            <w:proofErr w:type="spellStart"/>
            <w:r>
              <w:rPr>
                <w:rFonts w:ascii="Calibri" w:eastAsia="Times New Roman" w:hAnsi="Calibri" w:cs="Times New Roman"/>
                <w:b/>
                <w:sz w:val="20"/>
                <w:szCs w:val="20"/>
              </w:rPr>
              <w:t>dabrafenib</w:t>
            </w:r>
            <w:proofErr w:type="spellEnd"/>
            <w:r>
              <w:rPr>
                <w:rFonts w:ascii="Calibri" w:eastAsia="Times New Roman" w:hAnsi="Calibri" w:cs="Times New Roman"/>
                <w:b/>
                <w:sz w:val="20"/>
                <w:szCs w:val="20"/>
              </w:rPr>
              <w:t xml:space="preserve"> for the first time</w:t>
            </w:r>
          </w:p>
        </w:tc>
        <w:tc>
          <w:tcPr>
            <w:tcW w:w="124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5520" w:rsidRPr="00637713" w:rsidRDefault="00445520" w:rsidP="00445520">
            <w:pPr>
              <w:spacing w:after="0"/>
              <w:jc w:val="center"/>
              <w:rPr>
                <w:rFonts w:ascii="Calibri" w:hAnsi="Calibri"/>
                <w:sz w:val="20"/>
                <w:szCs w:val="20"/>
              </w:rPr>
            </w:pPr>
            <w:r w:rsidRPr="005442DD">
              <w:rPr>
                <w:rFonts w:ascii="Calibri" w:eastAsia="Times New Roman" w:hAnsi="Calibri" w:cs="Times New Roman"/>
                <w:b/>
                <w:sz w:val="20"/>
                <w:szCs w:val="20"/>
              </w:rPr>
              <w:t>Number of new patients in the month</w:t>
            </w:r>
          </w:p>
        </w:tc>
        <w:tc>
          <w:tcPr>
            <w:tcW w:w="1243" w:type="dxa"/>
            <w:vMerge w:val="restart"/>
            <w:tcBorders>
              <w:top w:val="single" w:sz="4" w:space="0" w:color="auto"/>
              <w:left w:val="nil"/>
              <w:bottom w:val="single" w:sz="4" w:space="0" w:color="auto"/>
              <w:right w:val="single" w:sz="4" w:space="0" w:color="auto"/>
            </w:tcBorders>
            <w:shd w:val="clear" w:color="auto" w:fill="BFBFBF" w:themeFill="background1" w:themeFillShade="BF"/>
            <w:vAlign w:val="center"/>
          </w:tcPr>
          <w:p w:rsidR="00445520" w:rsidRPr="00637713" w:rsidRDefault="00445520" w:rsidP="00445520">
            <w:pPr>
              <w:spacing w:after="0"/>
              <w:jc w:val="center"/>
              <w:rPr>
                <w:rFonts w:ascii="Calibri" w:eastAsia="Times New Roman" w:hAnsi="Calibri" w:cs="Times New Roman"/>
                <w:sz w:val="20"/>
                <w:szCs w:val="20"/>
              </w:rPr>
            </w:pPr>
            <w:r w:rsidRPr="005442DD">
              <w:rPr>
                <w:rFonts w:ascii="Calibri" w:eastAsia="Times New Roman" w:hAnsi="Calibri" w:cs="Times New Roman"/>
                <w:b/>
                <w:sz w:val="20"/>
                <w:szCs w:val="20"/>
              </w:rPr>
              <w:t>Max follow-up (months)</w:t>
            </w:r>
          </w:p>
        </w:tc>
        <w:tc>
          <w:tcPr>
            <w:tcW w:w="2486"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445520" w:rsidRPr="00637713" w:rsidRDefault="00445520" w:rsidP="00445520">
            <w:pPr>
              <w:spacing w:after="0"/>
              <w:jc w:val="center"/>
              <w:rPr>
                <w:rFonts w:ascii="Calibri" w:hAnsi="Calibri"/>
                <w:sz w:val="20"/>
                <w:szCs w:val="20"/>
              </w:rPr>
            </w:pPr>
            <w:r w:rsidRPr="005442DD">
              <w:rPr>
                <w:rFonts w:ascii="Calibri" w:eastAsia="Times New Roman" w:hAnsi="Calibri" w:cs="Times New Roman"/>
                <w:b/>
                <w:sz w:val="20"/>
                <w:szCs w:val="20"/>
              </w:rPr>
              <w:t>Number of prescriptions (to max available follow-up)</w:t>
            </w:r>
          </w:p>
        </w:tc>
        <w:tc>
          <w:tcPr>
            <w:tcW w:w="1243" w:type="dxa"/>
            <w:vMerge w:val="restart"/>
            <w:tcBorders>
              <w:top w:val="single" w:sz="4" w:space="0" w:color="auto"/>
              <w:left w:val="nil"/>
              <w:bottom w:val="single" w:sz="4" w:space="0" w:color="auto"/>
              <w:right w:val="single" w:sz="4" w:space="0" w:color="auto"/>
            </w:tcBorders>
            <w:shd w:val="clear" w:color="auto" w:fill="BFBFBF" w:themeFill="background1" w:themeFillShade="BF"/>
            <w:vAlign w:val="center"/>
          </w:tcPr>
          <w:p w:rsidR="00445520" w:rsidRPr="00637713" w:rsidRDefault="00445520" w:rsidP="00445520">
            <w:pPr>
              <w:spacing w:after="0"/>
              <w:jc w:val="center"/>
              <w:rPr>
                <w:rFonts w:ascii="Calibri" w:eastAsia="Times New Roman" w:hAnsi="Calibri" w:cs="Times New Roman"/>
                <w:sz w:val="20"/>
                <w:szCs w:val="20"/>
              </w:rPr>
            </w:pPr>
            <w:r w:rsidRPr="005442DD">
              <w:rPr>
                <w:rFonts w:ascii="Calibri" w:eastAsia="Times New Roman" w:hAnsi="Calibri" w:cs="Times New Roman"/>
                <w:b/>
                <w:sz w:val="20"/>
                <w:szCs w:val="20"/>
              </w:rPr>
              <w:t>Number of new patients in the month</w:t>
            </w:r>
          </w:p>
        </w:tc>
        <w:tc>
          <w:tcPr>
            <w:tcW w:w="124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5520" w:rsidRPr="00637713" w:rsidRDefault="00445520" w:rsidP="00445520">
            <w:pPr>
              <w:spacing w:after="0"/>
              <w:jc w:val="center"/>
              <w:rPr>
                <w:rFonts w:ascii="Calibri" w:eastAsia="Times New Roman" w:hAnsi="Calibri" w:cs="Times New Roman"/>
                <w:sz w:val="20"/>
                <w:szCs w:val="20"/>
              </w:rPr>
            </w:pPr>
            <w:r w:rsidRPr="005442DD">
              <w:rPr>
                <w:rFonts w:ascii="Calibri" w:eastAsia="Times New Roman" w:hAnsi="Calibri" w:cs="Times New Roman"/>
                <w:b/>
                <w:sz w:val="20"/>
                <w:szCs w:val="20"/>
              </w:rPr>
              <w:t>Max follow-up (months)</w:t>
            </w:r>
          </w:p>
        </w:tc>
        <w:tc>
          <w:tcPr>
            <w:tcW w:w="2486"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rsidR="00445520" w:rsidRPr="00637713" w:rsidRDefault="00445520" w:rsidP="00445520">
            <w:pPr>
              <w:spacing w:after="0"/>
              <w:jc w:val="center"/>
              <w:rPr>
                <w:rFonts w:ascii="Calibri" w:eastAsia="Times New Roman" w:hAnsi="Calibri" w:cs="Times New Roman"/>
                <w:sz w:val="20"/>
                <w:szCs w:val="20"/>
              </w:rPr>
            </w:pPr>
            <w:r w:rsidRPr="00B07625">
              <w:rPr>
                <w:rFonts w:ascii="Calibri" w:eastAsia="Times New Roman" w:hAnsi="Calibri" w:cs="Times New Roman"/>
                <w:b/>
                <w:sz w:val="20"/>
                <w:szCs w:val="20"/>
              </w:rPr>
              <w:t>Number of prescriptions (to max available follow-up)</w:t>
            </w:r>
          </w:p>
        </w:tc>
      </w:tr>
      <w:tr w:rsidR="00445520" w:rsidRPr="00637713" w:rsidTr="00445520">
        <w:trPr>
          <w:trHeight w:val="300"/>
        </w:trPr>
        <w:tc>
          <w:tcPr>
            <w:tcW w:w="124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445520" w:rsidRPr="00637713" w:rsidRDefault="00445520" w:rsidP="00460C33">
            <w:pPr>
              <w:spacing w:after="0"/>
              <w:rPr>
                <w:rFonts w:ascii="Calibri" w:eastAsia="Times New Roman" w:hAnsi="Calibri" w:cs="Times New Roman"/>
                <w:sz w:val="20"/>
                <w:szCs w:val="20"/>
              </w:rPr>
            </w:pPr>
          </w:p>
        </w:tc>
        <w:tc>
          <w:tcPr>
            <w:tcW w:w="1243" w:type="dxa"/>
            <w:vMerge/>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445520" w:rsidRPr="00637713" w:rsidRDefault="00445520" w:rsidP="00445520">
            <w:pPr>
              <w:spacing w:after="0"/>
              <w:jc w:val="center"/>
              <w:rPr>
                <w:rFonts w:ascii="Calibri" w:eastAsia="Times New Roman" w:hAnsi="Calibri" w:cs="Times New Roman"/>
                <w:sz w:val="20"/>
                <w:szCs w:val="20"/>
              </w:rPr>
            </w:pPr>
          </w:p>
        </w:tc>
        <w:tc>
          <w:tcPr>
            <w:tcW w:w="1243" w:type="dxa"/>
            <w:vMerge/>
            <w:tcBorders>
              <w:top w:val="single" w:sz="4" w:space="0" w:color="auto"/>
              <w:left w:val="nil"/>
              <w:bottom w:val="single" w:sz="4" w:space="0" w:color="auto"/>
              <w:right w:val="single" w:sz="4" w:space="0" w:color="auto"/>
            </w:tcBorders>
            <w:shd w:val="clear" w:color="auto" w:fill="BFBFBF" w:themeFill="background1" w:themeFillShade="BF"/>
            <w:vAlign w:val="center"/>
          </w:tcPr>
          <w:p w:rsidR="00445520" w:rsidRPr="006C5F89" w:rsidRDefault="00445520" w:rsidP="00445520">
            <w:pPr>
              <w:spacing w:after="0"/>
              <w:jc w:val="center"/>
              <w:rPr>
                <w:rFonts w:ascii="Calibri" w:eastAsia="Times New Roman" w:hAnsi="Calibri" w:cs="Times New Roman"/>
                <w:sz w:val="20"/>
                <w:szCs w:val="20"/>
              </w:rPr>
            </w:pPr>
          </w:p>
        </w:tc>
        <w:tc>
          <w:tcPr>
            <w:tcW w:w="124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5520" w:rsidRPr="00637713" w:rsidRDefault="00445520" w:rsidP="00445520">
            <w:pPr>
              <w:spacing w:after="0"/>
              <w:jc w:val="center"/>
              <w:rPr>
                <w:rFonts w:ascii="Calibri" w:hAnsi="Calibri"/>
                <w:sz w:val="20"/>
                <w:szCs w:val="20"/>
              </w:rPr>
            </w:pPr>
          </w:p>
        </w:tc>
        <w:tc>
          <w:tcPr>
            <w:tcW w:w="1243" w:type="dxa"/>
            <w:vMerge/>
            <w:tcBorders>
              <w:top w:val="single" w:sz="4" w:space="0" w:color="auto"/>
              <w:left w:val="nil"/>
              <w:bottom w:val="single" w:sz="4" w:space="0" w:color="auto"/>
              <w:right w:val="single" w:sz="4" w:space="0" w:color="auto"/>
            </w:tcBorders>
            <w:shd w:val="clear" w:color="auto" w:fill="BFBFBF" w:themeFill="background1" w:themeFillShade="BF"/>
            <w:vAlign w:val="center"/>
          </w:tcPr>
          <w:p w:rsidR="00445520" w:rsidRPr="00637713" w:rsidRDefault="00445520" w:rsidP="00445520">
            <w:pPr>
              <w:spacing w:after="0"/>
              <w:jc w:val="center"/>
              <w:rPr>
                <w:rFonts w:ascii="Calibri" w:eastAsia="Times New Roman" w:hAnsi="Calibri" w:cs="Times New Roman"/>
                <w:sz w:val="20"/>
                <w:szCs w:val="20"/>
              </w:rPr>
            </w:pPr>
          </w:p>
        </w:tc>
        <w:tc>
          <w:tcPr>
            <w:tcW w:w="124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445520" w:rsidRPr="00637713" w:rsidRDefault="00445520" w:rsidP="00445520">
            <w:pPr>
              <w:spacing w:after="0"/>
              <w:jc w:val="center"/>
              <w:rPr>
                <w:rFonts w:ascii="Calibri" w:hAnsi="Calibri"/>
                <w:sz w:val="20"/>
                <w:szCs w:val="20"/>
              </w:rPr>
            </w:pPr>
            <w:r w:rsidRPr="005442DD">
              <w:rPr>
                <w:rFonts w:ascii="Calibri" w:eastAsia="Times New Roman" w:hAnsi="Calibri" w:cs="Times New Roman"/>
                <w:b/>
                <w:sz w:val="20"/>
                <w:szCs w:val="20"/>
              </w:rPr>
              <w:t>Mean</w:t>
            </w:r>
          </w:p>
        </w:tc>
        <w:tc>
          <w:tcPr>
            <w:tcW w:w="124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445520" w:rsidRPr="00637713" w:rsidRDefault="00445520" w:rsidP="00445520">
            <w:pPr>
              <w:spacing w:after="0"/>
              <w:jc w:val="center"/>
              <w:rPr>
                <w:rFonts w:ascii="Calibri" w:hAnsi="Calibri"/>
                <w:sz w:val="20"/>
                <w:szCs w:val="20"/>
              </w:rPr>
            </w:pPr>
            <w:r w:rsidRPr="005442DD">
              <w:rPr>
                <w:rFonts w:ascii="Calibri" w:eastAsia="Times New Roman" w:hAnsi="Calibri" w:cs="Times New Roman"/>
                <w:b/>
                <w:sz w:val="20"/>
                <w:szCs w:val="20"/>
              </w:rPr>
              <w:t>Median</w:t>
            </w:r>
          </w:p>
        </w:tc>
        <w:tc>
          <w:tcPr>
            <w:tcW w:w="1243" w:type="dxa"/>
            <w:vMerge/>
            <w:tcBorders>
              <w:top w:val="single" w:sz="4" w:space="0" w:color="auto"/>
              <w:left w:val="nil"/>
              <w:bottom w:val="single" w:sz="4" w:space="0" w:color="auto"/>
              <w:right w:val="single" w:sz="4" w:space="0" w:color="auto"/>
            </w:tcBorders>
            <w:shd w:val="clear" w:color="auto" w:fill="BFBFBF" w:themeFill="background1" w:themeFillShade="BF"/>
            <w:vAlign w:val="center"/>
          </w:tcPr>
          <w:p w:rsidR="00445520" w:rsidRPr="00637713" w:rsidRDefault="00445520" w:rsidP="00445520">
            <w:pPr>
              <w:spacing w:after="0"/>
              <w:jc w:val="center"/>
              <w:rPr>
                <w:rFonts w:ascii="Calibri" w:eastAsia="Times New Roman" w:hAnsi="Calibri" w:cs="Times New Roman"/>
                <w:sz w:val="20"/>
                <w:szCs w:val="20"/>
              </w:rPr>
            </w:pPr>
          </w:p>
        </w:tc>
        <w:tc>
          <w:tcPr>
            <w:tcW w:w="124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45520" w:rsidRPr="00637713" w:rsidRDefault="00445520" w:rsidP="00445520">
            <w:pPr>
              <w:spacing w:after="0"/>
              <w:jc w:val="center"/>
              <w:rPr>
                <w:rFonts w:ascii="Calibri" w:eastAsia="Times New Roman" w:hAnsi="Calibri" w:cs="Times New Roman"/>
                <w:sz w:val="20"/>
                <w:szCs w:val="20"/>
              </w:rPr>
            </w:pPr>
          </w:p>
        </w:tc>
        <w:tc>
          <w:tcPr>
            <w:tcW w:w="124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445520" w:rsidRPr="00637713" w:rsidRDefault="00445520" w:rsidP="00445520">
            <w:pPr>
              <w:spacing w:after="0"/>
              <w:jc w:val="center"/>
              <w:rPr>
                <w:rFonts w:ascii="Calibri" w:eastAsia="Times New Roman" w:hAnsi="Calibri" w:cs="Times New Roman"/>
                <w:sz w:val="20"/>
                <w:szCs w:val="20"/>
              </w:rPr>
            </w:pPr>
            <w:r w:rsidRPr="005442DD">
              <w:rPr>
                <w:rFonts w:ascii="Calibri" w:eastAsia="Times New Roman" w:hAnsi="Calibri" w:cs="Times New Roman"/>
                <w:b/>
                <w:sz w:val="20"/>
                <w:szCs w:val="20"/>
              </w:rPr>
              <w:t>Mean</w:t>
            </w:r>
          </w:p>
        </w:tc>
        <w:tc>
          <w:tcPr>
            <w:tcW w:w="1243"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445520" w:rsidRPr="00637713" w:rsidRDefault="00445520" w:rsidP="00445520">
            <w:pPr>
              <w:spacing w:after="0"/>
              <w:jc w:val="center"/>
              <w:rPr>
                <w:rFonts w:ascii="Calibri" w:eastAsia="Times New Roman" w:hAnsi="Calibri" w:cs="Times New Roman"/>
                <w:sz w:val="20"/>
                <w:szCs w:val="20"/>
              </w:rPr>
            </w:pPr>
            <w:r w:rsidRPr="005442DD">
              <w:rPr>
                <w:rFonts w:ascii="Calibri" w:eastAsia="Times New Roman" w:hAnsi="Calibri" w:cs="Times New Roman"/>
                <w:b/>
                <w:sz w:val="20"/>
                <w:szCs w:val="20"/>
              </w:rPr>
              <w:t>Median</w:t>
            </w:r>
          </w:p>
        </w:tc>
      </w:tr>
      <w:tr w:rsidR="00445520" w:rsidRPr="00637713" w:rsidTr="006C5F89">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445520" w:rsidRPr="00637713" w:rsidRDefault="00445520" w:rsidP="005B7037">
            <w:pPr>
              <w:spacing w:after="0"/>
              <w:rPr>
                <w:rFonts w:ascii="Calibri" w:eastAsia="Times New Roman" w:hAnsi="Calibri" w:cs="Times New Roman"/>
                <w:sz w:val="20"/>
                <w:szCs w:val="20"/>
              </w:rPr>
            </w:pPr>
            <w:r w:rsidRPr="00637713">
              <w:rPr>
                <w:rFonts w:ascii="Calibri" w:eastAsia="Times New Roman" w:hAnsi="Calibri" w:cs="Times New Roman"/>
                <w:sz w:val="20"/>
                <w:szCs w:val="20"/>
              </w:rPr>
              <w:t>Aug-13</w:t>
            </w:r>
          </w:p>
        </w:tc>
        <w:tc>
          <w:tcPr>
            <w:tcW w:w="1243" w:type="dxa"/>
            <w:tcBorders>
              <w:top w:val="nil"/>
              <w:left w:val="nil"/>
              <w:bottom w:val="single" w:sz="4" w:space="0" w:color="auto"/>
              <w:right w:val="single" w:sz="4" w:space="0" w:color="auto"/>
            </w:tcBorders>
            <w:shd w:val="clear" w:color="auto" w:fill="auto"/>
            <w:noWrap/>
            <w:vAlign w:val="center"/>
            <w:hideMark/>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146</w:t>
            </w:r>
          </w:p>
        </w:tc>
        <w:tc>
          <w:tcPr>
            <w:tcW w:w="1243" w:type="dxa"/>
            <w:tcBorders>
              <w:top w:val="single" w:sz="4" w:space="0" w:color="auto"/>
              <w:left w:val="nil"/>
              <w:bottom w:val="single" w:sz="4" w:space="0" w:color="auto"/>
              <w:right w:val="single" w:sz="4" w:space="0" w:color="auto"/>
            </w:tcBorders>
            <w:vAlign w:val="center"/>
          </w:tcPr>
          <w:p w:rsidR="00445520" w:rsidRPr="006C5F89" w:rsidRDefault="00445520" w:rsidP="005B7037">
            <w:pPr>
              <w:spacing w:after="0"/>
              <w:jc w:val="right"/>
              <w:rPr>
                <w:rFonts w:ascii="Calibri" w:eastAsia="Times New Roman" w:hAnsi="Calibri" w:cs="Times New Roman"/>
                <w:sz w:val="20"/>
                <w:szCs w:val="20"/>
              </w:rPr>
            </w:pPr>
            <w:r w:rsidRPr="006C5F89">
              <w:rPr>
                <w:rFonts w:ascii="Calibri" w:eastAsia="Times New Roman" w:hAnsi="Calibri" w:cs="Times New Roman"/>
                <w:sz w:val="20"/>
                <w:szCs w:val="20"/>
              </w:rPr>
              <w:t>146</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146</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20</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3.30</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4</w:t>
            </w:r>
          </w:p>
        </w:tc>
        <w:tc>
          <w:tcPr>
            <w:tcW w:w="1243" w:type="dxa"/>
            <w:tcBorders>
              <w:top w:val="single" w:sz="4" w:space="0" w:color="auto"/>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p>
        </w:tc>
      </w:tr>
      <w:tr w:rsidR="00445520" w:rsidRPr="00637713" w:rsidTr="006C5F89">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445520" w:rsidRPr="00637713" w:rsidRDefault="00445520" w:rsidP="005B7037">
            <w:pPr>
              <w:spacing w:after="0"/>
              <w:rPr>
                <w:rFonts w:ascii="Calibri" w:eastAsia="Times New Roman" w:hAnsi="Calibri" w:cs="Times New Roman"/>
                <w:sz w:val="20"/>
                <w:szCs w:val="20"/>
              </w:rPr>
            </w:pPr>
            <w:r w:rsidRPr="00637713">
              <w:rPr>
                <w:rFonts w:ascii="Calibri" w:eastAsia="Times New Roman" w:hAnsi="Calibri" w:cs="Times New Roman"/>
                <w:sz w:val="20"/>
                <w:szCs w:val="20"/>
              </w:rPr>
              <w:t>Sep-13</w:t>
            </w:r>
          </w:p>
        </w:tc>
        <w:tc>
          <w:tcPr>
            <w:tcW w:w="1243" w:type="dxa"/>
            <w:tcBorders>
              <w:top w:val="nil"/>
              <w:left w:val="nil"/>
              <w:bottom w:val="single" w:sz="4" w:space="0" w:color="auto"/>
              <w:right w:val="single" w:sz="4" w:space="0" w:color="auto"/>
            </w:tcBorders>
            <w:shd w:val="clear" w:color="auto" w:fill="auto"/>
            <w:noWrap/>
            <w:vAlign w:val="center"/>
            <w:hideMark/>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188</w:t>
            </w:r>
          </w:p>
        </w:tc>
        <w:tc>
          <w:tcPr>
            <w:tcW w:w="1243" w:type="dxa"/>
            <w:tcBorders>
              <w:top w:val="single" w:sz="4" w:space="0" w:color="auto"/>
              <w:left w:val="nil"/>
              <w:bottom w:val="single" w:sz="4" w:space="0" w:color="auto"/>
              <w:right w:val="single" w:sz="4" w:space="0" w:color="auto"/>
            </w:tcBorders>
            <w:vAlign w:val="center"/>
          </w:tcPr>
          <w:p w:rsidR="00445520" w:rsidRPr="006C5F89" w:rsidRDefault="00445520" w:rsidP="005B7037">
            <w:pPr>
              <w:spacing w:after="0"/>
              <w:jc w:val="right"/>
              <w:rPr>
                <w:rFonts w:ascii="Calibri" w:eastAsia="Times New Roman" w:hAnsi="Calibri" w:cs="Times New Roman"/>
                <w:sz w:val="20"/>
                <w:szCs w:val="20"/>
              </w:rPr>
            </w:pPr>
            <w:r w:rsidRPr="006C5F89">
              <w:rPr>
                <w:rFonts w:ascii="Calibri" w:eastAsia="Times New Roman" w:hAnsi="Calibri" w:cs="Times New Roman"/>
                <w:sz w:val="20"/>
                <w:szCs w:val="20"/>
              </w:rPr>
              <w:t>85</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85</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19</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3.51</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4</w:t>
            </w:r>
          </w:p>
        </w:tc>
        <w:tc>
          <w:tcPr>
            <w:tcW w:w="1243" w:type="dxa"/>
            <w:tcBorders>
              <w:top w:val="single" w:sz="4" w:space="0" w:color="auto"/>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p>
        </w:tc>
      </w:tr>
      <w:tr w:rsidR="00445520" w:rsidRPr="00637713" w:rsidTr="006C5F89">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445520" w:rsidRPr="00637713" w:rsidRDefault="00445520" w:rsidP="005B7037">
            <w:pPr>
              <w:spacing w:after="0"/>
              <w:rPr>
                <w:rFonts w:ascii="Calibri" w:eastAsia="Times New Roman" w:hAnsi="Calibri" w:cs="Times New Roman"/>
                <w:sz w:val="20"/>
                <w:szCs w:val="20"/>
              </w:rPr>
            </w:pPr>
            <w:r w:rsidRPr="00637713">
              <w:rPr>
                <w:rFonts w:ascii="Calibri" w:eastAsia="Times New Roman" w:hAnsi="Calibri" w:cs="Times New Roman"/>
                <w:sz w:val="20"/>
                <w:szCs w:val="20"/>
              </w:rPr>
              <w:t>Oct-13</w:t>
            </w:r>
          </w:p>
        </w:tc>
        <w:tc>
          <w:tcPr>
            <w:tcW w:w="1243" w:type="dxa"/>
            <w:tcBorders>
              <w:top w:val="nil"/>
              <w:left w:val="nil"/>
              <w:bottom w:val="single" w:sz="4" w:space="0" w:color="auto"/>
              <w:right w:val="single" w:sz="4" w:space="0" w:color="auto"/>
            </w:tcBorders>
            <w:shd w:val="clear" w:color="auto" w:fill="auto"/>
            <w:noWrap/>
            <w:vAlign w:val="center"/>
            <w:hideMark/>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205</w:t>
            </w:r>
          </w:p>
        </w:tc>
        <w:tc>
          <w:tcPr>
            <w:tcW w:w="1243" w:type="dxa"/>
            <w:tcBorders>
              <w:top w:val="single" w:sz="4" w:space="0" w:color="auto"/>
              <w:left w:val="nil"/>
              <w:bottom w:val="single" w:sz="4" w:space="0" w:color="auto"/>
              <w:right w:val="single" w:sz="4" w:space="0" w:color="auto"/>
            </w:tcBorders>
            <w:vAlign w:val="center"/>
          </w:tcPr>
          <w:p w:rsidR="00445520" w:rsidRPr="006C5F89" w:rsidRDefault="00445520" w:rsidP="005B7037">
            <w:pPr>
              <w:spacing w:after="0"/>
              <w:jc w:val="right"/>
              <w:rPr>
                <w:rFonts w:ascii="Calibri" w:eastAsia="Times New Roman" w:hAnsi="Calibri" w:cs="Times New Roman"/>
                <w:sz w:val="20"/>
                <w:szCs w:val="20"/>
              </w:rPr>
            </w:pPr>
            <w:r w:rsidRPr="006C5F89">
              <w:rPr>
                <w:rFonts w:ascii="Calibri" w:eastAsia="Times New Roman" w:hAnsi="Calibri" w:cs="Times New Roman"/>
                <w:sz w:val="20"/>
                <w:szCs w:val="20"/>
              </w:rPr>
              <w:t>57</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57</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18</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3.23</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w:t>
            </w:r>
          </w:p>
        </w:tc>
        <w:tc>
          <w:tcPr>
            <w:tcW w:w="1243" w:type="dxa"/>
            <w:tcBorders>
              <w:top w:val="single" w:sz="4" w:space="0" w:color="auto"/>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p>
        </w:tc>
      </w:tr>
      <w:tr w:rsidR="00445520" w:rsidRPr="00637713" w:rsidTr="006C5F89">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445520" w:rsidRPr="00637713" w:rsidRDefault="00445520" w:rsidP="005B7037">
            <w:pPr>
              <w:spacing w:after="0"/>
              <w:rPr>
                <w:rFonts w:ascii="Calibri" w:eastAsia="Times New Roman" w:hAnsi="Calibri" w:cs="Times New Roman"/>
                <w:sz w:val="20"/>
                <w:szCs w:val="20"/>
              </w:rPr>
            </w:pPr>
            <w:r w:rsidRPr="00637713">
              <w:rPr>
                <w:rFonts w:ascii="Calibri" w:eastAsia="Times New Roman" w:hAnsi="Calibri" w:cs="Times New Roman"/>
                <w:sz w:val="20"/>
                <w:szCs w:val="20"/>
              </w:rPr>
              <w:t>Nov-13</w:t>
            </w:r>
          </w:p>
        </w:tc>
        <w:tc>
          <w:tcPr>
            <w:tcW w:w="1243" w:type="dxa"/>
            <w:tcBorders>
              <w:top w:val="nil"/>
              <w:left w:val="nil"/>
              <w:bottom w:val="single" w:sz="4" w:space="0" w:color="auto"/>
              <w:right w:val="single" w:sz="4" w:space="0" w:color="auto"/>
            </w:tcBorders>
            <w:shd w:val="clear" w:color="auto" w:fill="auto"/>
            <w:noWrap/>
            <w:vAlign w:val="center"/>
            <w:hideMark/>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167</w:t>
            </w:r>
          </w:p>
        </w:tc>
        <w:tc>
          <w:tcPr>
            <w:tcW w:w="1243" w:type="dxa"/>
            <w:tcBorders>
              <w:top w:val="single" w:sz="4" w:space="0" w:color="auto"/>
              <w:left w:val="nil"/>
              <w:bottom w:val="single" w:sz="4" w:space="0" w:color="auto"/>
              <w:right w:val="single" w:sz="4" w:space="0" w:color="auto"/>
            </w:tcBorders>
            <w:vAlign w:val="center"/>
          </w:tcPr>
          <w:p w:rsidR="00445520" w:rsidRPr="006C5F89" w:rsidRDefault="00445520" w:rsidP="005B7037">
            <w:pPr>
              <w:spacing w:after="0"/>
              <w:jc w:val="right"/>
              <w:rPr>
                <w:rFonts w:ascii="Calibri" w:eastAsia="Times New Roman" w:hAnsi="Calibri" w:cs="Times New Roman"/>
                <w:sz w:val="20"/>
                <w:szCs w:val="20"/>
              </w:rPr>
            </w:pPr>
            <w:r w:rsidRPr="006C5F89">
              <w:rPr>
                <w:rFonts w:ascii="Calibri" w:eastAsia="Times New Roman" w:hAnsi="Calibri" w:cs="Times New Roman"/>
                <w:sz w:val="20"/>
                <w:szCs w:val="20"/>
              </w:rPr>
              <w:t>63</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63</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17</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3.10</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4</w:t>
            </w:r>
          </w:p>
        </w:tc>
        <w:tc>
          <w:tcPr>
            <w:tcW w:w="1243" w:type="dxa"/>
            <w:tcBorders>
              <w:top w:val="single" w:sz="4" w:space="0" w:color="auto"/>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p>
        </w:tc>
      </w:tr>
      <w:tr w:rsidR="00445520" w:rsidRPr="00637713" w:rsidTr="006C5F89">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445520" w:rsidRPr="00637713" w:rsidRDefault="00445520" w:rsidP="005B7037">
            <w:pPr>
              <w:spacing w:after="0"/>
              <w:rPr>
                <w:rFonts w:ascii="Calibri" w:eastAsia="Times New Roman" w:hAnsi="Calibri" w:cs="Times New Roman"/>
                <w:sz w:val="20"/>
                <w:szCs w:val="20"/>
              </w:rPr>
            </w:pPr>
            <w:r w:rsidRPr="00637713">
              <w:rPr>
                <w:rFonts w:ascii="Calibri" w:eastAsia="Times New Roman" w:hAnsi="Calibri" w:cs="Times New Roman"/>
                <w:sz w:val="20"/>
                <w:szCs w:val="20"/>
              </w:rPr>
              <w:t>Dec-13</w:t>
            </w:r>
          </w:p>
        </w:tc>
        <w:tc>
          <w:tcPr>
            <w:tcW w:w="1243" w:type="dxa"/>
            <w:tcBorders>
              <w:top w:val="nil"/>
              <w:left w:val="nil"/>
              <w:bottom w:val="single" w:sz="4" w:space="0" w:color="auto"/>
              <w:right w:val="single" w:sz="4" w:space="0" w:color="auto"/>
            </w:tcBorders>
            <w:shd w:val="clear" w:color="auto" w:fill="auto"/>
            <w:noWrap/>
            <w:vAlign w:val="center"/>
            <w:hideMark/>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213</w:t>
            </w:r>
          </w:p>
        </w:tc>
        <w:tc>
          <w:tcPr>
            <w:tcW w:w="1243" w:type="dxa"/>
            <w:tcBorders>
              <w:top w:val="single" w:sz="4" w:space="0" w:color="auto"/>
              <w:left w:val="nil"/>
              <w:bottom w:val="single" w:sz="4" w:space="0" w:color="auto"/>
              <w:right w:val="single" w:sz="4" w:space="0" w:color="auto"/>
            </w:tcBorders>
            <w:vAlign w:val="center"/>
          </w:tcPr>
          <w:p w:rsidR="00445520" w:rsidRPr="006C5F89" w:rsidRDefault="00445520" w:rsidP="005B7037">
            <w:pPr>
              <w:spacing w:after="0"/>
              <w:jc w:val="right"/>
              <w:rPr>
                <w:rFonts w:ascii="Calibri" w:eastAsia="Times New Roman" w:hAnsi="Calibri" w:cs="Times New Roman"/>
                <w:sz w:val="20"/>
                <w:szCs w:val="20"/>
              </w:rPr>
            </w:pPr>
            <w:r w:rsidRPr="006C5F89">
              <w:rPr>
                <w:rFonts w:ascii="Calibri" w:eastAsia="Times New Roman" w:hAnsi="Calibri" w:cs="Times New Roman"/>
                <w:sz w:val="20"/>
                <w:szCs w:val="20"/>
              </w:rPr>
              <w:t>129</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48</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16</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3.33</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4</w:t>
            </w:r>
          </w:p>
        </w:tc>
        <w:tc>
          <w:tcPr>
            <w:tcW w:w="1243" w:type="dxa"/>
            <w:tcBorders>
              <w:top w:val="single" w:sz="4" w:space="0" w:color="auto"/>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sz w:val="20"/>
                <w:szCs w:val="20"/>
              </w:rPr>
              <w:t>85</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16</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8.44</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8</w:t>
            </w:r>
          </w:p>
        </w:tc>
      </w:tr>
      <w:tr w:rsidR="00445520" w:rsidRPr="00637713" w:rsidTr="006C5F89">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445520" w:rsidRPr="00637713" w:rsidRDefault="00445520" w:rsidP="005B7037">
            <w:pPr>
              <w:spacing w:after="0"/>
              <w:rPr>
                <w:rFonts w:ascii="Calibri" w:eastAsia="Times New Roman" w:hAnsi="Calibri" w:cs="Times New Roman"/>
                <w:sz w:val="20"/>
                <w:szCs w:val="20"/>
              </w:rPr>
            </w:pPr>
            <w:r w:rsidRPr="00637713">
              <w:rPr>
                <w:rFonts w:ascii="Calibri" w:eastAsia="Times New Roman" w:hAnsi="Calibri" w:cs="Times New Roman"/>
                <w:sz w:val="20"/>
                <w:szCs w:val="20"/>
              </w:rPr>
              <w:t>Jan-14</w:t>
            </w:r>
          </w:p>
        </w:tc>
        <w:tc>
          <w:tcPr>
            <w:tcW w:w="1243" w:type="dxa"/>
            <w:tcBorders>
              <w:top w:val="nil"/>
              <w:left w:val="nil"/>
              <w:bottom w:val="single" w:sz="4" w:space="0" w:color="auto"/>
              <w:right w:val="single" w:sz="4" w:space="0" w:color="auto"/>
            </w:tcBorders>
            <w:shd w:val="clear" w:color="auto" w:fill="auto"/>
            <w:noWrap/>
            <w:vAlign w:val="center"/>
            <w:hideMark/>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266</w:t>
            </w:r>
          </w:p>
        </w:tc>
        <w:tc>
          <w:tcPr>
            <w:tcW w:w="1243" w:type="dxa"/>
            <w:tcBorders>
              <w:top w:val="single" w:sz="4" w:space="0" w:color="auto"/>
              <w:left w:val="nil"/>
              <w:bottom w:val="single" w:sz="4" w:space="0" w:color="auto"/>
              <w:right w:val="single" w:sz="4" w:space="0" w:color="auto"/>
            </w:tcBorders>
            <w:vAlign w:val="center"/>
          </w:tcPr>
          <w:p w:rsidR="00445520" w:rsidRPr="006C5F89" w:rsidRDefault="00445520" w:rsidP="005B7037">
            <w:pPr>
              <w:spacing w:after="0"/>
              <w:jc w:val="right"/>
              <w:rPr>
                <w:rFonts w:ascii="Calibri" w:eastAsia="Times New Roman" w:hAnsi="Calibri" w:cs="Times New Roman"/>
                <w:sz w:val="20"/>
                <w:szCs w:val="20"/>
              </w:rPr>
            </w:pPr>
            <w:r w:rsidRPr="006C5F89">
              <w:rPr>
                <w:rFonts w:ascii="Calibri" w:eastAsia="Times New Roman" w:hAnsi="Calibri" w:cs="Times New Roman"/>
                <w:sz w:val="20"/>
                <w:szCs w:val="20"/>
              </w:rPr>
              <w:t>130</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36</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15</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2.89</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w:t>
            </w:r>
          </w:p>
        </w:tc>
        <w:tc>
          <w:tcPr>
            <w:tcW w:w="1243" w:type="dxa"/>
            <w:tcBorders>
              <w:top w:val="single" w:sz="4" w:space="0" w:color="auto"/>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sz w:val="20"/>
                <w:szCs w:val="20"/>
              </w:rPr>
              <w:t>97</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15</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7.45</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6</w:t>
            </w:r>
          </w:p>
        </w:tc>
      </w:tr>
      <w:tr w:rsidR="00445520" w:rsidRPr="00637713" w:rsidTr="006C5F89">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445520" w:rsidRPr="00637713" w:rsidRDefault="00445520" w:rsidP="005B7037">
            <w:pPr>
              <w:spacing w:after="0"/>
              <w:rPr>
                <w:rFonts w:ascii="Calibri" w:eastAsia="Times New Roman" w:hAnsi="Calibri" w:cs="Times New Roman"/>
                <w:sz w:val="20"/>
                <w:szCs w:val="20"/>
              </w:rPr>
            </w:pPr>
            <w:r w:rsidRPr="00637713">
              <w:rPr>
                <w:rFonts w:ascii="Calibri" w:eastAsia="Times New Roman" w:hAnsi="Calibri" w:cs="Times New Roman"/>
                <w:sz w:val="20"/>
                <w:szCs w:val="20"/>
              </w:rPr>
              <w:t>Feb-14</w:t>
            </w:r>
          </w:p>
        </w:tc>
        <w:tc>
          <w:tcPr>
            <w:tcW w:w="1243" w:type="dxa"/>
            <w:tcBorders>
              <w:top w:val="nil"/>
              <w:left w:val="nil"/>
              <w:bottom w:val="single" w:sz="4" w:space="0" w:color="auto"/>
              <w:right w:val="single" w:sz="4" w:space="0" w:color="auto"/>
            </w:tcBorders>
            <w:shd w:val="clear" w:color="auto" w:fill="auto"/>
            <w:noWrap/>
            <w:vAlign w:val="center"/>
            <w:hideMark/>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327</w:t>
            </w:r>
          </w:p>
        </w:tc>
        <w:tc>
          <w:tcPr>
            <w:tcW w:w="1243" w:type="dxa"/>
            <w:tcBorders>
              <w:top w:val="single" w:sz="4" w:space="0" w:color="auto"/>
              <w:left w:val="nil"/>
              <w:bottom w:val="single" w:sz="4" w:space="0" w:color="auto"/>
              <w:right w:val="single" w:sz="4" w:space="0" w:color="auto"/>
            </w:tcBorders>
            <w:vAlign w:val="center"/>
          </w:tcPr>
          <w:p w:rsidR="00445520" w:rsidRPr="006C5F89" w:rsidRDefault="00445520" w:rsidP="005B7037">
            <w:pPr>
              <w:spacing w:after="0"/>
              <w:jc w:val="right"/>
              <w:rPr>
                <w:rFonts w:ascii="Calibri" w:eastAsia="Times New Roman" w:hAnsi="Calibri" w:cs="Times New Roman"/>
                <w:sz w:val="20"/>
                <w:szCs w:val="20"/>
              </w:rPr>
            </w:pPr>
            <w:r w:rsidRPr="006C5F89">
              <w:rPr>
                <w:rFonts w:ascii="Calibri" w:eastAsia="Times New Roman" w:hAnsi="Calibri" w:cs="Times New Roman"/>
                <w:sz w:val="20"/>
                <w:szCs w:val="20"/>
              </w:rPr>
              <w:t>145</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66</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14</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3.18</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4</w:t>
            </w:r>
          </w:p>
        </w:tc>
        <w:tc>
          <w:tcPr>
            <w:tcW w:w="1243" w:type="dxa"/>
            <w:tcBorders>
              <w:top w:val="single" w:sz="4" w:space="0" w:color="auto"/>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sz w:val="20"/>
                <w:szCs w:val="20"/>
              </w:rPr>
              <w:t>84</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14</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7.44</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7</w:t>
            </w:r>
          </w:p>
        </w:tc>
      </w:tr>
      <w:tr w:rsidR="00445520" w:rsidRPr="00637713" w:rsidTr="006C5F89">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445520" w:rsidRPr="00637713" w:rsidRDefault="00445520" w:rsidP="005B7037">
            <w:pPr>
              <w:spacing w:after="0"/>
              <w:rPr>
                <w:rFonts w:ascii="Calibri" w:eastAsia="Times New Roman" w:hAnsi="Calibri" w:cs="Times New Roman"/>
                <w:sz w:val="20"/>
                <w:szCs w:val="20"/>
              </w:rPr>
            </w:pPr>
            <w:r w:rsidRPr="00637713">
              <w:rPr>
                <w:rFonts w:ascii="Calibri" w:eastAsia="Times New Roman" w:hAnsi="Calibri" w:cs="Times New Roman"/>
                <w:sz w:val="20"/>
                <w:szCs w:val="20"/>
              </w:rPr>
              <w:t>Mar-14</w:t>
            </w:r>
          </w:p>
        </w:tc>
        <w:tc>
          <w:tcPr>
            <w:tcW w:w="1243" w:type="dxa"/>
            <w:tcBorders>
              <w:top w:val="nil"/>
              <w:left w:val="nil"/>
              <w:bottom w:val="single" w:sz="4" w:space="0" w:color="auto"/>
              <w:right w:val="single" w:sz="4" w:space="0" w:color="auto"/>
            </w:tcBorders>
            <w:shd w:val="clear" w:color="auto" w:fill="auto"/>
            <w:noWrap/>
            <w:vAlign w:val="center"/>
            <w:hideMark/>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423</w:t>
            </w:r>
          </w:p>
        </w:tc>
        <w:tc>
          <w:tcPr>
            <w:tcW w:w="1243" w:type="dxa"/>
            <w:tcBorders>
              <w:top w:val="single" w:sz="4" w:space="0" w:color="auto"/>
              <w:left w:val="nil"/>
              <w:bottom w:val="single" w:sz="4" w:space="0" w:color="auto"/>
              <w:right w:val="single" w:sz="4" w:space="0" w:color="auto"/>
            </w:tcBorders>
            <w:vAlign w:val="center"/>
          </w:tcPr>
          <w:p w:rsidR="00445520" w:rsidRPr="006C5F89" w:rsidRDefault="00445520" w:rsidP="005B7037">
            <w:pPr>
              <w:spacing w:after="0"/>
              <w:jc w:val="right"/>
              <w:rPr>
                <w:rFonts w:ascii="Calibri" w:eastAsia="Times New Roman" w:hAnsi="Calibri" w:cs="Times New Roman"/>
                <w:sz w:val="20"/>
                <w:szCs w:val="20"/>
              </w:rPr>
            </w:pPr>
            <w:r w:rsidRPr="006C5F89">
              <w:rPr>
                <w:rFonts w:ascii="Calibri" w:eastAsia="Times New Roman" w:hAnsi="Calibri" w:cs="Times New Roman"/>
                <w:sz w:val="20"/>
                <w:szCs w:val="20"/>
              </w:rPr>
              <w:t>158</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90</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13</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3.32</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4</w:t>
            </w:r>
          </w:p>
        </w:tc>
        <w:tc>
          <w:tcPr>
            <w:tcW w:w="1243" w:type="dxa"/>
            <w:tcBorders>
              <w:top w:val="single" w:sz="4" w:space="0" w:color="auto"/>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sz w:val="20"/>
                <w:szCs w:val="20"/>
              </w:rPr>
              <w:t>77</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13</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6.45</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6</w:t>
            </w:r>
          </w:p>
        </w:tc>
      </w:tr>
      <w:tr w:rsidR="00445520" w:rsidRPr="00637713" w:rsidTr="006C5F89">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445520" w:rsidRPr="00637713" w:rsidRDefault="00445520" w:rsidP="005B7037">
            <w:pPr>
              <w:spacing w:after="0"/>
              <w:rPr>
                <w:rFonts w:ascii="Calibri" w:eastAsia="Times New Roman" w:hAnsi="Calibri" w:cs="Times New Roman"/>
                <w:sz w:val="20"/>
                <w:szCs w:val="20"/>
              </w:rPr>
            </w:pPr>
            <w:r w:rsidRPr="00637713">
              <w:rPr>
                <w:rFonts w:ascii="Calibri" w:eastAsia="Times New Roman" w:hAnsi="Calibri" w:cs="Times New Roman"/>
                <w:sz w:val="20"/>
                <w:szCs w:val="20"/>
              </w:rPr>
              <w:t>Apr-14</w:t>
            </w:r>
          </w:p>
        </w:tc>
        <w:tc>
          <w:tcPr>
            <w:tcW w:w="1243" w:type="dxa"/>
            <w:tcBorders>
              <w:top w:val="nil"/>
              <w:left w:val="nil"/>
              <w:bottom w:val="single" w:sz="4" w:space="0" w:color="auto"/>
              <w:right w:val="single" w:sz="4" w:space="0" w:color="auto"/>
            </w:tcBorders>
            <w:shd w:val="clear" w:color="auto" w:fill="auto"/>
            <w:noWrap/>
            <w:vAlign w:val="center"/>
            <w:hideMark/>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454</w:t>
            </w:r>
          </w:p>
        </w:tc>
        <w:tc>
          <w:tcPr>
            <w:tcW w:w="1243" w:type="dxa"/>
            <w:tcBorders>
              <w:top w:val="single" w:sz="4" w:space="0" w:color="auto"/>
              <w:left w:val="nil"/>
              <w:bottom w:val="single" w:sz="4" w:space="0" w:color="auto"/>
              <w:right w:val="single" w:sz="4" w:space="0" w:color="auto"/>
            </w:tcBorders>
            <w:vAlign w:val="center"/>
          </w:tcPr>
          <w:p w:rsidR="00445520" w:rsidRPr="006C5F89" w:rsidRDefault="00445520" w:rsidP="005B7037">
            <w:pPr>
              <w:spacing w:after="0"/>
              <w:jc w:val="right"/>
              <w:rPr>
                <w:rFonts w:ascii="Calibri" w:eastAsia="Times New Roman" w:hAnsi="Calibri" w:cs="Times New Roman"/>
                <w:sz w:val="20"/>
                <w:szCs w:val="20"/>
              </w:rPr>
            </w:pPr>
            <w:r w:rsidRPr="006C5F89">
              <w:rPr>
                <w:rFonts w:ascii="Calibri" w:eastAsia="Times New Roman" w:hAnsi="Calibri" w:cs="Times New Roman"/>
                <w:sz w:val="20"/>
                <w:szCs w:val="20"/>
              </w:rPr>
              <w:t>108</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59</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12</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3.36</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4</w:t>
            </w:r>
          </w:p>
        </w:tc>
        <w:tc>
          <w:tcPr>
            <w:tcW w:w="1243" w:type="dxa"/>
            <w:tcBorders>
              <w:top w:val="single" w:sz="4" w:space="0" w:color="auto"/>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sz w:val="20"/>
                <w:szCs w:val="20"/>
              </w:rPr>
              <w:t>55</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12</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6.58</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5</w:t>
            </w:r>
          </w:p>
        </w:tc>
      </w:tr>
      <w:tr w:rsidR="00445520" w:rsidRPr="00637713" w:rsidTr="006C5F89">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445520" w:rsidRPr="00637713" w:rsidRDefault="00445520" w:rsidP="005B7037">
            <w:pPr>
              <w:spacing w:after="0"/>
              <w:rPr>
                <w:rFonts w:ascii="Calibri" w:eastAsia="Times New Roman" w:hAnsi="Calibri" w:cs="Times New Roman"/>
                <w:sz w:val="20"/>
                <w:szCs w:val="20"/>
              </w:rPr>
            </w:pPr>
            <w:r w:rsidRPr="00637713">
              <w:rPr>
                <w:rFonts w:ascii="Calibri" w:eastAsia="Times New Roman" w:hAnsi="Calibri" w:cs="Times New Roman"/>
                <w:sz w:val="20"/>
                <w:szCs w:val="20"/>
              </w:rPr>
              <w:t>May-14</w:t>
            </w:r>
          </w:p>
        </w:tc>
        <w:tc>
          <w:tcPr>
            <w:tcW w:w="1243" w:type="dxa"/>
            <w:tcBorders>
              <w:top w:val="nil"/>
              <w:left w:val="nil"/>
              <w:bottom w:val="single" w:sz="4" w:space="0" w:color="auto"/>
              <w:right w:val="single" w:sz="4" w:space="0" w:color="auto"/>
            </w:tcBorders>
            <w:shd w:val="clear" w:color="auto" w:fill="auto"/>
            <w:noWrap/>
            <w:vAlign w:val="center"/>
            <w:hideMark/>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490</w:t>
            </w:r>
          </w:p>
        </w:tc>
        <w:tc>
          <w:tcPr>
            <w:tcW w:w="1243" w:type="dxa"/>
            <w:tcBorders>
              <w:top w:val="single" w:sz="4" w:space="0" w:color="auto"/>
              <w:left w:val="nil"/>
              <w:bottom w:val="single" w:sz="4" w:space="0" w:color="auto"/>
              <w:right w:val="single" w:sz="4" w:space="0" w:color="auto"/>
            </w:tcBorders>
            <w:vAlign w:val="center"/>
          </w:tcPr>
          <w:p w:rsidR="00445520" w:rsidRPr="006C5F89" w:rsidRDefault="00445520" w:rsidP="005B7037">
            <w:pPr>
              <w:spacing w:after="0"/>
              <w:jc w:val="right"/>
              <w:rPr>
                <w:rFonts w:ascii="Calibri" w:eastAsia="Times New Roman" w:hAnsi="Calibri" w:cs="Times New Roman"/>
                <w:sz w:val="20"/>
                <w:szCs w:val="20"/>
              </w:rPr>
            </w:pPr>
            <w:r w:rsidRPr="006C5F89">
              <w:rPr>
                <w:rFonts w:ascii="Calibri" w:eastAsia="Times New Roman" w:hAnsi="Calibri" w:cs="Times New Roman"/>
                <w:sz w:val="20"/>
                <w:szCs w:val="20"/>
              </w:rPr>
              <w:t>138</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75</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11</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3.49</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4</w:t>
            </w:r>
          </w:p>
        </w:tc>
        <w:tc>
          <w:tcPr>
            <w:tcW w:w="1243" w:type="dxa"/>
            <w:tcBorders>
              <w:top w:val="single" w:sz="4" w:space="0" w:color="auto"/>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sz w:val="20"/>
                <w:szCs w:val="20"/>
              </w:rPr>
              <w:t>66</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11</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6.91</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8</w:t>
            </w:r>
          </w:p>
        </w:tc>
      </w:tr>
      <w:tr w:rsidR="00445520" w:rsidRPr="00637713" w:rsidTr="006C5F89">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445520" w:rsidRPr="00637713" w:rsidRDefault="00445520" w:rsidP="005B7037">
            <w:pPr>
              <w:spacing w:after="0"/>
              <w:rPr>
                <w:rFonts w:ascii="Calibri" w:eastAsia="Times New Roman" w:hAnsi="Calibri" w:cs="Times New Roman"/>
                <w:sz w:val="20"/>
                <w:szCs w:val="20"/>
              </w:rPr>
            </w:pPr>
            <w:r w:rsidRPr="00637713">
              <w:rPr>
                <w:rFonts w:ascii="Calibri" w:eastAsia="Times New Roman" w:hAnsi="Calibri" w:cs="Times New Roman"/>
                <w:sz w:val="20"/>
                <w:szCs w:val="20"/>
              </w:rPr>
              <w:t>Jun-14</w:t>
            </w:r>
          </w:p>
        </w:tc>
        <w:tc>
          <w:tcPr>
            <w:tcW w:w="1243" w:type="dxa"/>
            <w:tcBorders>
              <w:top w:val="nil"/>
              <w:left w:val="nil"/>
              <w:bottom w:val="single" w:sz="4" w:space="0" w:color="auto"/>
              <w:right w:val="single" w:sz="4" w:space="0" w:color="auto"/>
            </w:tcBorders>
            <w:shd w:val="clear" w:color="auto" w:fill="auto"/>
            <w:noWrap/>
            <w:vAlign w:val="center"/>
            <w:hideMark/>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499</w:t>
            </w:r>
          </w:p>
        </w:tc>
        <w:tc>
          <w:tcPr>
            <w:tcW w:w="1243" w:type="dxa"/>
            <w:tcBorders>
              <w:top w:val="single" w:sz="4" w:space="0" w:color="auto"/>
              <w:left w:val="nil"/>
              <w:bottom w:val="single" w:sz="4" w:space="0" w:color="auto"/>
              <w:right w:val="single" w:sz="4" w:space="0" w:color="auto"/>
            </w:tcBorders>
            <w:vAlign w:val="center"/>
          </w:tcPr>
          <w:p w:rsidR="00445520" w:rsidRPr="006C5F89" w:rsidRDefault="00445520" w:rsidP="005B7037">
            <w:pPr>
              <w:spacing w:after="0"/>
              <w:jc w:val="right"/>
              <w:rPr>
                <w:rFonts w:ascii="Calibri" w:eastAsia="Times New Roman" w:hAnsi="Calibri" w:cs="Times New Roman"/>
                <w:sz w:val="20"/>
                <w:szCs w:val="20"/>
              </w:rPr>
            </w:pPr>
            <w:r w:rsidRPr="006C5F89">
              <w:rPr>
                <w:rFonts w:ascii="Calibri" w:eastAsia="Times New Roman" w:hAnsi="Calibri" w:cs="Times New Roman"/>
                <w:sz w:val="20"/>
                <w:szCs w:val="20"/>
              </w:rPr>
              <w:t>111</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81</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10</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3.04</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w:t>
            </w:r>
          </w:p>
        </w:tc>
        <w:tc>
          <w:tcPr>
            <w:tcW w:w="1243" w:type="dxa"/>
            <w:tcBorders>
              <w:top w:val="single" w:sz="4" w:space="0" w:color="auto"/>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sz w:val="20"/>
                <w:szCs w:val="20"/>
              </w:rPr>
              <w:t>43</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10</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6.42</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6</w:t>
            </w:r>
          </w:p>
        </w:tc>
      </w:tr>
      <w:tr w:rsidR="00445520" w:rsidRPr="00637713" w:rsidTr="006C5F89">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445520" w:rsidRPr="00637713" w:rsidRDefault="00445520" w:rsidP="005B7037">
            <w:pPr>
              <w:spacing w:after="0"/>
              <w:rPr>
                <w:rFonts w:ascii="Calibri" w:eastAsia="Times New Roman" w:hAnsi="Calibri" w:cs="Times New Roman"/>
                <w:sz w:val="20"/>
                <w:szCs w:val="20"/>
              </w:rPr>
            </w:pPr>
            <w:r w:rsidRPr="00637713">
              <w:rPr>
                <w:rFonts w:ascii="Calibri" w:eastAsia="Times New Roman" w:hAnsi="Calibri" w:cs="Times New Roman"/>
                <w:sz w:val="20"/>
                <w:szCs w:val="20"/>
              </w:rPr>
              <w:t>Jul-14</w:t>
            </w:r>
          </w:p>
        </w:tc>
        <w:tc>
          <w:tcPr>
            <w:tcW w:w="1243" w:type="dxa"/>
            <w:tcBorders>
              <w:top w:val="nil"/>
              <w:left w:val="nil"/>
              <w:bottom w:val="single" w:sz="4" w:space="0" w:color="auto"/>
              <w:right w:val="single" w:sz="4" w:space="0" w:color="auto"/>
            </w:tcBorders>
            <w:shd w:val="clear" w:color="auto" w:fill="auto"/>
            <w:noWrap/>
            <w:vAlign w:val="center"/>
            <w:hideMark/>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536</w:t>
            </w:r>
          </w:p>
        </w:tc>
        <w:tc>
          <w:tcPr>
            <w:tcW w:w="1243" w:type="dxa"/>
            <w:tcBorders>
              <w:top w:val="single" w:sz="4" w:space="0" w:color="auto"/>
              <w:left w:val="nil"/>
              <w:bottom w:val="single" w:sz="4" w:space="0" w:color="auto"/>
              <w:right w:val="single" w:sz="4" w:space="0" w:color="auto"/>
            </w:tcBorders>
            <w:vAlign w:val="center"/>
          </w:tcPr>
          <w:p w:rsidR="00445520" w:rsidRPr="006C5F89" w:rsidRDefault="00445520" w:rsidP="005B7037">
            <w:pPr>
              <w:spacing w:after="0"/>
              <w:jc w:val="right"/>
              <w:rPr>
                <w:rFonts w:ascii="Calibri" w:eastAsia="Times New Roman" w:hAnsi="Calibri" w:cs="Times New Roman"/>
                <w:sz w:val="20"/>
                <w:szCs w:val="20"/>
              </w:rPr>
            </w:pPr>
            <w:r w:rsidRPr="006C5F89">
              <w:rPr>
                <w:rFonts w:ascii="Calibri" w:eastAsia="Times New Roman" w:hAnsi="Calibri" w:cs="Times New Roman"/>
                <w:sz w:val="20"/>
                <w:szCs w:val="20"/>
              </w:rPr>
              <w:t>128</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94</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9</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3.28</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4</w:t>
            </w:r>
          </w:p>
        </w:tc>
        <w:tc>
          <w:tcPr>
            <w:tcW w:w="1243" w:type="dxa"/>
            <w:tcBorders>
              <w:top w:val="single" w:sz="4" w:space="0" w:color="auto"/>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sz w:val="20"/>
                <w:szCs w:val="20"/>
              </w:rPr>
              <w:t>54</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9</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6.07</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6</w:t>
            </w:r>
          </w:p>
        </w:tc>
      </w:tr>
      <w:tr w:rsidR="00445520" w:rsidRPr="00637713" w:rsidTr="006C5F89">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445520" w:rsidRPr="00637713" w:rsidRDefault="00445520" w:rsidP="005B7037">
            <w:pPr>
              <w:spacing w:after="0"/>
              <w:rPr>
                <w:rFonts w:ascii="Calibri" w:eastAsia="Times New Roman" w:hAnsi="Calibri" w:cs="Times New Roman"/>
                <w:sz w:val="20"/>
                <w:szCs w:val="20"/>
              </w:rPr>
            </w:pPr>
            <w:r w:rsidRPr="00637713">
              <w:rPr>
                <w:rFonts w:ascii="Calibri" w:eastAsia="Times New Roman" w:hAnsi="Calibri" w:cs="Times New Roman"/>
                <w:sz w:val="20"/>
                <w:szCs w:val="20"/>
              </w:rPr>
              <w:t>Aug-14</w:t>
            </w:r>
          </w:p>
        </w:tc>
        <w:tc>
          <w:tcPr>
            <w:tcW w:w="1243" w:type="dxa"/>
            <w:tcBorders>
              <w:top w:val="nil"/>
              <w:left w:val="nil"/>
              <w:bottom w:val="single" w:sz="4" w:space="0" w:color="auto"/>
              <w:right w:val="single" w:sz="4" w:space="0" w:color="auto"/>
            </w:tcBorders>
            <w:shd w:val="clear" w:color="auto" w:fill="auto"/>
            <w:noWrap/>
            <w:vAlign w:val="center"/>
            <w:hideMark/>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522</w:t>
            </w:r>
          </w:p>
        </w:tc>
        <w:tc>
          <w:tcPr>
            <w:tcW w:w="1243" w:type="dxa"/>
            <w:tcBorders>
              <w:top w:val="single" w:sz="4" w:space="0" w:color="auto"/>
              <w:left w:val="nil"/>
              <w:bottom w:val="single" w:sz="4" w:space="0" w:color="auto"/>
              <w:right w:val="single" w:sz="4" w:space="0" w:color="auto"/>
            </w:tcBorders>
            <w:vAlign w:val="center"/>
          </w:tcPr>
          <w:p w:rsidR="00445520" w:rsidRPr="006C5F89" w:rsidRDefault="00445520" w:rsidP="005B7037">
            <w:pPr>
              <w:spacing w:after="0"/>
              <w:jc w:val="right"/>
              <w:rPr>
                <w:rFonts w:ascii="Calibri" w:eastAsia="Times New Roman" w:hAnsi="Calibri" w:cs="Times New Roman"/>
                <w:sz w:val="20"/>
                <w:szCs w:val="20"/>
              </w:rPr>
            </w:pPr>
            <w:r w:rsidRPr="006C5F89">
              <w:rPr>
                <w:rFonts w:ascii="Calibri" w:eastAsia="Times New Roman" w:hAnsi="Calibri" w:cs="Times New Roman"/>
                <w:sz w:val="20"/>
                <w:szCs w:val="20"/>
              </w:rPr>
              <w:t>104</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73</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8</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2.93</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w:t>
            </w:r>
          </w:p>
        </w:tc>
        <w:tc>
          <w:tcPr>
            <w:tcW w:w="1243" w:type="dxa"/>
            <w:tcBorders>
              <w:top w:val="single" w:sz="4" w:space="0" w:color="auto"/>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sz w:val="20"/>
                <w:szCs w:val="20"/>
              </w:rPr>
              <w:t>41</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8</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6.10</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7</w:t>
            </w:r>
          </w:p>
        </w:tc>
      </w:tr>
      <w:tr w:rsidR="00445520" w:rsidRPr="00637713" w:rsidTr="006C5F89">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445520" w:rsidRPr="00637713" w:rsidRDefault="00445520" w:rsidP="005B7037">
            <w:pPr>
              <w:spacing w:after="0"/>
              <w:rPr>
                <w:rFonts w:ascii="Calibri" w:eastAsia="Times New Roman" w:hAnsi="Calibri" w:cs="Times New Roman"/>
                <w:sz w:val="20"/>
                <w:szCs w:val="20"/>
              </w:rPr>
            </w:pPr>
            <w:r w:rsidRPr="00637713">
              <w:rPr>
                <w:rFonts w:ascii="Calibri" w:eastAsia="Times New Roman" w:hAnsi="Calibri" w:cs="Times New Roman"/>
                <w:sz w:val="20"/>
                <w:szCs w:val="20"/>
              </w:rPr>
              <w:t>Sep-14</w:t>
            </w:r>
          </w:p>
        </w:tc>
        <w:tc>
          <w:tcPr>
            <w:tcW w:w="1243" w:type="dxa"/>
            <w:tcBorders>
              <w:top w:val="nil"/>
              <w:left w:val="nil"/>
              <w:bottom w:val="single" w:sz="4" w:space="0" w:color="auto"/>
              <w:right w:val="single" w:sz="4" w:space="0" w:color="auto"/>
            </w:tcBorders>
            <w:shd w:val="clear" w:color="auto" w:fill="auto"/>
            <w:noWrap/>
            <w:vAlign w:val="center"/>
            <w:hideMark/>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538</w:t>
            </w:r>
          </w:p>
        </w:tc>
        <w:tc>
          <w:tcPr>
            <w:tcW w:w="1243" w:type="dxa"/>
            <w:tcBorders>
              <w:top w:val="single" w:sz="4" w:space="0" w:color="auto"/>
              <w:left w:val="nil"/>
              <w:bottom w:val="single" w:sz="4" w:space="0" w:color="auto"/>
              <w:right w:val="single" w:sz="4" w:space="0" w:color="auto"/>
            </w:tcBorders>
            <w:vAlign w:val="center"/>
          </w:tcPr>
          <w:p w:rsidR="00445520" w:rsidRPr="006C5F89" w:rsidRDefault="00445520" w:rsidP="005B7037">
            <w:pPr>
              <w:spacing w:after="0"/>
              <w:jc w:val="right"/>
              <w:rPr>
                <w:rFonts w:ascii="Calibri" w:eastAsia="Times New Roman" w:hAnsi="Calibri" w:cs="Times New Roman"/>
                <w:sz w:val="20"/>
                <w:szCs w:val="20"/>
              </w:rPr>
            </w:pPr>
            <w:r w:rsidRPr="006C5F89">
              <w:rPr>
                <w:rFonts w:ascii="Calibri" w:eastAsia="Times New Roman" w:hAnsi="Calibri" w:cs="Times New Roman"/>
                <w:sz w:val="20"/>
                <w:szCs w:val="20"/>
              </w:rPr>
              <w:t>119</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80</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7</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2.99</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w:t>
            </w:r>
          </w:p>
        </w:tc>
        <w:tc>
          <w:tcPr>
            <w:tcW w:w="1243" w:type="dxa"/>
            <w:tcBorders>
              <w:top w:val="single" w:sz="4" w:space="0" w:color="auto"/>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sz w:val="20"/>
                <w:szCs w:val="20"/>
              </w:rPr>
              <w:t>53</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7</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5.60</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6</w:t>
            </w:r>
          </w:p>
        </w:tc>
      </w:tr>
      <w:tr w:rsidR="00445520" w:rsidRPr="00637713" w:rsidTr="006C5F89">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445520" w:rsidRPr="00637713" w:rsidRDefault="00445520" w:rsidP="005B7037">
            <w:pPr>
              <w:spacing w:after="0"/>
              <w:rPr>
                <w:rFonts w:ascii="Calibri" w:eastAsia="Times New Roman" w:hAnsi="Calibri" w:cs="Times New Roman"/>
                <w:sz w:val="20"/>
                <w:szCs w:val="20"/>
              </w:rPr>
            </w:pPr>
            <w:r w:rsidRPr="00637713">
              <w:rPr>
                <w:rFonts w:ascii="Calibri" w:eastAsia="Times New Roman" w:hAnsi="Calibri" w:cs="Times New Roman"/>
                <w:sz w:val="20"/>
                <w:szCs w:val="20"/>
              </w:rPr>
              <w:t>Oct-14</w:t>
            </w:r>
          </w:p>
        </w:tc>
        <w:tc>
          <w:tcPr>
            <w:tcW w:w="1243" w:type="dxa"/>
            <w:tcBorders>
              <w:top w:val="nil"/>
              <w:left w:val="nil"/>
              <w:bottom w:val="single" w:sz="4" w:space="0" w:color="auto"/>
              <w:right w:val="single" w:sz="4" w:space="0" w:color="auto"/>
            </w:tcBorders>
            <w:shd w:val="clear" w:color="auto" w:fill="auto"/>
            <w:noWrap/>
            <w:vAlign w:val="center"/>
            <w:hideMark/>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558</w:t>
            </w:r>
          </w:p>
        </w:tc>
        <w:tc>
          <w:tcPr>
            <w:tcW w:w="1243" w:type="dxa"/>
            <w:tcBorders>
              <w:top w:val="single" w:sz="4" w:space="0" w:color="auto"/>
              <w:left w:val="nil"/>
              <w:bottom w:val="single" w:sz="4" w:space="0" w:color="auto"/>
              <w:right w:val="single" w:sz="4" w:space="0" w:color="auto"/>
            </w:tcBorders>
            <w:vAlign w:val="center"/>
          </w:tcPr>
          <w:p w:rsidR="00445520" w:rsidRPr="006C5F89" w:rsidRDefault="00445520" w:rsidP="005B7037">
            <w:pPr>
              <w:spacing w:after="0"/>
              <w:jc w:val="right"/>
              <w:rPr>
                <w:rFonts w:ascii="Calibri" w:eastAsia="Times New Roman" w:hAnsi="Calibri" w:cs="Times New Roman"/>
                <w:sz w:val="20"/>
                <w:szCs w:val="20"/>
              </w:rPr>
            </w:pPr>
            <w:r w:rsidRPr="006C5F89">
              <w:rPr>
                <w:rFonts w:ascii="Calibri" w:eastAsia="Times New Roman" w:hAnsi="Calibri" w:cs="Times New Roman"/>
                <w:sz w:val="20"/>
                <w:szCs w:val="20"/>
              </w:rPr>
              <w:t>143</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95</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6</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3.00</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w:t>
            </w:r>
          </w:p>
        </w:tc>
        <w:tc>
          <w:tcPr>
            <w:tcW w:w="1243" w:type="dxa"/>
            <w:tcBorders>
              <w:top w:val="single" w:sz="4" w:space="0" w:color="auto"/>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sz w:val="20"/>
                <w:szCs w:val="20"/>
              </w:rPr>
              <w:t>69</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6</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5.29</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6</w:t>
            </w:r>
          </w:p>
        </w:tc>
      </w:tr>
      <w:tr w:rsidR="00445520" w:rsidRPr="00637713" w:rsidTr="006C5F89">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445520" w:rsidRPr="00637713" w:rsidRDefault="00445520" w:rsidP="005B7037">
            <w:pPr>
              <w:spacing w:after="0"/>
              <w:rPr>
                <w:rFonts w:ascii="Calibri" w:eastAsia="Times New Roman" w:hAnsi="Calibri" w:cs="Times New Roman"/>
                <w:sz w:val="20"/>
                <w:szCs w:val="20"/>
              </w:rPr>
            </w:pPr>
            <w:r w:rsidRPr="00637713">
              <w:rPr>
                <w:rFonts w:ascii="Calibri" w:eastAsia="Times New Roman" w:hAnsi="Calibri" w:cs="Times New Roman"/>
                <w:sz w:val="20"/>
                <w:szCs w:val="20"/>
              </w:rPr>
              <w:t>Nov-14</w:t>
            </w:r>
          </w:p>
        </w:tc>
        <w:tc>
          <w:tcPr>
            <w:tcW w:w="1243" w:type="dxa"/>
            <w:tcBorders>
              <w:top w:val="nil"/>
              <w:left w:val="nil"/>
              <w:bottom w:val="single" w:sz="4" w:space="0" w:color="auto"/>
              <w:right w:val="single" w:sz="4" w:space="0" w:color="auto"/>
            </w:tcBorders>
            <w:shd w:val="clear" w:color="auto" w:fill="auto"/>
            <w:noWrap/>
            <w:vAlign w:val="center"/>
            <w:hideMark/>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515</w:t>
            </w:r>
          </w:p>
        </w:tc>
        <w:tc>
          <w:tcPr>
            <w:tcW w:w="1243" w:type="dxa"/>
            <w:tcBorders>
              <w:top w:val="single" w:sz="4" w:space="0" w:color="auto"/>
              <w:left w:val="nil"/>
              <w:bottom w:val="single" w:sz="4" w:space="0" w:color="auto"/>
              <w:right w:val="single" w:sz="4" w:space="0" w:color="auto"/>
            </w:tcBorders>
            <w:vAlign w:val="center"/>
          </w:tcPr>
          <w:p w:rsidR="00445520" w:rsidRPr="006C5F89" w:rsidRDefault="00445520" w:rsidP="005B7037">
            <w:pPr>
              <w:spacing w:after="0"/>
              <w:jc w:val="right"/>
              <w:rPr>
                <w:rFonts w:ascii="Calibri" w:eastAsia="Times New Roman" w:hAnsi="Calibri" w:cs="Times New Roman"/>
                <w:sz w:val="20"/>
                <w:szCs w:val="20"/>
              </w:rPr>
            </w:pPr>
            <w:r w:rsidRPr="006C5F89">
              <w:rPr>
                <w:rFonts w:ascii="Calibri" w:eastAsia="Times New Roman" w:hAnsi="Calibri" w:cs="Times New Roman"/>
                <w:sz w:val="20"/>
                <w:szCs w:val="20"/>
              </w:rPr>
              <w:t>84</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54</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5</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2.91</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w:t>
            </w:r>
          </w:p>
        </w:tc>
        <w:tc>
          <w:tcPr>
            <w:tcW w:w="1243" w:type="dxa"/>
            <w:tcBorders>
              <w:top w:val="single" w:sz="4" w:space="0" w:color="auto"/>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sz w:val="20"/>
                <w:szCs w:val="20"/>
              </w:rPr>
              <w:t>41</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5</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5.27</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6</w:t>
            </w:r>
          </w:p>
        </w:tc>
      </w:tr>
      <w:tr w:rsidR="00445520" w:rsidRPr="00637713" w:rsidTr="006C5F89">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445520" w:rsidRPr="00637713" w:rsidRDefault="00445520" w:rsidP="005B7037">
            <w:pPr>
              <w:spacing w:after="0"/>
              <w:rPr>
                <w:rFonts w:ascii="Calibri" w:eastAsia="Times New Roman" w:hAnsi="Calibri" w:cs="Times New Roman"/>
                <w:sz w:val="20"/>
                <w:szCs w:val="20"/>
              </w:rPr>
            </w:pPr>
            <w:r w:rsidRPr="00637713">
              <w:rPr>
                <w:rFonts w:ascii="Calibri" w:eastAsia="Times New Roman" w:hAnsi="Calibri" w:cs="Times New Roman"/>
                <w:sz w:val="20"/>
                <w:szCs w:val="20"/>
              </w:rPr>
              <w:t>Dec-14</w:t>
            </w:r>
          </w:p>
        </w:tc>
        <w:tc>
          <w:tcPr>
            <w:tcW w:w="1243" w:type="dxa"/>
            <w:tcBorders>
              <w:top w:val="nil"/>
              <w:left w:val="nil"/>
              <w:bottom w:val="single" w:sz="4" w:space="0" w:color="auto"/>
              <w:right w:val="single" w:sz="4" w:space="0" w:color="auto"/>
            </w:tcBorders>
            <w:shd w:val="clear" w:color="auto" w:fill="auto"/>
            <w:noWrap/>
            <w:vAlign w:val="center"/>
            <w:hideMark/>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533</w:t>
            </w:r>
          </w:p>
        </w:tc>
        <w:tc>
          <w:tcPr>
            <w:tcW w:w="1243" w:type="dxa"/>
            <w:tcBorders>
              <w:top w:val="single" w:sz="4" w:space="0" w:color="auto"/>
              <w:left w:val="nil"/>
              <w:bottom w:val="single" w:sz="4" w:space="0" w:color="auto"/>
              <w:right w:val="single" w:sz="4" w:space="0" w:color="auto"/>
            </w:tcBorders>
            <w:vAlign w:val="center"/>
          </w:tcPr>
          <w:p w:rsidR="00445520" w:rsidRPr="006C5F89" w:rsidRDefault="00445520" w:rsidP="005B7037">
            <w:pPr>
              <w:spacing w:after="0"/>
              <w:jc w:val="right"/>
              <w:rPr>
                <w:rFonts w:ascii="Calibri" w:eastAsia="Times New Roman" w:hAnsi="Calibri" w:cs="Times New Roman"/>
                <w:sz w:val="20"/>
                <w:szCs w:val="20"/>
              </w:rPr>
            </w:pPr>
            <w:r w:rsidRPr="006C5F89">
              <w:rPr>
                <w:rFonts w:ascii="Calibri" w:eastAsia="Times New Roman" w:hAnsi="Calibri" w:cs="Times New Roman"/>
                <w:sz w:val="20"/>
                <w:szCs w:val="20"/>
              </w:rPr>
              <w:t>99</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72</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4</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2.81</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w:t>
            </w:r>
          </w:p>
        </w:tc>
        <w:tc>
          <w:tcPr>
            <w:tcW w:w="1243" w:type="dxa"/>
            <w:tcBorders>
              <w:top w:val="single" w:sz="4" w:space="0" w:color="auto"/>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sz w:val="20"/>
                <w:szCs w:val="20"/>
              </w:rPr>
              <w:t>44</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4</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4.34</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5</w:t>
            </w:r>
          </w:p>
        </w:tc>
      </w:tr>
      <w:tr w:rsidR="00445520" w:rsidRPr="00637713" w:rsidTr="006C5F89">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445520" w:rsidRPr="00637713" w:rsidRDefault="00445520" w:rsidP="005B7037">
            <w:pPr>
              <w:spacing w:after="0"/>
              <w:rPr>
                <w:rFonts w:ascii="Calibri" w:eastAsia="Times New Roman" w:hAnsi="Calibri" w:cs="Times New Roman"/>
                <w:sz w:val="20"/>
                <w:szCs w:val="20"/>
              </w:rPr>
            </w:pPr>
            <w:r w:rsidRPr="00637713">
              <w:rPr>
                <w:rFonts w:ascii="Calibri" w:eastAsia="Times New Roman" w:hAnsi="Calibri" w:cs="Times New Roman"/>
                <w:sz w:val="20"/>
                <w:szCs w:val="20"/>
              </w:rPr>
              <w:t>Jan-15</w:t>
            </w:r>
          </w:p>
        </w:tc>
        <w:tc>
          <w:tcPr>
            <w:tcW w:w="1243" w:type="dxa"/>
            <w:tcBorders>
              <w:top w:val="nil"/>
              <w:left w:val="nil"/>
              <w:bottom w:val="single" w:sz="4" w:space="0" w:color="auto"/>
              <w:right w:val="single" w:sz="4" w:space="0" w:color="auto"/>
            </w:tcBorders>
            <w:shd w:val="clear" w:color="auto" w:fill="auto"/>
            <w:noWrap/>
            <w:vAlign w:val="center"/>
            <w:hideMark/>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522</w:t>
            </w:r>
          </w:p>
        </w:tc>
        <w:tc>
          <w:tcPr>
            <w:tcW w:w="1243" w:type="dxa"/>
            <w:tcBorders>
              <w:top w:val="single" w:sz="4" w:space="0" w:color="auto"/>
              <w:left w:val="nil"/>
              <w:bottom w:val="single" w:sz="4" w:space="0" w:color="auto"/>
              <w:right w:val="single" w:sz="4" w:space="0" w:color="auto"/>
            </w:tcBorders>
            <w:vAlign w:val="center"/>
          </w:tcPr>
          <w:p w:rsidR="00445520" w:rsidRPr="006C5F89" w:rsidRDefault="00445520" w:rsidP="005B7037">
            <w:pPr>
              <w:spacing w:after="0"/>
              <w:jc w:val="right"/>
              <w:rPr>
                <w:rFonts w:ascii="Calibri" w:eastAsia="Times New Roman" w:hAnsi="Calibri" w:cs="Times New Roman"/>
                <w:sz w:val="20"/>
                <w:szCs w:val="20"/>
              </w:rPr>
            </w:pPr>
            <w:r w:rsidRPr="006C5F89">
              <w:rPr>
                <w:rFonts w:ascii="Calibri" w:eastAsia="Times New Roman" w:hAnsi="Calibri" w:cs="Times New Roman"/>
                <w:sz w:val="20"/>
                <w:szCs w:val="20"/>
              </w:rPr>
              <w:t>92</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62</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3</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2.77</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w:t>
            </w:r>
          </w:p>
        </w:tc>
        <w:tc>
          <w:tcPr>
            <w:tcW w:w="1243" w:type="dxa"/>
            <w:tcBorders>
              <w:top w:val="single" w:sz="4" w:space="0" w:color="auto"/>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sz w:val="20"/>
                <w:szCs w:val="20"/>
              </w:rPr>
              <w:t>39</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3</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3.28</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w:t>
            </w:r>
          </w:p>
        </w:tc>
      </w:tr>
      <w:tr w:rsidR="00445520" w:rsidRPr="00637713" w:rsidTr="006C5F89">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445520" w:rsidRPr="00637713" w:rsidRDefault="00445520" w:rsidP="005B7037">
            <w:pPr>
              <w:spacing w:after="0"/>
              <w:rPr>
                <w:rFonts w:ascii="Calibri" w:eastAsia="Times New Roman" w:hAnsi="Calibri" w:cs="Times New Roman"/>
                <w:sz w:val="20"/>
                <w:szCs w:val="20"/>
              </w:rPr>
            </w:pPr>
            <w:r w:rsidRPr="00637713">
              <w:rPr>
                <w:rFonts w:ascii="Calibri" w:eastAsia="Times New Roman" w:hAnsi="Calibri" w:cs="Times New Roman"/>
                <w:sz w:val="20"/>
                <w:szCs w:val="20"/>
              </w:rPr>
              <w:t>Feb-15</w:t>
            </w:r>
          </w:p>
        </w:tc>
        <w:tc>
          <w:tcPr>
            <w:tcW w:w="1243" w:type="dxa"/>
            <w:tcBorders>
              <w:top w:val="nil"/>
              <w:left w:val="nil"/>
              <w:bottom w:val="single" w:sz="4" w:space="0" w:color="auto"/>
              <w:right w:val="single" w:sz="4" w:space="0" w:color="auto"/>
            </w:tcBorders>
            <w:shd w:val="clear" w:color="auto" w:fill="auto"/>
            <w:noWrap/>
            <w:vAlign w:val="center"/>
            <w:hideMark/>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535</w:t>
            </w:r>
          </w:p>
        </w:tc>
        <w:tc>
          <w:tcPr>
            <w:tcW w:w="1243" w:type="dxa"/>
            <w:tcBorders>
              <w:top w:val="single" w:sz="4" w:space="0" w:color="auto"/>
              <w:left w:val="nil"/>
              <w:bottom w:val="single" w:sz="4" w:space="0" w:color="auto"/>
              <w:right w:val="single" w:sz="4" w:space="0" w:color="auto"/>
            </w:tcBorders>
            <w:vAlign w:val="center"/>
          </w:tcPr>
          <w:p w:rsidR="00445520" w:rsidRPr="006C5F89" w:rsidRDefault="00445520" w:rsidP="005B7037">
            <w:pPr>
              <w:spacing w:after="0"/>
              <w:jc w:val="right"/>
              <w:rPr>
                <w:rFonts w:ascii="Calibri" w:eastAsia="Times New Roman" w:hAnsi="Calibri" w:cs="Times New Roman"/>
                <w:sz w:val="20"/>
                <w:szCs w:val="20"/>
              </w:rPr>
            </w:pPr>
            <w:r w:rsidRPr="006C5F89">
              <w:rPr>
                <w:rFonts w:ascii="Calibri" w:eastAsia="Times New Roman" w:hAnsi="Calibri" w:cs="Times New Roman"/>
                <w:sz w:val="20"/>
                <w:szCs w:val="20"/>
              </w:rPr>
              <w:t>114</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87</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2</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2.75</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w:t>
            </w:r>
          </w:p>
        </w:tc>
        <w:tc>
          <w:tcPr>
            <w:tcW w:w="1243" w:type="dxa"/>
            <w:tcBorders>
              <w:top w:val="single" w:sz="4" w:space="0" w:color="auto"/>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sz w:val="20"/>
                <w:szCs w:val="20"/>
              </w:rPr>
              <w:t>49</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2</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2.76</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3</w:t>
            </w:r>
          </w:p>
        </w:tc>
      </w:tr>
      <w:tr w:rsidR="00445520" w:rsidRPr="00637713" w:rsidTr="006C5F89">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445520" w:rsidRPr="00637713" w:rsidRDefault="00445520" w:rsidP="005B7037">
            <w:pPr>
              <w:spacing w:after="0"/>
              <w:rPr>
                <w:rFonts w:ascii="Calibri" w:eastAsia="Times New Roman" w:hAnsi="Calibri" w:cs="Times New Roman"/>
                <w:sz w:val="20"/>
                <w:szCs w:val="20"/>
              </w:rPr>
            </w:pPr>
            <w:r w:rsidRPr="00637713">
              <w:rPr>
                <w:rFonts w:ascii="Calibri" w:eastAsia="Times New Roman" w:hAnsi="Calibri" w:cs="Times New Roman"/>
                <w:sz w:val="20"/>
                <w:szCs w:val="20"/>
              </w:rPr>
              <w:t>Mar-15</w:t>
            </w:r>
          </w:p>
        </w:tc>
        <w:tc>
          <w:tcPr>
            <w:tcW w:w="1243" w:type="dxa"/>
            <w:tcBorders>
              <w:top w:val="nil"/>
              <w:left w:val="nil"/>
              <w:bottom w:val="single" w:sz="4" w:space="0" w:color="auto"/>
              <w:right w:val="single" w:sz="4" w:space="0" w:color="auto"/>
            </w:tcBorders>
            <w:shd w:val="clear" w:color="auto" w:fill="auto"/>
            <w:noWrap/>
            <w:vAlign w:val="center"/>
            <w:hideMark/>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599</w:t>
            </w:r>
          </w:p>
        </w:tc>
        <w:tc>
          <w:tcPr>
            <w:tcW w:w="1243" w:type="dxa"/>
            <w:tcBorders>
              <w:top w:val="single" w:sz="4" w:space="0" w:color="auto"/>
              <w:left w:val="nil"/>
              <w:bottom w:val="single" w:sz="4" w:space="0" w:color="auto"/>
              <w:right w:val="single" w:sz="4" w:space="0" w:color="auto"/>
            </w:tcBorders>
            <w:vAlign w:val="center"/>
          </w:tcPr>
          <w:p w:rsidR="00445520" w:rsidRPr="006C5F89" w:rsidRDefault="00445520" w:rsidP="005B7037">
            <w:pPr>
              <w:spacing w:after="0"/>
              <w:jc w:val="right"/>
              <w:rPr>
                <w:rFonts w:ascii="Calibri" w:eastAsia="Times New Roman" w:hAnsi="Calibri" w:cs="Times New Roman"/>
                <w:sz w:val="20"/>
                <w:szCs w:val="20"/>
              </w:rPr>
            </w:pPr>
            <w:r w:rsidRPr="006C5F89">
              <w:rPr>
                <w:rFonts w:ascii="Calibri" w:eastAsia="Times New Roman" w:hAnsi="Calibri" w:cs="Times New Roman"/>
                <w:sz w:val="20"/>
                <w:szCs w:val="20"/>
              </w:rPr>
              <w:t>122</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80</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1</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2.33</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2</w:t>
            </w:r>
          </w:p>
        </w:tc>
        <w:tc>
          <w:tcPr>
            <w:tcW w:w="1243" w:type="dxa"/>
            <w:tcBorders>
              <w:top w:val="single" w:sz="4" w:space="0" w:color="auto"/>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sz w:val="20"/>
                <w:szCs w:val="20"/>
              </w:rPr>
              <w:t>63</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1</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1.87</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2</w:t>
            </w:r>
          </w:p>
        </w:tc>
      </w:tr>
      <w:tr w:rsidR="00445520" w:rsidRPr="00637713" w:rsidTr="006C5F89">
        <w:trPr>
          <w:trHeight w:val="300"/>
        </w:trPr>
        <w:tc>
          <w:tcPr>
            <w:tcW w:w="1243" w:type="dxa"/>
            <w:tcBorders>
              <w:top w:val="nil"/>
              <w:left w:val="single" w:sz="4" w:space="0" w:color="auto"/>
              <w:bottom w:val="single" w:sz="4" w:space="0" w:color="auto"/>
              <w:right w:val="single" w:sz="4" w:space="0" w:color="auto"/>
            </w:tcBorders>
            <w:shd w:val="clear" w:color="auto" w:fill="auto"/>
            <w:noWrap/>
            <w:vAlign w:val="center"/>
            <w:hideMark/>
          </w:tcPr>
          <w:p w:rsidR="00445520" w:rsidRPr="00637713" w:rsidRDefault="00445520" w:rsidP="005B7037">
            <w:pPr>
              <w:spacing w:after="0"/>
              <w:rPr>
                <w:rFonts w:ascii="Calibri" w:eastAsia="Times New Roman" w:hAnsi="Calibri" w:cs="Times New Roman"/>
                <w:sz w:val="20"/>
                <w:szCs w:val="20"/>
              </w:rPr>
            </w:pPr>
            <w:r w:rsidRPr="00637713">
              <w:rPr>
                <w:rFonts w:ascii="Calibri" w:eastAsia="Times New Roman" w:hAnsi="Calibri" w:cs="Times New Roman"/>
                <w:sz w:val="20"/>
                <w:szCs w:val="20"/>
              </w:rPr>
              <w:t>Apr-15</w:t>
            </w:r>
          </w:p>
        </w:tc>
        <w:tc>
          <w:tcPr>
            <w:tcW w:w="1243" w:type="dxa"/>
            <w:tcBorders>
              <w:top w:val="nil"/>
              <w:left w:val="nil"/>
              <w:bottom w:val="single" w:sz="4" w:space="0" w:color="auto"/>
              <w:right w:val="single" w:sz="4" w:space="0" w:color="auto"/>
            </w:tcBorders>
            <w:shd w:val="clear" w:color="auto" w:fill="auto"/>
            <w:noWrap/>
            <w:vAlign w:val="center"/>
            <w:hideMark/>
          </w:tcPr>
          <w:p w:rsidR="00445520" w:rsidRPr="00637713" w:rsidRDefault="00445520" w:rsidP="005B7037">
            <w:pPr>
              <w:spacing w:after="0"/>
              <w:jc w:val="right"/>
              <w:rPr>
                <w:rFonts w:ascii="Calibri" w:eastAsia="Times New Roman" w:hAnsi="Calibri" w:cs="Times New Roman"/>
                <w:sz w:val="20"/>
                <w:szCs w:val="20"/>
              </w:rPr>
            </w:pPr>
            <w:r>
              <w:rPr>
                <w:rFonts w:ascii="Calibri" w:eastAsia="Times New Roman" w:hAnsi="Calibri" w:cs="Times New Roman"/>
                <w:sz w:val="20"/>
                <w:szCs w:val="20"/>
              </w:rPr>
              <w:t>584</w:t>
            </w:r>
          </w:p>
        </w:tc>
        <w:tc>
          <w:tcPr>
            <w:tcW w:w="1243" w:type="dxa"/>
            <w:tcBorders>
              <w:top w:val="single" w:sz="4" w:space="0" w:color="auto"/>
              <w:left w:val="nil"/>
              <w:bottom w:val="single" w:sz="4" w:space="0" w:color="auto"/>
              <w:right w:val="single" w:sz="4" w:space="0" w:color="auto"/>
            </w:tcBorders>
            <w:vAlign w:val="center"/>
          </w:tcPr>
          <w:p w:rsidR="00445520" w:rsidRPr="006C5F89" w:rsidRDefault="00445520" w:rsidP="005B7037">
            <w:pPr>
              <w:spacing w:after="0"/>
              <w:jc w:val="right"/>
              <w:rPr>
                <w:rFonts w:ascii="Calibri" w:eastAsia="Times New Roman" w:hAnsi="Calibri" w:cs="Times New Roman"/>
                <w:sz w:val="20"/>
                <w:szCs w:val="20"/>
              </w:rPr>
            </w:pPr>
            <w:r w:rsidRPr="006C5F89">
              <w:rPr>
                <w:rFonts w:ascii="Calibri" w:eastAsia="Times New Roman" w:hAnsi="Calibri" w:cs="Times New Roman"/>
                <w:sz w:val="20"/>
                <w:szCs w:val="20"/>
              </w:rPr>
              <w:t>116</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76</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0</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1.20</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1</w:t>
            </w:r>
          </w:p>
        </w:tc>
        <w:tc>
          <w:tcPr>
            <w:tcW w:w="1243" w:type="dxa"/>
            <w:tcBorders>
              <w:top w:val="single" w:sz="4" w:space="0" w:color="auto"/>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sz w:val="20"/>
                <w:szCs w:val="20"/>
              </w:rPr>
              <w:t>57</w:t>
            </w:r>
          </w:p>
        </w:tc>
        <w:tc>
          <w:tcPr>
            <w:tcW w:w="1243" w:type="dxa"/>
            <w:tcBorders>
              <w:top w:val="nil"/>
              <w:left w:val="single" w:sz="4" w:space="0" w:color="auto"/>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eastAsia="Times New Roman" w:hAnsi="Calibri" w:cs="Times New Roman"/>
                <w:sz w:val="20"/>
                <w:szCs w:val="20"/>
              </w:rPr>
              <w:t>0</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1.19</w:t>
            </w:r>
          </w:p>
        </w:tc>
        <w:tc>
          <w:tcPr>
            <w:tcW w:w="1243" w:type="dxa"/>
            <w:tcBorders>
              <w:top w:val="nil"/>
              <w:left w:val="nil"/>
              <w:bottom w:val="single" w:sz="4" w:space="0" w:color="auto"/>
              <w:right w:val="single" w:sz="4" w:space="0" w:color="auto"/>
            </w:tcBorders>
            <w:vAlign w:val="center"/>
          </w:tcPr>
          <w:p w:rsidR="00445520" w:rsidRPr="00637713" w:rsidRDefault="00445520" w:rsidP="005B7037">
            <w:pPr>
              <w:spacing w:after="0"/>
              <w:jc w:val="right"/>
              <w:rPr>
                <w:rFonts w:ascii="Calibri" w:eastAsia="Times New Roman" w:hAnsi="Calibri" w:cs="Times New Roman"/>
                <w:sz w:val="20"/>
                <w:szCs w:val="20"/>
              </w:rPr>
            </w:pPr>
            <w:r w:rsidRPr="00637713">
              <w:rPr>
                <w:rFonts w:ascii="Calibri" w:hAnsi="Calibri"/>
                <w:sz w:val="20"/>
                <w:szCs w:val="20"/>
              </w:rPr>
              <w:t>1</w:t>
            </w:r>
          </w:p>
        </w:tc>
      </w:tr>
    </w:tbl>
    <w:p w:rsidR="00974341" w:rsidRDefault="00974341" w:rsidP="00827973">
      <w:pPr>
        <w:pStyle w:val="Heading3"/>
        <w:keepNext/>
        <w:sectPr w:rsidR="00974341" w:rsidSect="00974341">
          <w:pgSz w:w="16838" w:h="11906" w:orient="landscape"/>
          <w:pgMar w:top="1588" w:right="1644" w:bottom="1361" w:left="1644" w:header="709" w:footer="709" w:gutter="0"/>
          <w:cols w:space="708"/>
          <w:docGrid w:linePitch="360"/>
        </w:sectPr>
      </w:pPr>
    </w:p>
    <w:p w:rsidR="00736041" w:rsidRDefault="001B5D37" w:rsidP="00827973">
      <w:pPr>
        <w:pStyle w:val="Heading3"/>
        <w:keepNext/>
      </w:pPr>
      <w:r w:rsidRPr="005E22C2">
        <w:lastRenderedPageBreak/>
        <w:t xml:space="preserve">Analysis </w:t>
      </w:r>
      <w:r w:rsidR="00481108" w:rsidRPr="005E22C2">
        <w:t xml:space="preserve">of </w:t>
      </w:r>
      <w:r w:rsidR="0063631C">
        <w:t>e</w:t>
      </w:r>
      <w:r w:rsidR="00736041" w:rsidRPr="005E22C2">
        <w:t>xpenditure</w:t>
      </w:r>
    </w:p>
    <w:p w:rsidR="00EF2415" w:rsidRPr="00EF2415" w:rsidRDefault="00EF2415" w:rsidP="00EF2415">
      <w:r>
        <w:t xml:space="preserve">As both ipilimumab and </w:t>
      </w:r>
      <w:proofErr w:type="spellStart"/>
      <w:r>
        <w:t>dabrafenib</w:t>
      </w:r>
      <w:proofErr w:type="spellEnd"/>
      <w:r>
        <w:t xml:space="preserve"> </w:t>
      </w:r>
      <w:r w:rsidR="00D3618C">
        <w:t>have special pricing arrangements, the expenditure o</w:t>
      </w:r>
      <w:r w:rsidR="001E0C6A">
        <w:t>n</w:t>
      </w:r>
      <w:r w:rsidR="00D3618C">
        <w:t xml:space="preserve"> these drugs available in the public domain does not reflect the actual cost to Government.</w:t>
      </w:r>
    </w:p>
    <w:p w:rsidR="00736041" w:rsidRPr="005E22C2" w:rsidRDefault="00D151EB" w:rsidP="00FE645A">
      <w:pPr>
        <w:pStyle w:val="Heading3"/>
      </w:pPr>
      <w:r>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rsidR="00590B25" w:rsidRDefault="00BC506B" w:rsidP="00590B25">
      <w:pPr>
        <w:pStyle w:val="Heading2"/>
      </w:pPr>
      <w:r w:rsidRPr="00BC506B">
        <w:t>Ipilimumab</w:t>
      </w:r>
      <w:r w:rsidR="00590B25" w:rsidRPr="00590B25">
        <w:t xml:space="preserve"> </w:t>
      </w:r>
    </w:p>
    <w:p w:rsidR="00BC506B" w:rsidRPr="00BC506B" w:rsidRDefault="00590B25" w:rsidP="00590B25">
      <w:pPr>
        <w:pStyle w:val="Tabletitle"/>
      </w:pPr>
      <w:r>
        <w:t xml:space="preserve">Table </w:t>
      </w:r>
      <w:r w:rsidR="002971FE">
        <w:t>5</w:t>
      </w:r>
      <w:r>
        <w:t>: Ipilimumab predicted versus actual</w:t>
      </w:r>
    </w:p>
    <w:tbl>
      <w:tblPr>
        <w:tblW w:w="8642" w:type="dxa"/>
        <w:tblInd w:w="93" w:type="dxa"/>
        <w:tblLook w:val="04A0" w:firstRow="1" w:lastRow="0" w:firstColumn="1" w:lastColumn="0" w:noHBand="0" w:noVBand="1"/>
        <w:tblCaption w:val="Ipilimumab predicted versus actual"/>
        <w:tblDescription w:val="Ipilimumab predicted versus actual patients, doses, doses per patient, and expenditure"/>
      </w:tblPr>
      <w:tblGrid>
        <w:gridCol w:w="1203"/>
        <w:gridCol w:w="1229"/>
        <w:gridCol w:w="1229"/>
        <w:gridCol w:w="1212"/>
        <w:gridCol w:w="1229"/>
        <w:gridCol w:w="1328"/>
        <w:gridCol w:w="1212"/>
      </w:tblGrid>
      <w:tr w:rsidR="00D97D01" w:rsidRPr="005442DD" w:rsidTr="005442DD">
        <w:trPr>
          <w:trHeight w:val="300"/>
        </w:trPr>
        <w:tc>
          <w:tcPr>
            <w:tcW w:w="120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97D01" w:rsidRPr="005442DD" w:rsidRDefault="00D97D01" w:rsidP="00460C33">
            <w:pPr>
              <w:spacing w:after="0"/>
              <w:rPr>
                <w:rFonts w:ascii="Calibri" w:eastAsia="Times New Roman" w:hAnsi="Calibri" w:cs="Times New Roman"/>
                <w:b/>
                <w:color w:val="000000"/>
                <w:sz w:val="20"/>
                <w:szCs w:val="20"/>
              </w:rPr>
            </w:pPr>
            <w:r w:rsidRPr="005442DD">
              <w:rPr>
                <w:rFonts w:ascii="Calibri" w:eastAsia="Times New Roman" w:hAnsi="Calibri" w:cs="Times New Roman"/>
                <w:b/>
                <w:color w:val="000000"/>
                <w:sz w:val="20"/>
                <w:szCs w:val="20"/>
              </w:rPr>
              <w:t> </w:t>
            </w:r>
          </w:p>
        </w:tc>
        <w:tc>
          <w:tcPr>
            <w:tcW w:w="3670"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97D01" w:rsidRPr="005442DD" w:rsidRDefault="00D97D01" w:rsidP="00D97D01">
            <w:pPr>
              <w:spacing w:after="0"/>
              <w:jc w:val="center"/>
              <w:rPr>
                <w:rFonts w:ascii="Calibri" w:eastAsia="Times New Roman" w:hAnsi="Calibri" w:cs="Times New Roman"/>
                <w:b/>
                <w:color w:val="000000"/>
                <w:sz w:val="20"/>
                <w:szCs w:val="20"/>
              </w:rPr>
            </w:pPr>
            <w:r w:rsidRPr="005442DD">
              <w:rPr>
                <w:rFonts w:ascii="Calibri" w:eastAsia="Times New Roman" w:hAnsi="Calibri" w:cs="Times New Roman"/>
                <w:b/>
                <w:color w:val="000000"/>
                <w:sz w:val="20"/>
                <w:szCs w:val="20"/>
              </w:rPr>
              <w:t>Year 1</w:t>
            </w:r>
            <w:r w:rsidR="00D84DDC" w:rsidRPr="005442DD">
              <w:rPr>
                <w:rFonts w:ascii="Calibri" w:eastAsia="Times New Roman" w:hAnsi="Calibri" w:cs="Times New Roman"/>
                <w:b/>
                <w:color w:val="000000"/>
                <w:sz w:val="20"/>
                <w:szCs w:val="20"/>
              </w:rPr>
              <w:t xml:space="preserve"> (</w:t>
            </w:r>
            <w:r w:rsidR="00D65C3C" w:rsidRPr="005442DD">
              <w:rPr>
                <w:rFonts w:ascii="Calibri" w:eastAsia="Times New Roman" w:hAnsi="Calibri" w:cs="Times New Roman"/>
                <w:b/>
                <w:color w:val="000000"/>
                <w:sz w:val="20"/>
                <w:szCs w:val="20"/>
              </w:rPr>
              <w:t>Aug 2013 to July 20</w:t>
            </w:r>
            <w:r w:rsidR="00D84DDC" w:rsidRPr="005442DD">
              <w:rPr>
                <w:rFonts w:ascii="Calibri" w:eastAsia="Times New Roman" w:hAnsi="Calibri" w:cs="Times New Roman"/>
                <w:b/>
                <w:color w:val="000000"/>
                <w:sz w:val="20"/>
                <w:szCs w:val="20"/>
              </w:rPr>
              <w:t>14)</w:t>
            </w:r>
          </w:p>
        </w:tc>
        <w:tc>
          <w:tcPr>
            <w:tcW w:w="3769" w:type="dxa"/>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97D01" w:rsidRPr="005442DD" w:rsidRDefault="00D97D01" w:rsidP="00D65C3C">
            <w:pPr>
              <w:spacing w:after="0"/>
              <w:jc w:val="center"/>
              <w:rPr>
                <w:rFonts w:ascii="Calibri" w:eastAsia="Times New Roman" w:hAnsi="Calibri" w:cs="Times New Roman"/>
                <w:b/>
                <w:color w:val="000000"/>
                <w:sz w:val="20"/>
                <w:szCs w:val="20"/>
              </w:rPr>
            </w:pPr>
            <w:r w:rsidRPr="005442DD">
              <w:rPr>
                <w:rFonts w:ascii="Calibri" w:eastAsia="Times New Roman" w:hAnsi="Calibri" w:cs="Times New Roman"/>
                <w:b/>
                <w:color w:val="000000"/>
                <w:sz w:val="20"/>
                <w:szCs w:val="20"/>
              </w:rPr>
              <w:t>Year 2</w:t>
            </w:r>
            <w:r w:rsidR="00D84DDC" w:rsidRPr="005442DD">
              <w:rPr>
                <w:rFonts w:ascii="Calibri" w:eastAsia="Times New Roman" w:hAnsi="Calibri" w:cs="Times New Roman"/>
                <w:b/>
                <w:color w:val="000000"/>
                <w:sz w:val="20"/>
                <w:szCs w:val="20"/>
              </w:rPr>
              <w:t xml:space="preserve"> (Aug 2014 to </w:t>
            </w:r>
            <w:r w:rsidR="00D65C3C" w:rsidRPr="005442DD">
              <w:rPr>
                <w:rFonts w:ascii="Calibri" w:eastAsia="Times New Roman" w:hAnsi="Calibri" w:cs="Times New Roman"/>
                <w:b/>
                <w:color w:val="000000"/>
                <w:sz w:val="20"/>
                <w:szCs w:val="20"/>
              </w:rPr>
              <w:t>July</w:t>
            </w:r>
            <w:r w:rsidR="00D84DDC" w:rsidRPr="005442DD">
              <w:rPr>
                <w:rFonts w:ascii="Calibri" w:eastAsia="Times New Roman" w:hAnsi="Calibri" w:cs="Times New Roman"/>
                <w:b/>
                <w:color w:val="000000"/>
                <w:sz w:val="20"/>
                <w:szCs w:val="20"/>
              </w:rPr>
              <w:t xml:space="preserve"> 2015)</w:t>
            </w:r>
          </w:p>
        </w:tc>
      </w:tr>
      <w:tr w:rsidR="00DB2CD8" w:rsidRPr="005442DD" w:rsidTr="00656B1A">
        <w:trPr>
          <w:trHeight w:val="300"/>
        </w:trPr>
        <w:tc>
          <w:tcPr>
            <w:tcW w:w="120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DB2CD8" w:rsidRPr="005442DD" w:rsidRDefault="00DB2CD8" w:rsidP="00460C33">
            <w:pPr>
              <w:spacing w:after="0"/>
              <w:rPr>
                <w:rFonts w:ascii="Calibri" w:eastAsia="Times New Roman" w:hAnsi="Calibri" w:cs="Times New Roman"/>
                <w:b/>
                <w:color w:val="000000"/>
                <w:sz w:val="20"/>
                <w:szCs w:val="20"/>
              </w:rPr>
            </w:pPr>
            <w:r w:rsidRPr="005442DD">
              <w:rPr>
                <w:rFonts w:ascii="Calibri" w:eastAsia="Times New Roman" w:hAnsi="Calibri" w:cs="Times New Roman"/>
                <w:b/>
                <w:color w:val="000000"/>
                <w:sz w:val="20"/>
                <w:szCs w:val="20"/>
              </w:rPr>
              <w:t> </w:t>
            </w:r>
          </w:p>
        </w:tc>
        <w:tc>
          <w:tcPr>
            <w:tcW w:w="1229" w:type="dxa"/>
            <w:tcBorders>
              <w:top w:val="nil"/>
              <w:left w:val="nil"/>
              <w:bottom w:val="single" w:sz="4" w:space="0" w:color="auto"/>
              <w:right w:val="single" w:sz="4" w:space="0" w:color="auto"/>
            </w:tcBorders>
            <w:shd w:val="clear" w:color="auto" w:fill="BFBFBF" w:themeFill="background1" w:themeFillShade="BF"/>
            <w:vAlign w:val="center"/>
            <w:hideMark/>
          </w:tcPr>
          <w:p w:rsidR="00DB2CD8" w:rsidRPr="005442DD" w:rsidRDefault="00DB2CD8" w:rsidP="00656B1A">
            <w:pPr>
              <w:spacing w:after="0"/>
              <w:jc w:val="center"/>
              <w:rPr>
                <w:rFonts w:ascii="Calibri" w:eastAsia="Times New Roman" w:hAnsi="Calibri" w:cs="Times New Roman"/>
                <w:b/>
                <w:color w:val="000000"/>
                <w:sz w:val="20"/>
                <w:szCs w:val="20"/>
              </w:rPr>
            </w:pPr>
            <w:r w:rsidRPr="005442DD">
              <w:rPr>
                <w:rFonts w:ascii="Calibri" w:eastAsia="Times New Roman" w:hAnsi="Calibri" w:cs="Times New Roman"/>
                <w:b/>
                <w:color w:val="000000"/>
                <w:sz w:val="20"/>
                <w:szCs w:val="20"/>
              </w:rPr>
              <w:t>Predicted</w:t>
            </w:r>
          </w:p>
        </w:tc>
        <w:tc>
          <w:tcPr>
            <w:tcW w:w="1229" w:type="dxa"/>
            <w:tcBorders>
              <w:top w:val="nil"/>
              <w:left w:val="nil"/>
              <w:bottom w:val="single" w:sz="4" w:space="0" w:color="auto"/>
              <w:right w:val="single" w:sz="4" w:space="0" w:color="auto"/>
            </w:tcBorders>
            <w:shd w:val="clear" w:color="auto" w:fill="BFBFBF" w:themeFill="background1" w:themeFillShade="BF"/>
            <w:vAlign w:val="center"/>
            <w:hideMark/>
          </w:tcPr>
          <w:p w:rsidR="00DB2CD8" w:rsidRPr="005442DD" w:rsidRDefault="00DB2CD8" w:rsidP="00656B1A">
            <w:pPr>
              <w:spacing w:after="0"/>
              <w:jc w:val="center"/>
              <w:rPr>
                <w:rFonts w:ascii="Calibri" w:eastAsia="Times New Roman" w:hAnsi="Calibri" w:cs="Times New Roman"/>
                <w:b/>
                <w:color w:val="000000"/>
                <w:sz w:val="20"/>
                <w:szCs w:val="20"/>
              </w:rPr>
            </w:pPr>
            <w:r w:rsidRPr="005442DD">
              <w:rPr>
                <w:rFonts w:ascii="Calibri" w:eastAsia="Times New Roman" w:hAnsi="Calibri" w:cs="Times New Roman"/>
                <w:b/>
                <w:color w:val="000000"/>
                <w:sz w:val="20"/>
                <w:szCs w:val="20"/>
              </w:rPr>
              <w:t>Actual</w:t>
            </w:r>
          </w:p>
        </w:tc>
        <w:tc>
          <w:tcPr>
            <w:tcW w:w="1212" w:type="dxa"/>
            <w:tcBorders>
              <w:top w:val="nil"/>
              <w:left w:val="nil"/>
              <w:bottom w:val="single" w:sz="4" w:space="0" w:color="auto"/>
              <w:right w:val="single" w:sz="4" w:space="0" w:color="auto"/>
            </w:tcBorders>
            <w:shd w:val="clear" w:color="auto" w:fill="BFBFBF" w:themeFill="background1" w:themeFillShade="BF"/>
            <w:noWrap/>
            <w:vAlign w:val="center"/>
            <w:hideMark/>
          </w:tcPr>
          <w:p w:rsidR="00DB2CD8" w:rsidRPr="005442DD" w:rsidRDefault="00DB2CD8" w:rsidP="00656B1A">
            <w:pPr>
              <w:spacing w:after="0"/>
              <w:jc w:val="center"/>
              <w:rPr>
                <w:rFonts w:ascii="Calibri" w:eastAsia="Times New Roman" w:hAnsi="Calibri" w:cs="Times New Roman"/>
                <w:b/>
                <w:color w:val="000000"/>
                <w:sz w:val="20"/>
                <w:szCs w:val="20"/>
              </w:rPr>
            </w:pPr>
            <w:r w:rsidRPr="005442DD">
              <w:rPr>
                <w:rFonts w:ascii="Calibri" w:eastAsia="Times New Roman" w:hAnsi="Calibri" w:cs="Times New Roman"/>
                <w:b/>
                <w:color w:val="000000"/>
                <w:sz w:val="20"/>
                <w:szCs w:val="20"/>
              </w:rPr>
              <w:t>% of predicted</w:t>
            </w:r>
          </w:p>
        </w:tc>
        <w:tc>
          <w:tcPr>
            <w:tcW w:w="1229" w:type="dxa"/>
            <w:tcBorders>
              <w:top w:val="nil"/>
              <w:left w:val="nil"/>
              <w:bottom w:val="single" w:sz="4" w:space="0" w:color="auto"/>
              <w:right w:val="single" w:sz="4" w:space="0" w:color="auto"/>
            </w:tcBorders>
            <w:shd w:val="clear" w:color="auto" w:fill="BFBFBF" w:themeFill="background1" w:themeFillShade="BF"/>
            <w:vAlign w:val="center"/>
            <w:hideMark/>
          </w:tcPr>
          <w:p w:rsidR="00DB2CD8" w:rsidRPr="005442DD" w:rsidRDefault="00DB2CD8" w:rsidP="00656B1A">
            <w:pPr>
              <w:spacing w:after="0"/>
              <w:jc w:val="center"/>
              <w:rPr>
                <w:rFonts w:ascii="Calibri" w:eastAsia="Times New Roman" w:hAnsi="Calibri" w:cs="Times New Roman"/>
                <w:b/>
                <w:color w:val="000000"/>
                <w:sz w:val="20"/>
                <w:szCs w:val="20"/>
              </w:rPr>
            </w:pPr>
            <w:r w:rsidRPr="005442DD">
              <w:rPr>
                <w:rFonts w:ascii="Calibri" w:eastAsia="Times New Roman" w:hAnsi="Calibri" w:cs="Times New Roman"/>
                <w:b/>
                <w:color w:val="000000"/>
                <w:sz w:val="20"/>
                <w:szCs w:val="20"/>
              </w:rPr>
              <w:t>Predicted</w:t>
            </w:r>
          </w:p>
        </w:tc>
        <w:tc>
          <w:tcPr>
            <w:tcW w:w="1328" w:type="dxa"/>
            <w:tcBorders>
              <w:top w:val="nil"/>
              <w:left w:val="nil"/>
              <w:bottom w:val="single" w:sz="4" w:space="0" w:color="auto"/>
              <w:right w:val="single" w:sz="4" w:space="0" w:color="auto"/>
            </w:tcBorders>
            <w:shd w:val="clear" w:color="auto" w:fill="BFBFBF" w:themeFill="background1" w:themeFillShade="BF"/>
            <w:vAlign w:val="center"/>
            <w:hideMark/>
          </w:tcPr>
          <w:p w:rsidR="00DB2CD8" w:rsidRPr="005442DD" w:rsidRDefault="00DB2CD8" w:rsidP="00656B1A">
            <w:pPr>
              <w:spacing w:after="0"/>
              <w:jc w:val="center"/>
              <w:rPr>
                <w:rFonts w:ascii="Calibri" w:eastAsia="Times New Roman" w:hAnsi="Calibri" w:cs="Times New Roman"/>
                <w:b/>
                <w:color w:val="000000"/>
                <w:sz w:val="20"/>
                <w:szCs w:val="20"/>
              </w:rPr>
            </w:pPr>
            <w:r w:rsidRPr="005442DD">
              <w:rPr>
                <w:rFonts w:ascii="Calibri" w:eastAsia="Times New Roman" w:hAnsi="Calibri" w:cs="Times New Roman"/>
                <w:b/>
                <w:color w:val="000000"/>
                <w:sz w:val="20"/>
                <w:szCs w:val="20"/>
              </w:rPr>
              <w:t>Actual</w:t>
            </w:r>
          </w:p>
        </w:tc>
        <w:tc>
          <w:tcPr>
            <w:tcW w:w="1212" w:type="dxa"/>
            <w:tcBorders>
              <w:top w:val="nil"/>
              <w:left w:val="nil"/>
              <w:bottom w:val="single" w:sz="4" w:space="0" w:color="auto"/>
              <w:right w:val="single" w:sz="4" w:space="0" w:color="auto"/>
            </w:tcBorders>
            <w:shd w:val="clear" w:color="auto" w:fill="BFBFBF" w:themeFill="background1" w:themeFillShade="BF"/>
            <w:noWrap/>
            <w:vAlign w:val="center"/>
            <w:hideMark/>
          </w:tcPr>
          <w:p w:rsidR="00DB2CD8" w:rsidRPr="005442DD" w:rsidRDefault="00DB2CD8" w:rsidP="00656B1A">
            <w:pPr>
              <w:spacing w:after="0"/>
              <w:jc w:val="center"/>
              <w:rPr>
                <w:rFonts w:ascii="Calibri" w:eastAsia="Times New Roman" w:hAnsi="Calibri" w:cs="Times New Roman"/>
                <w:b/>
                <w:color w:val="000000"/>
                <w:sz w:val="20"/>
                <w:szCs w:val="20"/>
              </w:rPr>
            </w:pPr>
            <w:r w:rsidRPr="005442DD">
              <w:rPr>
                <w:rFonts w:ascii="Calibri" w:eastAsia="Times New Roman" w:hAnsi="Calibri" w:cs="Times New Roman"/>
                <w:b/>
                <w:color w:val="000000"/>
                <w:sz w:val="20"/>
                <w:szCs w:val="20"/>
              </w:rPr>
              <w:t>% of predicted</w:t>
            </w:r>
          </w:p>
        </w:tc>
      </w:tr>
      <w:tr w:rsidR="005D6FB4" w:rsidRPr="00DB2CD8" w:rsidTr="006C5F89">
        <w:trPr>
          <w:trHeight w:val="30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FB4" w:rsidRPr="00460C33" w:rsidRDefault="005D6FB4" w:rsidP="00460C33">
            <w:pPr>
              <w:pStyle w:val="Tableheading"/>
              <w:jc w:val="left"/>
              <w:rPr>
                <w:b w:val="0"/>
                <w:sz w:val="20"/>
                <w:szCs w:val="20"/>
              </w:rPr>
            </w:pPr>
            <w:r w:rsidRPr="00460C33">
              <w:rPr>
                <w:b w:val="0"/>
                <w:sz w:val="20"/>
                <w:szCs w:val="20"/>
              </w:rPr>
              <w:t>Patients</w:t>
            </w:r>
          </w:p>
        </w:tc>
        <w:tc>
          <w:tcPr>
            <w:tcW w:w="1229" w:type="dxa"/>
            <w:tcBorders>
              <w:top w:val="nil"/>
              <w:left w:val="nil"/>
              <w:bottom w:val="single" w:sz="4" w:space="0" w:color="auto"/>
              <w:right w:val="single" w:sz="4" w:space="0" w:color="auto"/>
            </w:tcBorders>
            <w:shd w:val="clear" w:color="auto" w:fill="auto"/>
            <w:vAlign w:val="center"/>
            <w:hideMark/>
          </w:tcPr>
          <w:p w:rsidR="005D6FB4" w:rsidRPr="00460C33" w:rsidRDefault="005D6FB4" w:rsidP="00460C33">
            <w:pPr>
              <w:pStyle w:val="Tableheading"/>
              <w:jc w:val="right"/>
              <w:rPr>
                <w:b w:val="0"/>
                <w:sz w:val="20"/>
                <w:szCs w:val="20"/>
              </w:rPr>
            </w:pPr>
            <w:r w:rsidRPr="00460C33">
              <w:rPr>
                <w:b w:val="0"/>
                <w:sz w:val="20"/>
                <w:szCs w:val="20"/>
              </w:rPr>
              <w:t>817</w:t>
            </w:r>
          </w:p>
        </w:tc>
        <w:tc>
          <w:tcPr>
            <w:tcW w:w="1229" w:type="dxa"/>
            <w:tcBorders>
              <w:top w:val="nil"/>
              <w:left w:val="nil"/>
              <w:bottom w:val="single" w:sz="4" w:space="0" w:color="auto"/>
              <w:right w:val="single" w:sz="4" w:space="0" w:color="auto"/>
            </w:tcBorders>
            <w:shd w:val="clear" w:color="auto" w:fill="auto"/>
            <w:vAlign w:val="center"/>
            <w:hideMark/>
          </w:tcPr>
          <w:p w:rsidR="005D6FB4" w:rsidRPr="00460C33" w:rsidRDefault="005D6FB4" w:rsidP="00460C33">
            <w:pPr>
              <w:pStyle w:val="Tableheading"/>
              <w:jc w:val="right"/>
              <w:rPr>
                <w:b w:val="0"/>
                <w:sz w:val="20"/>
                <w:szCs w:val="20"/>
              </w:rPr>
            </w:pPr>
            <w:r w:rsidRPr="00460C33">
              <w:rPr>
                <w:b w:val="0"/>
                <w:sz w:val="20"/>
                <w:szCs w:val="20"/>
              </w:rPr>
              <w:t>900</w:t>
            </w:r>
          </w:p>
        </w:tc>
        <w:tc>
          <w:tcPr>
            <w:tcW w:w="1212" w:type="dxa"/>
            <w:tcBorders>
              <w:top w:val="nil"/>
              <w:left w:val="nil"/>
              <w:bottom w:val="single" w:sz="4" w:space="0" w:color="auto"/>
              <w:right w:val="single" w:sz="4" w:space="0" w:color="auto"/>
            </w:tcBorders>
            <w:shd w:val="clear" w:color="auto" w:fill="auto"/>
            <w:noWrap/>
            <w:vAlign w:val="bottom"/>
            <w:hideMark/>
          </w:tcPr>
          <w:p w:rsidR="005D6FB4" w:rsidRPr="00460C33" w:rsidRDefault="005D6FB4" w:rsidP="00460C33">
            <w:pPr>
              <w:pStyle w:val="Tableheading"/>
              <w:jc w:val="right"/>
              <w:rPr>
                <w:b w:val="0"/>
                <w:sz w:val="20"/>
                <w:szCs w:val="20"/>
              </w:rPr>
            </w:pPr>
            <w:r w:rsidRPr="00460C33">
              <w:rPr>
                <w:b w:val="0"/>
                <w:sz w:val="20"/>
                <w:szCs w:val="20"/>
              </w:rPr>
              <w:t>+10%</w:t>
            </w:r>
          </w:p>
        </w:tc>
        <w:tc>
          <w:tcPr>
            <w:tcW w:w="1229" w:type="dxa"/>
            <w:tcBorders>
              <w:top w:val="nil"/>
              <w:left w:val="nil"/>
              <w:bottom w:val="single" w:sz="4" w:space="0" w:color="auto"/>
              <w:right w:val="single" w:sz="4" w:space="0" w:color="auto"/>
            </w:tcBorders>
            <w:shd w:val="clear" w:color="auto" w:fill="auto"/>
            <w:vAlign w:val="center"/>
            <w:hideMark/>
          </w:tcPr>
          <w:p w:rsidR="005D6FB4" w:rsidRPr="00460C33" w:rsidRDefault="005D6FB4" w:rsidP="00460C33">
            <w:pPr>
              <w:pStyle w:val="Tableheading"/>
              <w:jc w:val="right"/>
              <w:rPr>
                <w:b w:val="0"/>
                <w:sz w:val="20"/>
                <w:szCs w:val="20"/>
              </w:rPr>
            </w:pPr>
            <w:r w:rsidRPr="00460C33">
              <w:rPr>
                <w:b w:val="0"/>
                <w:sz w:val="20"/>
                <w:szCs w:val="20"/>
              </w:rPr>
              <w:t>857</w:t>
            </w:r>
          </w:p>
        </w:tc>
        <w:tc>
          <w:tcPr>
            <w:tcW w:w="1328" w:type="dxa"/>
            <w:tcBorders>
              <w:top w:val="nil"/>
              <w:left w:val="nil"/>
              <w:bottom w:val="single" w:sz="4" w:space="0" w:color="auto"/>
              <w:right w:val="single" w:sz="4" w:space="0" w:color="auto"/>
            </w:tcBorders>
            <w:shd w:val="clear" w:color="auto" w:fill="auto"/>
            <w:vAlign w:val="center"/>
            <w:hideMark/>
          </w:tcPr>
          <w:p w:rsidR="005D6FB4" w:rsidRPr="00460C33" w:rsidRDefault="005D6FB4" w:rsidP="00460C33">
            <w:pPr>
              <w:pStyle w:val="Tableheading"/>
              <w:jc w:val="right"/>
              <w:rPr>
                <w:b w:val="0"/>
                <w:sz w:val="20"/>
                <w:szCs w:val="20"/>
              </w:rPr>
            </w:pPr>
            <w:r w:rsidRPr="00460C33">
              <w:rPr>
                <w:b w:val="0"/>
                <w:sz w:val="20"/>
                <w:szCs w:val="20"/>
              </w:rPr>
              <w:t>731*</w:t>
            </w:r>
          </w:p>
        </w:tc>
        <w:tc>
          <w:tcPr>
            <w:tcW w:w="1212" w:type="dxa"/>
            <w:tcBorders>
              <w:top w:val="nil"/>
              <w:left w:val="nil"/>
              <w:bottom w:val="single" w:sz="4" w:space="0" w:color="auto"/>
              <w:right w:val="single" w:sz="4" w:space="0" w:color="auto"/>
            </w:tcBorders>
            <w:shd w:val="clear" w:color="auto" w:fill="auto"/>
            <w:noWrap/>
            <w:vAlign w:val="bottom"/>
            <w:hideMark/>
          </w:tcPr>
          <w:p w:rsidR="005D6FB4" w:rsidRPr="00460C33" w:rsidRDefault="005D6FB4" w:rsidP="00460C33">
            <w:pPr>
              <w:pStyle w:val="Tableheading"/>
              <w:jc w:val="right"/>
              <w:rPr>
                <w:b w:val="0"/>
                <w:sz w:val="20"/>
                <w:szCs w:val="20"/>
              </w:rPr>
            </w:pPr>
            <w:r w:rsidRPr="00460C33">
              <w:rPr>
                <w:b w:val="0"/>
                <w:sz w:val="20"/>
                <w:szCs w:val="20"/>
              </w:rPr>
              <w:t>-15%</w:t>
            </w:r>
          </w:p>
        </w:tc>
      </w:tr>
      <w:tr w:rsidR="005D6FB4" w:rsidRPr="00DB2CD8" w:rsidTr="006C5F89">
        <w:trPr>
          <w:trHeight w:val="300"/>
        </w:trPr>
        <w:tc>
          <w:tcPr>
            <w:tcW w:w="1203" w:type="dxa"/>
            <w:tcBorders>
              <w:top w:val="nil"/>
              <w:left w:val="single" w:sz="4" w:space="0" w:color="auto"/>
              <w:bottom w:val="single" w:sz="4" w:space="0" w:color="auto"/>
              <w:right w:val="single" w:sz="4" w:space="0" w:color="auto"/>
            </w:tcBorders>
            <w:shd w:val="clear" w:color="auto" w:fill="auto"/>
            <w:vAlign w:val="center"/>
            <w:hideMark/>
          </w:tcPr>
          <w:p w:rsidR="005D6FB4" w:rsidRPr="00460C33" w:rsidRDefault="005D6FB4" w:rsidP="00460C33">
            <w:pPr>
              <w:pStyle w:val="Tableheading"/>
              <w:jc w:val="left"/>
              <w:rPr>
                <w:b w:val="0"/>
                <w:sz w:val="20"/>
                <w:szCs w:val="20"/>
              </w:rPr>
            </w:pPr>
            <w:r w:rsidRPr="00460C33">
              <w:rPr>
                <w:b w:val="0"/>
                <w:sz w:val="20"/>
                <w:szCs w:val="20"/>
              </w:rPr>
              <w:t>Doses</w:t>
            </w:r>
          </w:p>
        </w:tc>
        <w:tc>
          <w:tcPr>
            <w:tcW w:w="1229" w:type="dxa"/>
            <w:tcBorders>
              <w:top w:val="nil"/>
              <w:left w:val="nil"/>
              <w:bottom w:val="single" w:sz="4" w:space="0" w:color="auto"/>
              <w:right w:val="single" w:sz="4" w:space="0" w:color="auto"/>
            </w:tcBorders>
            <w:shd w:val="clear" w:color="auto" w:fill="auto"/>
            <w:vAlign w:val="center"/>
            <w:hideMark/>
          </w:tcPr>
          <w:p w:rsidR="005D6FB4" w:rsidRPr="00460C33" w:rsidRDefault="005D6FB4" w:rsidP="00460C33">
            <w:pPr>
              <w:pStyle w:val="Tableheading"/>
              <w:jc w:val="right"/>
              <w:rPr>
                <w:b w:val="0"/>
                <w:sz w:val="20"/>
                <w:szCs w:val="20"/>
              </w:rPr>
            </w:pPr>
            <w:r w:rsidRPr="00460C33">
              <w:rPr>
                <w:b w:val="0"/>
                <w:sz w:val="20"/>
                <w:szCs w:val="20"/>
              </w:rPr>
              <w:t>3,063</w:t>
            </w:r>
          </w:p>
        </w:tc>
        <w:tc>
          <w:tcPr>
            <w:tcW w:w="1229" w:type="dxa"/>
            <w:tcBorders>
              <w:top w:val="nil"/>
              <w:left w:val="nil"/>
              <w:bottom w:val="single" w:sz="4" w:space="0" w:color="auto"/>
              <w:right w:val="single" w:sz="4" w:space="0" w:color="auto"/>
            </w:tcBorders>
            <w:shd w:val="clear" w:color="auto" w:fill="auto"/>
            <w:vAlign w:val="center"/>
            <w:hideMark/>
          </w:tcPr>
          <w:p w:rsidR="005D6FB4" w:rsidRPr="00460C33" w:rsidRDefault="005D6FB4" w:rsidP="00460C33">
            <w:pPr>
              <w:pStyle w:val="Tableheading"/>
              <w:jc w:val="right"/>
              <w:rPr>
                <w:b w:val="0"/>
                <w:sz w:val="20"/>
                <w:szCs w:val="20"/>
              </w:rPr>
            </w:pPr>
            <w:r w:rsidRPr="00460C33">
              <w:rPr>
                <w:b w:val="0"/>
                <w:sz w:val="20"/>
                <w:szCs w:val="20"/>
              </w:rPr>
              <w:t>2,631</w:t>
            </w:r>
          </w:p>
        </w:tc>
        <w:tc>
          <w:tcPr>
            <w:tcW w:w="1212" w:type="dxa"/>
            <w:tcBorders>
              <w:top w:val="nil"/>
              <w:left w:val="nil"/>
              <w:bottom w:val="single" w:sz="4" w:space="0" w:color="auto"/>
              <w:right w:val="single" w:sz="4" w:space="0" w:color="auto"/>
            </w:tcBorders>
            <w:shd w:val="clear" w:color="auto" w:fill="auto"/>
            <w:noWrap/>
            <w:vAlign w:val="bottom"/>
            <w:hideMark/>
          </w:tcPr>
          <w:p w:rsidR="005D6FB4" w:rsidRPr="00460C33" w:rsidRDefault="005D6FB4" w:rsidP="00460C33">
            <w:pPr>
              <w:pStyle w:val="Tableheading"/>
              <w:jc w:val="right"/>
              <w:rPr>
                <w:b w:val="0"/>
                <w:sz w:val="20"/>
                <w:szCs w:val="20"/>
              </w:rPr>
            </w:pPr>
            <w:r w:rsidRPr="00460C33">
              <w:rPr>
                <w:b w:val="0"/>
                <w:sz w:val="20"/>
                <w:szCs w:val="20"/>
              </w:rPr>
              <w:t>-14%</w:t>
            </w:r>
          </w:p>
        </w:tc>
        <w:tc>
          <w:tcPr>
            <w:tcW w:w="1229" w:type="dxa"/>
            <w:tcBorders>
              <w:top w:val="nil"/>
              <w:left w:val="nil"/>
              <w:bottom w:val="single" w:sz="4" w:space="0" w:color="auto"/>
              <w:right w:val="single" w:sz="4" w:space="0" w:color="auto"/>
            </w:tcBorders>
            <w:shd w:val="clear" w:color="auto" w:fill="auto"/>
            <w:vAlign w:val="center"/>
            <w:hideMark/>
          </w:tcPr>
          <w:p w:rsidR="005D6FB4" w:rsidRPr="00460C33" w:rsidRDefault="005D6FB4" w:rsidP="00460C33">
            <w:pPr>
              <w:pStyle w:val="Tableheading"/>
              <w:jc w:val="right"/>
              <w:rPr>
                <w:b w:val="0"/>
                <w:sz w:val="20"/>
                <w:szCs w:val="20"/>
              </w:rPr>
            </w:pPr>
            <w:r w:rsidRPr="00460C33">
              <w:rPr>
                <w:b w:val="0"/>
                <w:sz w:val="20"/>
                <w:szCs w:val="20"/>
              </w:rPr>
              <w:t>3,217</w:t>
            </w:r>
          </w:p>
        </w:tc>
        <w:tc>
          <w:tcPr>
            <w:tcW w:w="1328" w:type="dxa"/>
            <w:tcBorders>
              <w:top w:val="nil"/>
              <w:left w:val="nil"/>
              <w:bottom w:val="single" w:sz="4" w:space="0" w:color="auto"/>
              <w:right w:val="single" w:sz="4" w:space="0" w:color="auto"/>
            </w:tcBorders>
            <w:shd w:val="clear" w:color="auto" w:fill="auto"/>
            <w:vAlign w:val="center"/>
            <w:hideMark/>
          </w:tcPr>
          <w:p w:rsidR="005D6FB4" w:rsidRPr="00460C33" w:rsidRDefault="005D6FB4" w:rsidP="00460C33">
            <w:pPr>
              <w:pStyle w:val="Tableheading"/>
              <w:jc w:val="right"/>
              <w:rPr>
                <w:b w:val="0"/>
                <w:sz w:val="20"/>
                <w:szCs w:val="20"/>
              </w:rPr>
            </w:pPr>
            <w:r w:rsidRPr="00460C33">
              <w:rPr>
                <w:b w:val="0"/>
                <w:sz w:val="20"/>
                <w:szCs w:val="20"/>
              </w:rPr>
              <w:t>2,108*</w:t>
            </w:r>
          </w:p>
        </w:tc>
        <w:tc>
          <w:tcPr>
            <w:tcW w:w="1212" w:type="dxa"/>
            <w:tcBorders>
              <w:top w:val="nil"/>
              <w:left w:val="nil"/>
              <w:bottom w:val="single" w:sz="4" w:space="0" w:color="auto"/>
              <w:right w:val="single" w:sz="4" w:space="0" w:color="auto"/>
            </w:tcBorders>
            <w:shd w:val="clear" w:color="auto" w:fill="auto"/>
            <w:noWrap/>
            <w:vAlign w:val="bottom"/>
            <w:hideMark/>
          </w:tcPr>
          <w:p w:rsidR="005D6FB4" w:rsidRPr="00460C33" w:rsidRDefault="005D6FB4" w:rsidP="00460C33">
            <w:pPr>
              <w:pStyle w:val="Tableheading"/>
              <w:jc w:val="right"/>
              <w:rPr>
                <w:b w:val="0"/>
                <w:sz w:val="20"/>
                <w:szCs w:val="20"/>
              </w:rPr>
            </w:pPr>
            <w:r w:rsidRPr="00460C33">
              <w:rPr>
                <w:b w:val="0"/>
                <w:sz w:val="20"/>
                <w:szCs w:val="20"/>
              </w:rPr>
              <w:t>-34%</w:t>
            </w:r>
          </w:p>
        </w:tc>
      </w:tr>
      <w:tr w:rsidR="005A3E32" w:rsidRPr="00DB2CD8" w:rsidTr="005A3E32">
        <w:trPr>
          <w:trHeight w:val="765"/>
        </w:trPr>
        <w:tc>
          <w:tcPr>
            <w:tcW w:w="1203" w:type="dxa"/>
            <w:tcBorders>
              <w:top w:val="nil"/>
              <w:left w:val="single" w:sz="4" w:space="0" w:color="auto"/>
              <w:bottom w:val="single" w:sz="4" w:space="0" w:color="auto"/>
              <w:right w:val="single" w:sz="4" w:space="0" w:color="auto"/>
            </w:tcBorders>
            <w:shd w:val="clear" w:color="auto" w:fill="auto"/>
            <w:vAlign w:val="center"/>
          </w:tcPr>
          <w:p w:rsidR="005A3E32" w:rsidRPr="00460C33" w:rsidRDefault="005A3E32" w:rsidP="00460C33">
            <w:pPr>
              <w:pStyle w:val="Tableheading"/>
              <w:jc w:val="left"/>
              <w:rPr>
                <w:b w:val="0"/>
                <w:sz w:val="20"/>
                <w:szCs w:val="20"/>
              </w:rPr>
            </w:pPr>
            <w:r w:rsidRPr="00460C33">
              <w:rPr>
                <w:b w:val="0"/>
                <w:sz w:val="20"/>
                <w:szCs w:val="20"/>
              </w:rPr>
              <w:t>Doses / patient</w:t>
            </w:r>
          </w:p>
        </w:tc>
        <w:tc>
          <w:tcPr>
            <w:tcW w:w="1229" w:type="dxa"/>
            <w:tcBorders>
              <w:top w:val="nil"/>
              <w:left w:val="nil"/>
              <w:bottom w:val="single" w:sz="4" w:space="0" w:color="auto"/>
              <w:right w:val="single" w:sz="4" w:space="0" w:color="auto"/>
            </w:tcBorders>
            <w:shd w:val="clear" w:color="auto" w:fill="auto"/>
            <w:vAlign w:val="center"/>
          </w:tcPr>
          <w:p w:rsidR="005A3E32" w:rsidRPr="00460C33" w:rsidRDefault="005A3E32" w:rsidP="00460C33">
            <w:pPr>
              <w:pStyle w:val="Tableheading"/>
              <w:jc w:val="right"/>
              <w:rPr>
                <w:b w:val="0"/>
                <w:sz w:val="20"/>
                <w:szCs w:val="20"/>
              </w:rPr>
            </w:pPr>
            <w:r w:rsidRPr="00460C33">
              <w:rPr>
                <w:b w:val="0"/>
                <w:sz w:val="20"/>
                <w:szCs w:val="20"/>
              </w:rPr>
              <w:t>3.75</w:t>
            </w:r>
          </w:p>
        </w:tc>
        <w:tc>
          <w:tcPr>
            <w:tcW w:w="1229" w:type="dxa"/>
            <w:tcBorders>
              <w:top w:val="nil"/>
              <w:left w:val="nil"/>
              <w:bottom w:val="single" w:sz="4" w:space="0" w:color="auto"/>
              <w:right w:val="single" w:sz="4" w:space="0" w:color="auto"/>
            </w:tcBorders>
            <w:shd w:val="clear" w:color="auto" w:fill="auto"/>
            <w:vAlign w:val="center"/>
          </w:tcPr>
          <w:p w:rsidR="005A3E32" w:rsidRPr="00460C33" w:rsidRDefault="005A3E32" w:rsidP="00460C33">
            <w:pPr>
              <w:pStyle w:val="Tableheading"/>
              <w:jc w:val="right"/>
              <w:rPr>
                <w:b w:val="0"/>
                <w:sz w:val="20"/>
                <w:szCs w:val="20"/>
              </w:rPr>
            </w:pPr>
            <w:r w:rsidRPr="00460C33">
              <w:rPr>
                <w:b w:val="0"/>
                <w:sz w:val="20"/>
                <w:szCs w:val="20"/>
              </w:rPr>
              <w:t>2.92</w:t>
            </w:r>
          </w:p>
        </w:tc>
        <w:tc>
          <w:tcPr>
            <w:tcW w:w="1212" w:type="dxa"/>
            <w:tcBorders>
              <w:top w:val="nil"/>
              <w:left w:val="nil"/>
              <w:bottom w:val="single" w:sz="4" w:space="0" w:color="auto"/>
              <w:right w:val="single" w:sz="4" w:space="0" w:color="auto"/>
            </w:tcBorders>
            <w:shd w:val="clear" w:color="auto" w:fill="auto"/>
            <w:noWrap/>
            <w:vAlign w:val="center"/>
          </w:tcPr>
          <w:p w:rsidR="005A3E32" w:rsidRPr="00460C33" w:rsidRDefault="005A3E32" w:rsidP="00460C33">
            <w:pPr>
              <w:pStyle w:val="Tableheading"/>
              <w:jc w:val="right"/>
              <w:rPr>
                <w:b w:val="0"/>
                <w:sz w:val="20"/>
                <w:szCs w:val="20"/>
              </w:rPr>
            </w:pPr>
            <w:r w:rsidRPr="00460C33">
              <w:rPr>
                <w:b w:val="0"/>
                <w:sz w:val="20"/>
                <w:szCs w:val="20"/>
              </w:rPr>
              <w:t>-22%</w:t>
            </w:r>
          </w:p>
        </w:tc>
        <w:tc>
          <w:tcPr>
            <w:tcW w:w="1229" w:type="dxa"/>
            <w:tcBorders>
              <w:top w:val="nil"/>
              <w:left w:val="nil"/>
              <w:bottom w:val="single" w:sz="4" w:space="0" w:color="auto"/>
              <w:right w:val="single" w:sz="4" w:space="0" w:color="auto"/>
            </w:tcBorders>
            <w:shd w:val="clear" w:color="auto" w:fill="auto"/>
            <w:vAlign w:val="center"/>
          </w:tcPr>
          <w:p w:rsidR="005A3E32" w:rsidRPr="00460C33" w:rsidRDefault="005A3E32" w:rsidP="00460C33">
            <w:pPr>
              <w:pStyle w:val="Tableheading"/>
              <w:jc w:val="right"/>
              <w:rPr>
                <w:b w:val="0"/>
                <w:sz w:val="20"/>
                <w:szCs w:val="20"/>
              </w:rPr>
            </w:pPr>
            <w:r w:rsidRPr="00460C33">
              <w:rPr>
                <w:b w:val="0"/>
                <w:sz w:val="20"/>
                <w:szCs w:val="20"/>
              </w:rPr>
              <w:t>3.75</w:t>
            </w:r>
          </w:p>
        </w:tc>
        <w:tc>
          <w:tcPr>
            <w:tcW w:w="1328" w:type="dxa"/>
            <w:tcBorders>
              <w:top w:val="nil"/>
              <w:left w:val="nil"/>
              <w:bottom w:val="single" w:sz="4" w:space="0" w:color="auto"/>
              <w:right w:val="single" w:sz="4" w:space="0" w:color="auto"/>
            </w:tcBorders>
            <w:shd w:val="clear" w:color="auto" w:fill="auto"/>
            <w:vAlign w:val="center"/>
          </w:tcPr>
          <w:p w:rsidR="005A3E32" w:rsidRPr="00460C33" w:rsidRDefault="005A3E32" w:rsidP="00460C33">
            <w:pPr>
              <w:pStyle w:val="Tableheading"/>
              <w:jc w:val="right"/>
              <w:rPr>
                <w:b w:val="0"/>
                <w:sz w:val="20"/>
                <w:szCs w:val="20"/>
              </w:rPr>
            </w:pPr>
            <w:r w:rsidRPr="00460C33">
              <w:rPr>
                <w:b w:val="0"/>
                <w:sz w:val="20"/>
                <w:szCs w:val="20"/>
              </w:rPr>
              <w:t>2.88*</w:t>
            </w:r>
          </w:p>
        </w:tc>
        <w:tc>
          <w:tcPr>
            <w:tcW w:w="1212" w:type="dxa"/>
            <w:tcBorders>
              <w:top w:val="nil"/>
              <w:left w:val="nil"/>
              <w:bottom w:val="single" w:sz="4" w:space="0" w:color="auto"/>
              <w:right w:val="single" w:sz="4" w:space="0" w:color="auto"/>
            </w:tcBorders>
            <w:shd w:val="clear" w:color="auto" w:fill="auto"/>
            <w:noWrap/>
            <w:vAlign w:val="center"/>
          </w:tcPr>
          <w:p w:rsidR="005A3E32" w:rsidRPr="00460C33" w:rsidRDefault="005A3E32" w:rsidP="00460C33">
            <w:pPr>
              <w:pStyle w:val="Tableheading"/>
              <w:jc w:val="right"/>
              <w:rPr>
                <w:b w:val="0"/>
                <w:sz w:val="20"/>
                <w:szCs w:val="20"/>
              </w:rPr>
            </w:pPr>
            <w:r w:rsidRPr="00460C33">
              <w:rPr>
                <w:b w:val="0"/>
                <w:sz w:val="20"/>
                <w:szCs w:val="20"/>
              </w:rPr>
              <w:t>-23%</w:t>
            </w:r>
          </w:p>
        </w:tc>
      </w:tr>
    </w:tbl>
    <w:p w:rsidR="00DB2CD8" w:rsidRPr="00DB2CD8" w:rsidRDefault="00DB2CD8" w:rsidP="005D6FB4">
      <w:pPr>
        <w:pStyle w:val="Notes"/>
        <w:rPr>
          <w:sz w:val="22"/>
          <w:szCs w:val="22"/>
        </w:rPr>
      </w:pPr>
      <w:r w:rsidRPr="00DB2CD8">
        <w:t xml:space="preserve">* </w:t>
      </w:r>
      <w:r w:rsidR="00D65C3C">
        <w:t>9</w:t>
      </w:r>
      <w:r w:rsidR="00D65C3C" w:rsidRPr="00DB2CD8">
        <w:t xml:space="preserve"> </w:t>
      </w:r>
      <w:r w:rsidRPr="00DB2CD8">
        <w:t>months</w:t>
      </w:r>
      <w:r>
        <w:t xml:space="preserve"> data available</w:t>
      </w:r>
      <w:r w:rsidR="005D6FB4">
        <w:t>, August 2014 to April 2015</w:t>
      </w:r>
    </w:p>
    <w:p w:rsidR="00DB7F62" w:rsidRDefault="000E01FB" w:rsidP="00A35800">
      <w:r>
        <w:t>The</w:t>
      </w:r>
      <w:r w:rsidR="00C1228F">
        <w:t xml:space="preserve"> </w:t>
      </w:r>
      <w:r w:rsidR="00637713">
        <w:t xml:space="preserve">number of predicted patients in Table </w:t>
      </w:r>
      <w:r w:rsidR="002971FE">
        <w:t>5</w:t>
      </w:r>
      <w:r w:rsidR="00637713">
        <w:t xml:space="preserve"> above is from the ipilimumab submission. The predicted</w:t>
      </w:r>
      <w:r w:rsidR="00C1228F">
        <w:t xml:space="preserve"> patient numbers in the</w:t>
      </w:r>
      <w:r>
        <w:t xml:space="preserve"> final agreed estimates </w:t>
      </w:r>
      <w:r w:rsidR="00C1228F">
        <w:t>were</w:t>
      </w:r>
      <w:r w:rsidR="005A3E32">
        <w:t xml:space="preserve"> higher than the submission;</w:t>
      </w:r>
      <w:r w:rsidR="00C1228F">
        <w:t xml:space="preserve"> 1</w:t>
      </w:r>
      <w:r w:rsidR="000555FD">
        <w:t>,</w:t>
      </w:r>
      <w:r w:rsidR="00C1228F">
        <w:t>433 patients in year 1 and 1</w:t>
      </w:r>
      <w:r w:rsidR="000555FD">
        <w:t>,</w:t>
      </w:r>
      <w:r w:rsidR="005A3E32">
        <w:t xml:space="preserve">492 in year 2. </w:t>
      </w:r>
      <w:r w:rsidR="00C1228F">
        <w:t xml:space="preserve">However, these estimates were agreed before </w:t>
      </w:r>
      <w:proofErr w:type="spellStart"/>
      <w:r w:rsidR="00C1228F">
        <w:t>dabrafenib</w:t>
      </w:r>
      <w:proofErr w:type="spellEnd"/>
      <w:r w:rsidR="00C1228F">
        <w:t xml:space="preserve"> was recommended. The </w:t>
      </w:r>
      <w:r w:rsidR="007B4561">
        <w:t xml:space="preserve">total number of patients who initiated either ipilimumab or </w:t>
      </w:r>
      <w:proofErr w:type="spellStart"/>
      <w:r w:rsidR="007B4561">
        <w:t>dabrafenib</w:t>
      </w:r>
      <w:proofErr w:type="spellEnd"/>
      <w:r w:rsidR="007B4561">
        <w:t xml:space="preserve"> in the first year of ipilimumab being PBS listed was </w:t>
      </w:r>
      <w:r w:rsidR="00590B25">
        <w:t>1,398</w:t>
      </w:r>
      <w:r w:rsidR="007B4561">
        <w:t xml:space="preserve">. </w:t>
      </w:r>
    </w:p>
    <w:p w:rsidR="000E01FB" w:rsidRDefault="007B4561" w:rsidP="00A35800">
      <w:r>
        <w:t xml:space="preserve">The </w:t>
      </w:r>
      <w:r w:rsidR="00231E28">
        <w:t xml:space="preserve">mean and median </w:t>
      </w:r>
      <w:r>
        <w:t xml:space="preserve">number of actual doses dispensed </w:t>
      </w:r>
      <w:r w:rsidR="00231E28">
        <w:t xml:space="preserve">is </w:t>
      </w:r>
      <w:r w:rsidR="005A3E32">
        <w:t>less than</w:t>
      </w:r>
      <w:r>
        <w:t xml:space="preserve"> the predicted number of doses. </w:t>
      </w:r>
      <w:r w:rsidR="00DB7F62">
        <w:t>F</w:t>
      </w:r>
      <w:r>
        <w:t xml:space="preserve">or many of the initiating </w:t>
      </w:r>
      <w:r w:rsidR="00DB7F62">
        <w:t>groups of patient</w:t>
      </w:r>
      <w:r>
        <w:t xml:space="preserve"> by </w:t>
      </w:r>
      <w:r w:rsidR="00DB7F62">
        <w:t xml:space="preserve">initiation </w:t>
      </w:r>
      <w:r>
        <w:t>month</w:t>
      </w:r>
      <w:r w:rsidR="00363CCA">
        <w:t xml:space="preserve"> (Table </w:t>
      </w:r>
      <w:r w:rsidR="00ED3072">
        <w:t>4</w:t>
      </w:r>
      <w:r w:rsidR="00363CCA">
        <w:t>)</w:t>
      </w:r>
      <w:r w:rsidR="00DB7F62">
        <w:t xml:space="preserve"> the median is 4 and</w:t>
      </w:r>
      <w:r>
        <w:t xml:space="preserve"> the mean is between 3 and 3.5. This suggests that although the most common number of doses is 4, some patients are receiving 1 or 2 doses.</w:t>
      </w:r>
      <w:r w:rsidR="00C974A7">
        <w:t xml:space="preserve"> </w:t>
      </w:r>
      <w:proofErr w:type="spellStart"/>
      <w:r w:rsidR="00C974A7">
        <w:t>Reinduction</w:t>
      </w:r>
      <w:proofErr w:type="spellEnd"/>
      <w:r w:rsidR="00C974A7">
        <w:t xml:space="preserve"> patients are included in these calculations of mean and median doses</w:t>
      </w:r>
      <w:r w:rsidR="00231E28">
        <w:t xml:space="preserve">. However, as </w:t>
      </w:r>
      <w:r w:rsidR="005E1A4A">
        <w:t xml:space="preserve">there is a very small number </w:t>
      </w:r>
      <w:proofErr w:type="spellStart"/>
      <w:r w:rsidR="005E1A4A">
        <w:t>reinduction</w:t>
      </w:r>
      <w:proofErr w:type="spellEnd"/>
      <w:r w:rsidR="005E1A4A">
        <w:t xml:space="preserve"> </w:t>
      </w:r>
      <w:proofErr w:type="gramStart"/>
      <w:r w:rsidR="005E1A4A">
        <w:t>patients</w:t>
      </w:r>
      <w:proofErr w:type="gramEnd"/>
      <w:r w:rsidR="005E1A4A">
        <w:t xml:space="preserve">, and </w:t>
      </w:r>
      <w:r w:rsidR="00231E28">
        <w:t xml:space="preserve">the mean and median number of </w:t>
      </w:r>
      <w:proofErr w:type="spellStart"/>
      <w:r w:rsidR="00231E28">
        <w:t>reinduction</w:t>
      </w:r>
      <w:proofErr w:type="spellEnd"/>
      <w:r w:rsidR="00231E28">
        <w:t xml:space="preserve"> treatments was 2.47 </w:t>
      </w:r>
      <w:r w:rsidR="005E1A4A">
        <w:t>and 2 respectively</w:t>
      </w:r>
      <w:r w:rsidR="00231E28">
        <w:t>,</w:t>
      </w:r>
      <w:r w:rsidR="00C974A7">
        <w:t xml:space="preserve"> the </w:t>
      </w:r>
      <w:r w:rsidR="005E1A4A">
        <w:t xml:space="preserve">overall </w:t>
      </w:r>
      <w:r w:rsidR="00C974A7">
        <w:t xml:space="preserve">median </w:t>
      </w:r>
      <w:r w:rsidR="005E1A4A">
        <w:t xml:space="preserve">number of treatments </w:t>
      </w:r>
      <w:r w:rsidR="00C974A7">
        <w:t xml:space="preserve">has not increased above </w:t>
      </w:r>
      <w:r w:rsidR="00231E28">
        <w:t>4</w:t>
      </w:r>
      <w:r w:rsidR="00C974A7">
        <w:t xml:space="preserve"> doses.</w:t>
      </w:r>
    </w:p>
    <w:p w:rsidR="00B76E9F" w:rsidRDefault="00DB7F62" w:rsidP="00A35800">
      <w:r>
        <w:t xml:space="preserve">The submission predicted 6.6% of induction patients would continue to </w:t>
      </w:r>
      <w:proofErr w:type="spellStart"/>
      <w:r>
        <w:t>reinduction</w:t>
      </w:r>
      <w:proofErr w:type="spellEnd"/>
      <w:r>
        <w:t xml:space="preserve">. </w:t>
      </w:r>
      <w:r w:rsidR="00B3598E">
        <w:t>T</w:t>
      </w:r>
      <w:r>
        <w:t>he actual number is less than half of this</w:t>
      </w:r>
      <w:r w:rsidR="00B3598E">
        <w:t xml:space="preserve">. </w:t>
      </w:r>
      <w:r>
        <w:t xml:space="preserve"> </w:t>
      </w:r>
    </w:p>
    <w:p w:rsidR="00B76E9F" w:rsidRDefault="00B76E9F" w:rsidP="00B76E9F">
      <w:r>
        <w:br w:type="page"/>
      </w:r>
    </w:p>
    <w:p w:rsidR="000E01FB" w:rsidRDefault="00590B25" w:rsidP="00590B25">
      <w:pPr>
        <w:pStyle w:val="Heading2"/>
      </w:pPr>
      <w:proofErr w:type="spellStart"/>
      <w:r w:rsidRPr="00BC506B">
        <w:lastRenderedPageBreak/>
        <w:t>Dabrafenib</w:t>
      </w:r>
      <w:proofErr w:type="spellEnd"/>
    </w:p>
    <w:p w:rsidR="00BC506B" w:rsidRPr="00590B25" w:rsidRDefault="006F1863" w:rsidP="00590B25">
      <w:pPr>
        <w:pStyle w:val="Tabletitle"/>
      </w:pPr>
      <w:r w:rsidRPr="00590B25">
        <w:t xml:space="preserve">Table </w:t>
      </w:r>
      <w:r w:rsidR="002971FE">
        <w:t>6</w:t>
      </w:r>
      <w:r w:rsidRPr="00590B25">
        <w:t xml:space="preserve">: </w:t>
      </w:r>
      <w:proofErr w:type="spellStart"/>
      <w:r w:rsidR="00BC506B" w:rsidRPr="00590B25">
        <w:rPr>
          <w:rStyle w:val="TabletitleChar"/>
          <w:b/>
        </w:rPr>
        <w:t>Dabrafenib</w:t>
      </w:r>
      <w:proofErr w:type="spellEnd"/>
      <w:r w:rsidR="00590B25">
        <w:rPr>
          <w:rStyle w:val="TabletitleChar"/>
          <w:b/>
        </w:rPr>
        <w:t xml:space="preserve"> predicted versus actual</w:t>
      </w:r>
    </w:p>
    <w:tbl>
      <w:tblPr>
        <w:tblW w:w="5402" w:type="dxa"/>
        <w:tblInd w:w="93" w:type="dxa"/>
        <w:tblLayout w:type="fixed"/>
        <w:tblLook w:val="04A0" w:firstRow="1" w:lastRow="0" w:firstColumn="1" w:lastColumn="0" w:noHBand="0" w:noVBand="1"/>
        <w:tblCaption w:val="Dabrafenib predicted versus actual"/>
        <w:tblDescription w:val="Dabrafenib predicted versus actual patients, prescriptions, prescriptions per patient, and expenditure"/>
      </w:tblPr>
      <w:tblGrid>
        <w:gridCol w:w="1433"/>
        <w:gridCol w:w="1323"/>
        <w:gridCol w:w="1323"/>
        <w:gridCol w:w="1323"/>
      </w:tblGrid>
      <w:tr w:rsidR="00F75C73" w:rsidRPr="005442DD" w:rsidTr="005442DD">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5C73" w:rsidRPr="005442DD" w:rsidRDefault="00F75C73" w:rsidP="00F75C73">
            <w:pPr>
              <w:spacing w:after="0"/>
              <w:rPr>
                <w:rFonts w:ascii="Calibri" w:eastAsia="Times New Roman" w:hAnsi="Calibri" w:cs="Times New Roman"/>
                <w:b/>
                <w:color w:val="000000"/>
                <w:sz w:val="20"/>
                <w:szCs w:val="20"/>
              </w:rPr>
            </w:pPr>
            <w:r w:rsidRPr="005442DD">
              <w:rPr>
                <w:rFonts w:ascii="Calibri" w:eastAsia="Times New Roman" w:hAnsi="Calibri" w:cs="Times New Roman"/>
                <w:b/>
                <w:color w:val="000000"/>
                <w:sz w:val="20"/>
                <w:szCs w:val="20"/>
              </w:rPr>
              <w:t> </w:t>
            </w:r>
          </w:p>
        </w:tc>
        <w:tc>
          <w:tcPr>
            <w:tcW w:w="3969" w:type="dxa"/>
            <w:gridSpan w:val="3"/>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rsidR="00F75C73" w:rsidRPr="005442DD" w:rsidRDefault="00F75C73" w:rsidP="00F75C73">
            <w:pPr>
              <w:spacing w:after="0"/>
              <w:jc w:val="center"/>
              <w:rPr>
                <w:rFonts w:ascii="Calibri" w:eastAsia="Times New Roman" w:hAnsi="Calibri" w:cs="Times New Roman"/>
                <w:b/>
                <w:color w:val="000000"/>
                <w:sz w:val="20"/>
                <w:szCs w:val="20"/>
              </w:rPr>
            </w:pPr>
            <w:r w:rsidRPr="005442DD">
              <w:rPr>
                <w:rFonts w:ascii="Calibri" w:eastAsia="Times New Roman" w:hAnsi="Calibri" w:cs="Times New Roman"/>
                <w:b/>
                <w:color w:val="000000"/>
                <w:sz w:val="20"/>
                <w:szCs w:val="20"/>
              </w:rPr>
              <w:t>Year 1</w:t>
            </w:r>
            <w:r w:rsidR="001D0E0E" w:rsidRPr="005442DD">
              <w:rPr>
                <w:rFonts w:ascii="Calibri" w:eastAsia="Times New Roman" w:hAnsi="Calibri" w:cs="Times New Roman"/>
                <w:b/>
                <w:color w:val="000000"/>
                <w:sz w:val="20"/>
                <w:szCs w:val="20"/>
              </w:rPr>
              <w:t xml:space="preserve"> (Dec 2013 to Nov 2014)</w:t>
            </w:r>
          </w:p>
        </w:tc>
      </w:tr>
      <w:tr w:rsidR="00F75C73" w:rsidRPr="005442DD" w:rsidTr="00656B1A">
        <w:trPr>
          <w:trHeight w:val="300"/>
        </w:trPr>
        <w:tc>
          <w:tcPr>
            <w:tcW w:w="1433"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rsidR="00F75C73" w:rsidRPr="005442DD" w:rsidRDefault="00F75C73" w:rsidP="00F75C73">
            <w:pPr>
              <w:spacing w:after="0"/>
              <w:rPr>
                <w:rFonts w:ascii="Calibri" w:eastAsia="Times New Roman" w:hAnsi="Calibri" w:cs="Times New Roman"/>
                <w:b/>
                <w:color w:val="000000"/>
                <w:sz w:val="20"/>
                <w:szCs w:val="20"/>
              </w:rPr>
            </w:pPr>
            <w:r w:rsidRPr="005442DD">
              <w:rPr>
                <w:rFonts w:ascii="Calibri" w:eastAsia="Times New Roman" w:hAnsi="Calibri" w:cs="Times New Roman"/>
                <w:b/>
                <w:color w:val="000000"/>
                <w:sz w:val="20"/>
                <w:szCs w:val="20"/>
              </w:rPr>
              <w:t> </w:t>
            </w:r>
          </w:p>
        </w:tc>
        <w:tc>
          <w:tcPr>
            <w:tcW w:w="1323" w:type="dxa"/>
            <w:tcBorders>
              <w:top w:val="nil"/>
              <w:left w:val="nil"/>
              <w:bottom w:val="single" w:sz="4" w:space="0" w:color="auto"/>
              <w:right w:val="single" w:sz="4" w:space="0" w:color="auto"/>
            </w:tcBorders>
            <w:shd w:val="clear" w:color="auto" w:fill="BFBFBF" w:themeFill="background1" w:themeFillShade="BF"/>
            <w:vAlign w:val="center"/>
            <w:hideMark/>
          </w:tcPr>
          <w:p w:rsidR="00F75C73" w:rsidRPr="005442DD" w:rsidRDefault="00F75C73" w:rsidP="00656B1A">
            <w:pPr>
              <w:spacing w:after="0"/>
              <w:jc w:val="center"/>
              <w:rPr>
                <w:rFonts w:ascii="Calibri" w:eastAsia="Times New Roman" w:hAnsi="Calibri" w:cs="Times New Roman"/>
                <w:b/>
                <w:color w:val="000000"/>
                <w:sz w:val="20"/>
                <w:szCs w:val="20"/>
              </w:rPr>
            </w:pPr>
            <w:r w:rsidRPr="005442DD">
              <w:rPr>
                <w:rFonts w:ascii="Calibri" w:eastAsia="Times New Roman" w:hAnsi="Calibri" w:cs="Times New Roman"/>
                <w:b/>
                <w:color w:val="000000"/>
                <w:sz w:val="20"/>
                <w:szCs w:val="20"/>
              </w:rPr>
              <w:t>Predicted</w:t>
            </w:r>
          </w:p>
        </w:tc>
        <w:tc>
          <w:tcPr>
            <w:tcW w:w="1323" w:type="dxa"/>
            <w:tcBorders>
              <w:top w:val="nil"/>
              <w:left w:val="nil"/>
              <w:bottom w:val="single" w:sz="4" w:space="0" w:color="auto"/>
              <w:right w:val="single" w:sz="4" w:space="0" w:color="auto"/>
            </w:tcBorders>
            <w:shd w:val="clear" w:color="auto" w:fill="BFBFBF" w:themeFill="background1" w:themeFillShade="BF"/>
            <w:vAlign w:val="center"/>
            <w:hideMark/>
          </w:tcPr>
          <w:p w:rsidR="00F75C73" w:rsidRPr="005442DD" w:rsidRDefault="00F75C73" w:rsidP="00656B1A">
            <w:pPr>
              <w:spacing w:after="0"/>
              <w:jc w:val="center"/>
              <w:rPr>
                <w:rFonts w:ascii="Calibri" w:eastAsia="Times New Roman" w:hAnsi="Calibri" w:cs="Times New Roman"/>
                <w:b/>
                <w:color w:val="000000"/>
                <w:sz w:val="20"/>
                <w:szCs w:val="20"/>
              </w:rPr>
            </w:pPr>
            <w:r w:rsidRPr="005442DD">
              <w:rPr>
                <w:rFonts w:ascii="Calibri" w:eastAsia="Times New Roman" w:hAnsi="Calibri" w:cs="Times New Roman"/>
                <w:b/>
                <w:color w:val="000000"/>
                <w:sz w:val="20"/>
                <w:szCs w:val="20"/>
              </w:rPr>
              <w:t>Actual</w:t>
            </w:r>
          </w:p>
        </w:tc>
        <w:tc>
          <w:tcPr>
            <w:tcW w:w="1323" w:type="dxa"/>
            <w:tcBorders>
              <w:top w:val="nil"/>
              <w:left w:val="nil"/>
              <w:bottom w:val="single" w:sz="4" w:space="0" w:color="auto"/>
              <w:right w:val="single" w:sz="4" w:space="0" w:color="auto"/>
            </w:tcBorders>
            <w:shd w:val="clear" w:color="auto" w:fill="BFBFBF" w:themeFill="background1" w:themeFillShade="BF"/>
            <w:noWrap/>
            <w:vAlign w:val="center"/>
            <w:hideMark/>
          </w:tcPr>
          <w:p w:rsidR="00F75C73" w:rsidRPr="005442DD" w:rsidRDefault="00F75C73" w:rsidP="00656B1A">
            <w:pPr>
              <w:spacing w:after="0"/>
              <w:jc w:val="center"/>
              <w:rPr>
                <w:rFonts w:ascii="Calibri" w:eastAsia="Times New Roman" w:hAnsi="Calibri" w:cs="Times New Roman"/>
                <w:b/>
                <w:color w:val="000000"/>
                <w:sz w:val="20"/>
                <w:szCs w:val="20"/>
              </w:rPr>
            </w:pPr>
            <w:r w:rsidRPr="005442DD">
              <w:rPr>
                <w:rFonts w:ascii="Calibri" w:eastAsia="Times New Roman" w:hAnsi="Calibri" w:cs="Times New Roman"/>
                <w:b/>
                <w:color w:val="000000"/>
                <w:sz w:val="20"/>
                <w:szCs w:val="20"/>
              </w:rPr>
              <w:t>% of predicted</w:t>
            </w:r>
          </w:p>
        </w:tc>
      </w:tr>
      <w:tr w:rsidR="005D6FB4" w:rsidRPr="00F75C73" w:rsidTr="005A3E32">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D6FB4" w:rsidRPr="00460C33" w:rsidRDefault="005D6FB4" w:rsidP="00F75C73">
            <w:pPr>
              <w:spacing w:after="0"/>
              <w:rPr>
                <w:rFonts w:cs="Calibri"/>
                <w:sz w:val="20"/>
                <w:szCs w:val="20"/>
              </w:rPr>
            </w:pPr>
            <w:r w:rsidRPr="00460C33">
              <w:rPr>
                <w:rFonts w:cs="Calibri"/>
                <w:sz w:val="20"/>
                <w:szCs w:val="20"/>
              </w:rPr>
              <w:t>Patients</w:t>
            </w:r>
          </w:p>
        </w:tc>
        <w:tc>
          <w:tcPr>
            <w:tcW w:w="1323" w:type="dxa"/>
            <w:tcBorders>
              <w:top w:val="nil"/>
              <w:left w:val="nil"/>
              <w:bottom w:val="single" w:sz="4" w:space="0" w:color="auto"/>
              <w:right w:val="single" w:sz="4" w:space="0" w:color="auto"/>
            </w:tcBorders>
            <w:shd w:val="clear" w:color="auto" w:fill="auto"/>
            <w:vAlign w:val="center"/>
            <w:hideMark/>
          </w:tcPr>
          <w:p w:rsidR="005D6FB4" w:rsidRPr="001A7DA5" w:rsidRDefault="001A7DA5" w:rsidP="005A3E32">
            <w:pPr>
              <w:spacing w:after="0"/>
              <w:jc w:val="right"/>
              <w:rPr>
                <w:rFonts w:cs="Calibri"/>
                <w:sz w:val="20"/>
                <w:szCs w:val="20"/>
                <w:highlight w:val="black"/>
              </w:rPr>
            </w:pPr>
            <w:r>
              <w:rPr>
                <w:rFonts w:cs="Calibri"/>
                <w:noProof/>
                <w:color w:val="000000"/>
                <w:sz w:val="20"/>
                <w:szCs w:val="20"/>
                <w:highlight w:val="black"/>
              </w:rPr>
              <w:t>''''''''</w:t>
            </w:r>
          </w:p>
        </w:tc>
        <w:tc>
          <w:tcPr>
            <w:tcW w:w="1323" w:type="dxa"/>
            <w:tcBorders>
              <w:top w:val="nil"/>
              <w:left w:val="nil"/>
              <w:bottom w:val="single" w:sz="4" w:space="0" w:color="auto"/>
              <w:right w:val="single" w:sz="4" w:space="0" w:color="auto"/>
            </w:tcBorders>
            <w:shd w:val="clear" w:color="auto" w:fill="auto"/>
            <w:vAlign w:val="center"/>
            <w:hideMark/>
          </w:tcPr>
          <w:p w:rsidR="005D6FB4" w:rsidRPr="00460C33" w:rsidRDefault="005D6FB4" w:rsidP="005A3E32">
            <w:pPr>
              <w:spacing w:after="0"/>
              <w:jc w:val="right"/>
              <w:rPr>
                <w:rFonts w:cs="Calibri"/>
                <w:sz w:val="20"/>
                <w:szCs w:val="20"/>
              </w:rPr>
            </w:pPr>
            <w:r w:rsidRPr="00460C33">
              <w:rPr>
                <w:rFonts w:cs="Calibri"/>
                <w:sz w:val="20"/>
                <w:szCs w:val="20"/>
              </w:rPr>
              <w:t>765</w:t>
            </w:r>
          </w:p>
        </w:tc>
        <w:tc>
          <w:tcPr>
            <w:tcW w:w="1323" w:type="dxa"/>
            <w:tcBorders>
              <w:top w:val="nil"/>
              <w:left w:val="nil"/>
              <w:bottom w:val="single" w:sz="4" w:space="0" w:color="auto"/>
              <w:right w:val="single" w:sz="4" w:space="0" w:color="auto"/>
            </w:tcBorders>
            <w:shd w:val="clear" w:color="auto" w:fill="auto"/>
            <w:noWrap/>
            <w:vAlign w:val="center"/>
            <w:hideMark/>
          </w:tcPr>
          <w:p w:rsidR="005D6FB4" w:rsidRPr="001A7DA5" w:rsidRDefault="001A7DA5" w:rsidP="005A3E32">
            <w:pPr>
              <w:spacing w:after="0"/>
              <w:jc w:val="right"/>
              <w:rPr>
                <w:rFonts w:cs="Calibri"/>
                <w:sz w:val="20"/>
                <w:szCs w:val="20"/>
                <w:highlight w:val="black"/>
              </w:rPr>
            </w:pPr>
            <w:r>
              <w:rPr>
                <w:rFonts w:cs="Calibri"/>
                <w:noProof/>
                <w:color w:val="000000"/>
                <w:sz w:val="20"/>
                <w:szCs w:val="20"/>
                <w:highlight w:val="black"/>
              </w:rPr>
              <w:t>''''''''</w:t>
            </w:r>
          </w:p>
        </w:tc>
      </w:tr>
      <w:tr w:rsidR="005D6FB4" w:rsidRPr="00F75C73" w:rsidTr="005A3E32">
        <w:trPr>
          <w:trHeight w:val="51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5D6FB4" w:rsidRPr="00460C33" w:rsidRDefault="005D6FB4" w:rsidP="00F75C73">
            <w:pPr>
              <w:spacing w:after="0"/>
              <w:rPr>
                <w:rFonts w:cs="Calibri"/>
                <w:sz w:val="20"/>
                <w:szCs w:val="20"/>
              </w:rPr>
            </w:pPr>
            <w:r w:rsidRPr="00460C33">
              <w:rPr>
                <w:rFonts w:cs="Calibri"/>
                <w:sz w:val="20"/>
                <w:szCs w:val="20"/>
              </w:rPr>
              <w:t>Prescriptions</w:t>
            </w:r>
          </w:p>
        </w:tc>
        <w:tc>
          <w:tcPr>
            <w:tcW w:w="1323" w:type="dxa"/>
            <w:tcBorders>
              <w:top w:val="nil"/>
              <w:left w:val="nil"/>
              <w:bottom w:val="single" w:sz="4" w:space="0" w:color="auto"/>
              <w:right w:val="single" w:sz="4" w:space="0" w:color="auto"/>
            </w:tcBorders>
            <w:shd w:val="clear" w:color="auto" w:fill="auto"/>
            <w:vAlign w:val="center"/>
            <w:hideMark/>
          </w:tcPr>
          <w:p w:rsidR="005D6FB4" w:rsidRPr="001A7DA5" w:rsidRDefault="001A7DA5" w:rsidP="005A3E32">
            <w:pPr>
              <w:spacing w:after="0"/>
              <w:jc w:val="right"/>
              <w:rPr>
                <w:rFonts w:cs="Calibri"/>
                <w:sz w:val="20"/>
                <w:szCs w:val="20"/>
                <w:highlight w:val="black"/>
              </w:rPr>
            </w:pPr>
            <w:r>
              <w:rPr>
                <w:rFonts w:cs="Calibri"/>
                <w:noProof/>
                <w:color w:val="000000"/>
                <w:sz w:val="20"/>
                <w:szCs w:val="20"/>
                <w:highlight w:val="black"/>
              </w:rPr>
              <w:t>'''''''''''</w:t>
            </w:r>
          </w:p>
        </w:tc>
        <w:tc>
          <w:tcPr>
            <w:tcW w:w="1323" w:type="dxa"/>
            <w:tcBorders>
              <w:top w:val="nil"/>
              <w:left w:val="nil"/>
              <w:bottom w:val="single" w:sz="4" w:space="0" w:color="auto"/>
              <w:right w:val="single" w:sz="4" w:space="0" w:color="auto"/>
            </w:tcBorders>
            <w:shd w:val="clear" w:color="auto" w:fill="auto"/>
            <w:vAlign w:val="center"/>
            <w:hideMark/>
          </w:tcPr>
          <w:p w:rsidR="005D6FB4" w:rsidRPr="00460C33" w:rsidRDefault="005D6FB4" w:rsidP="005A3E32">
            <w:pPr>
              <w:spacing w:after="0"/>
              <w:jc w:val="right"/>
              <w:rPr>
                <w:rFonts w:cs="Calibri"/>
                <w:sz w:val="20"/>
                <w:szCs w:val="20"/>
              </w:rPr>
            </w:pPr>
            <w:r w:rsidRPr="00460C33">
              <w:rPr>
                <w:rFonts w:cs="Calibri"/>
                <w:sz w:val="20"/>
                <w:szCs w:val="20"/>
              </w:rPr>
              <w:t>3,638</w:t>
            </w:r>
          </w:p>
        </w:tc>
        <w:tc>
          <w:tcPr>
            <w:tcW w:w="1323" w:type="dxa"/>
            <w:tcBorders>
              <w:top w:val="nil"/>
              <w:left w:val="nil"/>
              <w:bottom w:val="single" w:sz="4" w:space="0" w:color="auto"/>
              <w:right w:val="single" w:sz="4" w:space="0" w:color="auto"/>
            </w:tcBorders>
            <w:shd w:val="clear" w:color="auto" w:fill="auto"/>
            <w:noWrap/>
            <w:vAlign w:val="center"/>
            <w:hideMark/>
          </w:tcPr>
          <w:p w:rsidR="005D6FB4" w:rsidRPr="001A7DA5" w:rsidRDefault="001A7DA5" w:rsidP="005A3E32">
            <w:pPr>
              <w:spacing w:after="0"/>
              <w:jc w:val="right"/>
              <w:rPr>
                <w:rFonts w:cs="Calibri"/>
                <w:sz w:val="20"/>
                <w:szCs w:val="20"/>
                <w:highlight w:val="black"/>
              </w:rPr>
            </w:pPr>
            <w:r>
              <w:rPr>
                <w:rFonts w:cs="Calibri"/>
                <w:noProof/>
                <w:color w:val="000000"/>
                <w:sz w:val="20"/>
                <w:szCs w:val="20"/>
                <w:highlight w:val="black"/>
              </w:rPr>
              <w:t>'''''''''''</w:t>
            </w:r>
          </w:p>
        </w:tc>
      </w:tr>
      <w:tr w:rsidR="005A3E32" w:rsidRPr="00F75C73" w:rsidTr="005A3E32">
        <w:trPr>
          <w:trHeight w:val="510"/>
        </w:trPr>
        <w:tc>
          <w:tcPr>
            <w:tcW w:w="1433" w:type="dxa"/>
            <w:tcBorders>
              <w:top w:val="nil"/>
              <w:left w:val="single" w:sz="4" w:space="0" w:color="auto"/>
              <w:bottom w:val="single" w:sz="4" w:space="0" w:color="auto"/>
              <w:right w:val="single" w:sz="4" w:space="0" w:color="auto"/>
            </w:tcBorders>
            <w:shd w:val="clear" w:color="auto" w:fill="auto"/>
            <w:vAlign w:val="center"/>
          </w:tcPr>
          <w:p w:rsidR="005A3E32" w:rsidRPr="00460C33" w:rsidRDefault="005A3E32" w:rsidP="00F75C73">
            <w:pPr>
              <w:spacing w:after="0"/>
              <w:rPr>
                <w:rFonts w:cs="Calibri"/>
                <w:sz w:val="20"/>
                <w:szCs w:val="20"/>
              </w:rPr>
            </w:pPr>
            <w:r w:rsidRPr="00460C33">
              <w:rPr>
                <w:rFonts w:cs="Calibri"/>
                <w:sz w:val="20"/>
                <w:szCs w:val="20"/>
              </w:rPr>
              <w:t>Prescriptions / patient</w:t>
            </w:r>
          </w:p>
        </w:tc>
        <w:tc>
          <w:tcPr>
            <w:tcW w:w="1323" w:type="dxa"/>
            <w:tcBorders>
              <w:top w:val="nil"/>
              <w:left w:val="nil"/>
              <w:bottom w:val="single" w:sz="4" w:space="0" w:color="auto"/>
              <w:right w:val="single" w:sz="4" w:space="0" w:color="auto"/>
            </w:tcBorders>
            <w:shd w:val="clear" w:color="auto" w:fill="auto"/>
            <w:vAlign w:val="center"/>
          </w:tcPr>
          <w:p w:rsidR="005A3E32" w:rsidRPr="001A7DA5" w:rsidRDefault="001A7DA5" w:rsidP="005A3E32">
            <w:pPr>
              <w:spacing w:after="0"/>
              <w:jc w:val="right"/>
              <w:rPr>
                <w:rFonts w:cs="Calibri"/>
                <w:sz w:val="20"/>
                <w:szCs w:val="20"/>
                <w:highlight w:val="black"/>
              </w:rPr>
            </w:pPr>
            <w:r>
              <w:rPr>
                <w:rFonts w:cs="Calibri"/>
                <w:noProof/>
                <w:color w:val="000000"/>
                <w:sz w:val="20"/>
                <w:szCs w:val="20"/>
                <w:highlight w:val="black"/>
              </w:rPr>
              <w:t>'''''''''''</w:t>
            </w:r>
          </w:p>
        </w:tc>
        <w:tc>
          <w:tcPr>
            <w:tcW w:w="1323" w:type="dxa"/>
            <w:tcBorders>
              <w:top w:val="nil"/>
              <w:left w:val="nil"/>
              <w:bottom w:val="single" w:sz="4" w:space="0" w:color="auto"/>
              <w:right w:val="single" w:sz="4" w:space="0" w:color="auto"/>
            </w:tcBorders>
            <w:shd w:val="clear" w:color="auto" w:fill="auto"/>
            <w:vAlign w:val="center"/>
          </w:tcPr>
          <w:p w:rsidR="005A3E32" w:rsidRPr="00460C33" w:rsidRDefault="005A3E32" w:rsidP="005A3E32">
            <w:pPr>
              <w:spacing w:after="0"/>
              <w:jc w:val="right"/>
              <w:rPr>
                <w:rFonts w:cs="Calibri"/>
                <w:sz w:val="20"/>
                <w:szCs w:val="20"/>
              </w:rPr>
            </w:pPr>
            <w:r w:rsidRPr="00460C33">
              <w:rPr>
                <w:rFonts w:cs="Calibri"/>
                <w:sz w:val="20"/>
                <w:szCs w:val="20"/>
              </w:rPr>
              <w:t>4.76</w:t>
            </w:r>
          </w:p>
        </w:tc>
        <w:tc>
          <w:tcPr>
            <w:tcW w:w="1323" w:type="dxa"/>
            <w:tcBorders>
              <w:top w:val="nil"/>
              <w:left w:val="nil"/>
              <w:bottom w:val="single" w:sz="4" w:space="0" w:color="auto"/>
              <w:right w:val="single" w:sz="4" w:space="0" w:color="auto"/>
            </w:tcBorders>
            <w:shd w:val="clear" w:color="auto" w:fill="auto"/>
            <w:noWrap/>
            <w:vAlign w:val="center"/>
          </w:tcPr>
          <w:p w:rsidR="005A3E32" w:rsidRPr="001A7DA5" w:rsidRDefault="001A7DA5" w:rsidP="005A3E32">
            <w:pPr>
              <w:spacing w:after="0"/>
              <w:jc w:val="right"/>
              <w:rPr>
                <w:rFonts w:cs="Calibri"/>
                <w:sz w:val="20"/>
                <w:szCs w:val="20"/>
                <w:highlight w:val="black"/>
              </w:rPr>
            </w:pPr>
            <w:r>
              <w:rPr>
                <w:rFonts w:cs="Calibri"/>
                <w:noProof/>
                <w:color w:val="000000"/>
                <w:sz w:val="20"/>
                <w:szCs w:val="20"/>
                <w:highlight w:val="black"/>
              </w:rPr>
              <w:t>''''''''''</w:t>
            </w:r>
          </w:p>
        </w:tc>
      </w:tr>
    </w:tbl>
    <w:p w:rsidR="00BC506B" w:rsidRDefault="00BC506B" w:rsidP="00A35800">
      <w:pPr>
        <w:rPr>
          <w:highlight w:val="yellow"/>
        </w:rPr>
      </w:pPr>
    </w:p>
    <w:p w:rsidR="00535A63" w:rsidRPr="005442DD" w:rsidRDefault="007C3D09" w:rsidP="00A35800">
      <w:r w:rsidRPr="00974341">
        <w:t xml:space="preserve">The comparison of predicted and actual use of </w:t>
      </w:r>
      <w:proofErr w:type="spellStart"/>
      <w:r>
        <w:t>dabrafenib</w:t>
      </w:r>
      <w:proofErr w:type="spellEnd"/>
      <w:r>
        <w:t xml:space="preserve"> shows the number of treated patients was an accurate estimate. </w:t>
      </w:r>
      <w:r w:rsidR="002026E3">
        <w:t>T</w:t>
      </w:r>
      <w:r w:rsidR="005A3E32">
        <w:t xml:space="preserve">able </w:t>
      </w:r>
      <w:r w:rsidR="002971FE">
        <w:t>4 on page 13</w:t>
      </w:r>
      <w:r w:rsidR="005A3E32">
        <w:t xml:space="preserve"> suggested t</w:t>
      </w:r>
      <w:r w:rsidR="002026E3">
        <w:t xml:space="preserve">he number of </w:t>
      </w:r>
      <w:r w:rsidR="00F661A4">
        <w:t xml:space="preserve">prescriptions </w:t>
      </w:r>
      <w:r w:rsidR="002026E3">
        <w:t xml:space="preserve">patients are receiving is approximately 6 to 8, which is </w:t>
      </w:r>
      <w:r w:rsidR="00B3598E">
        <w:t>lower than</w:t>
      </w:r>
      <w:r w:rsidR="002026E3">
        <w:t xml:space="preserve"> estimated</w:t>
      </w:r>
      <w:r w:rsidR="00B3598E">
        <w:t xml:space="preserve"> based on data available t</w:t>
      </w:r>
      <w:r w:rsidR="00F661A4">
        <w:t>o</w:t>
      </w:r>
      <w:r w:rsidR="00B3598E">
        <w:t xml:space="preserve"> date.</w:t>
      </w:r>
      <w:r w:rsidR="002026E3">
        <w:t xml:space="preserve"> </w:t>
      </w:r>
      <w:r w:rsidR="00B3598E">
        <w:t>One</w:t>
      </w:r>
      <w:r w:rsidR="000E01FB">
        <w:t xml:space="preserve"> reason for the difference could be that the submission did not apply a half year correction to the estimate of prescriptions. If this is the reason, it is possible the number of prescriptions will be </w:t>
      </w:r>
      <w:r w:rsidR="000E01FB" w:rsidRPr="00592321">
        <w:t>closer to the predicted</w:t>
      </w:r>
      <w:r w:rsidR="000E01FB" w:rsidRPr="00974341">
        <w:t xml:space="preserve"> </w:t>
      </w:r>
      <w:r w:rsidR="000E01FB">
        <w:t>number in year 2</w:t>
      </w:r>
      <w:r w:rsidR="00592321">
        <w:t xml:space="preserve"> as it will include patients who initiated in the first year of listing</w:t>
      </w:r>
      <w:r w:rsidR="000E01FB">
        <w:t>.</w:t>
      </w:r>
    </w:p>
    <w:p w:rsidR="00591512" w:rsidRDefault="00AB3733" w:rsidP="00B30D85">
      <w:pPr>
        <w:pStyle w:val="Heading4"/>
      </w:pPr>
      <w:r>
        <w:t>D</w:t>
      </w:r>
      <w:r w:rsidR="007346C7" w:rsidRPr="005E22C2">
        <w:t>iscussion</w:t>
      </w:r>
    </w:p>
    <w:p w:rsidR="0094350D" w:rsidRPr="0094350D" w:rsidRDefault="0094350D" w:rsidP="00A07256">
      <w:pPr>
        <w:rPr>
          <w:b/>
        </w:rPr>
      </w:pPr>
      <w:r w:rsidRPr="0094350D">
        <w:t xml:space="preserve">Between August 2013 and April 2015, 2,484 patients have been treated with </w:t>
      </w:r>
      <w:proofErr w:type="spellStart"/>
      <w:r w:rsidRPr="0094350D">
        <w:t>dabrafenib</w:t>
      </w:r>
      <w:proofErr w:type="spellEnd"/>
      <w:r w:rsidRPr="0094350D">
        <w:t xml:space="preserve"> or ipilimumab. In 2014 1,642 patients were dispensed at least one prescription of </w:t>
      </w:r>
      <w:proofErr w:type="spellStart"/>
      <w:r w:rsidRPr="0094350D">
        <w:t>dabrafenib</w:t>
      </w:r>
      <w:proofErr w:type="spellEnd"/>
      <w:r w:rsidRPr="0094350D">
        <w:t xml:space="preserve"> or ipilimumab; 1,467 of these patients were starting treatment with </w:t>
      </w:r>
      <w:proofErr w:type="spellStart"/>
      <w:r w:rsidRPr="0094350D">
        <w:t>dabrafenib</w:t>
      </w:r>
      <w:proofErr w:type="spellEnd"/>
      <w:r w:rsidRPr="0094350D">
        <w:t xml:space="preserve"> or ipilimumab for the first time. Of these, 712 patients started treatment with </w:t>
      </w:r>
      <w:proofErr w:type="spellStart"/>
      <w:r w:rsidRPr="0094350D">
        <w:t>dabrafenib</w:t>
      </w:r>
      <w:proofErr w:type="spellEnd"/>
      <w:r w:rsidRPr="0094350D">
        <w:t xml:space="preserve"> and 755 patients started treatment with ipilimumab. </w:t>
      </w:r>
    </w:p>
    <w:p w:rsidR="00D5580D" w:rsidRDefault="00D5580D" w:rsidP="0094350D">
      <w:r>
        <w:t xml:space="preserve">The number of patients treated with PBS listed melanoma therapies </w:t>
      </w:r>
      <w:r w:rsidR="00B3598E">
        <w:t>h</w:t>
      </w:r>
      <w:r w:rsidR="005E1A4A">
        <w:t>a</w:t>
      </w:r>
      <w:r w:rsidR="00231E28">
        <w:t>s</w:t>
      </w:r>
      <w:r w:rsidR="00B3598E">
        <w:t xml:space="preserve"> been</w:t>
      </w:r>
      <w:r w:rsidR="00231E28">
        <w:t xml:space="preserve"> </w:t>
      </w:r>
      <w:r w:rsidR="005E1A4A">
        <w:t xml:space="preserve">similar to the predicted </w:t>
      </w:r>
      <w:r w:rsidR="00B3598E">
        <w:t>at the time of listing</w:t>
      </w:r>
      <w:r w:rsidR="005E1A4A">
        <w:t>.</w:t>
      </w:r>
      <w:r w:rsidR="00B3598E">
        <w:t xml:space="preserve"> </w:t>
      </w:r>
      <w:r w:rsidR="00D2088B">
        <w:t xml:space="preserve">This should be interpreted in the context that </w:t>
      </w:r>
      <w:r w:rsidR="00B3598E">
        <w:t>PBS medicine use</w:t>
      </w:r>
      <w:r w:rsidR="00D2088B">
        <w:t xml:space="preserve"> </w:t>
      </w:r>
      <w:r>
        <w:t xml:space="preserve">may not reflect the total number of melanoma patients in Australia, due to some patients being treated with new therapies as part of clinical trials or patient access programs. </w:t>
      </w:r>
    </w:p>
    <w:p w:rsidR="009A0952" w:rsidRPr="00A9699F" w:rsidRDefault="00B3598E" w:rsidP="00F1132C">
      <w:r>
        <w:t xml:space="preserve">The </w:t>
      </w:r>
      <w:r w:rsidR="00D2088B">
        <w:t xml:space="preserve">PBS </w:t>
      </w:r>
      <w:r>
        <w:t xml:space="preserve">data </w:t>
      </w:r>
      <w:r w:rsidR="00946377">
        <w:t>suggest</w:t>
      </w:r>
      <w:r>
        <w:t xml:space="preserve"> that the duration of treatment for both ipilimumab and </w:t>
      </w:r>
      <w:proofErr w:type="spellStart"/>
      <w:r>
        <w:t>dabrafenib</w:t>
      </w:r>
      <w:proofErr w:type="spellEnd"/>
      <w:r>
        <w:t xml:space="preserve"> may be </w:t>
      </w:r>
      <w:r w:rsidR="00946377">
        <w:t>shorter</w:t>
      </w:r>
      <w:r>
        <w:t xml:space="preserve"> than expected. </w:t>
      </w:r>
      <w:r w:rsidR="00946377">
        <w:t>However, f</w:t>
      </w:r>
      <w:r>
        <w:t xml:space="preserve">or </w:t>
      </w:r>
      <w:proofErr w:type="spellStart"/>
      <w:r>
        <w:t>dabrafenib</w:t>
      </w:r>
      <w:proofErr w:type="spellEnd"/>
      <w:r w:rsidR="00E037EF">
        <w:t xml:space="preserve">, a longer period of data is required to assess the median duration of treatment. </w:t>
      </w:r>
      <w:r w:rsidR="00946377">
        <w:t xml:space="preserve">In the case of </w:t>
      </w:r>
      <w:r w:rsidR="00D2088B">
        <w:t xml:space="preserve">ipilimumab, the number of doses used, and the extent of </w:t>
      </w:r>
      <w:proofErr w:type="spellStart"/>
      <w:r w:rsidR="00D2088B">
        <w:t>reinduction</w:t>
      </w:r>
      <w:proofErr w:type="spellEnd"/>
      <w:r w:rsidR="00D2088B">
        <w:t xml:space="preserve"> therapy, has been lower than expected. </w:t>
      </w:r>
      <w:r w:rsidR="008101FB">
        <w:t>The availability of new therapies</w:t>
      </w:r>
      <w:r w:rsidR="00E037EF">
        <w:t xml:space="preserve"> may be one factor contributing to th</w:t>
      </w:r>
      <w:r w:rsidR="00946377">
        <w:t xml:space="preserve">is trend. </w:t>
      </w:r>
      <w:r w:rsidR="00E037EF">
        <w:t>In addition</w:t>
      </w:r>
      <w:r w:rsidR="005B7037">
        <w:t>,</w:t>
      </w:r>
      <w:r w:rsidR="00E037EF">
        <w:t xml:space="preserve"> </w:t>
      </w:r>
      <w:r w:rsidR="008101FB">
        <w:t xml:space="preserve">adverse events </w:t>
      </w:r>
      <w:r w:rsidR="00D5580D">
        <w:t>associated</w:t>
      </w:r>
      <w:r w:rsidR="008101FB">
        <w:t xml:space="preserve"> with ipilimumab may be contributed to lower use of </w:t>
      </w:r>
      <w:proofErr w:type="spellStart"/>
      <w:r w:rsidR="008101FB">
        <w:t>reinduction</w:t>
      </w:r>
      <w:proofErr w:type="spellEnd"/>
      <w:r w:rsidR="008101FB">
        <w:t xml:space="preserve"> therapy. </w:t>
      </w:r>
      <w:r w:rsidR="009A0952">
        <w:t xml:space="preserve">At its July 2015 meeting, the PBAC considered correspondence from the </w:t>
      </w:r>
      <w:r w:rsidR="009A0952" w:rsidRPr="009A0952">
        <w:t xml:space="preserve">South Australian Medicines Evaluation Panel </w:t>
      </w:r>
      <w:r w:rsidR="009A0952">
        <w:t xml:space="preserve">(SAMEP). This correspondence contained </w:t>
      </w:r>
      <w:r w:rsidR="009A0952" w:rsidRPr="009A0952">
        <w:t>South Australian data on the incidence and the costs of treating adverse events associated with ipilimumab treatment since it was listed on the PBS, specifically with regard to the treatment of steroid-refractory ipilimumab-induced colitis.</w:t>
      </w:r>
      <w:r w:rsidR="009A0952">
        <w:t xml:space="preserve"> The ratified minutes of the PBAC consideration </w:t>
      </w:r>
      <w:r w:rsidR="00C756C0">
        <w:t>were</w:t>
      </w:r>
      <w:r w:rsidR="009A0952">
        <w:t xml:space="preserve"> provided to DUSC.</w:t>
      </w:r>
    </w:p>
    <w:p w:rsidR="00C4339D" w:rsidRDefault="00C4339D" w:rsidP="00C4339D">
      <w:pPr>
        <w:pStyle w:val="Heading4"/>
      </w:pPr>
      <w:r>
        <w:lastRenderedPageBreak/>
        <w:t>DUSC consideration</w:t>
      </w:r>
    </w:p>
    <w:p w:rsidR="00C4339D" w:rsidRPr="001A60B6" w:rsidRDefault="00C4339D" w:rsidP="00C4339D">
      <w:r w:rsidRPr="001A60B6">
        <w:t xml:space="preserve">DUSC noted the use of ipilimumab decreased after the first two months of it being listed on the PBS. DUSC commented this was expected due to the recommended dosing regimen and grandfathered patients completing a course of induction treatment. DUSC also considered that </w:t>
      </w:r>
      <w:r>
        <w:t xml:space="preserve">the decline in use may reflect </w:t>
      </w:r>
      <w:r w:rsidRPr="001A60B6">
        <w:t xml:space="preserve">patients ceasing treatment due to adverse events associated with ipilimumab or disease progression. DUSC noted that use of ipilimumab subsequently increased in early 2014. </w:t>
      </w:r>
      <w:r w:rsidRPr="00317302">
        <w:t xml:space="preserve">This increase was not accounted for by patients receiving </w:t>
      </w:r>
      <w:proofErr w:type="spellStart"/>
      <w:r w:rsidRPr="00317302">
        <w:t>reinduction</w:t>
      </w:r>
      <w:proofErr w:type="spellEnd"/>
      <w:r w:rsidRPr="00317302">
        <w:t xml:space="preserve"> treatment as the analysis shows the proportion of ipilimumab patients continuing to </w:t>
      </w:r>
      <w:proofErr w:type="spellStart"/>
      <w:r w:rsidRPr="00317302">
        <w:t>reinduction</w:t>
      </w:r>
      <w:proofErr w:type="spellEnd"/>
      <w:r w:rsidRPr="00317302">
        <w:t xml:space="preserve"> therapy is very low. Another reason for the increase may be patients moving from </w:t>
      </w:r>
      <w:proofErr w:type="spellStart"/>
      <w:r w:rsidRPr="00317302">
        <w:t>dabrafenib</w:t>
      </w:r>
      <w:proofErr w:type="spellEnd"/>
      <w:r w:rsidRPr="00317302">
        <w:t xml:space="preserve"> to ipilimumab. Figure 2 shows that </w:t>
      </w:r>
      <w:r w:rsidR="005B2D57">
        <w:t xml:space="preserve">only </w:t>
      </w:r>
      <w:r w:rsidRPr="00317302">
        <w:t xml:space="preserve">a few patients initiated ipilimumab after PBS subsidised </w:t>
      </w:r>
      <w:proofErr w:type="spellStart"/>
      <w:r w:rsidRPr="00317302">
        <w:t>dabrafenib</w:t>
      </w:r>
      <w:proofErr w:type="spellEnd"/>
      <w:r w:rsidRPr="00317302">
        <w:t xml:space="preserve"> during this time. A likely explanation for the increase in ipilimumab use in early 2014 may be patients moving from targeted therapies provided through clinical trials or access programs to second line ipilimumab through the PBS.  The sponsor of </w:t>
      </w:r>
      <w:proofErr w:type="spellStart"/>
      <w:r w:rsidRPr="00317302">
        <w:t>dabrafenib</w:t>
      </w:r>
      <w:proofErr w:type="spellEnd"/>
      <w:r w:rsidRPr="00317302">
        <w:t xml:space="preserve"> suggested that the increase in the number of patients switching from </w:t>
      </w:r>
      <w:proofErr w:type="spellStart"/>
      <w:r w:rsidRPr="00317302">
        <w:t>dabrafenib</w:t>
      </w:r>
      <w:proofErr w:type="spellEnd"/>
      <w:r w:rsidRPr="00317302">
        <w:t xml:space="preserve"> to ipilimumab in early 2014 may be due to the use of targeted therapies such as </w:t>
      </w:r>
      <w:proofErr w:type="spellStart"/>
      <w:r w:rsidRPr="00317302">
        <w:t>dabrafenib</w:t>
      </w:r>
      <w:proofErr w:type="spellEnd"/>
      <w:r w:rsidRPr="00317302">
        <w:t xml:space="preserve"> to elicit a very rapid response in patients (leading to tumour shrinkage), prior to commencement of a slower acting immunotherapy (such as ipilimumab). </w:t>
      </w:r>
    </w:p>
    <w:p w:rsidR="00C4339D" w:rsidRPr="001A60B6" w:rsidRDefault="00C4339D" w:rsidP="00C4339D">
      <w:r w:rsidRPr="001A60B6">
        <w:t xml:space="preserve">DUSC noted the number of patients receiving </w:t>
      </w:r>
      <w:proofErr w:type="spellStart"/>
      <w:r w:rsidRPr="001A60B6">
        <w:t>dabrafenib</w:t>
      </w:r>
      <w:proofErr w:type="spellEnd"/>
      <w:r w:rsidRPr="001A60B6">
        <w:t xml:space="preserve"> after ipilimumab is extremely low, and considered that the Authority Required PBS restriction for </w:t>
      </w:r>
      <w:proofErr w:type="spellStart"/>
      <w:r w:rsidRPr="001A60B6">
        <w:t>dabrafenib</w:t>
      </w:r>
      <w:proofErr w:type="spellEnd"/>
      <w:r w:rsidRPr="001A60B6">
        <w:t xml:space="preserve"> appears to be limiting use in this group. The sponsor of ipilimumab also considered that the PBS restriction prevents use of BRAFs in the se</w:t>
      </w:r>
      <w:r>
        <w:t xml:space="preserve">cond line setting but based on clinician </w:t>
      </w:r>
      <w:r w:rsidRPr="001A60B6">
        <w:t xml:space="preserve">feedback </w:t>
      </w:r>
      <w:r>
        <w:t xml:space="preserve">provided to the sponsor </w:t>
      </w:r>
      <w:r w:rsidRPr="001A60B6">
        <w:t xml:space="preserve"> suggested a need to review the PBS listing for the BRAF inhibitors. DUSC recalled that at the March 2015 meeting the PBAC recommended that pembrolizumab should follow progression with appropriate </w:t>
      </w:r>
      <w:proofErr w:type="spellStart"/>
      <w:r w:rsidRPr="001A60B6">
        <w:t>dabrafenib</w:t>
      </w:r>
      <w:proofErr w:type="spellEnd"/>
      <w:r w:rsidRPr="001A60B6">
        <w:t xml:space="preserve"> therapy (combined with </w:t>
      </w:r>
      <w:proofErr w:type="spellStart"/>
      <w:r w:rsidRPr="001A60B6">
        <w:t>trametinib</w:t>
      </w:r>
      <w:proofErr w:type="spellEnd"/>
      <w:r w:rsidRPr="001A60B6">
        <w:t xml:space="preserve"> after </w:t>
      </w:r>
      <w:proofErr w:type="spellStart"/>
      <w:r w:rsidRPr="001A60B6">
        <w:t>trametinib</w:t>
      </w:r>
      <w:proofErr w:type="spellEnd"/>
      <w:r w:rsidRPr="001A60B6">
        <w:t xml:space="preserve"> is listed).  This is because a comparison across the available trials suggested greater response rates and prolonged median progression-free survival for these cheaper targeted therapies over the immune therapies.  The PBAC was informed at the hearing for pembrolizumab that ongoing trials are comparing different sequence options and that this positioning will be reviewed once these trials are completed.</w:t>
      </w:r>
    </w:p>
    <w:p w:rsidR="00C4339D" w:rsidRPr="001A60B6" w:rsidRDefault="00C4339D" w:rsidP="00C4339D">
      <w:r w:rsidRPr="001A60B6">
        <w:t xml:space="preserve">DUSC noted the number of patients treated with </w:t>
      </w:r>
      <w:proofErr w:type="spellStart"/>
      <w:r w:rsidRPr="001A60B6">
        <w:t>dabrafenib</w:t>
      </w:r>
      <w:proofErr w:type="spellEnd"/>
      <w:r w:rsidRPr="001A60B6">
        <w:t xml:space="preserve"> was consistent with the estimated number of patients. However, the overall use of </w:t>
      </w:r>
      <w:proofErr w:type="spellStart"/>
      <w:r w:rsidRPr="001A60B6">
        <w:t>dabrafenib</w:t>
      </w:r>
      <w:proofErr w:type="spellEnd"/>
      <w:r w:rsidRPr="001A60B6">
        <w:t xml:space="preserve"> was lower than expected due to patients having shorter durations of therapy than predicted. DUSC noted the comments from the sponsor of </w:t>
      </w:r>
      <w:proofErr w:type="spellStart"/>
      <w:r w:rsidRPr="001A60B6">
        <w:t>dabrafenib</w:t>
      </w:r>
      <w:proofErr w:type="spellEnd"/>
      <w:r w:rsidRPr="001A60B6">
        <w:t xml:space="preserve"> which </w:t>
      </w:r>
      <w:r>
        <w:t>suggested the duration of therap</w:t>
      </w:r>
      <w:r w:rsidRPr="001A60B6">
        <w:t>y was lower than expected because:</w:t>
      </w:r>
    </w:p>
    <w:p w:rsidR="00C4339D" w:rsidRPr="006F1CB9" w:rsidRDefault="00C4339D" w:rsidP="00C4339D">
      <w:pPr>
        <w:pStyle w:val="ListParagraph"/>
        <w:numPr>
          <w:ilvl w:val="0"/>
          <w:numId w:val="7"/>
        </w:numPr>
      </w:pPr>
      <w:r w:rsidRPr="006F1CB9">
        <w:t xml:space="preserve">the data includes grandfathered patients who received treatment outside of the PBS, </w:t>
      </w:r>
    </w:p>
    <w:p w:rsidR="00C4339D" w:rsidRPr="006F1CB9" w:rsidRDefault="00C4339D" w:rsidP="00C4339D">
      <w:pPr>
        <w:pStyle w:val="ListParagraph"/>
        <w:numPr>
          <w:ilvl w:val="0"/>
          <w:numId w:val="7"/>
        </w:numPr>
      </w:pPr>
      <w:r w:rsidRPr="006F1CB9">
        <w:t xml:space="preserve">that patients are likely to be treated with </w:t>
      </w:r>
      <w:proofErr w:type="spellStart"/>
      <w:r w:rsidRPr="006F1CB9">
        <w:t>dabrafenib</w:t>
      </w:r>
      <w:proofErr w:type="spellEnd"/>
      <w:r w:rsidRPr="006F1CB9">
        <w:t xml:space="preserve"> initially to reduce tumour size, and then moved to a slower acting immunotherapy, and </w:t>
      </w:r>
    </w:p>
    <w:p w:rsidR="00C4339D" w:rsidRPr="006F1CB9" w:rsidRDefault="00C4339D" w:rsidP="00C4339D">
      <w:pPr>
        <w:pStyle w:val="ListParagraph"/>
        <w:numPr>
          <w:ilvl w:val="0"/>
          <w:numId w:val="7"/>
        </w:numPr>
      </w:pPr>
      <w:r w:rsidRPr="006F1CB9">
        <w:t xml:space="preserve">that the PBS listing of </w:t>
      </w:r>
      <w:proofErr w:type="spellStart"/>
      <w:r w:rsidRPr="006F1CB9">
        <w:t>trametinib</w:t>
      </w:r>
      <w:proofErr w:type="spellEnd"/>
      <w:r w:rsidRPr="006F1CB9">
        <w:t xml:space="preserve"> which occurred 1 August 2015, for use in combination with </w:t>
      </w:r>
      <w:proofErr w:type="spellStart"/>
      <w:r w:rsidRPr="006F1CB9">
        <w:t>dabrafenib</w:t>
      </w:r>
      <w:proofErr w:type="spellEnd"/>
      <w:r w:rsidRPr="006F1CB9">
        <w:t>, is likely to narrow the gap between the expected and actual duration of therapy.</w:t>
      </w:r>
    </w:p>
    <w:p w:rsidR="00C4339D" w:rsidRDefault="00C4339D" w:rsidP="00C4339D">
      <w:r w:rsidRPr="001A60B6">
        <w:lastRenderedPageBreak/>
        <w:t xml:space="preserve">The DUSC requested that a copy of the ratified minutes of the PBAC’s consideration of the South Australian Medicines Evaluation Panel report on ipilimumab be circulated to members. This report predominantly considered the rates and costs of ipilimumab-induced colitis. DUSC noted that there have also been reports of </w:t>
      </w:r>
      <w:proofErr w:type="spellStart"/>
      <w:r w:rsidRPr="001A60B6">
        <w:t>hypophysitis</w:t>
      </w:r>
      <w:proofErr w:type="spellEnd"/>
      <w:r w:rsidRPr="001A60B6">
        <w:t xml:space="preserve"> in patients treated with ipilimumab</w:t>
      </w:r>
      <w:r>
        <w:t>.</w:t>
      </w:r>
      <w:r w:rsidRPr="001A60B6">
        <w:t xml:space="preserve"> </w:t>
      </w:r>
      <w:r w:rsidRPr="00227B24">
        <w:rPr>
          <w:vertAlign w:val="superscript"/>
        </w:rPr>
        <w:footnoteReference w:id="13"/>
      </w:r>
    </w:p>
    <w:p w:rsidR="00C4339D" w:rsidRPr="001A60B6" w:rsidRDefault="00C4339D" w:rsidP="00C4339D">
      <w:r w:rsidRPr="001A60B6">
        <w:t>DUSC noted that the treatment algorithm and evidence base for melanoma is evolving rapidly and it is important to consider utilisation in this context. Overall, DUSC considered that utilisation seems to be moving in accord with best practice guidelines and PBS restrictions. DUSC considered that another analysis should be undertaken 12-24 months after PD-1 inhibitor availability.  DUSC considered that switching and cycling analyses will be important in future utilisation estimates.</w:t>
      </w:r>
    </w:p>
    <w:p w:rsidR="00C4339D" w:rsidRDefault="00C4339D" w:rsidP="00C4339D">
      <w:pPr>
        <w:pStyle w:val="Heading4"/>
      </w:pPr>
      <w:r>
        <w:t>DUSC actions</w:t>
      </w:r>
    </w:p>
    <w:p w:rsidR="00C4339D" w:rsidRPr="00C4339D" w:rsidRDefault="00C4339D" w:rsidP="00C4339D">
      <w:r w:rsidRPr="00C4339D">
        <w:t>The DUSC requested that the report be provided to the PBAC.</w:t>
      </w:r>
    </w:p>
    <w:p w:rsidR="00C4339D" w:rsidRDefault="00C4339D" w:rsidP="00C4339D">
      <w:pPr>
        <w:pStyle w:val="Heading4"/>
      </w:pPr>
      <w:r w:rsidRPr="0092516A">
        <w:t>Context for analysis</w:t>
      </w:r>
    </w:p>
    <w:p w:rsidR="00C4339D" w:rsidRDefault="00C4339D" w:rsidP="00C4339D">
      <w:r>
        <w:t>The DUSC is a Sub Committee of the Pharmaceutical Benefits Advisory Committee (PBAC). The DUSC assesses estimates on projected usage and financial cost of medicines.</w:t>
      </w:r>
    </w:p>
    <w:p w:rsidR="00C4339D" w:rsidRDefault="00C4339D" w:rsidP="00C4339D">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C4339D" w:rsidRDefault="00C4339D" w:rsidP="00C4339D">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C4339D" w:rsidRDefault="00C4339D" w:rsidP="00C4339D">
      <w:r>
        <w:t>The utilisation analysis report was provided to the pharmaceutical sponsors of each drug and comments on the report were provided to DUSC prior to its consideration of the analysis.</w:t>
      </w:r>
    </w:p>
    <w:p w:rsidR="00C4339D" w:rsidRDefault="00C4339D" w:rsidP="00C4339D">
      <w:pPr>
        <w:pStyle w:val="Heading4"/>
      </w:pPr>
      <w:r>
        <w:t>Sponsor</w:t>
      </w:r>
      <w:r w:rsidRPr="0092516A">
        <w:t>s</w:t>
      </w:r>
      <w:r>
        <w:t>’</w:t>
      </w:r>
      <w:r w:rsidRPr="0092516A">
        <w:t xml:space="preserve"> comments</w:t>
      </w:r>
    </w:p>
    <w:p w:rsidR="006C3851" w:rsidRDefault="00A16ED6" w:rsidP="00EE7110">
      <w:pPr>
        <w:pStyle w:val="ListParagraph"/>
        <w:numPr>
          <w:ilvl w:val="0"/>
          <w:numId w:val="8"/>
        </w:numPr>
      </w:pPr>
      <w:r>
        <w:t>Bristol-Myers Squibb Australia Pty Ltd</w:t>
      </w:r>
      <w:r w:rsidR="00EE7110">
        <w:br/>
      </w:r>
      <w:r w:rsidR="006C3851">
        <w:t>No comment provided.</w:t>
      </w:r>
    </w:p>
    <w:p w:rsidR="00A16ED6" w:rsidRDefault="00A16ED6" w:rsidP="00EE7110">
      <w:pPr>
        <w:pStyle w:val="ListParagraph"/>
        <w:numPr>
          <w:ilvl w:val="0"/>
          <w:numId w:val="8"/>
        </w:numPr>
      </w:pPr>
      <w:r>
        <w:t>Novartis Pharmaceuticals Australia Pty Limited</w:t>
      </w:r>
      <w:r w:rsidR="00EE7110">
        <w:br/>
      </w:r>
      <w:r w:rsidR="00EE7110">
        <w:t>No comment provided.</w:t>
      </w:r>
    </w:p>
    <w:p w:rsidR="00B57BE1" w:rsidRDefault="00B57BE1">
      <w:pPr>
        <w:spacing w:line="276" w:lineRule="auto"/>
        <w:rPr>
          <w:b/>
          <w:sz w:val="32"/>
          <w:szCs w:val="32"/>
        </w:rPr>
      </w:pPr>
      <w:r>
        <w:br w:type="page"/>
      </w:r>
    </w:p>
    <w:p w:rsidR="00C4339D" w:rsidRDefault="00C4339D" w:rsidP="00C4339D">
      <w:pPr>
        <w:pStyle w:val="Heading4"/>
      </w:pPr>
      <w:r w:rsidRPr="00A4020E">
        <w:lastRenderedPageBreak/>
        <w:t>Disclaimer</w:t>
      </w:r>
    </w:p>
    <w:p w:rsidR="00C4339D" w:rsidRDefault="00C4339D" w:rsidP="00C4339D">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C4339D" w:rsidRDefault="00C4339D" w:rsidP="00C4339D">
      <w:r>
        <w:t>The Department of Health (</w:t>
      </w:r>
      <w:proofErr w:type="spellStart"/>
      <w:r>
        <w:t>DoH</w:t>
      </w:r>
      <w:proofErr w:type="spellEnd"/>
      <w: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C4339D" w:rsidRDefault="00C4339D" w:rsidP="00C4339D">
      <w:r>
        <w:t xml:space="preserve">To the extent provided by law, </w:t>
      </w:r>
      <w:proofErr w:type="spellStart"/>
      <w:r>
        <w:t>DoH</w:t>
      </w:r>
      <w:proofErr w:type="spellEnd"/>
      <w:r>
        <w:t xml:space="preserve"> makes no warranties or representations as to accuracy or completeness of information contained in this report. </w:t>
      </w:r>
    </w:p>
    <w:p w:rsidR="00C4339D" w:rsidRDefault="00C4339D" w:rsidP="00C4339D">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rsidR="005F0017" w:rsidRPr="00D31BC3" w:rsidRDefault="005F0017">
      <w:pPr>
        <w:spacing w:line="276" w:lineRule="auto"/>
      </w:pPr>
    </w:p>
    <w:sectPr w:rsidR="005F0017" w:rsidRPr="00D31BC3" w:rsidSect="00DD188C">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E08" w:rsidRDefault="00E32E08" w:rsidP="00A35800">
      <w:r>
        <w:separator/>
      </w:r>
    </w:p>
  </w:endnote>
  <w:endnote w:type="continuationSeparator" w:id="0">
    <w:p w:rsidR="00E32E08" w:rsidRDefault="00E32E08"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08" w:rsidRDefault="00E32E08"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E32E08" w:rsidRDefault="00E32E08"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220733839"/>
      <w:docPartObj>
        <w:docPartGallery w:val="Page Numbers (Bottom of Page)"/>
        <w:docPartUnique/>
      </w:docPartObj>
    </w:sdtPr>
    <w:sdtEndPr>
      <w:rPr>
        <w:i w:val="0"/>
        <w:sz w:val="24"/>
        <w:szCs w:val="24"/>
      </w:rPr>
    </w:sdtEndPr>
    <w:sdtContent>
      <w:sdt>
        <w:sdtPr>
          <w:rPr>
            <w:i/>
            <w:sz w:val="20"/>
            <w:szCs w:val="20"/>
          </w:rPr>
          <w:id w:val="-1669238322"/>
          <w:docPartObj>
            <w:docPartGallery w:val="Page Numbers (Top of Page)"/>
            <w:docPartUnique/>
          </w:docPartObj>
        </w:sdtPr>
        <w:sdtEndPr>
          <w:rPr>
            <w:i w:val="0"/>
            <w:sz w:val="24"/>
            <w:szCs w:val="24"/>
          </w:rPr>
        </w:sdtEndPr>
        <w:sdtContent>
          <w:p w:rsidR="00E32E08" w:rsidRPr="00A16ED6" w:rsidRDefault="00E32E08" w:rsidP="000E72C6">
            <w:pPr>
              <w:pStyle w:val="Footer"/>
              <w:jc w:val="center"/>
              <w:rPr>
                <w:i/>
                <w:sz w:val="20"/>
                <w:szCs w:val="20"/>
              </w:rPr>
            </w:pPr>
            <w:r w:rsidRPr="00A16ED6">
              <w:rPr>
                <w:i/>
                <w:sz w:val="20"/>
                <w:szCs w:val="20"/>
              </w:rPr>
              <w:t>Public Release Document, October 2015 DUSC Meeting</w:t>
            </w:r>
          </w:p>
          <w:p w:rsidR="00E32E08" w:rsidRDefault="00E32E08"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2449A4">
              <w:rPr>
                <w:bCs/>
                <w:i/>
                <w:noProof/>
                <w:sz w:val="20"/>
              </w:rPr>
              <w:t>1</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2449A4">
              <w:rPr>
                <w:bCs/>
                <w:i/>
                <w:noProof/>
                <w:sz w:val="20"/>
              </w:rPr>
              <w:t>18</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08" w:rsidRDefault="00E32E08" w:rsidP="007A5733">
    <w:pPr>
      <w:pStyle w:val="Footer"/>
      <w:jc w:val="center"/>
      <w:rPr>
        <w:rStyle w:val="PageNumber"/>
      </w:rPr>
    </w:pPr>
    <w:r>
      <w:rPr>
        <w:rStyle w:val="PageNumber"/>
      </w:rPr>
      <w:t>Committee-in-Confidence</w:t>
    </w:r>
  </w:p>
  <w:p w:rsidR="00E32E08" w:rsidRDefault="00E32E08"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E08" w:rsidRDefault="00E32E08" w:rsidP="00A35800">
      <w:r>
        <w:separator/>
      </w:r>
    </w:p>
  </w:footnote>
  <w:footnote w:type="continuationSeparator" w:id="0">
    <w:p w:rsidR="00E32E08" w:rsidRDefault="00E32E08" w:rsidP="00A35800">
      <w:r>
        <w:continuationSeparator/>
      </w:r>
    </w:p>
  </w:footnote>
  <w:footnote w:id="1">
    <w:p w:rsidR="00E32E08" w:rsidRDefault="00E32E08">
      <w:pPr>
        <w:pStyle w:val="FootnoteText"/>
      </w:pPr>
      <w:r>
        <w:rPr>
          <w:rStyle w:val="FootnoteReference"/>
        </w:rPr>
        <w:footnoteRef/>
      </w:r>
      <w:r>
        <w:t xml:space="preserve"> </w:t>
      </w:r>
      <w:proofErr w:type="spellStart"/>
      <w:r>
        <w:t>Yervoy</w:t>
      </w:r>
      <w:proofErr w:type="spellEnd"/>
      <w:r>
        <w:t>® (ipilimumab)</w:t>
      </w:r>
      <w:r w:rsidRPr="00A63AC4">
        <w:t xml:space="preserve"> </w:t>
      </w:r>
      <w:r>
        <w:t xml:space="preserve">Australian Consumer Medicine Information. Mulgrave: Bristol-Myers Squibb Australia Pty Ltd. March 2015. </w:t>
      </w:r>
      <w:proofErr w:type="gramStart"/>
      <w:r>
        <w:t>Available from &lt;</w:t>
      </w:r>
      <w:r w:rsidRPr="006D6729">
        <w:t xml:space="preserve"> </w:t>
      </w:r>
      <w:hyperlink r:id="rId1" w:history="1">
        <w:r>
          <w:rPr>
            <w:rStyle w:val="Hyperlink"/>
          </w:rPr>
          <w:t>https://www.ebs.tga.gov.au/</w:t>
        </w:r>
      </w:hyperlink>
      <w:r>
        <w:t>&gt;.</w:t>
      </w:r>
      <w:proofErr w:type="gramEnd"/>
      <w:r>
        <w:t xml:space="preserve"> Accessed 31 August 2015</w:t>
      </w:r>
    </w:p>
  </w:footnote>
  <w:footnote w:id="2">
    <w:p w:rsidR="00E32E08" w:rsidRDefault="00E32E08">
      <w:pPr>
        <w:pStyle w:val="FootnoteText"/>
      </w:pPr>
      <w:r>
        <w:rPr>
          <w:rStyle w:val="FootnoteReference"/>
        </w:rPr>
        <w:footnoteRef/>
      </w:r>
      <w:r>
        <w:t xml:space="preserve"> </w:t>
      </w:r>
      <w:proofErr w:type="spellStart"/>
      <w:r>
        <w:t>Taflinar</w:t>
      </w:r>
      <w:proofErr w:type="spellEnd"/>
      <w:r>
        <w:t>® (</w:t>
      </w:r>
      <w:proofErr w:type="spellStart"/>
      <w:r>
        <w:t>dabrafenib</w:t>
      </w:r>
      <w:proofErr w:type="spellEnd"/>
      <w:r>
        <w:t>) Australian Consumer Medicine Information. Sydney: Novartis</w:t>
      </w:r>
      <w:r w:rsidRPr="00A63AC4">
        <w:t xml:space="preserve"> Pharmaceuticals Australia Pty Limited</w:t>
      </w:r>
      <w:r>
        <w:t xml:space="preserve">. July 2015. </w:t>
      </w:r>
      <w:proofErr w:type="gramStart"/>
      <w:r>
        <w:t>Available from &lt;</w:t>
      </w:r>
      <w:r w:rsidRPr="006D6729">
        <w:t xml:space="preserve"> </w:t>
      </w:r>
      <w:hyperlink r:id="rId2" w:history="1">
        <w:r>
          <w:rPr>
            <w:rStyle w:val="Hyperlink"/>
          </w:rPr>
          <w:t>https://www.ebs.tga.gov.au/</w:t>
        </w:r>
      </w:hyperlink>
      <w:r>
        <w:t>&gt;.</w:t>
      </w:r>
      <w:proofErr w:type="gramEnd"/>
      <w:r>
        <w:t xml:space="preserve"> </w:t>
      </w:r>
      <w:proofErr w:type="gramStart"/>
      <w:r>
        <w:t>Accessed 31 August 2015.</w:t>
      </w:r>
      <w:proofErr w:type="gramEnd"/>
    </w:p>
  </w:footnote>
  <w:footnote w:id="3">
    <w:p w:rsidR="00E32E08" w:rsidRDefault="00E32E08">
      <w:pPr>
        <w:pStyle w:val="FootnoteText"/>
      </w:pPr>
      <w:r>
        <w:rPr>
          <w:rStyle w:val="FootnoteReference"/>
        </w:rPr>
        <w:footnoteRef/>
      </w:r>
      <w:r>
        <w:t xml:space="preserve"> </w:t>
      </w:r>
      <w:proofErr w:type="spellStart"/>
      <w:r>
        <w:t>Yervoy</w:t>
      </w:r>
      <w:proofErr w:type="spellEnd"/>
      <w:r>
        <w:t>® (ipilimumab)</w:t>
      </w:r>
      <w:r w:rsidRPr="00A63AC4">
        <w:t xml:space="preserve"> </w:t>
      </w:r>
      <w:r>
        <w:t xml:space="preserve">Australian Approved Product Information. Mulgrave: Bristol-Myers Squibb Australia Pty Ltd. 27 June 2011. </w:t>
      </w:r>
      <w:proofErr w:type="gramStart"/>
      <w:r>
        <w:t>Available from &lt;</w:t>
      </w:r>
      <w:hyperlink r:id="rId3" w:history="1">
        <w:r>
          <w:rPr>
            <w:rStyle w:val="Hyperlink"/>
          </w:rPr>
          <w:t>https://www.ebs.tga.gov.au/</w:t>
        </w:r>
      </w:hyperlink>
      <w:r w:rsidRPr="00386560">
        <w:rPr>
          <w:rStyle w:val="Hyperlink"/>
        </w:rPr>
        <w:t>&gt;</w:t>
      </w:r>
      <w:r>
        <w:t>.</w:t>
      </w:r>
      <w:proofErr w:type="gramEnd"/>
      <w:r>
        <w:t xml:space="preserve"> Accessed 31 August 2015</w:t>
      </w:r>
    </w:p>
  </w:footnote>
  <w:footnote w:id="4">
    <w:p w:rsidR="00E32E08" w:rsidRDefault="00E32E08">
      <w:pPr>
        <w:pStyle w:val="FootnoteText"/>
      </w:pPr>
      <w:r>
        <w:rPr>
          <w:rStyle w:val="FootnoteReference"/>
        </w:rPr>
        <w:footnoteRef/>
      </w:r>
      <w:r>
        <w:t xml:space="preserve"> </w:t>
      </w:r>
      <w:proofErr w:type="spellStart"/>
      <w:r>
        <w:t>Taflinar</w:t>
      </w:r>
      <w:proofErr w:type="spellEnd"/>
      <w:r>
        <w:t>® (</w:t>
      </w:r>
      <w:proofErr w:type="spellStart"/>
      <w:r>
        <w:t>dabrafenib</w:t>
      </w:r>
      <w:proofErr w:type="spellEnd"/>
      <w:r>
        <w:t>) Australian Approved Product Information. Sydney: Novartis</w:t>
      </w:r>
      <w:r w:rsidRPr="00A63AC4">
        <w:t xml:space="preserve"> Pharmaceuticals Australia Pty Limited</w:t>
      </w:r>
      <w:r>
        <w:t xml:space="preserve">. 21 August 2013. </w:t>
      </w:r>
      <w:proofErr w:type="gramStart"/>
      <w:r>
        <w:t>Available from &lt;</w:t>
      </w:r>
      <w:hyperlink r:id="rId4" w:history="1">
        <w:r>
          <w:rPr>
            <w:rStyle w:val="Hyperlink"/>
          </w:rPr>
          <w:t>https://www.ebs.tga.gov.au/</w:t>
        </w:r>
      </w:hyperlink>
      <w:r w:rsidRPr="00386560">
        <w:rPr>
          <w:rStyle w:val="Hyperlink"/>
        </w:rPr>
        <w:t>&gt;</w:t>
      </w:r>
      <w:r>
        <w:t>.</w:t>
      </w:r>
      <w:proofErr w:type="gramEnd"/>
      <w:r>
        <w:t xml:space="preserve"> </w:t>
      </w:r>
      <w:proofErr w:type="gramStart"/>
      <w:r>
        <w:t>Accessed 31 August 2015.</w:t>
      </w:r>
      <w:proofErr w:type="gramEnd"/>
    </w:p>
  </w:footnote>
  <w:footnote w:id="5">
    <w:p w:rsidR="00E32E08" w:rsidRDefault="00E32E08">
      <w:pPr>
        <w:pStyle w:val="FootnoteText"/>
      </w:pPr>
      <w:r>
        <w:rPr>
          <w:rStyle w:val="FootnoteReference"/>
        </w:rPr>
        <w:footnoteRef/>
      </w:r>
      <w:r>
        <w:t xml:space="preserve"> </w:t>
      </w:r>
      <w:proofErr w:type="gramStart"/>
      <w:r w:rsidRPr="0093229E">
        <w:t>Cancer Council NSW</w:t>
      </w:r>
      <w:r>
        <w:t xml:space="preserve">, </w:t>
      </w:r>
      <w:r w:rsidRPr="0093229E">
        <w:t>Woolloomooloo NSW</w:t>
      </w:r>
      <w:r>
        <w:t xml:space="preserve"> Australia.</w:t>
      </w:r>
      <w:proofErr w:type="gramEnd"/>
      <w:r>
        <w:t xml:space="preserve"> </w:t>
      </w:r>
      <w:proofErr w:type="gramStart"/>
      <w:r>
        <w:t>Available from</w:t>
      </w:r>
      <w:r w:rsidRPr="0093229E">
        <w:t xml:space="preserve"> </w:t>
      </w:r>
      <w:hyperlink r:id="rId5" w:history="1">
        <w:r w:rsidRPr="00AD130F">
          <w:rPr>
            <w:rStyle w:val="Hyperlink"/>
          </w:rPr>
          <w:t>http://www.cancercouncil.com.au/melanoma</w:t>
        </w:r>
      </w:hyperlink>
      <w:r>
        <w:t>.</w:t>
      </w:r>
      <w:proofErr w:type="gramEnd"/>
    </w:p>
  </w:footnote>
  <w:footnote w:id="6">
    <w:p w:rsidR="00E32E08" w:rsidRDefault="00E32E08">
      <w:pPr>
        <w:pStyle w:val="FootnoteText"/>
      </w:pPr>
      <w:r>
        <w:rPr>
          <w:rStyle w:val="FootnoteReference"/>
        </w:rPr>
        <w:footnoteRef/>
      </w:r>
      <w:r>
        <w:t xml:space="preserve"> </w:t>
      </w:r>
      <w:r w:rsidRPr="0093229E">
        <w:t xml:space="preserve">Cancer Council </w:t>
      </w:r>
      <w:r>
        <w:t xml:space="preserve"> Australia, </w:t>
      </w:r>
      <w:r w:rsidRPr="007D699D">
        <w:t xml:space="preserve">Sydney NSW </w:t>
      </w:r>
      <w:r>
        <w:t>Australia, available from</w:t>
      </w:r>
      <w:r w:rsidRPr="00AE2E94">
        <w:t xml:space="preserve"> </w:t>
      </w:r>
      <w:hyperlink r:id="rId6" w:history="1">
        <w:r w:rsidRPr="00AD130F">
          <w:rPr>
            <w:rStyle w:val="Hyperlink"/>
          </w:rPr>
          <w:t>http://www.cancer.org.au/about-cancer/types-of-cancer/skin-cancer/melanoma.html</w:t>
        </w:r>
      </w:hyperlink>
      <w:r>
        <w:t xml:space="preserve"> </w:t>
      </w:r>
    </w:p>
  </w:footnote>
  <w:footnote w:id="7">
    <w:p w:rsidR="00E32E08" w:rsidRDefault="00E32E08" w:rsidP="006F0F6C">
      <w:pPr>
        <w:pStyle w:val="FootnoteText"/>
      </w:pPr>
      <w:r>
        <w:rPr>
          <w:rStyle w:val="FootnoteReference"/>
        </w:rPr>
        <w:footnoteRef/>
      </w:r>
      <w:r>
        <w:t xml:space="preserve"> </w:t>
      </w:r>
      <w:r w:rsidRPr="007D699D">
        <w:t>Melanoma Institute Australia</w:t>
      </w:r>
      <w:r>
        <w:t xml:space="preserve">, </w:t>
      </w:r>
      <w:r w:rsidRPr="007D699D">
        <w:t>Wollstonecraft NSW</w:t>
      </w:r>
      <w:r>
        <w:t xml:space="preserve"> Australia. Available from</w:t>
      </w:r>
      <w:r w:rsidRPr="0093229E">
        <w:t xml:space="preserve"> </w:t>
      </w:r>
      <w:hyperlink r:id="rId7" w:history="1">
        <w:r w:rsidRPr="00AD130F">
          <w:rPr>
            <w:rStyle w:val="Hyperlink"/>
          </w:rPr>
          <w:t>http://www.melanoma.org.au/understanding-melanoma/treatment-options/</w:t>
        </w:r>
      </w:hyperlink>
      <w:r>
        <w:t xml:space="preserve"> </w:t>
      </w:r>
    </w:p>
  </w:footnote>
  <w:footnote w:id="8">
    <w:p w:rsidR="00E32E08" w:rsidRDefault="00E32E08">
      <w:pPr>
        <w:pStyle w:val="FootnoteText"/>
      </w:pPr>
      <w:r>
        <w:rPr>
          <w:rStyle w:val="FootnoteReference"/>
        </w:rPr>
        <w:footnoteRef/>
      </w:r>
      <w:r>
        <w:t xml:space="preserve"> </w:t>
      </w:r>
      <w:r w:rsidRPr="0093229E">
        <w:t xml:space="preserve">Cancer Council </w:t>
      </w:r>
      <w:r>
        <w:t xml:space="preserve">Australia, </w:t>
      </w:r>
      <w:r w:rsidRPr="007D699D">
        <w:t>Sydney NSW</w:t>
      </w:r>
      <w:r w:rsidRPr="00640B1A">
        <w:t xml:space="preserve"> </w:t>
      </w:r>
      <w:r>
        <w:t>Australia. Available from</w:t>
      </w:r>
      <w:r w:rsidRPr="00AE2E94">
        <w:t xml:space="preserve"> </w:t>
      </w:r>
      <w:hyperlink r:id="rId8" w:history="1">
        <w:r w:rsidRPr="00AD130F">
          <w:rPr>
            <w:rStyle w:val="Hyperlink"/>
          </w:rPr>
          <w:t>http://www.cancer.org/cancer/skincancer-melanoma/detailedguide/melanoma-skin-cancer-treating-by-stage</w:t>
        </w:r>
      </w:hyperlink>
      <w:r>
        <w:t xml:space="preserve"> </w:t>
      </w:r>
    </w:p>
  </w:footnote>
  <w:footnote w:id="9">
    <w:p w:rsidR="00E32E08" w:rsidRDefault="00E32E08">
      <w:pPr>
        <w:pStyle w:val="FootnoteText"/>
      </w:pPr>
      <w:r>
        <w:rPr>
          <w:rStyle w:val="FootnoteReference"/>
        </w:rPr>
        <w:footnoteRef/>
      </w:r>
      <w:r>
        <w:t xml:space="preserve"> </w:t>
      </w:r>
      <w:r w:rsidRPr="0093229E">
        <w:t xml:space="preserve">Cancer Council </w:t>
      </w:r>
      <w:r>
        <w:t xml:space="preserve">Australia, </w:t>
      </w:r>
      <w:r w:rsidRPr="007D699D">
        <w:t>Sydney NSW</w:t>
      </w:r>
      <w:r w:rsidRPr="00640B1A">
        <w:t xml:space="preserve"> </w:t>
      </w:r>
      <w:r>
        <w:t>Australia. Available from</w:t>
      </w:r>
      <w:r w:rsidRPr="00AE2E94">
        <w:t xml:space="preserve"> </w:t>
      </w:r>
      <w:hyperlink r:id="rId9" w:history="1">
        <w:r w:rsidRPr="00AD130F">
          <w:rPr>
            <w:rStyle w:val="Hyperlink"/>
          </w:rPr>
          <w:t>http://www.cancer.org/cancer/skincancer-melanoma/detailedguide/melanoma-skin-cancer-treating-immunotherapy</w:t>
        </w:r>
      </w:hyperlink>
      <w:r>
        <w:t xml:space="preserve"> </w:t>
      </w:r>
    </w:p>
  </w:footnote>
  <w:footnote w:id="10">
    <w:p w:rsidR="00E32E08" w:rsidRDefault="00E32E08">
      <w:pPr>
        <w:pStyle w:val="FootnoteText"/>
      </w:pPr>
      <w:r w:rsidRPr="00640B1A">
        <w:rPr>
          <w:rStyle w:val="FootnoteReference"/>
        </w:rPr>
        <w:footnoteRef/>
      </w:r>
      <w:r w:rsidRPr="00640B1A">
        <w:t xml:space="preserve"> </w:t>
      </w:r>
      <w:proofErr w:type="gramStart"/>
      <w:r w:rsidRPr="00640B1A">
        <w:t>Australian Medicines Handbook.</w:t>
      </w:r>
      <w:proofErr w:type="gramEnd"/>
      <w:r w:rsidRPr="00640B1A">
        <w:t xml:space="preserve"> Adelaide: Australian Medicines Handbook Pty Ltd; 2015, p</w:t>
      </w:r>
      <w:r>
        <w:t xml:space="preserve">p. </w:t>
      </w:r>
      <w:r w:rsidRPr="00640B1A">
        <w:t>589-590</w:t>
      </w:r>
      <w:r>
        <w:t>.</w:t>
      </w:r>
    </w:p>
  </w:footnote>
  <w:footnote w:id="11">
    <w:p w:rsidR="00E32E08" w:rsidRPr="002971FE" w:rsidRDefault="00E32E08">
      <w:pPr>
        <w:pStyle w:val="FootnoteText"/>
        <w:rPr>
          <w:szCs w:val="18"/>
        </w:rPr>
      </w:pPr>
      <w:r>
        <w:rPr>
          <w:rStyle w:val="FootnoteReference"/>
        </w:rPr>
        <w:footnoteRef/>
      </w:r>
      <w:r>
        <w:t xml:space="preserve"> </w:t>
      </w:r>
      <w:r w:rsidR="00CB0A6B">
        <w:t>MSAC Consideration of</w:t>
      </w:r>
      <w:r>
        <w:t xml:space="preserve"> </w:t>
      </w:r>
      <w:r w:rsidR="00F14BF7">
        <w:rPr>
          <w:lang w:val="en"/>
        </w:rPr>
        <w:t xml:space="preserve">Testing for BRAF mutation in patients with advanced melanoma for access to </w:t>
      </w:r>
      <w:proofErr w:type="spellStart"/>
      <w:r w:rsidR="00F14BF7">
        <w:rPr>
          <w:lang w:val="en"/>
        </w:rPr>
        <w:t>vemurafenib</w:t>
      </w:r>
      <w:proofErr w:type="spellEnd"/>
      <w:r w:rsidR="00F14BF7">
        <w:rPr>
          <w:lang w:val="en"/>
        </w:rPr>
        <w:t xml:space="preserve"> </w:t>
      </w:r>
      <w:r w:rsidR="00F14BF7">
        <w:rPr>
          <w:lang w:val="en"/>
        </w:rPr>
        <w:t xml:space="preserve">available from </w:t>
      </w:r>
      <w:hyperlink r:id="rId10" w:history="1">
        <w:r w:rsidR="00F14BF7" w:rsidRPr="002971FE">
          <w:rPr>
            <w:rStyle w:val="Hyperlink"/>
            <w:szCs w:val="18"/>
          </w:rPr>
          <w:t>http://www.msac.gov.au/internet/msac/publishing.nsf/Content/284249A4E03C3431CA2578E10017643B/$File/PSD%201172%20BRAF%20for%20vemurafenib.pdf</w:t>
        </w:r>
      </w:hyperlink>
      <w:r w:rsidR="00F14BF7" w:rsidRPr="002971FE">
        <w:rPr>
          <w:szCs w:val="18"/>
        </w:rPr>
        <w:t>, page 10</w:t>
      </w:r>
    </w:p>
  </w:footnote>
  <w:footnote w:id="12">
    <w:p w:rsidR="00E32E08" w:rsidRPr="002971FE" w:rsidRDefault="00E32E08" w:rsidP="003E043B">
      <w:pPr>
        <w:pStyle w:val="FootnoteText"/>
        <w:rPr>
          <w:szCs w:val="18"/>
        </w:rPr>
      </w:pPr>
      <w:r w:rsidRPr="002971FE">
        <w:rPr>
          <w:rStyle w:val="FootnoteReference"/>
          <w:szCs w:val="18"/>
        </w:rPr>
        <w:footnoteRef/>
      </w:r>
      <w:r w:rsidRPr="002971FE">
        <w:rPr>
          <w:szCs w:val="18"/>
        </w:rPr>
        <w:t xml:space="preserve"> </w:t>
      </w:r>
      <w:proofErr w:type="gramStart"/>
      <w:r w:rsidRPr="002971FE">
        <w:rPr>
          <w:szCs w:val="18"/>
        </w:rPr>
        <w:t>PBS statistics.</w:t>
      </w:r>
      <w:proofErr w:type="gramEnd"/>
      <w:r w:rsidRPr="002971FE">
        <w:rPr>
          <w:szCs w:val="18"/>
        </w:rPr>
        <w:t xml:space="preserve"> </w:t>
      </w:r>
      <w:proofErr w:type="gramStart"/>
      <w:r w:rsidRPr="002971FE">
        <w:rPr>
          <w:szCs w:val="18"/>
        </w:rPr>
        <w:t>Australian Government Department of Human Services Medicare.</w:t>
      </w:r>
      <w:proofErr w:type="gramEnd"/>
      <w:r w:rsidRPr="002971FE">
        <w:rPr>
          <w:szCs w:val="18"/>
        </w:rPr>
        <w:t xml:space="preserve"> Canberra. </w:t>
      </w:r>
      <w:proofErr w:type="gramStart"/>
      <w:r w:rsidRPr="002971FE">
        <w:rPr>
          <w:szCs w:val="18"/>
        </w:rPr>
        <w:t>Available from &lt;</w:t>
      </w:r>
      <w:hyperlink r:id="rId11" w:history="1">
        <w:r w:rsidRPr="002971FE">
          <w:rPr>
            <w:rStyle w:val="Hyperlink"/>
            <w:szCs w:val="18"/>
          </w:rPr>
          <w:t>http://www.medicareaustralia.gov.au/provider/pbs/stats.jsp</w:t>
        </w:r>
      </w:hyperlink>
      <w:r w:rsidRPr="002971FE">
        <w:rPr>
          <w:szCs w:val="18"/>
        </w:rPr>
        <w:t>&gt;.</w:t>
      </w:r>
      <w:proofErr w:type="gramEnd"/>
    </w:p>
  </w:footnote>
  <w:footnote w:id="13">
    <w:p w:rsidR="00E32E08" w:rsidRDefault="00E32E08" w:rsidP="00C4339D">
      <w:pPr>
        <w:pStyle w:val="FootnoteText"/>
      </w:pPr>
      <w:r>
        <w:rPr>
          <w:rStyle w:val="FootnoteReference"/>
        </w:rPr>
        <w:footnoteRef/>
      </w:r>
      <w:r>
        <w:t xml:space="preserve">Lam et al. Ipilimumab-induced </w:t>
      </w:r>
      <w:proofErr w:type="spellStart"/>
      <w:r>
        <w:t>hypophysitis</w:t>
      </w:r>
      <w:proofErr w:type="spellEnd"/>
      <w:r>
        <w:t xml:space="preserve"> in melanoma patients: an Australian case series. Internal Medicine Journal Volume 45, Issue 10, pages 1066–1073, October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08" w:rsidRDefault="00E32E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08" w:rsidRDefault="00E32E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E08" w:rsidRDefault="00E32E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0CC6559"/>
    <w:multiLevelType w:val="hybridMultilevel"/>
    <w:tmpl w:val="CC568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5526975"/>
    <w:multiLevelType w:val="hybridMultilevel"/>
    <w:tmpl w:val="0322A2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6FD500E6"/>
    <w:multiLevelType w:val="hybridMultilevel"/>
    <w:tmpl w:val="4AD67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1E95A4E"/>
    <w:multiLevelType w:val="hybridMultilevel"/>
    <w:tmpl w:val="3FCE1D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72880EB7"/>
    <w:multiLevelType w:val="hybridMultilevel"/>
    <w:tmpl w:val="4D8454D0"/>
    <w:lvl w:ilvl="0" w:tplc="0C090001">
      <w:start w:val="1"/>
      <w:numFmt w:val="bullet"/>
      <w:lvlText w:val=""/>
      <w:lvlJc w:val="left"/>
      <w:pPr>
        <w:ind w:left="360" w:hanging="360"/>
      </w:pPr>
      <w:rPr>
        <w:rFonts w:ascii="Symbol" w:hAnsi="Symbol" w:hint="default"/>
      </w:rPr>
    </w:lvl>
    <w:lvl w:ilvl="1" w:tplc="61C8A34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78756E90"/>
    <w:multiLevelType w:val="hybridMultilevel"/>
    <w:tmpl w:val="98CEC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5"/>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0ED2"/>
    <w:rsid w:val="00007E85"/>
    <w:rsid w:val="000108F7"/>
    <w:rsid w:val="00013465"/>
    <w:rsid w:val="000177A8"/>
    <w:rsid w:val="00021C92"/>
    <w:rsid w:val="000226B3"/>
    <w:rsid w:val="00024549"/>
    <w:rsid w:val="00033802"/>
    <w:rsid w:val="00037FE0"/>
    <w:rsid w:val="000544B6"/>
    <w:rsid w:val="000555FD"/>
    <w:rsid w:val="000604AF"/>
    <w:rsid w:val="00065654"/>
    <w:rsid w:val="00070423"/>
    <w:rsid w:val="0007126A"/>
    <w:rsid w:val="00080F82"/>
    <w:rsid w:val="0008206C"/>
    <w:rsid w:val="00086C11"/>
    <w:rsid w:val="00094DCF"/>
    <w:rsid w:val="000A06F3"/>
    <w:rsid w:val="000A32B1"/>
    <w:rsid w:val="000A5724"/>
    <w:rsid w:val="000A6CFD"/>
    <w:rsid w:val="000B0982"/>
    <w:rsid w:val="000B796C"/>
    <w:rsid w:val="000C2A34"/>
    <w:rsid w:val="000C46BB"/>
    <w:rsid w:val="000C4D9D"/>
    <w:rsid w:val="000C7C4B"/>
    <w:rsid w:val="000C7D8B"/>
    <w:rsid w:val="000D7F87"/>
    <w:rsid w:val="000E01FB"/>
    <w:rsid w:val="000E372B"/>
    <w:rsid w:val="000E485D"/>
    <w:rsid w:val="000E6DC5"/>
    <w:rsid w:val="000E72C6"/>
    <w:rsid w:val="000F0857"/>
    <w:rsid w:val="000F1893"/>
    <w:rsid w:val="000F2466"/>
    <w:rsid w:val="000F2F51"/>
    <w:rsid w:val="000F65F4"/>
    <w:rsid w:val="001010F6"/>
    <w:rsid w:val="00104DDC"/>
    <w:rsid w:val="001104D3"/>
    <w:rsid w:val="001116CF"/>
    <w:rsid w:val="00113CF8"/>
    <w:rsid w:val="00113D74"/>
    <w:rsid w:val="00117C5C"/>
    <w:rsid w:val="00121B91"/>
    <w:rsid w:val="0012218A"/>
    <w:rsid w:val="00126CB8"/>
    <w:rsid w:val="001310AE"/>
    <w:rsid w:val="0013118C"/>
    <w:rsid w:val="00132565"/>
    <w:rsid w:val="001407A7"/>
    <w:rsid w:val="001420B3"/>
    <w:rsid w:val="0014618E"/>
    <w:rsid w:val="0015691C"/>
    <w:rsid w:val="00161254"/>
    <w:rsid w:val="001621F7"/>
    <w:rsid w:val="001624D7"/>
    <w:rsid w:val="00173384"/>
    <w:rsid w:val="00177B86"/>
    <w:rsid w:val="00180938"/>
    <w:rsid w:val="001815FB"/>
    <w:rsid w:val="00182585"/>
    <w:rsid w:val="00182F18"/>
    <w:rsid w:val="00187096"/>
    <w:rsid w:val="00191182"/>
    <w:rsid w:val="00193A12"/>
    <w:rsid w:val="0019664D"/>
    <w:rsid w:val="001976AD"/>
    <w:rsid w:val="001A6103"/>
    <w:rsid w:val="001A7DA5"/>
    <w:rsid w:val="001B08C9"/>
    <w:rsid w:val="001B3E80"/>
    <w:rsid w:val="001B4E47"/>
    <w:rsid w:val="001B5D37"/>
    <w:rsid w:val="001C2940"/>
    <w:rsid w:val="001C3FBC"/>
    <w:rsid w:val="001C4016"/>
    <w:rsid w:val="001C548D"/>
    <w:rsid w:val="001C6A5D"/>
    <w:rsid w:val="001D05F3"/>
    <w:rsid w:val="001D0E0E"/>
    <w:rsid w:val="001D73E5"/>
    <w:rsid w:val="001E0C6A"/>
    <w:rsid w:val="001E2B10"/>
    <w:rsid w:val="001E31A6"/>
    <w:rsid w:val="001E42C7"/>
    <w:rsid w:val="001E4CAB"/>
    <w:rsid w:val="001E6678"/>
    <w:rsid w:val="001F2F3E"/>
    <w:rsid w:val="001F35D0"/>
    <w:rsid w:val="001F4906"/>
    <w:rsid w:val="001F7C4A"/>
    <w:rsid w:val="002026E3"/>
    <w:rsid w:val="002032E2"/>
    <w:rsid w:val="0020578A"/>
    <w:rsid w:val="00207631"/>
    <w:rsid w:val="00214013"/>
    <w:rsid w:val="002163BC"/>
    <w:rsid w:val="00220FC1"/>
    <w:rsid w:val="00222E9A"/>
    <w:rsid w:val="00222F85"/>
    <w:rsid w:val="00230A95"/>
    <w:rsid w:val="0023179D"/>
    <w:rsid w:val="00231E28"/>
    <w:rsid w:val="00242FCE"/>
    <w:rsid w:val="002449A4"/>
    <w:rsid w:val="00251B42"/>
    <w:rsid w:val="002524B9"/>
    <w:rsid w:val="0025389D"/>
    <w:rsid w:val="002575FC"/>
    <w:rsid w:val="00260FF0"/>
    <w:rsid w:val="0026265F"/>
    <w:rsid w:val="002668E2"/>
    <w:rsid w:val="00286241"/>
    <w:rsid w:val="00286C3A"/>
    <w:rsid w:val="002874EE"/>
    <w:rsid w:val="002930F5"/>
    <w:rsid w:val="002971FE"/>
    <w:rsid w:val="002A0647"/>
    <w:rsid w:val="002A06B7"/>
    <w:rsid w:val="002A5CBF"/>
    <w:rsid w:val="002C60BC"/>
    <w:rsid w:val="002C6E0C"/>
    <w:rsid w:val="002C7D07"/>
    <w:rsid w:val="002D144A"/>
    <w:rsid w:val="002D54A7"/>
    <w:rsid w:val="002E19A3"/>
    <w:rsid w:val="002E212B"/>
    <w:rsid w:val="002E2377"/>
    <w:rsid w:val="002E3337"/>
    <w:rsid w:val="002E6D03"/>
    <w:rsid w:val="002E71FA"/>
    <w:rsid w:val="002F49A8"/>
    <w:rsid w:val="002F5E66"/>
    <w:rsid w:val="002F61CA"/>
    <w:rsid w:val="0030010D"/>
    <w:rsid w:val="00301104"/>
    <w:rsid w:val="0031177D"/>
    <w:rsid w:val="00326E02"/>
    <w:rsid w:val="00327E3B"/>
    <w:rsid w:val="0033504C"/>
    <w:rsid w:val="00336816"/>
    <w:rsid w:val="003370D0"/>
    <w:rsid w:val="00337355"/>
    <w:rsid w:val="003402E4"/>
    <w:rsid w:val="00340F95"/>
    <w:rsid w:val="0034613D"/>
    <w:rsid w:val="00350CC7"/>
    <w:rsid w:val="00352015"/>
    <w:rsid w:val="003531ED"/>
    <w:rsid w:val="00360B9A"/>
    <w:rsid w:val="00361102"/>
    <w:rsid w:val="00363CCA"/>
    <w:rsid w:val="00363CEF"/>
    <w:rsid w:val="003652EB"/>
    <w:rsid w:val="00365A90"/>
    <w:rsid w:val="00366532"/>
    <w:rsid w:val="00373A5F"/>
    <w:rsid w:val="00374C33"/>
    <w:rsid w:val="00376AA0"/>
    <w:rsid w:val="0039017F"/>
    <w:rsid w:val="00394AEE"/>
    <w:rsid w:val="003B0579"/>
    <w:rsid w:val="003B5C16"/>
    <w:rsid w:val="003C2D98"/>
    <w:rsid w:val="003D3A96"/>
    <w:rsid w:val="003D53F3"/>
    <w:rsid w:val="003D57D8"/>
    <w:rsid w:val="003D7029"/>
    <w:rsid w:val="003E043B"/>
    <w:rsid w:val="003E103B"/>
    <w:rsid w:val="00400F2F"/>
    <w:rsid w:val="00402F77"/>
    <w:rsid w:val="00404F03"/>
    <w:rsid w:val="0041096B"/>
    <w:rsid w:val="00412051"/>
    <w:rsid w:val="00423B94"/>
    <w:rsid w:val="00435F17"/>
    <w:rsid w:val="00436906"/>
    <w:rsid w:val="00436A20"/>
    <w:rsid w:val="00445520"/>
    <w:rsid w:val="004521C1"/>
    <w:rsid w:val="00460C33"/>
    <w:rsid w:val="00460D60"/>
    <w:rsid w:val="00463731"/>
    <w:rsid w:val="0046400A"/>
    <w:rsid w:val="004659E7"/>
    <w:rsid w:val="00466A44"/>
    <w:rsid w:val="00467B25"/>
    <w:rsid w:val="004709DF"/>
    <w:rsid w:val="004714B3"/>
    <w:rsid w:val="00471500"/>
    <w:rsid w:val="0047265F"/>
    <w:rsid w:val="00481108"/>
    <w:rsid w:val="0048163B"/>
    <w:rsid w:val="00485AFB"/>
    <w:rsid w:val="0048612C"/>
    <w:rsid w:val="0049042B"/>
    <w:rsid w:val="00495473"/>
    <w:rsid w:val="004A458E"/>
    <w:rsid w:val="004A5EE8"/>
    <w:rsid w:val="004B1A54"/>
    <w:rsid w:val="004B23E7"/>
    <w:rsid w:val="004B306F"/>
    <w:rsid w:val="004B73D6"/>
    <w:rsid w:val="004C3186"/>
    <w:rsid w:val="004C5042"/>
    <w:rsid w:val="004C6969"/>
    <w:rsid w:val="004D10C7"/>
    <w:rsid w:val="004D4E77"/>
    <w:rsid w:val="004E30AA"/>
    <w:rsid w:val="004E4422"/>
    <w:rsid w:val="004E474D"/>
    <w:rsid w:val="004F5A23"/>
    <w:rsid w:val="00503998"/>
    <w:rsid w:val="0050623B"/>
    <w:rsid w:val="00510C65"/>
    <w:rsid w:val="00523181"/>
    <w:rsid w:val="00523BD6"/>
    <w:rsid w:val="00524D13"/>
    <w:rsid w:val="00525DBF"/>
    <w:rsid w:val="005339F6"/>
    <w:rsid w:val="00535A63"/>
    <w:rsid w:val="0053760A"/>
    <w:rsid w:val="00541051"/>
    <w:rsid w:val="005442DD"/>
    <w:rsid w:val="005479EB"/>
    <w:rsid w:val="00547D49"/>
    <w:rsid w:val="005575AA"/>
    <w:rsid w:val="005576AE"/>
    <w:rsid w:val="0056647B"/>
    <w:rsid w:val="00571342"/>
    <w:rsid w:val="00576B18"/>
    <w:rsid w:val="00587724"/>
    <w:rsid w:val="00590B25"/>
    <w:rsid w:val="00591512"/>
    <w:rsid w:val="005922F6"/>
    <w:rsid w:val="00592321"/>
    <w:rsid w:val="005A3E32"/>
    <w:rsid w:val="005B1A1B"/>
    <w:rsid w:val="005B1D3B"/>
    <w:rsid w:val="005B2CAA"/>
    <w:rsid w:val="005B2D57"/>
    <w:rsid w:val="005B48B4"/>
    <w:rsid w:val="005B5961"/>
    <w:rsid w:val="005B7037"/>
    <w:rsid w:val="005C3ACC"/>
    <w:rsid w:val="005C6661"/>
    <w:rsid w:val="005C6E3B"/>
    <w:rsid w:val="005D4264"/>
    <w:rsid w:val="005D474B"/>
    <w:rsid w:val="005D5FA9"/>
    <w:rsid w:val="005D6FB4"/>
    <w:rsid w:val="005E085C"/>
    <w:rsid w:val="005E147D"/>
    <w:rsid w:val="005E1A4A"/>
    <w:rsid w:val="005E22C2"/>
    <w:rsid w:val="005E54C8"/>
    <w:rsid w:val="005E57BB"/>
    <w:rsid w:val="005F0017"/>
    <w:rsid w:val="006014F1"/>
    <w:rsid w:val="0061357B"/>
    <w:rsid w:val="00614A7D"/>
    <w:rsid w:val="00625C51"/>
    <w:rsid w:val="00630807"/>
    <w:rsid w:val="00634C15"/>
    <w:rsid w:val="0063631C"/>
    <w:rsid w:val="0063757B"/>
    <w:rsid w:val="00637713"/>
    <w:rsid w:val="006377CE"/>
    <w:rsid w:val="00640B1A"/>
    <w:rsid w:val="006537D9"/>
    <w:rsid w:val="00655EB5"/>
    <w:rsid w:val="00656B1A"/>
    <w:rsid w:val="006605B6"/>
    <w:rsid w:val="00664A48"/>
    <w:rsid w:val="00664DC4"/>
    <w:rsid w:val="00665DEF"/>
    <w:rsid w:val="00667DAF"/>
    <w:rsid w:val="00675BB1"/>
    <w:rsid w:val="006775F1"/>
    <w:rsid w:val="00685A36"/>
    <w:rsid w:val="0069224C"/>
    <w:rsid w:val="0069270F"/>
    <w:rsid w:val="00692AA7"/>
    <w:rsid w:val="00697FEC"/>
    <w:rsid w:val="006A175F"/>
    <w:rsid w:val="006A44F5"/>
    <w:rsid w:val="006A70A1"/>
    <w:rsid w:val="006B4537"/>
    <w:rsid w:val="006B5F85"/>
    <w:rsid w:val="006B6929"/>
    <w:rsid w:val="006B709B"/>
    <w:rsid w:val="006C3851"/>
    <w:rsid w:val="006C54AF"/>
    <w:rsid w:val="006C5F89"/>
    <w:rsid w:val="006E0181"/>
    <w:rsid w:val="006E3444"/>
    <w:rsid w:val="006E3609"/>
    <w:rsid w:val="006F0F6C"/>
    <w:rsid w:val="006F1863"/>
    <w:rsid w:val="00700C0E"/>
    <w:rsid w:val="00705DAD"/>
    <w:rsid w:val="00713750"/>
    <w:rsid w:val="00714804"/>
    <w:rsid w:val="0071623D"/>
    <w:rsid w:val="007247B9"/>
    <w:rsid w:val="00727D85"/>
    <w:rsid w:val="007346C7"/>
    <w:rsid w:val="00736041"/>
    <w:rsid w:val="007408C7"/>
    <w:rsid w:val="00743CBD"/>
    <w:rsid w:val="007465DA"/>
    <w:rsid w:val="007510E8"/>
    <w:rsid w:val="00752C7F"/>
    <w:rsid w:val="00766D9A"/>
    <w:rsid w:val="00773069"/>
    <w:rsid w:val="00776598"/>
    <w:rsid w:val="00781DD3"/>
    <w:rsid w:val="007867ED"/>
    <w:rsid w:val="007904C7"/>
    <w:rsid w:val="00792948"/>
    <w:rsid w:val="00796E84"/>
    <w:rsid w:val="007A3872"/>
    <w:rsid w:val="007A3ADE"/>
    <w:rsid w:val="007A5733"/>
    <w:rsid w:val="007A5774"/>
    <w:rsid w:val="007B4561"/>
    <w:rsid w:val="007B64F2"/>
    <w:rsid w:val="007C3D09"/>
    <w:rsid w:val="007C5243"/>
    <w:rsid w:val="007D699D"/>
    <w:rsid w:val="007D6D44"/>
    <w:rsid w:val="007D7A73"/>
    <w:rsid w:val="007E2FD1"/>
    <w:rsid w:val="007E3630"/>
    <w:rsid w:val="00801E74"/>
    <w:rsid w:val="0080485E"/>
    <w:rsid w:val="008101FB"/>
    <w:rsid w:val="00813BA0"/>
    <w:rsid w:val="008142B4"/>
    <w:rsid w:val="00821D4B"/>
    <w:rsid w:val="008242F6"/>
    <w:rsid w:val="0082747E"/>
    <w:rsid w:val="00827973"/>
    <w:rsid w:val="00827E12"/>
    <w:rsid w:val="00832324"/>
    <w:rsid w:val="00835337"/>
    <w:rsid w:val="00836954"/>
    <w:rsid w:val="00843B06"/>
    <w:rsid w:val="00845F5C"/>
    <w:rsid w:val="00846DCD"/>
    <w:rsid w:val="00851D85"/>
    <w:rsid w:val="00853236"/>
    <w:rsid w:val="00857189"/>
    <w:rsid w:val="00860CCB"/>
    <w:rsid w:val="0086394B"/>
    <w:rsid w:val="008733C3"/>
    <w:rsid w:val="008740A3"/>
    <w:rsid w:val="00884EE3"/>
    <w:rsid w:val="0089297B"/>
    <w:rsid w:val="008936B5"/>
    <w:rsid w:val="008A4844"/>
    <w:rsid w:val="008A4A76"/>
    <w:rsid w:val="008A5636"/>
    <w:rsid w:val="008B15A7"/>
    <w:rsid w:val="008B368F"/>
    <w:rsid w:val="008B7884"/>
    <w:rsid w:val="008C36CA"/>
    <w:rsid w:val="008D0A59"/>
    <w:rsid w:val="008E16EC"/>
    <w:rsid w:val="008E3F8C"/>
    <w:rsid w:val="00902FD0"/>
    <w:rsid w:val="0090396D"/>
    <w:rsid w:val="0090408F"/>
    <w:rsid w:val="009053D3"/>
    <w:rsid w:val="0090691F"/>
    <w:rsid w:val="009129D8"/>
    <w:rsid w:val="00914E7A"/>
    <w:rsid w:val="00921EEC"/>
    <w:rsid w:val="00930301"/>
    <w:rsid w:val="0093111F"/>
    <w:rsid w:val="0093229E"/>
    <w:rsid w:val="00935689"/>
    <w:rsid w:val="0094350D"/>
    <w:rsid w:val="00946377"/>
    <w:rsid w:val="00947815"/>
    <w:rsid w:val="0095303B"/>
    <w:rsid w:val="009663B6"/>
    <w:rsid w:val="00974341"/>
    <w:rsid w:val="00974A47"/>
    <w:rsid w:val="00975F64"/>
    <w:rsid w:val="00980286"/>
    <w:rsid w:val="00986CE6"/>
    <w:rsid w:val="00990DCF"/>
    <w:rsid w:val="009958D1"/>
    <w:rsid w:val="009960CD"/>
    <w:rsid w:val="0099671C"/>
    <w:rsid w:val="009A0666"/>
    <w:rsid w:val="009A0952"/>
    <w:rsid w:val="009A4A66"/>
    <w:rsid w:val="009A4CD6"/>
    <w:rsid w:val="009A537C"/>
    <w:rsid w:val="009B5F98"/>
    <w:rsid w:val="009B6CA9"/>
    <w:rsid w:val="009C0338"/>
    <w:rsid w:val="009C0886"/>
    <w:rsid w:val="009C19EE"/>
    <w:rsid w:val="009C28D0"/>
    <w:rsid w:val="009C35F2"/>
    <w:rsid w:val="009C3D47"/>
    <w:rsid w:val="009C7782"/>
    <w:rsid w:val="009D1ED5"/>
    <w:rsid w:val="009D4C13"/>
    <w:rsid w:val="009E21A7"/>
    <w:rsid w:val="009F4F95"/>
    <w:rsid w:val="00A01694"/>
    <w:rsid w:val="00A02305"/>
    <w:rsid w:val="00A03D71"/>
    <w:rsid w:val="00A070DE"/>
    <w:rsid w:val="00A07256"/>
    <w:rsid w:val="00A103ED"/>
    <w:rsid w:val="00A13C60"/>
    <w:rsid w:val="00A13CAB"/>
    <w:rsid w:val="00A16ED6"/>
    <w:rsid w:val="00A341A3"/>
    <w:rsid w:val="00A35800"/>
    <w:rsid w:val="00A52918"/>
    <w:rsid w:val="00A547B3"/>
    <w:rsid w:val="00A547E0"/>
    <w:rsid w:val="00A5676E"/>
    <w:rsid w:val="00A63AC4"/>
    <w:rsid w:val="00A6775D"/>
    <w:rsid w:val="00A70E82"/>
    <w:rsid w:val="00A74D07"/>
    <w:rsid w:val="00A84CAD"/>
    <w:rsid w:val="00A90E50"/>
    <w:rsid w:val="00A95FA5"/>
    <w:rsid w:val="00A9699F"/>
    <w:rsid w:val="00A96D92"/>
    <w:rsid w:val="00AA0B03"/>
    <w:rsid w:val="00AA4B6E"/>
    <w:rsid w:val="00AA5452"/>
    <w:rsid w:val="00AA6E9D"/>
    <w:rsid w:val="00AB3733"/>
    <w:rsid w:val="00AB3EE6"/>
    <w:rsid w:val="00AB4249"/>
    <w:rsid w:val="00AB7897"/>
    <w:rsid w:val="00AC5054"/>
    <w:rsid w:val="00AD0116"/>
    <w:rsid w:val="00AE0846"/>
    <w:rsid w:val="00AE2E94"/>
    <w:rsid w:val="00AE30EB"/>
    <w:rsid w:val="00AE4BAC"/>
    <w:rsid w:val="00AF4424"/>
    <w:rsid w:val="00B034FC"/>
    <w:rsid w:val="00B05310"/>
    <w:rsid w:val="00B05FF6"/>
    <w:rsid w:val="00B10A0B"/>
    <w:rsid w:val="00B125C1"/>
    <w:rsid w:val="00B14A74"/>
    <w:rsid w:val="00B16EFE"/>
    <w:rsid w:val="00B30D85"/>
    <w:rsid w:val="00B336E0"/>
    <w:rsid w:val="00B3547E"/>
    <w:rsid w:val="00B3598E"/>
    <w:rsid w:val="00B35A4A"/>
    <w:rsid w:val="00B47611"/>
    <w:rsid w:val="00B57BE1"/>
    <w:rsid w:val="00B57DC2"/>
    <w:rsid w:val="00B62EEC"/>
    <w:rsid w:val="00B63786"/>
    <w:rsid w:val="00B63FD7"/>
    <w:rsid w:val="00B64025"/>
    <w:rsid w:val="00B6771C"/>
    <w:rsid w:val="00B75157"/>
    <w:rsid w:val="00B76E9F"/>
    <w:rsid w:val="00B816D9"/>
    <w:rsid w:val="00B9120F"/>
    <w:rsid w:val="00B9216C"/>
    <w:rsid w:val="00B924A4"/>
    <w:rsid w:val="00B959BD"/>
    <w:rsid w:val="00B95F5D"/>
    <w:rsid w:val="00BA4FBF"/>
    <w:rsid w:val="00BA7448"/>
    <w:rsid w:val="00BB0694"/>
    <w:rsid w:val="00BB0D1A"/>
    <w:rsid w:val="00BB1D3B"/>
    <w:rsid w:val="00BB22C0"/>
    <w:rsid w:val="00BB416C"/>
    <w:rsid w:val="00BB760E"/>
    <w:rsid w:val="00BC35ED"/>
    <w:rsid w:val="00BC506B"/>
    <w:rsid w:val="00BD0D96"/>
    <w:rsid w:val="00BE02EC"/>
    <w:rsid w:val="00BE205A"/>
    <w:rsid w:val="00BE3802"/>
    <w:rsid w:val="00BE3B07"/>
    <w:rsid w:val="00BE47F1"/>
    <w:rsid w:val="00BE4980"/>
    <w:rsid w:val="00BE5AB4"/>
    <w:rsid w:val="00BF238E"/>
    <w:rsid w:val="00BF2F4A"/>
    <w:rsid w:val="00BF544D"/>
    <w:rsid w:val="00C0076F"/>
    <w:rsid w:val="00C01312"/>
    <w:rsid w:val="00C0301C"/>
    <w:rsid w:val="00C047DC"/>
    <w:rsid w:val="00C050B6"/>
    <w:rsid w:val="00C07929"/>
    <w:rsid w:val="00C10DE6"/>
    <w:rsid w:val="00C10F12"/>
    <w:rsid w:val="00C1228F"/>
    <w:rsid w:val="00C12F57"/>
    <w:rsid w:val="00C245EA"/>
    <w:rsid w:val="00C256F6"/>
    <w:rsid w:val="00C3097E"/>
    <w:rsid w:val="00C30C19"/>
    <w:rsid w:val="00C315D5"/>
    <w:rsid w:val="00C35ECC"/>
    <w:rsid w:val="00C361A8"/>
    <w:rsid w:val="00C37ED3"/>
    <w:rsid w:val="00C41246"/>
    <w:rsid w:val="00C4339D"/>
    <w:rsid w:val="00C45E5F"/>
    <w:rsid w:val="00C46291"/>
    <w:rsid w:val="00C55E57"/>
    <w:rsid w:val="00C56151"/>
    <w:rsid w:val="00C63412"/>
    <w:rsid w:val="00C714D0"/>
    <w:rsid w:val="00C756C0"/>
    <w:rsid w:val="00C90EF4"/>
    <w:rsid w:val="00C9381D"/>
    <w:rsid w:val="00C94430"/>
    <w:rsid w:val="00C96A13"/>
    <w:rsid w:val="00C974A7"/>
    <w:rsid w:val="00CA015A"/>
    <w:rsid w:val="00CB0A6B"/>
    <w:rsid w:val="00CB4E78"/>
    <w:rsid w:val="00CB54CF"/>
    <w:rsid w:val="00CB5925"/>
    <w:rsid w:val="00CB65B6"/>
    <w:rsid w:val="00CC1AA3"/>
    <w:rsid w:val="00CD01E8"/>
    <w:rsid w:val="00CD111D"/>
    <w:rsid w:val="00CD4165"/>
    <w:rsid w:val="00CD4486"/>
    <w:rsid w:val="00CE2706"/>
    <w:rsid w:val="00CE5A06"/>
    <w:rsid w:val="00CE7C49"/>
    <w:rsid w:val="00D04413"/>
    <w:rsid w:val="00D06A44"/>
    <w:rsid w:val="00D13392"/>
    <w:rsid w:val="00D151EB"/>
    <w:rsid w:val="00D2088B"/>
    <w:rsid w:val="00D300E0"/>
    <w:rsid w:val="00D31BC3"/>
    <w:rsid w:val="00D3618C"/>
    <w:rsid w:val="00D36BCA"/>
    <w:rsid w:val="00D374CD"/>
    <w:rsid w:val="00D477A2"/>
    <w:rsid w:val="00D5580D"/>
    <w:rsid w:val="00D55A47"/>
    <w:rsid w:val="00D57C22"/>
    <w:rsid w:val="00D64E2B"/>
    <w:rsid w:val="00D650CE"/>
    <w:rsid w:val="00D65C3C"/>
    <w:rsid w:val="00D71719"/>
    <w:rsid w:val="00D776DA"/>
    <w:rsid w:val="00D84683"/>
    <w:rsid w:val="00D84DDC"/>
    <w:rsid w:val="00D8758B"/>
    <w:rsid w:val="00D92576"/>
    <w:rsid w:val="00D93051"/>
    <w:rsid w:val="00D942B3"/>
    <w:rsid w:val="00D94863"/>
    <w:rsid w:val="00D97D01"/>
    <w:rsid w:val="00DA7D09"/>
    <w:rsid w:val="00DB2CD8"/>
    <w:rsid w:val="00DB353C"/>
    <w:rsid w:val="00DB7F62"/>
    <w:rsid w:val="00DC25C1"/>
    <w:rsid w:val="00DC2630"/>
    <w:rsid w:val="00DC3046"/>
    <w:rsid w:val="00DC49E9"/>
    <w:rsid w:val="00DC55E4"/>
    <w:rsid w:val="00DC7D71"/>
    <w:rsid w:val="00DD04BB"/>
    <w:rsid w:val="00DD188C"/>
    <w:rsid w:val="00DD29A3"/>
    <w:rsid w:val="00DD48EE"/>
    <w:rsid w:val="00DD5BD9"/>
    <w:rsid w:val="00DE0B96"/>
    <w:rsid w:val="00DE10B9"/>
    <w:rsid w:val="00DF0B13"/>
    <w:rsid w:val="00DF2EB8"/>
    <w:rsid w:val="00DF4A94"/>
    <w:rsid w:val="00DF6003"/>
    <w:rsid w:val="00E00095"/>
    <w:rsid w:val="00E0136C"/>
    <w:rsid w:val="00E037EF"/>
    <w:rsid w:val="00E066C3"/>
    <w:rsid w:val="00E10D8C"/>
    <w:rsid w:val="00E1353A"/>
    <w:rsid w:val="00E1511F"/>
    <w:rsid w:val="00E1564B"/>
    <w:rsid w:val="00E17ED3"/>
    <w:rsid w:val="00E208A0"/>
    <w:rsid w:val="00E2187A"/>
    <w:rsid w:val="00E2275C"/>
    <w:rsid w:val="00E25B49"/>
    <w:rsid w:val="00E32D35"/>
    <w:rsid w:val="00E32E08"/>
    <w:rsid w:val="00E371EA"/>
    <w:rsid w:val="00E4467A"/>
    <w:rsid w:val="00E472C4"/>
    <w:rsid w:val="00E64429"/>
    <w:rsid w:val="00E677DD"/>
    <w:rsid w:val="00E71777"/>
    <w:rsid w:val="00E72A57"/>
    <w:rsid w:val="00E7594B"/>
    <w:rsid w:val="00E83385"/>
    <w:rsid w:val="00E846BA"/>
    <w:rsid w:val="00E97515"/>
    <w:rsid w:val="00EA5B78"/>
    <w:rsid w:val="00EB1773"/>
    <w:rsid w:val="00EB4688"/>
    <w:rsid w:val="00EB6C07"/>
    <w:rsid w:val="00EB7B8F"/>
    <w:rsid w:val="00EB7DBD"/>
    <w:rsid w:val="00EC028D"/>
    <w:rsid w:val="00EC2489"/>
    <w:rsid w:val="00ED3072"/>
    <w:rsid w:val="00ED633B"/>
    <w:rsid w:val="00EE478C"/>
    <w:rsid w:val="00EE7110"/>
    <w:rsid w:val="00EF0DCA"/>
    <w:rsid w:val="00EF2415"/>
    <w:rsid w:val="00EF507C"/>
    <w:rsid w:val="00EF6361"/>
    <w:rsid w:val="00EF7CBD"/>
    <w:rsid w:val="00F1132C"/>
    <w:rsid w:val="00F14BF7"/>
    <w:rsid w:val="00F14D85"/>
    <w:rsid w:val="00F156D3"/>
    <w:rsid w:val="00F15DD5"/>
    <w:rsid w:val="00F17D4B"/>
    <w:rsid w:val="00F23139"/>
    <w:rsid w:val="00F25CD9"/>
    <w:rsid w:val="00F33F2E"/>
    <w:rsid w:val="00F443D6"/>
    <w:rsid w:val="00F471D4"/>
    <w:rsid w:val="00F50F1D"/>
    <w:rsid w:val="00F60568"/>
    <w:rsid w:val="00F661A4"/>
    <w:rsid w:val="00F66CD5"/>
    <w:rsid w:val="00F67A9A"/>
    <w:rsid w:val="00F70F4E"/>
    <w:rsid w:val="00F75C73"/>
    <w:rsid w:val="00F75FC4"/>
    <w:rsid w:val="00F85981"/>
    <w:rsid w:val="00F87263"/>
    <w:rsid w:val="00F87C57"/>
    <w:rsid w:val="00F93725"/>
    <w:rsid w:val="00FA4890"/>
    <w:rsid w:val="00FB35FA"/>
    <w:rsid w:val="00FB5268"/>
    <w:rsid w:val="00FB77FA"/>
    <w:rsid w:val="00FC3C70"/>
    <w:rsid w:val="00FC4A73"/>
    <w:rsid w:val="00FC559C"/>
    <w:rsid w:val="00FC7F0D"/>
    <w:rsid w:val="00FD2909"/>
    <w:rsid w:val="00FE1851"/>
    <w:rsid w:val="00FE645A"/>
    <w:rsid w:val="00FF0B07"/>
    <w:rsid w:val="00FF4020"/>
    <w:rsid w:val="00FF4648"/>
    <w:rsid w:val="00FF6102"/>
    <w:rsid w:val="00FF73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E12"/>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styleId="Revision">
    <w:name w:val="Revision"/>
    <w:hidden/>
    <w:uiPriority w:val="99"/>
    <w:semiHidden/>
    <w:rsid w:val="00DB2CD8"/>
    <w:pPr>
      <w:spacing w:after="0" w:line="240" w:lineRule="auto"/>
    </w:pPr>
    <w:rPr>
      <w:sz w:val="24"/>
      <w:szCs w:val="24"/>
    </w:rPr>
  </w:style>
  <w:style w:type="character" w:styleId="FollowedHyperlink">
    <w:name w:val="FollowedHyperlink"/>
    <w:basedOn w:val="DefaultParagraphFont"/>
    <w:uiPriority w:val="99"/>
    <w:semiHidden/>
    <w:unhideWhenUsed/>
    <w:rsid w:val="00F471D4"/>
    <w:rPr>
      <w:color w:val="800080" w:themeColor="followedHyperlink"/>
      <w:u w:val="single"/>
    </w:rPr>
  </w:style>
  <w:style w:type="character" w:customStyle="1" w:styleId="ListParagraphChar">
    <w:name w:val="List Paragraph Char"/>
    <w:link w:val="ListParagraph"/>
    <w:uiPriority w:val="34"/>
    <w:rsid w:val="008B788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E12"/>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styleId="Revision">
    <w:name w:val="Revision"/>
    <w:hidden/>
    <w:uiPriority w:val="99"/>
    <w:semiHidden/>
    <w:rsid w:val="00DB2CD8"/>
    <w:pPr>
      <w:spacing w:after="0" w:line="240" w:lineRule="auto"/>
    </w:pPr>
    <w:rPr>
      <w:sz w:val="24"/>
      <w:szCs w:val="24"/>
    </w:rPr>
  </w:style>
  <w:style w:type="character" w:styleId="FollowedHyperlink">
    <w:name w:val="FollowedHyperlink"/>
    <w:basedOn w:val="DefaultParagraphFont"/>
    <w:uiPriority w:val="99"/>
    <w:semiHidden/>
    <w:unhideWhenUsed/>
    <w:rsid w:val="00F471D4"/>
    <w:rPr>
      <w:color w:val="800080" w:themeColor="followedHyperlink"/>
      <w:u w:val="single"/>
    </w:rPr>
  </w:style>
  <w:style w:type="character" w:customStyle="1" w:styleId="ListParagraphChar">
    <w:name w:val="List Paragraph Char"/>
    <w:link w:val="ListParagraph"/>
    <w:uiPriority w:val="34"/>
    <w:rsid w:val="008B78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5937">
      <w:bodyDiv w:val="1"/>
      <w:marLeft w:val="0"/>
      <w:marRight w:val="0"/>
      <w:marTop w:val="0"/>
      <w:marBottom w:val="0"/>
      <w:divBdr>
        <w:top w:val="none" w:sz="0" w:space="0" w:color="auto"/>
        <w:left w:val="none" w:sz="0" w:space="0" w:color="auto"/>
        <w:bottom w:val="none" w:sz="0" w:space="0" w:color="auto"/>
        <w:right w:val="none" w:sz="0" w:space="0" w:color="auto"/>
      </w:divBdr>
    </w:div>
    <w:div w:id="81343717">
      <w:bodyDiv w:val="1"/>
      <w:marLeft w:val="0"/>
      <w:marRight w:val="0"/>
      <w:marTop w:val="0"/>
      <w:marBottom w:val="0"/>
      <w:divBdr>
        <w:top w:val="none" w:sz="0" w:space="0" w:color="auto"/>
        <w:left w:val="none" w:sz="0" w:space="0" w:color="auto"/>
        <w:bottom w:val="none" w:sz="0" w:space="0" w:color="auto"/>
        <w:right w:val="none" w:sz="0" w:space="0" w:color="auto"/>
      </w:divBdr>
    </w:div>
    <w:div w:id="359401610">
      <w:bodyDiv w:val="1"/>
      <w:marLeft w:val="0"/>
      <w:marRight w:val="0"/>
      <w:marTop w:val="0"/>
      <w:marBottom w:val="0"/>
      <w:divBdr>
        <w:top w:val="none" w:sz="0" w:space="0" w:color="auto"/>
        <w:left w:val="none" w:sz="0" w:space="0" w:color="auto"/>
        <w:bottom w:val="none" w:sz="0" w:space="0" w:color="auto"/>
        <w:right w:val="none" w:sz="0" w:space="0" w:color="auto"/>
      </w:divBdr>
    </w:div>
    <w:div w:id="383603293">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60004132">
      <w:bodyDiv w:val="1"/>
      <w:marLeft w:val="0"/>
      <w:marRight w:val="0"/>
      <w:marTop w:val="0"/>
      <w:marBottom w:val="0"/>
      <w:divBdr>
        <w:top w:val="none" w:sz="0" w:space="0" w:color="auto"/>
        <w:left w:val="none" w:sz="0" w:space="0" w:color="auto"/>
        <w:bottom w:val="none" w:sz="0" w:space="0" w:color="auto"/>
        <w:right w:val="none" w:sz="0" w:space="0" w:color="auto"/>
      </w:divBdr>
    </w:div>
    <w:div w:id="606698501">
      <w:bodyDiv w:val="1"/>
      <w:marLeft w:val="0"/>
      <w:marRight w:val="0"/>
      <w:marTop w:val="0"/>
      <w:marBottom w:val="0"/>
      <w:divBdr>
        <w:top w:val="none" w:sz="0" w:space="0" w:color="auto"/>
        <w:left w:val="none" w:sz="0" w:space="0" w:color="auto"/>
        <w:bottom w:val="none" w:sz="0" w:space="0" w:color="auto"/>
        <w:right w:val="none" w:sz="0" w:space="0" w:color="auto"/>
      </w:divBdr>
    </w:div>
    <w:div w:id="700590113">
      <w:bodyDiv w:val="1"/>
      <w:marLeft w:val="0"/>
      <w:marRight w:val="0"/>
      <w:marTop w:val="0"/>
      <w:marBottom w:val="0"/>
      <w:divBdr>
        <w:top w:val="none" w:sz="0" w:space="0" w:color="auto"/>
        <w:left w:val="none" w:sz="0" w:space="0" w:color="auto"/>
        <w:bottom w:val="none" w:sz="0" w:space="0" w:color="auto"/>
        <w:right w:val="none" w:sz="0" w:space="0" w:color="auto"/>
      </w:divBdr>
    </w:div>
    <w:div w:id="769545059">
      <w:bodyDiv w:val="1"/>
      <w:marLeft w:val="0"/>
      <w:marRight w:val="0"/>
      <w:marTop w:val="0"/>
      <w:marBottom w:val="0"/>
      <w:divBdr>
        <w:top w:val="none" w:sz="0" w:space="0" w:color="auto"/>
        <w:left w:val="none" w:sz="0" w:space="0" w:color="auto"/>
        <w:bottom w:val="none" w:sz="0" w:space="0" w:color="auto"/>
        <w:right w:val="none" w:sz="0" w:space="0" w:color="auto"/>
      </w:divBdr>
    </w:div>
    <w:div w:id="811404718">
      <w:bodyDiv w:val="1"/>
      <w:marLeft w:val="0"/>
      <w:marRight w:val="0"/>
      <w:marTop w:val="0"/>
      <w:marBottom w:val="0"/>
      <w:divBdr>
        <w:top w:val="none" w:sz="0" w:space="0" w:color="auto"/>
        <w:left w:val="none" w:sz="0" w:space="0" w:color="auto"/>
        <w:bottom w:val="none" w:sz="0" w:space="0" w:color="auto"/>
        <w:right w:val="none" w:sz="0" w:space="0" w:color="auto"/>
      </w:divBdr>
    </w:div>
    <w:div w:id="1181360909">
      <w:bodyDiv w:val="1"/>
      <w:marLeft w:val="0"/>
      <w:marRight w:val="0"/>
      <w:marTop w:val="0"/>
      <w:marBottom w:val="0"/>
      <w:divBdr>
        <w:top w:val="none" w:sz="0" w:space="0" w:color="auto"/>
        <w:left w:val="none" w:sz="0" w:space="0" w:color="auto"/>
        <w:bottom w:val="none" w:sz="0" w:space="0" w:color="auto"/>
        <w:right w:val="none" w:sz="0" w:space="0" w:color="auto"/>
      </w:divBdr>
    </w:div>
    <w:div w:id="1283074679">
      <w:bodyDiv w:val="1"/>
      <w:marLeft w:val="0"/>
      <w:marRight w:val="0"/>
      <w:marTop w:val="0"/>
      <w:marBottom w:val="0"/>
      <w:divBdr>
        <w:top w:val="none" w:sz="0" w:space="0" w:color="auto"/>
        <w:left w:val="none" w:sz="0" w:space="0" w:color="auto"/>
        <w:bottom w:val="none" w:sz="0" w:space="0" w:color="auto"/>
        <w:right w:val="none" w:sz="0" w:space="0" w:color="auto"/>
      </w:divBdr>
    </w:div>
    <w:div w:id="1369377149">
      <w:bodyDiv w:val="1"/>
      <w:marLeft w:val="0"/>
      <w:marRight w:val="0"/>
      <w:marTop w:val="0"/>
      <w:marBottom w:val="0"/>
      <w:divBdr>
        <w:top w:val="none" w:sz="0" w:space="0" w:color="auto"/>
        <w:left w:val="none" w:sz="0" w:space="0" w:color="auto"/>
        <w:bottom w:val="none" w:sz="0" w:space="0" w:color="auto"/>
        <w:right w:val="none" w:sz="0" w:space="0" w:color="auto"/>
      </w:divBdr>
    </w:div>
    <w:div w:id="1547401827">
      <w:bodyDiv w:val="1"/>
      <w:marLeft w:val="0"/>
      <w:marRight w:val="0"/>
      <w:marTop w:val="0"/>
      <w:marBottom w:val="0"/>
      <w:divBdr>
        <w:top w:val="none" w:sz="0" w:space="0" w:color="auto"/>
        <w:left w:val="none" w:sz="0" w:space="0" w:color="auto"/>
        <w:bottom w:val="none" w:sz="0" w:space="0" w:color="auto"/>
        <w:right w:val="none" w:sz="0" w:space="0" w:color="auto"/>
      </w:divBdr>
    </w:div>
    <w:div w:id="1599487535">
      <w:bodyDiv w:val="1"/>
      <w:marLeft w:val="0"/>
      <w:marRight w:val="0"/>
      <w:marTop w:val="0"/>
      <w:marBottom w:val="0"/>
      <w:divBdr>
        <w:top w:val="none" w:sz="0" w:space="0" w:color="auto"/>
        <w:left w:val="none" w:sz="0" w:space="0" w:color="auto"/>
        <w:bottom w:val="none" w:sz="0" w:space="0" w:color="auto"/>
        <w:right w:val="none" w:sz="0" w:space="0" w:color="auto"/>
      </w:divBdr>
    </w:div>
    <w:div w:id="1708721931">
      <w:bodyDiv w:val="1"/>
      <w:marLeft w:val="0"/>
      <w:marRight w:val="0"/>
      <w:marTop w:val="0"/>
      <w:marBottom w:val="0"/>
      <w:divBdr>
        <w:top w:val="none" w:sz="0" w:space="0" w:color="auto"/>
        <w:left w:val="none" w:sz="0" w:space="0" w:color="auto"/>
        <w:bottom w:val="none" w:sz="0" w:space="0" w:color="auto"/>
        <w:right w:val="none" w:sz="0" w:space="0" w:color="auto"/>
      </w:divBdr>
    </w:div>
    <w:div w:id="1822769578">
      <w:bodyDiv w:val="1"/>
      <w:marLeft w:val="0"/>
      <w:marRight w:val="0"/>
      <w:marTop w:val="0"/>
      <w:marBottom w:val="0"/>
      <w:divBdr>
        <w:top w:val="none" w:sz="0" w:space="0" w:color="auto"/>
        <w:left w:val="none" w:sz="0" w:space="0" w:color="auto"/>
        <w:bottom w:val="none" w:sz="0" w:space="0" w:color="auto"/>
        <w:right w:val="none" w:sz="0" w:space="0" w:color="auto"/>
      </w:divBdr>
    </w:div>
    <w:div w:id="185749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cancer.org/cancer/skincancer-melanoma/detailedguide/melanoma-skin-cancer-treating-by-stage" TargetMode="External"/><Relationship Id="rId3" Type="http://schemas.openxmlformats.org/officeDocument/2006/relationships/hyperlink" Target="https://www.ebs.tga.gov.au/" TargetMode="External"/><Relationship Id="rId7" Type="http://schemas.openxmlformats.org/officeDocument/2006/relationships/hyperlink" Target="http://www.melanoma.org.au/understanding-melanoma/treatment-options/" TargetMode="External"/><Relationship Id="rId2" Type="http://schemas.openxmlformats.org/officeDocument/2006/relationships/hyperlink" Target="https://www.ebs.tga.gov.au/" TargetMode="External"/><Relationship Id="rId1" Type="http://schemas.openxmlformats.org/officeDocument/2006/relationships/hyperlink" Target="https://www.ebs.tga.gov.au/" TargetMode="External"/><Relationship Id="rId6" Type="http://schemas.openxmlformats.org/officeDocument/2006/relationships/hyperlink" Target="http://www.cancer.org.au/about-cancer/types-of-cancer/skin-cancer/melanoma.html" TargetMode="External"/><Relationship Id="rId11" Type="http://schemas.openxmlformats.org/officeDocument/2006/relationships/hyperlink" Target="http://www.medicareaustralia.gov.au/provider/pbs/stats.jsp" TargetMode="External"/><Relationship Id="rId5" Type="http://schemas.openxmlformats.org/officeDocument/2006/relationships/hyperlink" Target="http://www.cancercouncil.com.au/melanoma" TargetMode="External"/><Relationship Id="rId10" Type="http://schemas.openxmlformats.org/officeDocument/2006/relationships/hyperlink" Target="http://www.msac.gov.au/internet/msac/publishing.nsf/Content/284249A4E03C3431CA2578E10017643B/$File/PSD%201172%20BRAF%20for%20vemurafenib.pdf" TargetMode="External"/><Relationship Id="rId4" Type="http://schemas.openxmlformats.org/officeDocument/2006/relationships/hyperlink" Target="https://www.ebs.tga.gov.au/" TargetMode="External"/><Relationship Id="rId9" Type="http://schemas.openxmlformats.org/officeDocument/2006/relationships/hyperlink" Target="http://www.cancer.org/cancer/skincancer-melanoma/detailedguide/melanoma-skin-cancer-treating-immunotherapy"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5%20Oct\Melanoma\Data\D875_SCRIPT_COUNT_BENEFIT%2028%20Au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5%20Oct\Melanoma\Data\PAT_CNT_BY_DRUG_N_YMSUPP_SUM%20with%20INIT_DRU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[D875_SCRIPT_COUNT_BENEFIT 28 Aug.xlsx]Sheet1!PivotTable2</c:name>
    <c:fmtId val="14"/>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s>
    <c:plotArea>
      <c:layout/>
      <c:lineChart>
        <c:grouping val="standard"/>
        <c:varyColors val="0"/>
        <c:ser>
          <c:idx val="0"/>
          <c:order val="0"/>
          <c:tx>
            <c:strRef>
              <c:f>Sheet1!$B$3:$B$4</c:f>
              <c:strCache>
                <c:ptCount val="1"/>
                <c:pt idx="0">
                  <c:v>DABRAFENIB</c:v>
                </c:pt>
              </c:strCache>
            </c:strRef>
          </c:tx>
          <c:marker>
            <c:symbol val="none"/>
          </c:marker>
          <c:cat>
            <c:strRef>
              <c:f>Sheet1!$A$5:$A$26</c:f>
              <c:strCache>
                <c:ptCount val="21"/>
                <c:pt idx="0">
                  <c:v>201308</c:v>
                </c:pt>
                <c:pt idx="1">
                  <c:v>201309</c:v>
                </c:pt>
                <c:pt idx="2">
                  <c:v>201310</c:v>
                </c:pt>
                <c:pt idx="3">
                  <c:v>201311</c:v>
                </c:pt>
                <c:pt idx="4">
                  <c:v>201312</c:v>
                </c:pt>
                <c:pt idx="5">
                  <c:v>201401</c:v>
                </c:pt>
                <c:pt idx="6">
                  <c:v>201402</c:v>
                </c:pt>
                <c:pt idx="7">
                  <c:v>201403</c:v>
                </c:pt>
                <c:pt idx="8">
                  <c:v>201404</c:v>
                </c:pt>
                <c:pt idx="9">
                  <c:v>201405</c:v>
                </c:pt>
                <c:pt idx="10">
                  <c:v>201406</c:v>
                </c:pt>
                <c:pt idx="11">
                  <c:v>201407</c:v>
                </c:pt>
                <c:pt idx="12">
                  <c:v>201408</c:v>
                </c:pt>
                <c:pt idx="13">
                  <c:v>201409</c:v>
                </c:pt>
                <c:pt idx="14">
                  <c:v>201410</c:v>
                </c:pt>
                <c:pt idx="15">
                  <c:v>201411</c:v>
                </c:pt>
                <c:pt idx="16">
                  <c:v>201412</c:v>
                </c:pt>
                <c:pt idx="17">
                  <c:v>201501</c:v>
                </c:pt>
                <c:pt idx="18">
                  <c:v>201502</c:v>
                </c:pt>
                <c:pt idx="19">
                  <c:v>201503</c:v>
                </c:pt>
                <c:pt idx="20">
                  <c:v>201504</c:v>
                </c:pt>
              </c:strCache>
            </c:strRef>
          </c:cat>
          <c:val>
            <c:numRef>
              <c:f>Sheet1!$B$5:$B$26</c:f>
              <c:numCache>
                <c:formatCode>General</c:formatCode>
                <c:ptCount val="21"/>
                <c:pt idx="4">
                  <c:v>102</c:v>
                </c:pt>
                <c:pt idx="5">
                  <c:v>178</c:v>
                </c:pt>
                <c:pt idx="6">
                  <c:v>218</c:v>
                </c:pt>
                <c:pt idx="7">
                  <c:v>289</c:v>
                </c:pt>
                <c:pt idx="8">
                  <c:v>300</c:v>
                </c:pt>
                <c:pt idx="9">
                  <c:v>343</c:v>
                </c:pt>
                <c:pt idx="10">
                  <c:v>319</c:v>
                </c:pt>
                <c:pt idx="11">
                  <c:v>358</c:v>
                </c:pt>
                <c:pt idx="12">
                  <c:v>354</c:v>
                </c:pt>
                <c:pt idx="13">
                  <c:v>386</c:v>
                </c:pt>
                <c:pt idx="14">
                  <c:v>417</c:v>
                </c:pt>
                <c:pt idx="15">
                  <c:v>374</c:v>
                </c:pt>
                <c:pt idx="16">
                  <c:v>420</c:v>
                </c:pt>
                <c:pt idx="17">
                  <c:v>404</c:v>
                </c:pt>
                <c:pt idx="18">
                  <c:v>394</c:v>
                </c:pt>
                <c:pt idx="19">
                  <c:v>464</c:v>
                </c:pt>
                <c:pt idx="20">
                  <c:v>451</c:v>
                </c:pt>
              </c:numCache>
            </c:numRef>
          </c:val>
          <c:smooth val="0"/>
        </c:ser>
        <c:ser>
          <c:idx val="1"/>
          <c:order val="1"/>
          <c:tx>
            <c:strRef>
              <c:f>Sheet1!$C$3:$C$4</c:f>
              <c:strCache>
                <c:ptCount val="1"/>
                <c:pt idx="0">
                  <c:v>IPILIMUMAB</c:v>
                </c:pt>
              </c:strCache>
            </c:strRef>
          </c:tx>
          <c:marker>
            <c:symbol val="none"/>
          </c:marker>
          <c:cat>
            <c:strRef>
              <c:f>Sheet1!$A$5:$A$26</c:f>
              <c:strCache>
                <c:ptCount val="21"/>
                <c:pt idx="0">
                  <c:v>201308</c:v>
                </c:pt>
                <c:pt idx="1">
                  <c:v>201309</c:v>
                </c:pt>
                <c:pt idx="2">
                  <c:v>201310</c:v>
                </c:pt>
                <c:pt idx="3">
                  <c:v>201311</c:v>
                </c:pt>
                <c:pt idx="4">
                  <c:v>201312</c:v>
                </c:pt>
                <c:pt idx="5">
                  <c:v>201401</c:v>
                </c:pt>
                <c:pt idx="6">
                  <c:v>201402</c:v>
                </c:pt>
                <c:pt idx="7">
                  <c:v>201403</c:v>
                </c:pt>
                <c:pt idx="8">
                  <c:v>201404</c:v>
                </c:pt>
                <c:pt idx="9">
                  <c:v>201405</c:v>
                </c:pt>
                <c:pt idx="10">
                  <c:v>201406</c:v>
                </c:pt>
                <c:pt idx="11">
                  <c:v>201407</c:v>
                </c:pt>
                <c:pt idx="12">
                  <c:v>201408</c:v>
                </c:pt>
                <c:pt idx="13">
                  <c:v>201409</c:v>
                </c:pt>
                <c:pt idx="14">
                  <c:v>201410</c:v>
                </c:pt>
                <c:pt idx="15">
                  <c:v>201411</c:v>
                </c:pt>
                <c:pt idx="16">
                  <c:v>201412</c:v>
                </c:pt>
                <c:pt idx="17">
                  <c:v>201501</c:v>
                </c:pt>
                <c:pt idx="18">
                  <c:v>201502</c:v>
                </c:pt>
                <c:pt idx="19">
                  <c:v>201503</c:v>
                </c:pt>
                <c:pt idx="20">
                  <c:v>201504</c:v>
                </c:pt>
              </c:strCache>
            </c:strRef>
          </c:cat>
          <c:val>
            <c:numRef>
              <c:f>Sheet1!$C$5:$C$26</c:f>
              <c:numCache>
                <c:formatCode>General</c:formatCode>
                <c:ptCount val="21"/>
                <c:pt idx="0">
                  <c:v>201</c:v>
                </c:pt>
                <c:pt idx="1">
                  <c:v>240</c:v>
                </c:pt>
                <c:pt idx="2">
                  <c:v>269</c:v>
                </c:pt>
                <c:pt idx="3">
                  <c:v>224</c:v>
                </c:pt>
                <c:pt idx="4">
                  <c:v>157</c:v>
                </c:pt>
                <c:pt idx="5">
                  <c:v>154</c:v>
                </c:pt>
                <c:pt idx="6">
                  <c:v>148</c:v>
                </c:pt>
                <c:pt idx="7">
                  <c:v>216</c:v>
                </c:pt>
                <c:pt idx="8">
                  <c:v>252</c:v>
                </c:pt>
                <c:pt idx="9">
                  <c:v>245</c:v>
                </c:pt>
                <c:pt idx="10">
                  <c:v>244</c:v>
                </c:pt>
                <c:pt idx="11">
                  <c:v>281</c:v>
                </c:pt>
                <c:pt idx="12">
                  <c:v>257</c:v>
                </c:pt>
                <c:pt idx="13">
                  <c:v>247</c:v>
                </c:pt>
                <c:pt idx="14">
                  <c:v>271</c:v>
                </c:pt>
                <c:pt idx="15">
                  <c:v>200</c:v>
                </c:pt>
                <c:pt idx="16">
                  <c:v>233</c:v>
                </c:pt>
                <c:pt idx="17">
                  <c:v>188</c:v>
                </c:pt>
                <c:pt idx="18">
                  <c:v>208</c:v>
                </c:pt>
                <c:pt idx="19">
                  <c:v>258</c:v>
                </c:pt>
                <c:pt idx="20">
                  <c:v>246</c:v>
                </c:pt>
              </c:numCache>
            </c:numRef>
          </c:val>
          <c:smooth val="0"/>
        </c:ser>
        <c:dLbls>
          <c:showLegendKey val="0"/>
          <c:showVal val="0"/>
          <c:showCatName val="0"/>
          <c:showSerName val="0"/>
          <c:showPercent val="0"/>
          <c:showBubbleSize val="0"/>
        </c:dLbls>
        <c:marker val="1"/>
        <c:smooth val="0"/>
        <c:axId val="179774592"/>
        <c:axId val="179776128"/>
      </c:lineChart>
      <c:catAx>
        <c:axId val="179774592"/>
        <c:scaling>
          <c:orientation val="minMax"/>
        </c:scaling>
        <c:delete val="0"/>
        <c:axPos val="b"/>
        <c:majorTickMark val="out"/>
        <c:minorTickMark val="none"/>
        <c:tickLblPos val="nextTo"/>
        <c:crossAx val="179776128"/>
        <c:crosses val="autoZero"/>
        <c:auto val="1"/>
        <c:lblAlgn val="ctr"/>
        <c:lblOffset val="100"/>
        <c:noMultiLvlLbl val="0"/>
      </c:catAx>
      <c:valAx>
        <c:axId val="179776128"/>
        <c:scaling>
          <c:orientation val="minMax"/>
        </c:scaling>
        <c:delete val="0"/>
        <c:axPos val="l"/>
        <c:majorGridlines/>
        <c:title>
          <c:tx>
            <c:rich>
              <a:bodyPr rot="-5400000" vert="horz"/>
              <a:lstStyle/>
              <a:p>
                <a:pPr>
                  <a:defRPr/>
                </a:pPr>
                <a:r>
                  <a:rPr lang="en-AU"/>
                  <a:t>Prescriptions</a:t>
                </a:r>
              </a:p>
            </c:rich>
          </c:tx>
          <c:layout/>
          <c:overlay val="0"/>
        </c:title>
        <c:numFmt formatCode="General" sourceLinked="1"/>
        <c:majorTickMark val="out"/>
        <c:minorTickMark val="none"/>
        <c:tickLblPos val="nextTo"/>
        <c:crossAx val="179774592"/>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[PAT_CNT_BY_DRUG_N_YMSUPP_SUM with INIT_DRUG.xlsx]Sheet1!PivotTable4</c:name>
    <c:fmtId val="17"/>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s>
    <c:plotArea>
      <c:layout/>
      <c:lineChart>
        <c:grouping val="standard"/>
        <c:varyColors val="0"/>
        <c:ser>
          <c:idx val="0"/>
          <c:order val="0"/>
          <c:tx>
            <c:strRef>
              <c:f>Sheet1!$B$3:$B$5</c:f>
              <c:strCache>
                <c:ptCount val="1"/>
                <c:pt idx="0">
                  <c:v>IPILIMUMAB - DABRAFENIB</c:v>
                </c:pt>
              </c:strCache>
            </c:strRef>
          </c:tx>
          <c:marker>
            <c:symbol val="none"/>
          </c:marker>
          <c:cat>
            <c:strRef>
              <c:f>Sheet1!$A$6:$A$27</c:f>
              <c:strCache>
                <c:ptCount val="21"/>
                <c:pt idx="0">
                  <c:v>201308</c:v>
                </c:pt>
                <c:pt idx="1">
                  <c:v>201309</c:v>
                </c:pt>
                <c:pt idx="2">
                  <c:v>201310</c:v>
                </c:pt>
                <c:pt idx="3">
                  <c:v>201311</c:v>
                </c:pt>
                <c:pt idx="4">
                  <c:v>201312</c:v>
                </c:pt>
                <c:pt idx="5">
                  <c:v>201401</c:v>
                </c:pt>
                <c:pt idx="6">
                  <c:v>201402</c:v>
                </c:pt>
                <c:pt idx="7">
                  <c:v>201403</c:v>
                </c:pt>
                <c:pt idx="8">
                  <c:v>201404</c:v>
                </c:pt>
                <c:pt idx="9">
                  <c:v>201405</c:v>
                </c:pt>
                <c:pt idx="10">
                  <c:v>201406</c:v>
                </c:pt>
                <c:pt idx="11">
                  <c:v>201407</c:v>
                </c:pt>
                <c:pt idx="12">
                  <c:v>201408</c:v>
                </c:pt>
                <c:pt idx="13">
                  <c:v>201409</c:v>
                </c:pt>
                <c:pt idx="14">
                  <c:v>201410</c:v>
                </c:pt>
                <c:pt idx="15">
                  <c:v>201411</c:v>
                </c:pt>
                <c:pt idx="16">
                  <c:v>201412</c:v>
                </c:pt>
                <c:pt idx="17">
                  <c:v>201501</c:v>
                </c:pt>
                <c:pt idx="18">
                  <c:v>201502</c:v>
                </c:pt>
                <c:pt idx="19">
                  <c:v>201503</c:v>
                </c:pt>
                <c:pt idx="20">
                  <c:v>201504</c:v>
                </c:pt>
              </c:strCache>
            </c:strRef>
          </c:cat>
          <c:val>
            <c:numRef>
              <c:f>Sheet1!$B$6:$B$27</c:f>
              <c:numCache>
                <c:formatCode>General</c:formatCode>
                <c:ptCount val="21"/>
                <c:pt idx="4">
                  <c:v>4</c:v>
                </c:pt>
                <c:pt idx="5">
                  <c:v>2</c:v>
                </c:pt>
                <c:pt idx="6">
                  <c:v>1</c:v>
                </c:pt>
                <c:pt idx="7">
                  <c:v>2</c:v>
                </c:pt>
                <c:pt idx="10">
                  <c:v>2</c:v>
                </c:pt>
                <c:pt idx="11">
                  <c:v>3</c:v>
                </c:pt>
                <c:pt idx="14">
                  <c:v>1</c:v>
                </c:pt>
                <c:pt idx="16">
                  <c:v>1</c:v>
                </c:pt>
                <c:pt idx="17">
                  <c:v>2</c:v>
                </c:pt>
                <c:pt idx="18">
                  <c:v>2</c:v>
                </c:pt>
                <c:pt idx="19">
                  <c:v>1</c:v>
                </c:pt>
              </c:numCache>
            </c:numRef>
          </c:val>
          <c:smooth val="0"/>
        </c:ser>
        <c:ser>
          <c:idx val="1"/>
          <c:order val="1"/>
          <c:tx>
            <c:strRef>
              <c:f>Sheet1!$C$3:$C$5</c:f>
              <c:strCache>
                <c:ptCount val="1"/>
                <c:pt idx="0">
                  <c:v>IPILIMUMAB - IPILIMUMAB</c:v>
                </c:pt>
              </c:strCache>
            </c:strRef>
          </c:tx>
          <c:marker>
            <c:symbol val="none"/>
          </c:marker>
          <c:cat>
            <c:strRef>
              <c:f>Sheet1!$A$6:$A$27</c:f>
              <c:strCache>
                <c:ptCount val="21"/>
                <c:pt idx="0">
                  <c:v>201308</c:v>
                </c:pt>
                <c:pt idx="1">
                  <c:v>201309</c:v>
                </c:pt>
                <c:pt idx="2">
                  <c:v>201310</c:v>
                </c:pt>
                <c:pt idx="3">
                  <c:v>201311</c:v>
                </c:pt>
                <c:pt idx="4">
                  <c:v>201312</c:v>
                </c:pt>
                <c:pt idx="5">
                  <c:v>201401</c:v>
                </c:pt>
                <c:pt idx="6">
                  <c:v>201402</c:v>
                </c:pt>
                <c:pt idx="7">
                  <c:v>201403</c:v>
                </c:pt>
                <c:pt idx="8">
                  <c:v>201404</c:v>
                </c:pt>
                <c:pt idx="9">
                  <c:v>201405</c:v>
                </c:pt>
                <c:pt idx="10">
                  <c:v>201406</c:v>
                </c:pt>
                <c:pt idx="11">
                  <c:v>201407</c:v>
                </c:pt>
                <c:pt idx="12">
                  <c:v>201408</c:v>
                </c:pt>
                <c:pt idx="13">
                  <c:v>201409</c:v>
                </c:pt>
                <c:pt idx="14">
                  <c:v>201410</c:v>
                </c:pt>
                <c:pt idx="15">
                  <c:v>201411</c:v>
                </c:pt>
                <c:pt idx="16">
                  <c:v>201412</c:v>
                </c:pt>
                <c:pt idx="17">
                  <c:v>201501</c:v>
                </c:pt>
                <c:pt idx="18">
                  <c:v>201502</c:v>
                </c:pt>
                <c:pt idx="19">
                  <c:v>201503</c:v>
                </c:pt>
                <c:pt idx="20">
                  <c:v>201504</c:v>
                </c:pt>
              </c:strCache>
            </c:strRef>
          </c:cat>
          <c:val>
            <c:numRef>
              <c:f>Sheet1!$C$6:$C$27</c:f>
              <c:numCache>
                <c:formatCode>General</c:formatCode>
                <c:ptCount val="21"/>
                <c:pt idx="0">
                  <c:v>146</c:v>
                </c:pt>
                <c:pt idx="1">
                  <c:v>85</c:v>
                </c:pt>
                <c:pt idx="2">
                  <c:v>57</c:v>
                </c:pt>
                <c:pt idx="3">
                  <c:v>63</c:v>
                </c:pt>
                <c:pt idx="4">
                  <c:v>48</c:v>
                </c:pt>
                <c:pt idx="5">
                  <c:v>35</c:v>
                </c:pt>
                <c:pt idx="6">
                  <c:v>62</c:v>
                </c:pt>
                <c:pt idx="7">
                  <c:v>83</c:v>
                </c:pt>
                <c:pt idx="8">
                  <c:v>53</c:v>
                </c:pt>
                <c:pt idx="9">
                  <c:v>72</c:v>
                </c:pt>
                <c:pt idx="10">
                  <c:v>70</c:v>
                </c:pt>
                <c:pt idx="11">
                  <c:v>77</c:v>
                </c:pt>
                <c:pt idx="12">
                  <c:v>63</c:v>
                </c:pt>
                <c:pt idx="13">
                  <c:v>66</c:v>
                </c:pt>
                <c:pt idx="14">
                  <c:v>75</c:v>
                </c:pt>
                <c:pt idx="15">
                  <c:v>43</c:v>
                </c:pt>
                <c:pt idx="16">
                  <c:v>56</c:v>
                </c:pt>
                <c:pt idx="17">
                  <c:v>55</c:v>
                </c:pt>
                <c:pt idx="18">
                  <c:v>67</c:v>
                </c:pt>
                <c:pt idx="19">
                  <c:v>60</c:v>
                </c:pt>
                <c:pt idx="20">
                  <c:v>59</c:v>
                </c:pt>
              </c:numCache>
            </c:numRef>
          </c:val>
          <c:smooth val="0"/>
        </c:ser>
        <c:ser>
          <c:idx val="2"/>
          <c:order val="2"/>
          <c:tx>
            <c:strRef>
              <c:f>Sheet1!$E$3:$E$5</c:f>
              <c:strCache>
                <c:ptCount val="1"/>
                <c:pt idx="0">
                  <c:v>DABRAFENIB - DABRAFENIB</c:v>
                </c:pt>
              </c:strCache>
            </c:strRef>
          </c:tx>
          <c:marker>
            <c:symbol val="none"/>
          </c:marker>
          <c:cat>
            <c:strRef>
              <c:f>Sheet1!$A$6:$A$27</c:f>
              <c:strCache>
                <c:ptCount val="21"/>
                <c:pt idx="0">
                  <c:v>201308</c:v>
                </c:pt>
                <c:pt idx="1">
                  <c:v>201309</c:v>
                </c:pt>
                <c:pt idx="2">
                  <c:v>201310</c:v>
                </c:pt>
                <c:pt idx="3">
                  <c:v>201311</c:v>
                </c:pt>
                <c:pt idx="4">
                  <c:v>201312</c:v>
                </c:pt>
                <c:pt idx="5">
                  <c:v>201401</c:v>
                </c:pt>
                <c:pt idx="6">
                  <c:v>201402</c:v>
                </c:pt>
                <c:pt idx="7">
                  <c:v>201403</c:v>
                </c:pt>
                <c:pt idx="8">
                  <c:v>201404</c:v>
                </c:pt>
                <c:pt idx="9">
                  <c:v>201405</c:v>
                </c:pt>
                <c:pt idx="10">
                  <c:v>201406</c:v>
                </c:pt>
                <c:pt idx="11">
                  <c:v>201407</c:v>
                </c:pt>
                <c:pt idx="12">
                  <c:v>201408</c:v>
                </c:pt>
                <c:pt idx="13">
                  <c:v>201409</c:v>
                </c:pt>
                <c:pt idx="14">
                  <c:v>201410</c:v>
                </c:pt>
                <c:pt idx="15">
                  <c:v>201411</c:v>
                </c:pt>
                <c:pt idx="16">
                  <c:v>201412</c:v>
                </c:pt>
                <c:pt idx="17">
                  <c:v>201501</c:v>
                </c:pt>
                <c:pt idx="18">
                  <c:v>201502</c:v>
                </c:pt>
                <c:pt idx="19">
                  <c:v>201503</c:v>
                </c:pt>
                <c:pt idx="20">
                  <c:v>201504</c:v>
                </c:pt>
              </c:strCache>
            </c:strRef>
          </c:cat>
          <c:val>
            <c:numRef>
              <c:f>Sheet1!$E$6:$E$27</c:f>
              <c:numCache>
                <c:formatCode>General</c:formatCode>
                <c:ptCount val="21"/>
                <c:pt idx="4">
                  <c:v>81</c:v>
                </c:pt>
                <c:pt idx="5">
                  <c:v>95</c:v>
                </c:pt>
                <c:pt idx="6">
                  <c:v>83</c:v>
                </c:pt>
                <c:pt idx="7">
                  <c:v>75</c:v>
                </c:pt>
                <c:pt idx="8">
                  <c:v>55</c:v>
                </c:pt>
                <c:pt idx="9">
                  <c:v>66</c:v>
                </c:pt>
                <c:pt idx="10">
                  <c:v>41</c:v>
                </c:pt>
                <c:pt idx="11">
                  <c:v>51</c:v>
                </c:pt>
                <c:pt idx="12">
                  <c:v>41</c:v>
                </c:pt>
                <c:pt idx="13">
                  <c:v>53</c:v>
                </c:pt>
                <c:pt idx="14">
                  <c:v>68</c:v>
                </c:pt>
                <c:pt idx="15">
                  <c:v>41</c:v>
                </c:pt>
                <c:pt idx="16">
                  <c:v>43</c:v>
                </c:pt>
                <c:pt idx="17">
                  <c:v>37</c:v>
                </c:pt>
                <c:pt idx="18">
                  <c:v>47</c:v>
                </c:pt>
                <c:pt idx="19">
                  <c:v>62</c:v>
                </c:pt>
                <c:pt idx="20">
                  <c:v>56</c:v>
                </c:pt>
              </c:numCache>
            </c:numRef>
          </c:val>
          <c:smooth val="0"/>
        </c:ser>
        <c:ser>
          <c:idx val="3"/>
          <c:order val="3"/>
          <c:tx>
            <c:strRef>
              <c:f>Sheet1!$F$3:$F$5</c:f>
              <c:strCache>
                <c:ptCount val="1"/>
                <c:pt idx="0">
                  <c:v>DABRAFENIB - IPILIMUMAB</c:v>
                </c:pt>
              </c:strCache>
            </c:strRef>
          </c:tx>
          <c:marker>
            <c:symbol val="none"/>
          </c:marker>
          <c:cat>
            <c:strRef>
              <c:f>Sheet1!$A$6:$A$27</c:f>
              <c:strCache>
                <c:ptCount val="21"/>
                <c:pt idx="0">
                  <c:v>201308</c:v>
                </c:pt>
                <c:pt idx="1">
                  <c:v>201309</c:v>
                </c:pt>
                <c:pt idx="2">
                  <c:v>201310</c:v>
                </c:pt>
                <c:pt idx="3">
                  <c:v>201311</c:v>
                </c:pt>
                <c:pt idx="4">
                  <c:v>201312</c:v>
                </c:pt>
                <c:pt idx="5">
                  <c:v>201401</c:v>
                </c:pt>
                <c:pt idx="6">
                  <c:v>201402</c:v>
                </c:pt>
                <c:pt idx="7">
                  <c:v>201403</c:v>
                </c:pt>
                <c:pt idx="8">
                  <c:v>201404</c:v>
                </c:pt>
                <c:pt idx="9">
                  <c:v>201405</c:v>
                </c:pt>
                <c:pt idx="10">
                  <c:v>201406</c:v>
                </c:pt>
                <c:pt idx="11">
                  <c:v>201407</c:v>
                </c:pt>
                <c:pt idx="12">
                  <c:v>201408</c:v>
                </c:pt>
                <c:pt idx="13">
                  <c:v>201409</c:v>
                </c:pt>
                <c:pt idx="14">
                  <c:v>201410</c:v>
                </c:pt>
                <c:pt idx="15">
                  <c:v>201411</c:v>
                </c:pt>
                <c:pt idx="16">
                  <c:v>201412</c:v>
                </c:pt>
                <c:pt idx="17">
                  <c:v>201501</c:v>
                </c:pt>
                <c:pt idx="18">
                  <c:v>201502</c:v>
                </c:pt>
                <c:pt idx="19">
                  <c:v>201503</c:v>
                </c:pt>
                <c:pt idx="20">
                  <c:v>201504</c:v>
                </c:pt>
              </c:strCache>
            </c:strRef>
          </c:cat>
          <c:val>
            <c:numRef>
              <c:f>Sheet1!$F$6:$F$27</c:f>
              <c:numCache>
                <c:formatCode>General</c:formatCode>
                <c:ptCount val="21"/>
                <c:pt idx="5">
                  <c:v>1</c:v>
                </c:pt>
                <c:pt idx="6">
                  <c:v>4</c:v>
                </c:pt>
                <c:pt idx="7">
                  <c:v>7</c:v>
                </c:pt>
                <c:pt idx="8">
                  <c:v>6</c:v>
                </c:pt>
                <c:pt idx="9">
                  <c:v>3</c:v>
                </c:pt>
                <c:pt idx="10">
                  <c:v>11</c:v>
                </c:pt>
                <c:pt idx="11">
                  <c:v>17</c:v>
                </c:pt>
                <c:pt idx="12">
                  <c:v>10</c:v>
                </c:pt>
                <c:pt idx="13">
                  <c:v>14</c:v>
                </c:pt>
                <c:pt idx="14">
                  <c:v>20</c:v>
                </c:pt>
                <c:pt idx="15">
                  <c:v>11</c:v>
                </c:pt>
                <c:pt idx="16">
                  <c:v>16</c:v>
                </c:pt>
                <c:pt idx="17">
                  <c:v>7</c:v>
                </c:pt>
                <c:pt idx="18">
                  <c:v>20</c:v>
                </c:pt>
                <c:pt idx="19">
                  <c:v>20</c:v>
                </c:pt>
                <c:pt idx="20">
                  <c:v>17</c:v>
                </c:pt>
              </c:numCache>
            </c:numRef>
          </c:val>
          <c:smooth val="0"/>
        </c:ser>
        <c:dLbls>
          <c:showLegendKey val="0"/>
          <c:showVal val="0"/>
          <c:showCatName val="0"/>
          <c:showSerName val="0"/>
          <c:showPercent val="0"/>
          <c:showBubbleSize val="0"/>
        </c:dLbls>
        <c:marker val="1"/>
        <c:smooth val="0"/>
        <c:axId val="35892608"/>
        <c:axId val="35902592"/>
      </c:lineChart>
      <c:catAx>
        <c:axId val="35892608"/>
        <c:scaling>
          <c:orientation val="minMax"/>
        </c:scaling>
        <c:delete val="0"/>
        <c:axPos val="b"/>
        <c:majorTickMark val="out"/>
        <c:minorTickMark val="none"/>
        <c:tickLblPos val="nextTo"/>
        <c:crossAx val="35902592"/>
        <c:crosses val="autoZero"/>
        <c:auto val="1"/>
        <c:lblAlgn val="ctr"/>
        <c:lblOffset val="100"/>
        <c:noMultiLvlLbl val="0"/>
      </c:catAx>
      <c:valAx>
        <c:axId val="35902592"/>
        <c:scaling>
          <c:orientation val="minMax"/>
        </c:scaling>
        <c:delete val="0"/>
        <c:axPos val="l"/>
        <c:majorGridlines/>
        <c:title>
          <c:tx>
            <c:rich>
              <a:bodyPr rot="-5400000" vert="horz"/>
              <a:lstStyle/>
              <a:p>
                <a:pPr>
                  <a:defRPr/>
                </a:pPr>
                <a:r>
                  <a:rPr lang="en-AU"/>
                  <a:t>Patients</a:t>
                </a:r>
              </a:p>
            </c:rich>
          </c:tx>
          <c:layout/>
          <c:overlay val="0"/>
        </c:title>
        <c:numFmt formatCode="General" sourceLinked="1"/>
        <c:majorTickMark val="out"/>
        <c:minorTickMark val="none"/>
        <c:tickLblPos val="nextTo"/>
        <c:crossAx val="35892608"/>
        <c:crosses val="autoZero"/>
        <c:crossBetween val="between"/>
      </c:valAx>
    </c:plotArea>
    <c:legend>
      <c:legendPos val="b"/>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B5A64-CE79-40C5-AF00-C79FB7B91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5086</Words>
  <Characters>28994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2016-02-23T01:13:00Z</dcterms:created>
  <dcterms:modified xsi:type="dcterms:W3CDTF">2016-02-23T07:06:00Z</dcterms:modified>
</cp:coreProperties>
</file>