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2.xml" ContentType="application/vnd.openxmlformats-officedocument.themeOverride+xml"/>
  <Override PartName="/word/drawings/drawing5.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65120C" w:rsidP="00FE645A">
      <w:pPr>
        <w:pStyle w:val="Title"/>
      </w:pPr>
      <w:bookmarkStart w:id="0" w:name="_GoBack"/>
      <w:bookmarkEnd w:id="0"/>
      <w:r>
        <w:t>Pregabalin</w:t>
      </w:r>
      <w:r w:rsidR="001C4016">
        <w:t xml:space="preserve">: </w:t>
      </w:r>
      <w:r w:rsidR="00632711">
        <w:t>2</w:t>
      </w:r>
      <w:r w:rsidR="006B121E">
        <w:t>4</w:t>
      </w:r>
      <w:r w:rsidR="00632711">
        <w:t xml:space="preserve"> month predicted versus actual </w:t>
      </w:r>
      <w:r w:rsidR="001C4016">
        <w:t>a</w:t>
      </w:r>
      <w:r w:rsidR="00632711">
        <w:t>nalysis</w:t>
      </w:r>
    </w:p>
    <w:p w:rsidR="00736041" w:rsidRDefault="009053D3" w:rsidP="00A35800">
      <w:pPr>
        <w:pStyle w:val="Heading1"/>
      </w:pPr>
      <w:r>
        <w:t>D</w:t>
      </w:r>
      <w:r w:rsidR="00832324" w:rsidRPr="0063631C">
        <w:t xml:space="preserve">rug utilisation sub-committee </w:t>
      </w:r>
      <w:r w:rsidR="00832324">
        <w:t>(DUSC)</w:t>
      </w:r>
    </w:p>
    <w:p w:rsidR="009053D3" w:rsidRDefault="00A330E8" w:rsidP="00A35800">
      <w:pPr>
        <w:pStyle w:val="Heading4"/>
      </w:pPr>
      <w:r>
        <w:t>October 201</w:t>
      </w:r>
      <w:r w:rsidR="00473079">
        <w:t>5</w:t>
      </w:r>
    </w:p>
    <w:p w:rsidR="0058760F" w:rsidRDefault="0058760F" w:rsidP="00365ABA">
      <w:pPr>
        <w:pStyle w:val="Heading3"/>
      </w:pPr>
      <w:r>
        <w:t>Abstract</w:t>
      </w:r>
    </w:p>
    <w:p w:rsidR="0058760F" w:rsidRDefault="0058760F" w:rsidP="00365ABA">
      <w:pPr>
        <w:pStyle w:val="Heading4"/>
      </w:pPr>
      <w:r>
        <w:t>Purpose</w:t>
      </w:r>
    </w:p>
    <w:p w:rsidR="0058760F" w:rsidRDefault="0058760F" w:rsidP="00365ABA">
      <w:pPr>
        <w:pStyle w:val="NoSpacing"/>
      </w:pPr>
      <w:r w:rsidRPr="0072443D">
        <w:t xml:space="preserve">To examine the utilisation of pregabalin </w:t>
      </w:r>
      <w:r>
        <w:t xml:space="preserve">for neuropathic pain </w:t>
      </w:r>
      <w:r w:rsidRPr="0072443D">
        <w:t xml:space="preserve">in the </w:t>
      </w:r>
      <w:r>
        <w:t>24</w:t>
      </w:r>
      <w:r w:rsidRPr="0072443D">
        <w:t xml:space="preserve"> months after </w:t>
      </w:r>
      <w:r>
        <w:t xml:space="preserve">PBS </w:t>
      </w:r>
      <w:r w:rsidRPr="0072443D">
        <w:t>listing</w:t>
      </w:r>
      <w:r>
        <w:t xml:space="preserve"> (1 March 2013 to 28 February 2015).</w:t>
      </w:r>
    </w:p>
    <w:p w:rsidR="0058760F" w:rsidRDefault="0058760F" w:rsidP="00365ABA">
      <w:pPr>
        <w:pStyle w:val="Heading4"/>
      </w:pPr>
      <w:r>
        <w:t>Data Source / methodology</w:t>
      </w:r>
    </w:p>
    <w:p w:rsidR="0058760F" w:rsidRDefault="0058760F" w:rsidP="00365ABA">
      <w:pPr>
        <w:pStyle w:val="NoSpacing"/>
      </w:pPr>
      <w:r w:rsidRPr="0048575C">
        <w:t>Data for</w:t>
      </w:r>
      <w:r>
        <w:t xml:space="preserve"> pregabalin </w:t>
      </w:r>
      <w:r w:rsidRPr="0048575C">
        <w:t>w</w:t>
      </w:r>
      <w:r>
        <w:t>as</w:t>
      </w:r>
      <w:r w:rsidRPr="0048575C">
        <w:t xml:space="preserve"> extracted</w:t>
      </w:r>
      <w:r>
        <w:t xml:space="preserve"> from the DUSC </w:t>
      </w:r>
      <w:r w:rsidR="002E672F">
        <w:t xml:space="preserve">and Department of Human Services (DHS) prescription </w:t>
      </w:r>
      <w:r>
        <w:t>database</w:t>
      </w:r>
      <w:r w:rsidR="002E672F">
        <w:t>s</w:t>
      </w:r>
      <w:r>
        <w:t xml:space="preserve"> from the date of listing </w:t>
      </w:r>
      <w:r w:rsidR="002E672F">
        <w:t xml:space="preserve">of pregabalin </w:t>
      </w:r>
      <w:r>
        <w:t xml:space="preserve">on the </w:t>
      </w:r>
      <w:r w:rsidR="000712FA">
        <w:t>Repatriation PBS (</w:t>
      </w:r>
      <w:r w:rsidR="002E672F">
        <w:t>R</w:t>
      </w:r>
      <w:r>
        <w:t>PBS</w:t>
      </w:r>
      <w:r w:rsidR="000712FA">
        <w:t>)</w:t>
      </w:r>
      <w:r>
        <w:t xml:space="preserve"> </w:t>
      </w:r>
      <w:r w:rsidR="002E672F">
        <w:t xml:space="preserve">Schedule </w:t>
      </w:r>
      <w:r>
        <w:t xml:space="preserve">(1 </w:t>
      </w:r>
      <w:r w:rsidR="002E672F">
        <w:t xml:space="preserve">February </w:t>
      </w:r>
      <w:r>
        <w:t>20</w:t>
      </w:r>
      <w:r w:rsidR="002E672F">
        <w:t>08</w:t>
      </w:r>
      <w:r>
        <w:t>) to the most current available data (March 2015, inclusive).</w:t>
      </w:r>
    </w:p>
    <w:p w:rsidR="0058760F" w:rsidRDefault="0058760F" w:rsidP="00365ABA">
      <w:pPr>
        <w:pStyle w:val="Heading4"/>
      </w:pPr>
      <w:r>
        <w:t>Key Findings</w:t>
      </w:r>
    </w:p>
    <w:p w:rsidR="00DB641D" w:rsidRPr="0058760F" w:rsidRDefault="00DB641D" w:rsidP="00365ABA">
      <w:pPr>
        <w:pStyle w:val="NoSpacing"/>
        <w:numPr>
          <w:ilvl w:val="0"/>
          <w:numId w:val="5"/>
        </w:numPr>
        <w:tabs>
          <w:tab w:val="left" w:pos="284"/>
        </w:tabs>
        <w:ind w:left="284" w:hanging="284"/>
      </w:pPr>
      <w:r w:rsidRPr="0058760F">
        <w:t>There were 294,</w:t>
      </w:r>
      <w:r>
        <w:t>747 and 433,324</w:t>
      </w:r>
      <w:r w:rsidRPr="0058760F">
        <w:t xml:space="preserve"> PBS/RPBS patients treated with PBS subsidised pregabalin in the first </w:t>
      </w:r>
      <w:r>
        <w:t xml:space="preserve">two </w:t>
      </w:r>
      <w:r w:rsidRPr="0058760F">
        <w:t>year</w:t>
      </w:r>
      <w:r>
        <w:t>s</w:t>
      </w:r>
      <w:r w:rsidRPr="0058760F">
        <w:t xml:space="preserve"> of listing</w:t>
      </w:r>
      <w:r>
        <w:t xml:space="preserve"> respectively</w:t>
      </w:r>
      <w:r w:rsidRPr="0058760F">
        <w:t xml:space="preserve">. This was </w:t>
      </w:r>
      <w:r>
        <w:t xml:space="preserve">39% and 58% </w:t>
      </w:r>
      <w:r w:rsidRPr="0058760F">
        <w:t xml:space="preserve">higher than </w:t>
      </w:r>
      <w:r>
        <w:t>predicted. The number of actual patients in Year 2 exceeds the number of patients predicted for Year 5.</w:t>
      </w:r>
    </w:p>
    <w:p w:rsidR="0058760F" w:rsidRPr="0058760F" w:rsidRDefault="0058760F" w:rsidP="00365ABA">
      <w:pPr>
        <w:pStyle w:val="NoSpacing"/>
        <w:numPr>
          <w:ilvl w:val="0"/>
          <w:numId w:val="5"/>
        </w:numPr>
        <w:tabs>
          <w:tab w:val="left" w:pos="284"/>
        </w:tabs>
        <w:ind w:left="284" w:hanging="284"/>
      </w:pPr>
      <w:r w:rsidRPr="0058760F">
        <w:t xml:space="preserve">The total number of prescriptions of pregabalin supplied in </w:t>
      </w:r>
      <w:r w:rsidR="00DB641D">
        <w:t xml:space="preserve">Year 1 </w:t>
      </w:r>
      <w:r>
        <w:t xml:space="preserve">(1,396,766) </w:t>
      </w:r>
      <w:r w:rsidRPr="0058760F">
        <w:t xml:space="preserve">was similar to predicted, however utilisation </w:t>
      </w:r>
      <w:r w:rsidR="00011889">
        <w:t xml:space="preserve">in </w:t>
      </w:r>
      <w:r w:rsidR="00DB641D">
        <w:t xml:space="preserve">Year 2 </w:t>
      </w:r>
      <w:r w:rsidR="00234ED0">
        <w:t xml:space="preserve">(2,435,807 </w:t>
      </w:r>
      <w:r w:rsidR="0095432B">
        <w:t>prescriptions</w:t>
      </w:r>
      <w:r w:rsidR="00234ED0">
        <w:t>) was 32% more than predicted.</w:t>
      </w:r>
    </w:p>
    <w:p w:rsidR="002E63AC" w:rsidRDefault="00DB641D" w:rsidP="00365ABA">
      <w:pPr>
        <w:pStyle w:val="NoSpacing"/>
        <w:numPr>
          <w:ilvl w:val="0"/>
          <w:numId w:val="5"/>
        </w:numPr>
        <w:tabs>
          <w:tab w:val="left" w:pos="284"/>
        </w:tabs>
        <w:ind w:left="284" w:hanging="284"/>
      </w:pPr>
      <w:r>
        <w:t xml:space="preserve">The greater than predicted </w:t>
      </w:r>
      <w:r w:rsidR="0095432B">
        <w:t xml:space="preserve">number </w:t>
      </w:r>
      <w:r>
        <w:t xml:space="preserve">of patients and prescriptions in Year 2 did not translate to significantly greater than predicted </w:t>
      </w:r>
      <w:r w:rsidR="00CB4B44">
        <w:t xml:space="preserve">PBS &amp; RPBS </w:t>
      </w:r>
      <w:r w:rsidR="002E672F">
        <w:t xml:space="preserve">(R/PBS) </w:t>
      </w:r>
      <w:r>
        <w:t>expenditure because there was;</w:t>
      </w:r>
      <w:r w:rsidR="007A393C">
        <w:br/>
        <w:t xml:space="preserve">- </w:t>
      </w:r>
      <w:r>
        <w:t xml:space="preserve"> a higher than expected discontinuation rate after the first prescription</w:t>
      </w:r>
      <w:r w:rsidR="0095432B">
        <w:t xml:space="preserve"> leading to lower than expected prescriptions per patient</w:t>
      </w:r>
      <w:r>
        <w:t xml:space="preserve">; and </w:t>
      </w:r>
      <w:r>
        <w:br/>
      </w:r>
      <w:r w:rsidR="007A393C">
        <w:t xml:space="preserve">- </w:t>
      </w:r>
      <w:r w:rsidR="0095432B">
        <w:t xml:space="preserve">lower than expected </w:t>
      </w:r>
      <w:r w:rsidR="00A9423B">
        <w:t xml:space="preserve">R/PBS </w:t>
      </w:r>
      <w:r w:rsidR="0095432B">
        <w:t>expenditure per prescription due to lower than expected average daily dose</w:t>
      </w:r>
      <w:r w:rsidR="002E672F">
        <w:t xml:space="preserve"> and higher than expected average patient copayment (due to higher than expected proportion of non-concessional patients)</w:t>
      </w:r>
      <w:r w:rsidR="0095432B">
        <w:t>.</w:t>
      </w:r>
    </w:p>
    <w:p w:rsidR="00DB641D" w:rsidRDefault="002E63AC" w:rsidP="00365ABA">
      <w:pPr>
        <w:pStyle w:val="NoSpacing"/>
        <w:numPr>
          <w:ilvl w:val="0"/>
          <w:numId w:val="5"/>
        </w:numPr>
        <w:tabs>
          <w:tab w:val="left" w:pos="284"/>
        </w:tabs>
        <w:ind w:left="284" w:hanging="284"/>
      </w:pPr>
      <w:r>
        <w:t xml:space="preserve">Prescribing of pregabalin in clinical practice may not be optimal. A large number of patients do not have the dose of pregabalin up-titrated and persistence to therapy is poor. </w:t>
      </w:r>
      <w:r w:rsidR="0095432B">
        <w:br/>
      </w:r>
    </w:p>
    <w:p w:rsidR="0058760F" w:rsidRPr="0058760F" w:rsidRDefault="0058760F" w:rsidP="0058760F"/>
    <w:p w:rsidR="00BB0D1A" w:rsidRDefault="00BB0D1A">
      <w:pPr>
        <w:spacing w:line="276" w:lineRule="auto"/>
        <w:rPr>
          <w:rFonts w:eastAsiaTheme="majorEastAsia" w:cstheme="majorBidi"/>
          <w:b/>
          <w:bCs/>
          <w:sz w:val="32"/>
          <w:szCs w:val="26"/>
        </w:rPr>
      </w:pPr>
      <w:r>
        <w:br w:type="page"/>
      </w:r>
    </w:p>
    <w:p w:rsidR="00E677DD" w:rsidRPr="005E22C2" w:rsidRDefault="00E677DD" w:rsidP="00A35800">
      <w:pPr>
        <w:pStyle w:val="Heading2"/>
      </w:pPr>
      <w:r w:rsidRPr="005E22C2">
        <w:lastRenderedPageBreak/>
        <w:t xml:space="preserve">Purpose of </w:t>
      </w:r>
      <w:r w:rsidR="00D151EB">
        <w:t>analysis</w:t>
      </w:r>
    </w:p>
    <w:p w:rsidR="001E153B" w:rsidRPr="001E153B" w:rsidRDefault="00BE07A6" w:rsidP="001E153B">
      <w:r w:rsidRPr="00BE07A6">
        <w:t>To examine the utilisation of pregabalin</w:t>
      </w:r>
      <w:r w:rsidR="00C9081D">
        <w:t xml:space="preserve"> for neuropathic pain </w:t>
      </w:r>
      <w:r w:rsidRPr="00BE07A6">
        <w:t xml:space="preserve">in the </w:t>
      </w:r>
      <w:r w:rsidR="00725CBF">
        <w:t>24</w:t>
      </w:r>
      <w:r w:rsidR="00725CBF" w:rsidRPr="00BE07A6">
        <w:t xml:space="preserve"> </w:t>
      </w:r>
      <w:r w:rsidRPr="00BE07A6">
        <w:t xml:space="preserve">months after listing (1 March 2013 to 28 February </w:t>
      </w:r>
      <w:r w:rsidR="00725CBF" w:rsidRPr="00BE07A6">
        <w:t>201</w:t>
      </w:r>
      <w:r w:rsidR="00725CBF">
        <w:t>5</w:t>
      </w:r>
      <w:r w:rsidRPr="00BE07A6">
        <w:t>).</w:t>
      </w:r>
      <w:r w:rsidR="001E153B">
        <w:t xml:space="preserve">  </w:t>
      </w:r>
      <w:r w:rsidR="00027495">
        <w:t>At its October 2014 meeting t</w:t>
      </w:r>
      <w:r w:rsidR="00027495" w:rsidRPr="00725CBF">
        <w:t xml:space="preserve">he DUSC requested </w:t>
      </w:r>
      <w:r w:rsidR="00027495">
        <w:t xml:space="preserve">a </w:t>
      </w:r>
      <w:r w:rsidR="00027495" w:rsidRPr="00725CBF">
        <w:t xml:space="preserve">24 month analysis </w:t>
      </w:r>
      <w:r w:rsidR="00027495">
        <w:t xml:space="preserve">of pregabalin </w:t>
      </w:r>
      <w:r w:rsidR="00F714F5">
        <w:t xml:space="preserve">utilisation </w:t>
      </w:r>
      <w:r w:rsidR="00027495" w:rsidRPr="00725CBF">
        <w:t>includ</w:t>
      </w:r>
      <w:r w:rsidR="00027495">
        <w:t>ing</w:t>
      </w:r>
      <w:r w:rsidR="00027495" w:rsidRPr="00725CBF">
        <w:t xml:space="preserve"> data on </w:t>
      </w:r>
      <w:r w:rsidR="00027495">
        <w:t xml:space="preserve">estimated </w:t>
      </w:r>
      <w:r w:rsidR="00027495" w:rsidRPr="00725CBF">
        <w:t>co-</w:t>
      </w:r>
      <w:r w:rsidR="00027495">
        <w:t>administration</w:t>
      </w:r>
      <w:r w:rsidR="00027495" w:rsidRPr="00725CBF">
        <w:t xml:space="preserve"> with other medicines including amitriptyline, gabapentin, opioids and anti-epileptics, age, average dose, dose escalation (including the combination of strengths of pregabalin supplied), and persistence.</w:t>
      </w:r>
    </w:p>
    <w:p w:rsidR="006537D9" w:rsidRPr="005E22C2" w:rsidRDefault="00736041" w:rsidP="00A35800">
      <w:pPr>
        <w:pStyle w:val="Heading2"/>
      </w:pPr>
      <w:r w:rsidRPr="005E22C2">
        <w:t>Background</w:t>
      </w:r>
    </w:p>
    <w:p w:rsidR="007247B9" w:rsidRDefault="007247B9" w:rsidP="00FE645A">
      <w:pPr>
        <w:pStyle w:val="Heading3"/>
      </w:pPr>
      <w:r>
        <w:t>Pharmacology</w:t>
      </w:r>
    </w:p>
    <w:p w:rsidR="00DA37C7" w:rsidRDefault="00466AC8" w:rsidP="00C739AC">
      <w:r>
        <w:t xml:space="preserve">Pregabalin </w:t>
      </w:r>
      <w:r w:rsidR="003E655B">
        <w:t>is used to treat neuropathic pain</w:t>
      </w:r>
      <w:r w:rsidR="00DA37C7">
        <w:t>, which is pain caused by an</w:t>
      </w:r>
      <w:r w:rsidR="003E655B">
        <w:t xml:space="preserve"> </w:t>
      </w:r>
      <w:r w:rsidR="00DA37C7">
        <w:t>abnormality of, or damage to, the</w:t>
      </w:r>
      <w:r w:rsidR="00E66666">
        <w:t xml:space="preserve"> </w:t>
      </w:r>
      <w:r w:rsidR="00DA37C7">
        <w:t>nerves.</w:t>
      </w:r>
      <w:r w:rsidR="00E66666">
        <w:t xml:space="preserve"> </w:t>
      </w:r>
      <w:r w:rsidR="00A9423B">
        <w:t>Pregabalin</w:t>
      </w:r>
      <w:r>
        <w:t xml:space="preserve"> is also used to control epilepsy</w:t>
      </w:r>
      <w:r w:rsidR="00A9423B">
        <w:t xml:space="preserve"> and </w:t>
      </w:r>
      <w:r>
        <w:t>belongs to a group of medicines called anticonvulsants. These medicines are thought to work by controlling brain chemicals which send signals to nerves so that seizures do not happen</w:t>
      </w:r>
      <w:r w:rsidR="00E66666">
        <w:t>.</w:t>
      </w:r>
      <w:r w:rsidR="00B86FB2">
        <w:rPr>
          <w:rStyle w:val="FootnoteReference"/>
        </w:rPr>
        <w:footnoteReference w:id="1"/>
      </w:r>
      <w:r w:rsidR="0029662C">
        <w:t xml:space="preserve">  </w:t>
      </w:r>
      <w:r w:rsidR="00C739AC">
        <w:t xml:space="preserve">Pregabalin is an analogue of the neurotransmitter gamma-aminobutyric acid (GABA). </w:t>
      </w:r>
      <w:r w:rsidR="0029662C" w:rsidRPr="0029662C">
        <w:t xml:space="preserve">In vitro studies show that </w:t>
      </w:r>
      <w:r w:rsidR="00C739AC">
        <w:t>it</w:t>
      </w:r>
      <w:r w:rsidR="0029662C" w:rsidRPr="0029662C">
        <w:t xml:space="preserve"> binds to an auxiliary subunit </w:t>
      </w:r>
      <w:r w:rsidR="0029662C">
        <w:t>(alpha</w:t>
      </w:r>
      <w:r w:rsidR="0029662C" w:rsidRPr="0029662C">
        <w:t>2-</w:t>
      </w:r>
      <w:r w:rsidR="0029662C">
        <w:t>delta</w:t>
      </w:r>
      <w:r w:rsidR="0029662C" w:rsidRPr="0029662C">
        <w:t xml:space="preserve"> protein) of voltage-gated calcium channels in</w:t>
      </w:r>
      <w:r w:rsidR="0029662C">
        <w:t xml:space="preserve"> the central nervous system.</w:t>
      </w:r>
      <w:r w:rsidR="00A67539">
        <w:rPr>
          <w:rStyle w:val="FootnoteReference"/>
        </w:rPr>
        <w:footnoteReference w:id="2"/>
      </w:r>
    </w:p>
    <w:p w:rsidR="001420B3" w:rsidRPr="005E22C2" w:rsidRDefault="0032304B" w:rsidP="00FE645A">
      <w:pPr>
        <w:pStyle w:val="Heading3"/>
      </w:pPr>
      <w:r>
        <w:t>Therapeutic Goods Administration (</w:t>
      </w:r>
      <w:r w:rsidR="001420B3" w:rsidRPr="005E22C2">
        <w:t>TGA</w:t>
      </w:r>
      <w:r>
        <w:t>)</w:t>
      </w:r>
      <w:r w:rsidR="001420B3" w:rsidRPr="005E22C2">
        <w:t xml:space="preserve"> approved </w:t>
      </w:r>
      <w:r w:rsidR="001420B3">
        <w:t>i</w:t>
      </w:r>
      <w:r w:rsidR="001420B3" w:rsidRPr="005E22C2">
        <w:t>ndications</w:t>
      </w:r>
    </w:p>
    <w:p w:rsidR="008C2E51" w:rsidRDefault="008C2E51" w:rsidP="008C2E51">
      <w:pPr>
        <w:rPr>
          <w:highlight w:val="yellow"/>
        </w:rPr>
      </w:pPr>
      <w:r>
        <w:t>Pregabalin is indicated for the treatment of neuropathic pain in adults.  Pregabalin is also indicated as adjunctive therapy in adults with partial seizures with or without secondary generalisation.</w:t>
      </w:r>
      <w:r w:rsidR="00586B7C">
        <w:rPr>
          <w:vertAlign w:val="superscript"/>
        </w:rPr>
        <w:t>2</w:t>
      </w:r>
    </w:p>
    <w:p w:rsidR="006B709B" w:rsidRDefault="006B709B" w:rsidP="00FE645A">
      <w:pPr>
        <w:pStyle w:val="Heading3"/>
      </w:pPr>
      <w:r>
        <w:t>Dosage and administration</w:t>
      </w:r>
    </w:p>
    <w:p w:rsidR="00480CBD" w:rsidRDefault="00B6549D" w:rsidP="00480CBD">
      <w:r w:rsidRPr="00F8127D">
        <w:t>Ne</w:t>
      </w:r>
      <w:r w:rsidR="00F8127D" w:rsidRPr="00F8127D">
        <w:t>u</w:t>
      </w:r>
      <w:r w:rsidRPr="00F8127D">
        <w:t>ropathic pain:</w:t>
      </w:r>
      <w:r w:rsidR="00480CBD">
        <w:t xml:space="preserve"> initiate at 150 mg per day, given as two divided doses. Based on individual patient response and tolerability, the dosage may be increased to 300 mg per day, given as two divided doses, after an interval of 3 to 7 days, and if needed, to a maximum dose of 600 mg per day after an additional 7-day interval.</w:t>
      </w:r>
    </w:p>
    <w:p w:rsidR="00FA0DAE" w:rsidRDefault="00FA0DAE" w:rsidP="00480CBD">
      <w:r>
        <w:t xml:space="preserve">The dose should be reduced </w:t>
      </w:r>
      <w:r w:rsidR="001021D5">
        <w:t>in renal impairment based on creatinine clearance.</w:t>
      </w:r>
    </w:p>
    <w:p w:rsidR="0060531F" w:rsidRPr="009E26CD" w:rsidRDefault="009E26CD" w:rsidP="00480CBD">
      <w:pPr>
        <w:rPr>
          <w:vertAlign w:val="superscript"/>
        </w:rPr>
      </w:pPr>
      <w:r>
        <w:t xml:space="preserve">The effectiveness of pregabalin </w:t>
      </w:r>
      <w:r w:rsidR="00480CBD">
        <w:t>in the treatment of neuropathic pain has not been assessed in controlled clinical trials for treatment periods longer tha</w:t>
      </w:r>
      <w:r w:rsidR="00AF4CFB">
        <w:t>n twelve</w:t>
      </w:r>
      <w:r>
        <w:t xml:space="preserve"> weeks.</w:t>
      </w:r>
      <w:r>
        <w:rPr>
          <w:vertAlign w:val="superscript"/>
        </w:rPr>
        <w:t>2</w:t>
      </w:r>
    </w:p>
    <w:p w:rsidR="0099306A" w:rsidRDefault="0099306A" w:rsidP="00A35800">
      <w:r>
        <w:t>If pregabalin has to be discontinued, it is recommended to withdraw it gradually over a minimum of one week.</w:t>
      </w:r>
    </w:p>
    <w:p w:rsidR="006A2EBA" w:rsidRDefault="006A2EBA" w:rsidP="00A35800"/>
    <w:p w:rsidR="006A2EBA" w:rsidRDefault="006A2EBA" w:rsidP="00A35800">
      <w:r w:rsidRPr="002F61CA">
        <w:lastRenderedPageBreak/>
        <w:t xml:space="preserve">The current Product Information (PI) and Consumer Medicine Information (CMI) are available from </w:t>
      </w:r>
      <w:r w:rsidRPr="009E7B38">
        <w:t>the TGA (Product Information)</w:t>
      </w:r>
      <w:r w:rsidRPr="00BB4C89">
        <w:t xml:space="preserve"> and </w:t>
      </w:r>
      <w:r w:rsidRPr="009E7B38">
        <w:t>the TGA (Consumer Medicines Information)</w:t>
      </w:r>
    </w:p>
    <w:p w:rsidR="009F6FB2" w:rsidRDefault="00165703" w:rsidP="00FE645A">
      <w:pPr>
        <w:pStyle w:val="Heading3"/>
      </w:pPr>
      <w:r>
        <w:t>Clinical</w:t>
      </w:r>
      <w:r w:rsidR="009F6FB2">
        <w:t xml:space="preserve"> Guidelines</w:t>
      </w:r>
      <w:r>
        <w:t xml:space="preserve"> for Treatment of Neuropathic Pain</w:t>
      </w:r>
    </w:p>
    <w:p w:rsidR="00EE0040" w:rsidRDefault="00DA0B92" w:rsidP="00DA0B92">
      <w:r>
        <w:t xml:space="preserve">The Neuropathic Pain section of </w:t>
      </w:r>
      <w:r w:rsidR="006D1328">
        <w:t>the Electronic Therapeutic Guidelines (</w:t>
      </w:r>
      <w:r>
        <w:t>eTG</w:t>
      </w:r>
      <w:r w:rsidR="006D1328">
        <w:t>)</w:t>
      </w:r>
      <w:r>
        <w:rPr>
          <w:rStyle w:val="FootnoteReference"/>
        </w:rPr>
        <w:footnoteReference w:id="3"/>
      </w:r>
      <w:r>
        <w:t xml:space="preserve"> note</w:t>
      </w:r>
      <w:r w:rsidR="00EE0040">
        <w:t>s</w:t>
      </w:r>
      <w:r>
        <w:t xml:space="preserve"> that n</w:t>
      </w:r>
      <w:r w:rsidRPr="00A632E2">
        <w:t>europathic pain is usually refractory to simple analgesics, including non</w:t>
      </w:r>
      <w:r>
        <w:t>-</w:t>
      </w:r>
      <w:r w:rsidRPr="00A632E2">
        <w:t>steroidal anti-inflammatory drugs</w:t>
      </w:r>
      <w:r>
        <w:t xml:space="preserve"> and </w:t>
      </w:r>
      <w:r w:rsidRPr="00361367">
        <w:t>treatment</w:t>
      </w:r>
      <w:r>
        <w:t xml:space="preserve"> </w:t>
      </w:r>
      <w:r w:rsidRPr="00361367">
        <w:t>usually requires the use of analgesic adjuvants such as tricyclic antidepressants (TCAs), serotonin and noradrenaline reuptake inhibitors (</w:t>
      </w:r>
      <w:r>
        <w:t xml:space="preserve">SNRIs) and </w:t>
      </w:r>
      <w:r w:rsidR="00EE0040" w:rsidRPr="00EE0040">
        <w:t>antiepileptic drugs</w:t>
      </w:r>
      <w:r>
        <w:t xml:space="preserve">. </w:t>
      </w:r>
      <w:r w:rsidR="00EE0040" w:rsidRPr="00EE0040">
        <w:t>Use of N-methyl-D-aspartate (NMDA)-receptor antagonists, local anaesthetics and clonidine generally requires input from a pain specialist. Most drugs are used orally, but local anaesthetics (eg lignocaine) and NMDA-receptor antagonists (eg ketamine) can be administered parenterally or topically.</w:t>
      </w:r>
    </w:p>
    <w:p w:rsidR="00DA0B92" w:rsidRDefault="00DA0B92" w:rsidP="00DA0B92">
      <w:r>
        <w:t>The eTG note</w:t>
      </w:r>
      <w:r w:rsidR="00F152E9">
        <w:t>s</w:t>
      </w:r>
      <w:r>
        <w:t xml:space="preserve"> that th</w:t>
      </w:r>
      <w:r w:rsidRPr="00950F72">
        <w:t xml:space="preserve">e choice of analgesic adjuvant is largely dependent on consideration of efficacy, adverse effects </w:t>
      </w:r>
      <w:r>
        <w:t xml:space="preserve">and cost.  </w:t>
      </w:r>
      <w:r w:rsidRPr="00950F72">
        <w:t>Other indications (e</w:t>
      </w:r>
      <w:r>
        <w:t>.</w:t>
      </w:r>
      <w:r w:rsidRPr="00950F72">
        <w:t>g</w:t>
      </w:r>
      <w:r>
        <w:t>.</w:t>
      </w:r>
      <w:r w:rsidRPr="00950F72">
        <w:t xml:space="preserve"> need for sedation) or contraindications (e</w:t>
      </w:r>
      <w:r>
        <w:t>.</w:t>
      </w:r>
      <w:r w:rsidRPr="00950F72">
        <w:t>g</w:t>
      </w:r>
      <w:r>
        <w:t>.</w:t>
      </w:r>
      <w:r w:rsidRPr="00950F72">
        <w:t xml:space="preserve"> prostatism, cognitive impairment) may also influence the choice of drug.</w:t>
      </w:r>
      <w:r>
        <w:t xml:space="preserve">  Amitriptyline, gabapentin, duloxetine or pregabalin are recommended by the eTG as analgesic adjuvants for neuropathic pain.</w:t>
      </w:r>
    </w:p>
    <w:p w:rsidR="00EE0040" w:rsidRDefault="00EE0040" w:rsidP="00DA0B92">
      <w:r w:rsidRPr="00EE0040">
        <w:t>It may be necessary to use drugs from more than one class concurrently (eg a TCA, an antiepileptic drug and an opioid), although the evidence for benefit of combination therapy is limited.</w:t>
      </w:r>
    </w:p>
    <w:p w:rsidR="00EE0040" w:rsidRDefault="00EE0040" w:rsidP="00DA0B92">
      <w:r w:rsidRPr="00EE0040">
        <w:t>Neuropathic pain is less responsive to opioids than nociceptive pain, so higher doses are generally required and adverse effects are more likely to be bothersome. This, together with the potential for addiction, make opioids a less attractive option than adjuvant analgesics.</w:t>
      </w:r>
    </w:p>
    <w:p w:rsidR="00DF0B13" w:rsidRDefault="00DF0B13" w:rsidP="00FE645A">
      <w:pPr>
        <w:pStyle w:val="Heading3"/>
      </w:pPr>
      <w:r w:rsidRPr="007247B9">
        <w:t>PBS listing details</w:t>
      </w:r>
      <w:r w:rsidR="00E025D0">
        <w:t xml:space="preserve"> </w:t>
      </w:r>
      <w:r w:rsidR="00AC6A39">
        <w:t xml:space="preserve">as at </w:t>
      </w:r>
      <w:r w:rsidR="00BE1B6D">
        <w:t>1 July 2015</w:t>
      </w:r>
    </w:p>
    <w:p w:rsidR="00EF2ED3" w:rsidRPr="00EF2ED3" w:rsidRDefault="00EF2ED3" w:rsidP="00EF2ED3">
      <w:r>
        <w:t xml:space="preserve">The PBS listing details for pregabalin </w:t>
      </w:r>
      <w:r w:rsidR="00716E61">
        <w:t xml:space="preserve">as at 1 July </w:t>
      </w:r>
      <w:r w:rsidR="00DD2CB8">
        <w:t xml:space="preserve">2015 </w:t>
      </w:r>
      <w:r w:rsidR="00716E61">
        <w:t>are shown in T</w:t>
      </w:r>
      <w:r>
        <w:t>able 1.</w:t>
      </w:r>
    </w:p>
    <w:p w:rsidR="00962E61" w:rsidRDefault="00962E61">
      <w:pPr>
        <w:spacing w:line="276" w:lineRule="auto"/>
        <w:rPr>
          <w:rFonts w:eastAsiaTheme="majorEastAsia" w:cstheme="majorBidi"/>
          <w:b/>
          <w:bCs/>
          <w:iCs/>
        </w:rPr>
      </w:pPr>
      <w:r>
        <w:br w:type="page"/>
      </w:r>
    </w:p>
    <w:p w:rsidR="001420B3" w:rsidRPr="001420B3" w:rsidRDefault="00212973" w:rsidP="00A35800">
      <w:pPr>
        <w:pStyle w:val="Tabletitle"/>
      </w:pPr>
      <w:r>
        <w:t>Table 1</w:t>
      </w:r>
      <w:r w:rsidR="001420B3" w:rsidRPr="001420B3">
        <w:t xml:space="preserve">: </w:t>
      </w:r>
      <w:r w:rsidR="009663B6">
        <w:t>PB</w:t>
      </w:r>
      <w:r>
        <w:t>S listing of pregabalin</w:t>
      </w:r>
    </w:p>
    <w:tbl>
      <w:tblPr>
        <w:tblStyle w:val="TableGrid"/>
        <w:tblW w:w="9180" w:type="dxa"/>
        <w:tblLayout w:type="fixed"/>
        <w:tblLook w:val="04A0" w:firstRow="1" w:lastRow="0" w:firstColumn="1" w:lastColumn="0" w:noHBand="0" w:noVBand="1"/>
      </w:tblPr>
      <w:tblGrid>
        <w:gridCol w:w="817"/>
        <w:gridCol w:w="2835"/>
        <w:gridCol w:w="851"/>
        <w:gridCol w:w="850"/>
        <w:gridCol w:w="992"/>
        <w:gridCol w:w="2835"/>
      </w:tblGrid>
      <w:tr w:rsidR="0093111F" w:rsidRPr="00A35800" w:rsidTr="00A4115A">
        <w:trPr>
          <w:trHeight w:val="694"/>
          <w:tblHeader/>
        </w:trPr>
        <w:tc>
          <w:tcPr>
            <w:tcW w:w="817"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2835"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851"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85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R</w:t>
            </w:r>
            <w:r w:rsidR="008E4413">
              <w:rPr>
                <w:sz w:val="20"/>
                <w:szCs w:val="20"/>
              </w:rPr>
              <w:t>e</w:t>
            </w:r>
            <w:r w:rsidRPr="00A35800">
              <w:rPr>
                <w:sz w:val="20"/>
                <w:szCs w:val="20"/>
              </w:rPr>
              <w:t>p</w:t>
            </w:r>
            <w:r w:rsidR="008E4413">
              <w:rPr>
                <w:sz w:val="20"/>
                <w:szCs w:val="20"/>
              </w:rPr>
              <w:t>ea</w:t>
            </w:r>
            <w:r w:rsidRPr="00A35800">
              <w:rPr>
                <w:sz w:val="20"/>
                <w:szCs w:val="20"/>
              </w:rPr>
              <w:t xml:space="preserve">ts </w:t>
            </w:r>
          </w:p>
        </w:tc>
        <w:tc>
          <w:tcPr>
            <w:tcW w:w="992"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2835"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93111F" w:rsidRPr="00A35800" w:rsidTr="00A4115A">
        <w:trPr>
          <w:trHeight w:val="552"/>
          <w:tblHeader/>
        </w:trPr>
        <w:tc>
          <w:tcPr>
            <w:tcW w:w="817" w:type="dxa"/>
            <w:shd w:val="clear" w:color="auto" w:fill="auto"/>
          </w:tcPr>
          <w:p w:rsidR="0093111F" w:rsidRPr="00A35800" w:rsidRDefault="00212973" w:rsidP="00A35800">
            <w:pPr>
              <w:pStyle w:val="Tablewriting"/>
            </w:pPr>
            <w:r>
              <w:t>2348N</w:t>
            </w:r>
          </w:p>
        </w:tc>
        <w:tc>
          <w:tcPr>
            <w:tcW w:w="2835" w:type="dxa"/>
            <w:shd w:val="clear" w:color="auto" w:fill="auto"/>
          </w:tcPr>
          <w:p w:rsidR="0093111F" w:rsidRPr="00A35800" w:rsidRDefault="00333FE3" w:rsidP="00A35800">
            <w:pPr>
              <w:pStyle w:val="Tablewriting"/>
            </w:pPr>
            <w:r>
              <w:t>Pregabalin 25 mg capsule</w:t>
            </w:r>
            <w:r w:rsidR="007D2027">
              <w:t>, 56</w:t>
            </w:r>
          </w:p>
        </w:tc>
        <w:tc>
          <w:tcPr>
            <w:tcW w:w="851" w:type="dxa"/>
            <w:shd w:val="clear" w:color="auto" w:fill="auto"/>
          </w:tcPr>
          <w:p w:rsidR="0093111F" w:rsidRPr="00A35800" w:rsidRDefault="007D2027" w:rsidP="00A35800">
            <w:pPr>
              <w:pStyle w:val="Tablewriting"/>
            </w:pPr>
            <w:r>
              <w:t>56</w:t>
            </w:r>
          </w:p>
        </w:tc>
        <w:tc>
          <w:tcPr>
            <w:tcW w:w="850" w:type="dxa"/>
            <w:shd w:val="clear" w:color="auto" w:fill="auto"/>
          </w:tcPr>
          <w:p w:rsidR="0093111F" w:rsidRPr="00A35800" w:rsidRDefault="007D2027" w:rsidP="00A35800">
            <w:pPr>
              <w:pStyle w:val="Tablewriting"/>
            </w:pPr>
            <w:r>
              <w:t>5</w:t>
            </w:r>
          </w:p>
        </w:tc>
        <w:tc>
          <w:tcPr>
            <w:tcW w:w="992" w:type="dxa"/>
            <w:shd w:val="clear" w:color="auto" w:fill="auto"/>
          </w:tcPr>
          <w:p w:rsidR="0093111F" w:rsidRPr="00A35800" w:rsidRDefault="007D2027" w:rsidP="00DD2CB8">
            <w:pPr>
              <w:pStyle w:val="Tablewriting"/>
            </w:pPr>
            <w:r>
              <w:t>$</w:t>
            </w:r>
            <w:r w:rsidR="00DD2CB8">
              <w:t>27.53</w:t>
            </w:r>
          </w:p>
        </w:tc>
        <w:tc>
          <w:tcPr>
            <w:tcW w:w="2835" w:type="dxa"/>
            <w:shd w:val="clear" w:color="auto" w:fill="auto"/>
          </w:tcPr>
          <w:p w:rsidR="0093111F" w:rsidRPr="007D2027" w:rsidRDefault="007D2027" w:rsidP="00A35800">
            <w:pPr>
              <w:pStyle w:val="Tablewriting"/>
              <w:rPr>
                <w:vertAlign w:val="superscript"/>
              </w:rPr>
            </w:pPr>
            <w:r w:rsidRPr="007D2027">
              <w:t>Lyrica®</w:t>
            </w:r>
            <w:r>
              <w:t>, Pfizer Australia Pty Ltd</w:t>
            </w:r>
          </w:p>
        </w:tc>
      </w:tr>
      <w:tr w:rsidR="0093111F" w:rsidRPr="00A35800" w:rsidTr="00A4115A">
        <w:trPr>
          <w:trHeight w:val="546"/>
          <w:tblHeader/>
        </w:trPr>
        <w:tc>
          <w:tcPr>
            <w:tcW w:w="817" w:type="dxa"/>
            <w:shd w:val="clear" w:color="auto" w:fill="auto"/>
          </w:tcPr>
          <w:p w:rsidR="0093111F" w:rsidRPr="00A35800" w:rsidRDefault="00FF53CF" w:rsidP="00A35800">
            <w:pPr>
              <w:pStyle w:val="Tablewriting"/>
            </w:pPr>
            <w:r>
              <w:t>2335X</w:t>
            </w:r>
          </w:p>
        </w:tc>
        <w:tc>
          <w:tcPr>
            <w:tcW w:w="2835" w:type="dxa"/>
            <w:shd w:val="clear" w:color="auto" w:fill="auto"/>
          </w:tcPr>
          <w:p w:rsidR="0093111F" w:rsidRPr="00A35800" w:rsidRDefault="00FF53CF" w:rsidP="00A35800">
            <w:pPr>
              <w:pStyle w:val="Tablewriting"/>
            </w:pPr>
            <w:r>
              <w:t>Pregabalin 75 mg capsule, 56</w:t>
            </w:r>
          </w:p>
        </w:tc>
        <w:tc>
          <w:tcPr>
            <w:tcW w:w="851" w:type="dxa"/>
            <w:shd w:val="clear" w:color="auto" w:fill="auto"/>
          </w:tcPr>
          <w:p w:rsidR="0093111F" w:rsidRPr="00A35800" w:rsidRDefault="00FF53CF" w:rsidP="00A35800">
            <w:pPr>
              <w:pStyle w:val="Tablewriting"/>
            </w:pPr>
            <w:r>
              <w:t>56</w:t>
            </w:r>
          </w:p>
        </w:tc>
        <w:tc>
          <w:tcPr>
            <w:tcW w:w="850" w:type="dxa"/>
            <w:shd w:val="clear" w:color="auto" w:fill="auto"/>
          </w:tcPr>
          <w:p w:rsidR="0093111F" w:rsidRPr="00A35800" w:rsidRDefault="00FF53CF" w:rsidP="00A35800">
            <w:pPr>
              <w:pStyle w:val="Tablewriting"/>
            </w:pPr>
            <w:r>
              <w:t>5</w:t>
            </w:r>
          </w:p>
        </w:tc>
        <w:tc>
          <w:tcPr>
            <w:tcW w:w="992" w:type="dxa"/>
            <w:shd w:val="clear" w:color="auto" w:fill="auto"/>
          </w:tcPr>
          <w:p w:rsidR="0093111F" w:rsidRPr="00A35800" w:rsidRDefault="00FF53CF" w:rsidP="00DD2CB8">
            <w:pPr>
              <w:pStyle w:val="Tablewriting"/>
            </w:pPr>
            <w:r>
              <w:t>$</w:t>
            </w:r>
            <w:r w:rsidR="00DD2CB8">
              <w:t>48.27</w:t>
            </w:r>
          </w:p>
        </w:tc>
        <w:tc>
          <w:tcPr>
            <w:tcW w:w="2835" w:type="dxa"/>
            <w:shd w:val="clear" w:color="auto" w:fill="auto"/>
          </w:tcPr>
          <w:p w:rsidR="0093111F" w:rsidRPr="00A35800" w:rsidRDefault="00FF53CF" w:rsidP="00A35800">
            <w:pPr>
              <w:pStyle w:val="Tablewriting"/>
            </w:pPr>
            <w:r w:rsidRPr="007D2027">
              <w:t>Lyrica®</w:t>
            </w:r>
            <w:r>
              <w:t>, Pfizer Australia Pty Ltd</w:t>
            </w:r>
          </w:p>
        </w:tc>
      </w:tr>
      <w:tr w:rsidR="00FF53CF" w:rsidRPr="00A35800" w:rsidTr="00A4115A">
        <w:trPr>
          <w:trHeight w:val="546"/>
          <w:tblHeader/>
        </w:trPr>
        <w:tc>
          <w:tcPr>
            <w:tcW w:w="817" w:type="dxa"/>
            <w:shd w:val="clear" w:color="auto" w:fill="auto"/>
          </w:tcPr>
          <w:p w:rsidR="00FF53CF" w:rsidRDefault="00FF53CF" w:rsidP="00A35800">
            <w:pPr>
              <w:pStyle w:val="Tablewriting"/>
            </w:pPr>
            <w:r>
              <w:t>2355Y</w:t>
            </w:r>
          </w:p>
        </w:tc>
        <w:tc>
          <w:tcPr>
            <w:tcW w:w="2835" w:type="dxa"/>
            <w:shd w:val="clear" w:color="auto" w:fill="auto"/>
          </w:tcPr>
          <w:p w:rsidR="00FF53CF" w:rsidRDefault="00FF53CF" w:rsidP="00A35800">
            <w:pPr>
              <w:pStyle w:val="Tablewriting"/>
            </w:pPr>
            <w:r>
              <w:t>Pregabalin 150 mg capsule, 56</w:t>
            </w:r>
          </w:p>
        </w:tc>
        <w:tc>
          <w:tcPr>
            <w:tcW w:w="851" w:type="dxa"/>
            <w:shd w:val="clear" w:color="auto" w:fill="auto"/>
          </w:tcPr>
          <w:p w:rsidR="00FF53CF" w:rsidRDefault="00FF53CF" w:rsidP="00A35800">
            <w:pPr>
              <w:pStyle w:val="Tablewriting"/>
            </w:pPr>
            <w:r>
              <w:t>56</w:t>
            </w:r>
          </w:p>
        </w:tc>
        <w:tc>
          <w:tcPr>
            <w:tcW w:w="850" w:type="dxa"/>
            <w:shd w:val="clear" w:color="auto" w:fill="auto"/>
          </w:tcPr>
          <w:p w:rsidR="00FF53CF" w:rsidRDefault="00FF53CF" w:rsidP="00A35800">
            <w:pPr>
              <w:pStyle w:val="Tablewriting"/>
            </w:pPr>
            <w:r>
              <w:t>5</w:t>
            </w:r>
          </w:p>
        </w:tc>
        <w:tc>
          <w:tcPr>
            <w:tcW w:w="992" w:type="dxa"/>
            <w:shd w:val="clear" w:color="auto" w:fill="auto"/>
          </w:tcPr>
          <w:p w:rsidR="00FF53CF" w:rsidRDefault="00FF53CF" w:rsidP="00DD2CB8">
            <w:pPr>
              <w:pStyle w:val="Tablewriting"/>
            </w:pPr>
            <w:r>
              <w:t>$</w:t>
            </w:r>
            <w:r w:rsidR="00DD2CB8">
              <w:t>68.48</w:t>
            </w:r>
          </w:p>
        </w:tc>
        <w:tc>
          <w:tcPr>
            <w:tcW w:w="2835" w:type="dxa"/>
            <w:shd w:val="clear" w:color="auto" w:fill="auto"/>
          </w:tcPr>
          <w:p w:rsidR="00FF53CF" w:rsidRPr="007D2027" w:rsidRDefault="00FF53CF" w:rsidP="00A35800">
            <w:pPr>
              <w:pStyle w:val="Tablewriting"/>
            </w:pPr>
            <w:r w:rsidRPr="007D2027">
              <w:t>Lyrica®</w:t>
            </w:r>
            <w:r>
              <w:t>, Pfizer Australia Pty Ltd</w:t>
            </w:r>
          </w:p>
        </w:tc>
      </w:tr>
      <w:tr w:rsidR="00FF53CF" w:rsidRPr="00A35800" w:rsidTr="00A4115A">
        <w:trPr>
          <w:trHeight w:val="546"/>
          <w:tblHeader/>
        </w:trPr>
        <w:tc>
          <w:tcPr>
            <w:tcW w:w="817" w:type="dxa"/>
            <w:shd w:val="clear" w:color="auto" w:fill="auto"/>
          </w:tcPr>
          <w:p w:rsidR="00FF53CF" w:rsidRDefault="00FF53CF" w:rsidP="00A35800">
            <w:pPr>
              <w:pStyle w:val="Tablewriting"/>
            </w:pPr>
            <w:r>
              <w:t>2363J</w:t>
            </w:r>
          </w:p>
        </w:tc>
        <w:tc>
          <w:tcPr>
            <w:tcW w:w="2835" w:type="dxa"/>
            <w:shd w:val="clear" w:color="auto" w:fill="auto"/>
          </w:tcPr>
          <w:p w:rsidR="00FF53CF" w:rsidRDefault="00FF53CF" w:rsidP="00FF53CF">
            <w:pPr>
              <w:pStyle w:val="Tablewriting"/>
            </w:pPr>
            <w:r>
              <w:t>Pregabalin 300 mg capsule, 56</w:t>
            </w:r>
          </w:p>
        </w:tc>
        <w:tc>
          <w:tcPr>
            <w:tcW w:w="851" w:type="dxa"/>
            <w:shd w:val="clear" w:color="auto" w:fill="auto"/>
          </w:tcPr>
          <w:p w:rsidR="00FF53CF" w:rsidRDefault="00FF53CF" w:rsidP="00A35800">
            <w:pPr>
              <w:pStyle w:val="Tablewriting"/>
            </w:pPr>
            <w:r>
              <w:t>56</w:t>
            </w:r>
          </w:p>
        </w:tc>
        <w:tc>
          <w:tcPr>
            <w:tcW w:w="850" w:type="dxa"/>
            <w:shd w:val="clear" w:color="auto" w:fill="auto"/>
          </w:tcPr>
          <w:p w:rsidR="00FF53CF" w:rsidRDefault="00FF53CF" w:rsidP="00A35800">
            <w:pPr>
              <w:pStyle w:val="Tablewriting"/>
            </w:pPr>
            <w:r>
              <w:t>5</w:t>
            </w:r>
          </w:p>
        </w:tc>
        <w:tc>
          <w:tcPr>
            <w:tcW w:w="992" w:type="dxa"/>
            <w:shd w:val="clear" w:color="auto" w:fill="auto"/>
          </w:tcPr>
          <w:p w:rsidR="00FF53CF" w:rsidRDefault="00FF53CF" w:rsidP="00DD2CB8">
            <w:pPr>
              <w:pStyle w:val="Tablewriting"/>
            </w:pPr>
            <w:r>
              <w:t>$</w:t>
            </w:r>
            <w:r w:rsidR="00DD2CB8">
              <w:t>97.05</w:t>
            </w:r>
          </w:p>
        </w:tc>
        <w:tc>
          <w:tcPr>
            <w:tcW w:w="2835" w:type="dxa"/>
            <w:shd w:val="clear" w:color="auto" w:fill="auto"/>
          </w:tcPr>
          <w:p w:rsidR="00FF53CF" w:rsidRPr="007D2027" w:rsidRDefault="00FF53CF" w:rsidP="00A35800">
            <w:pPr>
              <w:pStyle w:val="Tablewriting"/>
            </w:pPr>
            <w:r w:rsidRPr="007D2027">
              <w:t>Lyrica®</w:t>
            </w:r>
            <w:r>
              <w:t>, Pfizer Australia Pty Ltd</w:t>
            </w:r>
          </w:p>
        </w:tc>
      </w:tr>
    </w:tbl>
    <w:p w:rsidR="007247B9" w:rsidRPr="00A35800" w:rsidRDefault="007408C7" w:rsidP="00BB1D3B">
      <w:pPr>
        <w:pStyle w:val="Notes"/>
      </w:pPr>
      <w:r w:rsidRPr="00A35800">
        <w:t xml:space="preserve">Source: </w:t>
      </w:r>
      <w:r w:rsidR="00540373">
        <w:t>www.pbs.gov.au.</w:t>
      </w:r>
    </w:p>
    <w:p w:rsidR="004C3186" w:rsidRDefault="004C3186" w:rsidP="00A35800">
      <w:pPr>
        <w:pStyle w:val="Heading4"/>
      </w:pPr>
      <w:r>
        <w:t>Restriction</w:t>
      </w:r>
    </w:p>
    <w:p w:rsidR="00045697" w:rsidRDefault="00045697" w:rsidP="00045697">
      <w:pPr>
        <w:spacing w:after="0"/>
      </w:pPr>
      <w:r>
        <w:t>Authority Required (STREAMLINED):</w:t>
      </w:r>
    </w:p>
    <w:p w:rsidR="00045697" w:rsidRDefault="00045697" w:rsidP="00045697">
      <w:r>
        <w:t>Neuropathic pain</w:t>
      </w:r>
    </w:p>
    <w:p w:rsidR="00045697" w:rsidRDefault="00045697" w:rsidP="00045697">
      <w:pPr>
        <w:spacing w:after="0"/>
      </w:pPr>
      <w:r>
        <w:t>Clinical criteria:</w:t>
      </w:r>
    </w:p>
    <w:p w:rsidR="00045697" w:rsidRDefault="00045697" w:rsidP="00045697">
      <w:r>
        <w:t>The condition must be refractory to treatment with other drugs.</w:t>
      </w:r>
    </w:p>
    <w:p w:rsidR="001722B5" w:rsidRDefault="001722B5" w:rsidP="001722B5">
      <w:pPr>
        <w:spacing w:after="0"/>
      </w:pPr>
      <w:r>
        <w:t>Note: Continuing Therapy Only:</w:t>
      </w:r>
    </w:p>
    <w:p w:rsidR="001722B5" w:rsidRDefault="001722B5" w:rsidP="001722B5">
      <w:r>
        <w:t xml:space="preserve">For prescribing by nurse practitioners as continuing therapy only, where the treatment of, and prescribing of medicine for, a patient has been initiated by a medical practitioner. Further information can be found in the Explanatory Notes for Nurse Practitioners.  </w:t>
      </w:r>
    </w:p>
    <w:p w:rsidR="009C35F2" w:rsidRPr="00675BB1" w:rsidRDefault="009C35F2" w:rsidP="00A35800">
      <w:pPr>
        <w:pStyle w:val="Heading4"/>
      </w:pPr>
      <w:r w:rsidRPr="00675BB1">
        <w:t>Date of listing on PBS</w:t>
      </w:r>
    </w:p>
    <w:p w:rsidR="00675BB1" w:rsidRPr="00E46241" w:rsidRDefault="002F38F5" w:rsidP="00A35800">
      <w:r>
        <w:t>1 March 2013.</w:t>
      </w:r>
    </w:p>
    <w:p w:rsidR="004C3186" w:rsidRDefault="006C0A30" w:rsidP="00A35800">
      <w:r>
        <w:t>C</w:t>
      </w:r>
      <w:r w:rsidR="007247B9" w:rsidRPr="002F61CA">
        <w:t xml:space="preserve">urrent </w:t>
      </w:r>
      <w:r w:rsidR="004C3186" w:rsidRPr="002F61CA">
        <w:t xml:space="preserve">PBS listing details </w:t>
      </w:r>
      <w:r w:rsidR="009C35F2" w:rsidRPr="002F61CA">
        <w:t xml:space="preserve">are </w:t>
      </w:r>
      <w:r w:rsidR="004C3186" w:rsidRPr="002F61CA">
        <w:t>available from pbs.gov.au</w:t>
      </w:r>
      <w:r>
        <w:t>.</w:t>
      </w:r>
    </w:p>
    <w:p w:rsidR="00736041" w:rsidRPr="005E22C2" w:rsidRDefault="00C41246" w:rsidP="00FE645A">
      <w:pPr>
        <w:pStyle w:val="Heading3"/>
      </w:pPr>
      <w:r w:rsidRPr="005E22C2">
        <w:t xml:space="preserve">Relevant aspects of </w:t>
      </w:r>
      <w:r w:rsidR="00736041" w:rsidRPr="005E22C2">
        <w:t>consideration</w:t>
      </w:r>
      <w:r w:rsidR="00CB5DBE">
        <w:t xml:space="preserve"> by the Pharmaceutical Benefits Advisory Committee (PBAC)</w:t>
      </w:r>
    </w:p>
    <w:p w:rsidR="00924AB3" w:rsidRDefault="007D1653" w:rsidP="00924AB3">
      <w:r>
        <w:t>In the submission to its March 2012 meeting, t</w:t>
      </w:r>
      <w:r w:rsidR="00924AB3">
        <w:t xml:space="preserve">he </w:t>
      </w:r>
      <w:r>
        <w:t>PBAC</w:t>
      </w:r>
      <w:r w:rsidR="00924AB3">
        <w:t xml:space="preserve"> considered that the key issue was that the financial forecasts were underestimated and that there was huge potential for use outside the restr</w:t>
      </w:r>
      <w:r w:rsidR="00A07323">
        <w:t xml:space="preserve">iction (e.g. for fibromyalgia).  </w:t>
      </w:r>
      <w:r w:rsidR="00924AB3">
        <w:t xml:space="preserve">Also, even with the restriction, the estimates of numbers of patients likely to be prescribed pregabalin depend on </w:t>
      </w:r>
      <w:r w:rsidR="00DC758C">
        <w:t xml:space="preserve">the </w:t>
      </w:r>
      <w:r w:rsidR="00924AB3">
        <w:t xml:space="preserve">prevalence of neuropathic pain in the Australian community, for which </w:t>
      </w:r>
      <w:r w:rsidR="00955D02">
        <w:t>there are no precise estimates.</w:t>
      </w:r>
    </w:p>
    <w:p w:rsidR="00924AB3" w:rsidRDefault="00924AB3" w:rsidP="00924AB3">
      <w:r>
        <w:t xml:space="preserve">The PBAC considered there were uncertain inputs into a structurally complex economic model coupled with forecasts for total costs that were likely to be underestimates. However, the PBAC accepted the clinical need for an alternative to current treatments for neuropathic pain. </w:t>
      </w:r>
    </w:p>
    <w:p w:rsidR="00924AB3" w:rsidRDefault="00924AB3" w:rsidP="00924AB3">
      <w:r>
        <w:t>The PBAC agreed with the sponsor that pregabalin was superior to placebo and non-inferi</w:t>
      </w:r>
      <w:r w:rsidR="003A6CC6">
        <w:t xml:space="preserve">or to amitriptyline/gabapentin.  </w:t>
      </w:r>
      <w:r>
        <w:t>The PBAC acknowledged the difficulty of modelling future use and future co</w:t>
      </w:r>
      <w:r w:rsidR="003A6CC6">
        <w:t xml:space="preserve">st-effectiveness of pregabalin.  </w:t>
      </w:r>
      <w:r>
        <w:t xml:space="preserve">The PBAC remained concerned about the potential for use beyond the estimates presented in the submission. </w:t>
      </w:r>
    </w:p>
    <w:p w:rsidR="00924AB3" w:rsidRDefault="000A5CFF" w:rsidP="00924AB3">
      <w:r>
        <w:t>The PBAC considered that it</w:t>
      </w:r>
      <w:r w:rsidR="00924AB3">
        <w:t xml:space="preserve"> was essential that the DUSC review usage 12 months after PBS listing.</w:t>
      </w:r>
    </w:p>
    <w:p w:rsidR="00ED633B" w:rsidRPr="00F65F0D" w:rsidRDefault="00325D9E" w:rsidP="00A35800">
      <w:r>
        <w:t xml:space="preserve">For further details refer to the </w:t>
      </w:r>
      <w:r w:rsidR="00ED633B" w:rsidRPr="009E7B38">
        <w:t>Public Summary Document</w:t>
      </w:r>
      <w:r w:rsidR="00ED633B" w:rsidRPr="00F65F0D">
        <w:t xml:space="preserve"> from the </w:t>
      </w:r>
      <w:r w:rsidR="00D74425">
        <w:t xml:space="preserve">March 2012 </w:t>
      </w:r>
      <w:r w:rsidR="001304CC">
        <w:t>PBAC meeting</w:t>
      </w:r>
      <w:r>
        <w:t>.</w:t>
      </w:r>
    </w:p>
    <w:p w:rsidR="000F2F51" w:rsidRDefault="00ED633B" w:rsidP="00FE645A">
      <w:pPr>
        <w:pStyle w:val="Heading3"/>
      </w:pPr>
      <w:r>
        <w:t>A</w:t>
      </w:r>
      <w:r w:rsidR="000F2F51">
        <w:t xml:space="preserve">pproach </w:t>
      </w:r>
      <w:r>
        <w:t xml:space="preserve">taken to </w:t>
      </w:r>
      <w:r w:rsidR="000F2F51">
        <w:t>estimat</w:t>
      </w:r>
      <w:r>
        <w:t>e</w:t>
      </w:r>
      <w:r w:rsidR="000F2F51">
        <w:t xml:space="preserve"> utilisation</w:t>
      </w:r>
    </w:p>
    <w:p w:rsidR="00355C2B" w:rsidRDefault="00355C2B" w:rsidP="00A35800">
      <w:r>
        <w:t>The submission to the March 2011 PBAC meeting to list pregabalin for neuropat</w:t>
      </w:r>
      <w:r w:rsidR="00B74586">
        <w:t>hic pain was rejected due to</w:t>
      </w:r>
      <w:r>
        <w:t xml:space="preserve"> uncertain cost effectiveness</w:t>
      </w:r>
      <w:r w:rsidR="002E7A18">
        <w:t xml:space="preserve">.  </w:t>
      </w:r>
      <w:r w:rsidR="001369D7">
        <w:t>The DUSC provided advice to the PBAC on the March 2011 submission.</w:t>
      </w:r>
    </w:p>
    <w:p w:rsidR="006A4571" w:rsidRDefault="004D75C5" w:rsidP="00A35800">
      <w:r>
        <w:t>The submission</w:t>
      </w:r>
      <w:r w:rsidR="00E53759">
        <w:t>s (March 2011 and March 2012 resubmission)</w:t>
      </w:r>
      <w:r>
        <w:t xml:space="preserve"> used an epidemiological approach</w:t>
      </w:r>
      <w:r w:rsidR="002B20EB">
        <w:t xml:space="preserve">.  </w:t>
      </w:r>
      <w:r w:rsidR="00657591">
        <w:t>The submission</w:t>
      </w:r>
      <w:r w:rsidR="003717A1">
        <w:t>s</w:t>
      </w:r>
      <w:r w:rsidR="00657591">
        <w:t xml:space="preserve"> estimated</w:t>
      </w:r>
      <w:r w:rsidR="00B03CC4">
        <w:t xml:space="preserve"> </w:t>
      </w:r>
      <w:r w:rsidR="00657591">
        <w:t>the prevale</w:t>
      </w:r>
      <w:r w:rsidR="00B03CC4">
        <w:t>nce of chronic pain and subsequently the prevalence of chr</w:t>
      </w:r>
      <w:r w:rsidR="00C3753B">
        <w:t>onic pain of neuropathic origin</w:t>
      </w:r>
      <w:r w:rsidR="002F258F">
        <w:t xml:space="preserve"> from the li</w:t>
      </w:r>
      <w:r w:rsidR="00C3753B">
        <w:t>terature</w:t>
      </w:r>
      <w:r w:rsidR="00F52001">
        <w:t xml:space="preserve"> (3.7</w:t>
      </w:r>
      <w:r w:rsidR="00024C28">
        <w:t>-3.8</w:t>
      </w:r>
      <w:r w:rsidR="00F52001">
        <w:t>% of the Australian population</w:t>
      </w:r>
      <w:r w:rsidR="00E959BD">
        <w:t>)</w:t>
      </w:r>
      <w:r w:rsidR="002B20EB">
        <w:t xml:space="preserve">.  </w:t>
      </w:r>
      <w:r w:rsidR="00B03CC4">
        <w:t>The prevalence was then applied to the Australian Bureau of Statistics population projecti</w:t>
      </w:r>
      <w:r w:rsidR="0040218D">
        <w:t>ons to estimate patient numbers.</w:t>
      </w:r>
      <w:r w:rsidR="00AF636A">
        <w:t xml:space="preserve">  </w:t>
      </w:r>
    </w:p>
    <w:p w:rsidR="00AF636A" w:rsidRDefault="008475A6" w:rsidP="00A35800">
      <w:r>
        <w:t>With reference to the literature, t</w:t>
      </w:r>
      <w:r w:rsidR="00AF636A">
        <w:t>he submission assumed at least 60% of eligible patients with neuropathic pain seek treatment for their condition</w:t>
      </w:r>
      <w:r w:rsidR="00265E19">
        <w:t>.</w:t>
      </w:r>
      <w:r w:rsidR="002B20EB">
        <w:t xml:space="preserve">  </w:t>
      </w:r>
      <w:r w:rsidR="00265E19">
        <w:t xml:space="preserve">The submission predicted that </w:t>
      </w:r>
      <w:r w:rsidR="00AF636A">
        <w:t>the PBS listing of pregabalin was likely to increase the awareness</w:t>
      </w:r>
      <w:r w:rsidR="00756871">
        <w:t xml:space="preserve"> and diagnosi</w:t>
      </w:r>
      <w:r w:rsidR="005212D3">
        <w:t xml:space="preserve">s of neuropathic pain and </w:t>
      </w:r>
      <w:r w:rsidR="00756871">
        <w:t xml:space="preserve">estimated the </w:t>
      </w:r>
      <w:r w:rsidR="001175F0">
        <w:t>proportion of patients seeking treatment</w:t>
      </w:r>
      <w:r w:rsidR="00756871">
        <w:t xml:space="preserve"> to be 62% in the first year of listing, increasing to 70% in year five</w:t>
      </w:r>
      <w:r w:rsidR="002B20EB">
        <w:t>.</w:t>
      </w:r>
    </w:p>
    <w:p w:rsidR="00B012E7" w:rsidRDefault="00B012E7" w:rsidP="00A35800">
      <w:r>
        <w:t xml:space="preserve">Of the </w:t>
      </w:r>
      <w:r w:rsidR="00B93DFF">
        <w:t xml:space="preserve">eligible </w:t>
      </w:r>
      <w:r>
        <w:t xml:space="preserve">patients seeking treatment for their neuropathic pain, </w:t>
      </w:r>
      <w:r w:rsidR="00FE2CFC">
        <w:t>t</w:t>
      </w:r>
      <w:r w:rsidR="00FE2CFC" w:rsidRPr="00FE2CFC">
        <w:t xml:space="preserve">he proportion </w:t>
      </w:r>
      <w:r w:rsidR="00B93DFF">
        <w:t>estimated to</w:t>
      </w:r>
      <w:r w:rsidR="00FE2CFC" w:rsidRPr="00FE2CFC">
        <w:t xml:space="preserve"> receive a prescription medicine </w:t>
      </w:r>
      <w:r w:rsidR="00B94ECF">
        <w:t>was</w:t>
      </w:r>
      <w:r w:rsidR="00FE2CFC" w:rsidRPr="00FE2CFC">
        <w:t xml:space="preserve"> 80% to 90% in th</w:t>
      </w:r>
      <w:r w:rsidR="00DE5F92">
        <w:t xml:space="preserve">e first five years of listing.  </w:t>
      </w:r>
      <w:r w:rsidR="00497660">
        <w:t>Fifty percent of these patients were estimated to receive pregabalin in its first year of PBS listing, rising to 70% in year 5.</w:t>
      </w:r>
      <w:r w:rsidR="007E556E">
        <w:t xml:space="preserve">  These estimations were based on an audit undertaken by the sponsor.</w:t>
      </w:r>
      <w:r w:rsidR="00DE5F92">
        <w:t xml:space="preserve">  </w:t>
      </w:r>
      <w:r w:rsidR="00460745">
        <w:t>Table 2 outlines the submission’s estimated extent of use</w:t>
      </w:r>
      <w:r w:rsidR="004857CC">
        <w:t xml:space="preserve"> </w:t>
      </w:r>
      <w:r w:rsidR="00460745">
        <w:t>for the first five years of listing.</w:t>
      </w:r>
    </w:p>
    <w:p w:rsidR="00171566" w:rsidRDefault="00A2110F" w:rsidP="00A35800">
      <w:r>
        <w:t xml:space="preserve">In estimating the number of packs of pregabalin, the submission estimated patterns of use including regular use, sporadic use, non-compliance, and discontinuation due to a lack of benefit or side effects based on the findings of the drug audit.  </w:t>
      </w:r>
      <w:r w:rsidRPr="00484BEB">
        <w:t xml:space="preserve">The </w:t>
      </w:r>
      <w:r>
        <w:t xml:space="preserve">submission concluded that the </w:t>
      </w:r>
      <w:r w:rsidRPr="00484BEB">
        <w:t>mean total daily dose of pregabalin used in Austra</w:t>
      </w:r>
      <w:r>
        <w:t>lia in practice is 225 mg, based on</w:t>
      </w:r>
      <w:r w:rsidRPr="00484BEB">
        <w:t xml:space="preserve"> the weighted average of the pregabalin doses used from all </w:t>
      </w:r>
      <w:r>
        <w:t xml:space="preserve">the </w:t>
      </w:r>
      <w:r w:rsidRPr="00484BEB">
        <w:t>data sou</w:t>
      </w:r>
      <w:r w:rsidR="004D3AD0">
        <w:t>rces (t</w:t>
      </w:r>
      <w:r w:rsidRPr="00484BEB">
        <w:t xml:space="preserve">he </w:t>
      </w:r>
      <w:r w:rsidR="004D3AD0">
        <w:t>sponsor’s d</w:t>
      </w:r>
      <w:r w:rsidR="00696F36">
        <w:t xml:space="preserve">rug </w:t>
      </w:r>
      <w:r w:rsidR="004D3AD0">
        <w:t>a</w:t>
      </w:r>
      <w:r w:rsidR="00696F36">
        <w:t xml:space="preserve">udit, </w:t>
      </w:r>
      <w:r w:rsidR="00CF3ACD">
        <w:t>General Practice Research Database (</w:t>
      </w:r>
      <w:r w:rsidR="00696F36">
        <w:t>GPRN</w:t>
      </w:r>
      <w:r w:rsidR="00CF3ACD">
        <w:t>)</w:t>
      </w:r>
      <w:r w:rsidR="00696F36">
        <w:t xml:space="preserve"> and B</w:t>
      </w:r>
      <w:r w:rsidR="00CF3ACD">
        <w:t>ette</w:t>
      </w:r>
      <w:r w:rsidR="000D4784">
        <w:t>ring the Evaluation of Care of H</w:t>
      </w:r>
      <w:r w:rsidR="00CF3ACD">
        <w:t>ealth (B</w:t>
      </w:r>
      <w:r w:rsidR="00696F36">
        <w:t>EACH)</w:t>
      </w:r>
      <w:r w:rsidR="00CF3ACD">
        <w:t>)</w:t>
      </w:r>
      <w:r w:rsidR="00696F36">
        <w:t>.</w:t>
      </w:r>
    </w:p>
    <w:p w:rsidR="00E052CA" w:rsidRDefault="001A2674" w:rsidP="00E052CA">
      <w:r>
        <w:t xml:space="preserve">A </w:t>
      </w:r>
      <w:r w:rsidR="00A06BF4">
        <w:t xml:space="preserve">drug audit survey </w:t>
      </w:r>
      <w:r>
        <w:t xml:space="preserve">included in the </w:t>
      </w:r>
      <w:r w:rsidR="00A06BF4">
        <w:t>March 2012</w:t>
      </w:r>
      <w:r>
        <w:t xml:space="preserve"> submission found that the dose distribution of pregabalin (</w:t>
      </w:r>
      <w:r w:rsidR="00532098">
        <w:t xml:space="preserve">as part of combination therapy) </w:t>
      </w:r>
      <w:r w:rsidR="00A06BF4">
        <w:t>was</w:t>
      </w:r>
      <w:r>
        <w:t>:</w:t>
      </w:r>
      <w:r w:rsidR="00A06BF4">
        <w:t xml:space="preserve"> </w:t>
      </w:r>
      <w:r w:rsidR="006E2636">
        <w:t>20.0</w:t>
      </w:r>
      <w:r w:rsidR="00E052CA" w:rsidRPr="00E052CA">
        <w:t xml:space="preserve">% of patients taking total daily dosages of </w:t>
      </w:r>
      <w:r w:rsidR="006E2636">
        <w:t>75</w:t>
      </w:r>
      <w:r w:rsidR="00E052CA" w:rsidRPr="00E052CA">
        <w:t>mg,</w:t>
      </w:r>
      <w:r w:rsidR="00532098">
        <w:t xml:space="preserve"> </w:t>
      </w:r>
      <w:r w:rsidR="006E2636" w:rsidRPr="00E052CA">
        <w:t>44.2</w:t>
      </w:r>
      <w:r w:rsidR="00532098">
        <w:t xml:space="preserve">% were taking </w:t>
      </w:r>
      <w:r w:rsidR="006E2636" w:rsidRPr="00E052CA">
        <w:t>150</w:t>
      </w:r>
      <w:r w:rsidR="00532098">
        <w:t xml:space="preserve">mg, </w:t>
      </w:r>
      <w:r w:rsidR="00E052CA" w:rsidRPr="00E052CA">
        <w:t xml:space="preserve">17.5% were </w:t>
      </w:r>
      <w:r w:rsidR="00532098">
        <w:t xml:space="preserve">taking </w:t>
      </w:r>
      <w:r w:rsidR="00E052CA" w:rsidRPr="00E052CA">
        <w:t>300 mg</w:t>
      </w:r>
      <w:r w:rsidR="00532098">
        <w:t xml:space="preserve"> and 12.5% were taking 600mg </w:t>
      </w:r>
      <w:r w:rsidR="00E052CA" w:rsidRPr="00E052CA">
        <w:t>.</w:t>
      </w:r>
      <w:r w:rsidR="00532098">
        <w:t xml:space="preserve"> The remaining 5.8% were taking </w:t>
      </w:r>
      <w:r w:rsidR="003C3D7B">
        <w:t xml:space="preserve">total daily doses of 25, 50 or 450mg. </w:t>
      </w:r>
      <w:r w:rsidR="00E052CA" w:rsidRPr="00E052CA">
        <w:t>The mean total daily dose was 224.6 mg, the median dose was 150 mg and the range was 25-600 mg.</w:t>
      </w:r>
    </w:p>
    <w:p w:rsidR="003C4F51" w:rsidRDefault="00696F36" w:rsidP="00A35800">
      <w:r>
        <w:t>Add-on therapy</w:t>
      </w:r>
      <w:r w:rsidR="003C6ECF">
        <w:t xml:space="preserve"> to other med</w:t>
      </w:r>
      <w:r w:rsidR="00620D01">
        <w:t xml:space="preserve">icines for neuropathic pain, </w:t>
      </w:r>
      <w:r w:rsidR="003C6ECF">
        <w:t xml:space="preserve">movement of patients </w:t>
      </w:r>
      <w:r w:rsidR="00620D01">
        <w:t xml:space="preserve">receiving </w:t>
      </w:r>
      <w:r w:rsidR="00B51C8C">
        <w:t>pregabalin</w:t>
      </w:r>
      <w:r w:rsidR="003C6ECF">
        <w:t xml:space="preserve"> via the private market </w:t>
      </w:r>
      <w:r w:rsidR="0044740F">
        <w:t xml:space="preserve">across to pregabalin </w:t>
      </w:r>
      <w:r w:rsidR="00716087">
        <w:t xml:space="preserve">through the PBS </w:t>
      </w:r>
      <w:r w:rsidR="003C6ECF">
        <w:t>and a r</w:t>
      </w:r>
      <w:r w:rsidR="003D34FE">
        <w:t xml:space="preserve">eduction in </w:t>
      </w:r>
      <w:r w:rsidR="00B73358">
        <w:t xml:space="preserve">the use of </w:t>
      </w:r>
      <w:r w:rsidR="003D34FE">
        <w:t>other</w:t>
      </w:r>
      <w:r w:rsidR="006F2E72">
        <w:t xml:space="preserve"> medicines for neuropathic pain </w:t>
      </w:r>
      <w:r w:rsidR="003C6ECF">
        <w:t>including</w:t>
      </w:r>
      <w:r w:rsidR="006F2E72">
        <w:t xml:space="preserve"> amitriptyline, gabapentin </w:t>
      </w:r>
      <w:r w:rsidR="00237967">
        <w:t xml:space="preserve">(outside of PBS restrictions) </w:t>
      </w:r>
      <w:r w:rsidR="006F2E72">
        <w:t>and carbamazep</w:t>
      </w:r>
      <w:r w:rsidR="003C6ECF">
        <w:t xml:space="preserve">ine </w:t>
      </w:r>
      <w:r w:rsidR="00693AD5">
        <w:t xml:space="preserve">through the PBS </w:t>
      </w:r>
      <w:r w:rsidR="003C6ECF">
        <w:t>were also estimated.</w:t>
      </w:r>
    </w:p>
    <w:p w:rsidR="00D77049" w:rsidRPr="00B15CCE" w:rsidRDefault="00DD14E2" w:rsidP="00B15CCE">
      <w:pPr>
        <w:spacing w:before="200" w:after="20"/>
        <w:rPr>
          <w:b/>
        </w:rPr>
      </w:pPr>
      <w:r>
        <w:rPr>
          <w:b/>
        </w:rPr>
        <w:t xml:space="preserve">Table 2: </w:t>
      </w:r>
      <w:r w:rsidR="007A2B65">
        <w:rPr>
          <w:b/>
        </w:rPr>
        <w:t>E</w:t>
      </w:r>
      <w:r w:rsidRPr="00B15CCE">
        <w:rPr>
          <w:b/>
        </w:rPr>
        <w:t xml:space="preserve">stimated extent of </w:t>
      </w:r>
      <w:r w:rsidR="002F3B87">
        <w:rPr>
          <w:b/>
        </w:rPr>
        <w:t xml:space="preserve">use of </w:t>
      </w:r>
      <w:r w:rsidR="007A2B65">
        <w:rPr>
          <w:b/>
        </w:rPr>
        <w:t>pregabalin</w:t>
      </w:r>
      <w:r w:rsidRPr="00B15CCE">
        <w:rPr>
          <w:b/>
        </w:rPr>
        <w:t xml:space="preserve"> for the first five years of listing</w:t>
      </w:r>
    </w:p>
    <w:tbl>
      <w:tblPr>
        <w:tblStyle w:val="TableGrid"/>
        <w:tblW w:w="0" w:type="auto"/>
        <w:tblLayout w:type="fixed"/>
        <w:tblLook w:val="04A0" w:firstRow="1" w:lastRow="0" w:firstColumn="1" w:lastColumn="0" w:noHBand="0" w:noVBand="1"/>
      </w:tblPr>
      <w:tblGrid>
        <w:gridCol w:w="1951"/>
        <w:gridCol w:w="1417"/>
        <w:gridCol w:w="1418"/>
        <w:gridCol w:w="1417"/>
        <w:gridCol w:w="1418"/>
        <w:gridCol w:w="1418"/>
      </w:tblGrid>
      <w:tr w:rsidR="003A4AAC" w:rsidTr="00A4115A">
        <w:tc>
          <w:tcPr>
            <w:tcW w:w="1951" w:type="dxa"/>
            <w:shd w:val="pct25" w:color="auto" w:fill="auto"/>
          </w:tcPr>
          <w:p w:rsidR="003A4AAC" w:rsidRPr="00B15CCE" w:rsidRDefault="003A4AAC" w:rsidP="00244241">
            <w:pPr>
              <w:spacing w:before="60" w:after="60"/>
              <w:jc w:val="center"/>
              <w:rPr>
                <w:sz w:val="20"/>
                <w:szCs w:val="20"/>
              </w:rPr>
            </w:pPr>
          </w:p>
        </w:tc>
        <w:tc>
          <w:tcPr>
            <w:tcW w:w="1417" w:type="dxa"/>
            <w:shd w:val="pct25" w:color="auto" w:fill="auto"/>
          </w:tcPr>
          <w:p w:rsidR="003A4AAC" w:rsidRPr="00B15CCE" w:rsidRDefault="0082053D" w:rsidP="00244241">
            <w:pPr>
              <w:spacing w:before="60" w:after="60"/>
              <w:jc w:val="center"/>
              <w:rPr>
                <w:b/>
                <w:sz w:val="20"/>
                <w:szCs w:val="20"/>
              </w:rPr>
            </w:pPr>
            <w:r>
              <w:rPr>
                <w:b/>
                <w:sz w:val="20"/>
                <w:szCs w:val="20"/>
              </w:rPr>
              <w:t>Year 1</w:t>
            </w:r>
          </w:p>
        </w:tc>
        <w:tc>
          <w:tcPr>
            <w:tcW w:w="1418" w:type="dxa"/>
            <w:shd w:val="pct25" w:color="auto" w:fill="auto"/>
          </w:tcPr>
          <w:p w:rsidR="003A4AAC" w:rsidRPr="00B15CCE" w:rsidRDefault="0082053D" w:rsidP="00244241">
            <w:pPr>
              <w:spacing w:before="60" w:after="60"/>
              <w:jc w:val="center"/>
              <w:rPr>
                <w:b/>
                <w:sz w:val="20"/>
                <w:szCs w:val="20"/>
              </w:rPr>
            </w:pPr>
            <w:r>
              <w:rPr>
                <w:b/>
                <w:sz w:val="20"/>
                <w:szCs w:val="20"/>
              </w:rPr>
              <w:t>Year 2</w:t>
            </w:r>
          </w:p>
        </w:tc>
        <w:tc>
          <w:tcPr>
            <w:tcW w:w="1417" w:type="dxa"/>
            <w:shd w:val="pct25" w:color="auto" w:fill="auto"/>
          </w:tcPr>
          <w:p w:rsidR="003A4AAC" w:rsidRPr="00B15CCE" w:rsidRDefault="0082053D" w:rsidP="00244241">
            <w:pPr>
              <w:spacing w:before="60" w:after="60"/>
              <w:jc w:val="center"/>
              <w:rPr>
                <w:b/>
                <w:sz w:val="20"/>
                <w:szCs w:val="20"/>
              </w:rPr>
            </w:pPr>
            <w:r>
              <w:rPr>
                <w:b/>
                <w:sz w:val="20"/>
                <w:szCs w:val="20"/>
              </w:rPr>
              <w:t>Year 3</w:t>
            </w:r>
          </w:p>
        </w:tc>
        <w:tc>
          <w:tcPr>
            <w:tcW w:w="1418" w:type="dxa"/>
            <w:shd w:val="pct25" w:color="auto" w:fill="auto"/>
          </w:tcPr>
          <w:p w:rsidR="003A4AAC" w:rsidRPr="00B15CCE" w:rsidRDefault="0082053D" w:rsidP="00244241">
            <w:pPr>
              <w:spacing w:before="60" w:after="60"/>
              <w:jc w:val="center"/>
              <w:rPr>
                <w:b/>
                <w:sz w:val="20"/>
                <w:szCs w:val="20"/>
              </w:rPr>
            </w:pPr>
            <w:r>
              <w:rPr>
                <w:b/>
                <w:sz w:val="20"/>
                <w:szCs w:val="20"/>
              </w:rPr>
              <w:t>Year 4</w:t>
            </w:r>
          </w:p>
        </w:tc>
        <w:tc>
          <w:tcPr>
            <w:tcW w:w="1418" w:type="dxa"/>
            <w:shd w:val="pct25" w:color="auto" w:fill="auto"/>
          </w:tcPr>
          <w:p w:rsidR="003A4AAC" w:rsidRPr="00B15CCE" w:rsidRDefault="0082053D" w:rsidP="00244241">
            <w:pPr>
              <w:spacing w:before="60" w:after="60"/>
              <w:jc w:val="center"/>
              <w:rPr>
                <w:b/>
                <w:sz w:val="20"/>
                <w:szCs w:val="20"/>
              </w:rPr>
            </w:pPr>
            <w:r>
              <w:rPr>
                <w:b/>
                <w:sz w:val="20"/>
                <w:szCs w:val="20"/>
              </w:rPr>
              <w:t>Year 5</w:t>
            </w:r>
          </w:p>
        </w:tc>
      </w:tr>
      <w:tr w:rsidR="007A2B65" w:rsidTr="00A4115A">
        <w:tc>
          <w:tcPr>
            <w:tcW w:w="1951" w:type="dxa"/>
            <w:tcBorders>
              <w:bottom w:val="single" w:sz="4" w:space="0" w:color="auto"/>
            </w:tcBorders>
          </w:tcPr>
          <w:p w:rsidR="007A2B65" w:rsidRPr="007E7351" w:rsidRDefault="007A2B65">
            <w:pPr>
              <w:spacing w:before="60" w:after="60"/>
              <w:rPr>
                <w:b/>
                <w:sz w:val="20"/>
                <w:szCs w:val="20"/>
              </w:rPr>
            </w:pPr>
            <w:r w:rsidRPr="007E7351">
              <w:rPr>
                <w:b/>
                <w:sz w:val="20"/>
                <w:szCs w:val="20"/>
              </w:rPr>
              <w:t>Number of patients</w:t>
            </w:r>
            <w:r w:rsidR="006A73D0">
              <w:rPr>
                <w:b/>
                <w:sz w:val="20"/>
                <w:szCs w:val="20"/>
              </w:rPr>
              <w:t xml:space="preserve"> supplied at least one PBS prescription</w:t>
            </w:r>
          </w:p>
        </w:tc>
        <w:tc>
          <w:tcPr>
            <w:tcW w:w="1417" w:type="dxa"/>
            <w:tcBorders>
              <w:bottom w:val="single" w:sz="4" w:space="0" w:color="auto"/>
            </w:tcBorders>
            <w:vAlign w:val="center"/>
          </w:tcPr>
          <w:p w:rsidR="007A2B65" w:rsidRPr="007A2B65" w:rsidRDefault="00CF02E1" w:rsidP="00C20066">
            <w:pPr>
              <w:spacing w:before="60" w:after="60"/>
              <w:rPr>
                <w:sz w:val="20"/>
                <w:szCs w:val="20"/>
              </w:rPr>
            </w:pPr>
            <w:r>
              <w:rPr>
                <w:rFonts w:cs="Arial"/>
                <w:sz w:val="20"/>
                <w:szCs w:val="20"/>
              </w:rPr>
              <w:t>211,620</w:t>
            </w:r>
            <w:r w:rsidR="00424AE5" w:rsidRPr="008C556F">
              <w:rPr>
                <w:rFonts w:cs="Arial"/>
                <w:sz w:val="20"/>
                <w:szCs w:val="20"/>
                <w:vertAlign w:val="superscript"/>
              </w:rPr>
              <w:t>a</w:t>
            </w:r>
            <w:r w:rsidR="007A2B65" w:rsidRPr="008C556F">
              <w:rPr>
                <w:rFonts w:cs="Arial"/>
                <w:sz w:val="20"/>
                <w:szCs w:val="20"/>
              </w:rPr>
              <w:t xml:space="preserve"> </w:t>
            </w:r>
          </w:p>
        </w:tc>
        <w:tc>
          <w:tcPr>
            <w:tcW w:w="1418" w:type="dxa"/>
            <w:tcBorders>
              <w:bottom w:val="single" w:sz="4" w:space="0" w:color="auto"/>
            </w:tcBorders>
            <w:vAlign w:val="center"/>
          </w:tcPr>
          <w:p w:rsidR="007A2B65" w:rsidRPr="007A2B65" w:rsidRDefault="00CF02E1" w:rsidP="00C20066">
            <w:pPr>
              <w:spacing w:before="60" w:after="60"/>
              <w:rPr>
                <w:sz w:val="20"/>
                <w:szCs w:val="20"/>
              </w:rPr>
            </w:pPr>
            <w:r>
              <w:rPr>
                <w:rFonts w:cs="Arial"/>
                <w:sz w:val="20"/>
                <w:szCs w:val="20"/>
              </w:rPr>
              <w:t>274</w:t>
            </w:r>
            <w:r w:rsidR="007A2B65" w:rsidRPr="008C556F">
              <w:rPr>
                <w:rFonts w:cs="Arial"/>
                <w:sz w:val="20"/>
                <w:szCs w:val="20"/>
              </w:rPr>
              <w:t>,</w:t>
            </w:r>
            <w:r>
              <w:rPr>
                <w:rFonts w:cs="Arial"/>
                <w:sz w:val="20"/>
                <w:szCs w:val="20"/>
              </w:rPr>
              <w:t>132</w:t>
            </w:r>
            <w:r w:rsidRPr="008C556F">
              <w:rPr>
                <w:rFonts w:cs="Arial"/>
                <w:sz w:val="20"/>
                <w:szCs w:val="20"/>
                <w:vertAlign w:val="superscript"/>
              </w:rPr>
              <w:t>b</w:t>
            </w:r>
            <w:r w:rsidR="007A2B65" w:rsidRPr="008C556F">
              <w:rPr>
                <w:rFonts w:cs="Arial"/>
                <w:sz w:val="20"/>
                <w:szCs w:val="20"/>
              </w:rPr>
              <w:t xml:space="preserve"> </w:t>
            </w:r>
          </w:p>
        </w:tc>
        <w:tc>
          <w:tcPr>
            <w:tcW w:w="1417" w:type="dxa"/>
            <w:tcBorders>
              <w:bottom w:val="single" w:sz="4" w:space="0" w:color="auto"/>
            </w:tcBorders>
            <w:vAlign w:val="center"/>
          </w:tcPr>
          <w:p w:rsidR="007A2B65" w:rsidRPr="007A2B65" w:rsidRDefault="00CF02E1">
            <w:pPr>
              <w:spacing w:before="60" w:after="60"/>
              <w:rPr>
                <w:sz w:val="20"/>
                <w:szCs w:val="20"/>
              </w:rPr>
            </w:pPr>
            <w:r>
              <w:rPr>
                <w:rFonts w:cs="Arial"/>
                <w:sz w:val="20"/>
                <w:szCs w:val="20"/>
              </w:rPr>
              <w:t>286,297</w:t>
            </w:r>
            <w:r w:rsidR="00424AE5" w:rsidRPr="008C556F">
              <w:rPr>
                <w:rFonts w:cs="Arial"/>
                <w:sz w:val="20"/>
                <w:szCs w:val="20"/>
                <w:vertAlign w:val="superscript"/>
              </w:rPr>
              <w:t>c</w:t>
            </w:r>
            <w:r w:rsidR="007A2B65" w:rsidRPr="008C556F">
              <w:rPr>
                <w:rFonts w:cs="Arial"/>
                <w:sz w:val="20"/>
                <w:szCs w:val="20"/>
              </w:rPr>
              <w:t xml:space="preserve"> </w:t>
            </w:r>
          </w:p>
        </w:tc>
        <w:tc>
          <w:tcPr>
            <w:tcW w:w="1418" w:type="dxa"/>
            <w:tcBorders>
              <w:bottom w:val="single" w:sz="4" w:space="0" w:color="auto"/>
            </w:tcBorders>
            <w:vAlign w:val="center"/>
          </w:tcPr>
          <w:p w:rsidR="007A2B65" w:rsidRPr="007A2B65" w:rsidRDefault="00424AE5">
            <w:pPr>
              <w:spacing w:before="60" w:after="60"/>
              <w:rPr>
                <w:sz w:val="20"/>
                <w:szCs w:val="20"/>
              </w:rPr>
            </w:pPr>
            <w:r>
              <w:rPr>
                <w:rFonts w:cs="Arial"/>
                <w:sz w:val="20"/>
                <w:szCs w:val="20"/>
              </w:rPr>
              <w:t>318,896</w:t>
            </w:r>
            <w:r w:rsidRPr="008C556F">
              <w:rPr>
                <w:rFonts w:cs="Arial"/>
                <w:sz w:val="20"/>
                <w:szCs w:val="20"/>
                <w:vertAlign w:val="superscript"/>
              </w:rPr>
              <w:t>c</w:t>
            </w:r>
            <w:r w:rsidR="007A2B65" w:rsidRPr="008C556F">
              <w:rPr>
                <w:rFonts w:cs="Arial"/>
                <w:sz w:val="20"/>
                <w:szCs w:val="20"/>
                <w:vertAlign w:val="superscript"/>
              </w:rPr>
              <w:t xml:space="preserve"> </w:t>
            </w:r>
          </w:p>
        </w:tc>
        <w:tc>
          <w:tcPr>
            <w:tcW w:w="1418" w:type="dxa"/>
            <w:tcBorders>
              <w:bottom w:val="single" w:sz="4" w:space="0" w:color="auto"/>
            </w:tcBorders>
            <w:vAlign w:val="center"/>
          </w:tcPr>
          <w:p w:rsidR="007A2B65" w:rsidRPr="007A2B65" w:rsidRDefault="00845C1B">
            <w:pPr>
              <w:spacing w:before="60" w:after="60"/>
              <w:rPr>
                <w:sz w:val="20"/>
                <w:szCs w:val="20"/>
              </w:rPr>
            </w:pPr>
            <w:r>
              <w:rPr>
                <w:rFonts w:cs="Arial"/>
                <w:sz w:val="20"/>
                <w:szCs w:val="20"/>
              </w:rPr>
              <w:t>350</w:t>
            </w:r>
            <w:r w:rsidR="007A2B65" w:rsidRPr="008C556F">
              <w:rPr>
                <w:rFonts w:cs="Arial"/>
                <w:sz w:val="20"/>
                <w:szCs w:val="20"/>
              </w:rPr>
              <w:t>,</w:t>
            </w:r>
            <w:r>
              <w:rPr>
                <w:rFonts w:cs="Arial"/>
                <w:sz w:val="20"/>
                <w:szCs w:val="20"/>
              </w:rPr>
              <w:t>346</w:t>
            </w:r>
            <w:r w:rsidR="00424AE5" w:rsidRPr="008C556F">
              <w:rPr>
                <w:rFonts w:cs="Arial"/>
                <w:sz w:val="20"/>
                <w:szCs w:val="20"/>
                <w:vertAlign w:val="superscript"/>
              </w:rPr>
              <w:t>c</w:t>
            </w:r>
          </w:p>
        </w:tc>
      </w:tr>
      <w:tr w:rsidR="00C20066" w:rsidTr="00A4115A">
        <w:tc>
          <w:tcPr>
            <w:tcW w:w="1951" w:type="dxa"/>
            <w:shd w:val="clear" w:color="auto" w:fill="auto"/>
          </w:tcPr>
          <w:p w:rsidR="00C20066" w:rsidRPr="007E7351" w:rsidRDefault="00C20066" w:rsidP="007E7351">
            <w:pPr>
              <w:spacing w:before="60" w:after="60"/>
              <w:rPr>
                <w:b/>
                <w:sz w:val="20"/>
                <w:szCs w:val="20"/>
              </w:rPr>
            </w:pPr>
            <w:r w:rsidRPr="007E7351">
              <w:rPr>
                <w:b/>
                <w:sz w:val="20"/>
                <w:szCs w:val="20"/>
              </w:rPr>
              <w:t>Number of packs per year</w:t>
            </w:r>
          </w:p>
        </w:tc>
        <w:tc>
          <w:tcPr>
            <w:tcW w:w="1417" w:type="dxa"/>
            <w:shd w:val="clear" w:color="auto" w:fill="auto"/>
            <w:vAlign w:val="center"/>
          </w:tcPr>
          <w:p w:rsidR="00C20066" w:rsidRPr="007A2B65" w:rsidRDefault="00C20066" w:rsidP="00C20066">
            <w:pPr>
              <w:spacing w:before="60" w:after="60"/>
              <w:rPr>
                <w:sz w:val="20"/>
                <w:szCs w:val="20"/>
              </w:rPr>
            </w:pPr>
            <w:r w:rsidRPr="008C556F">
              <w:rPr>
                <w:rFonts w:cs="Arial"/>
                <w:sz w:val="20"/>
                <w:szCs w:val="20"/>
              </w:rPr>
              <w:t>1,</w:t>
            </w:r>
            <w:r>
              <w:rPr>
                <w:rFonts w:cs="Arial"/>
                <w:sz w:val="20"/>
                <w:szCs w:val="20"/>
              </w:rPr>
              <w:t>381,724</w:t>
            </w:r>
            <w:r w:rsidRPr="008C556F">
              <w:rPr>
                <w:rFonts w:cs="Arial"/>
                <w:sz w:val="20"/>
                <w:szCs w:val="20"/>
              </w:rPr>
              <w:t xml:space="preserve"> </w:t>
            </w:r>
          </w:p>
        </w:tc>
        <w:tc>
          <w:tcPr>
            <w:tcW w:w="1418" w:type="dxa"/>
            <w:shd w:val="clear" w:color="auto" w:fill="auto"/>
            <w:vAlign w:val="center"/>
          </w:tcPr>
          <w:p w:rsidR="00C20066" w:rsidRPr="00C20066" w:rsidRDefault="00C20066" w:rsidP="00C20066">
            <w:pPr>
              <w:spacing w:before="60" w:after="60"/>
              <w:rPr>
                <w:rFonts w:cs="Arial"/>
                <w:sz w:val="20"/>
                <w:szCs w:val="20"/>
              </w:rPr>
            </w:pPr>
            <w:r w:rsidRPr="008C556F">
              <w:rPr>
                <w:rFonts w:cs="Arial"/>
                <w:sz w:val="20"/>
                <w:szCs w:val="20"/>
              </w:rPr>
              <w:t xml:space="preserve">1,847,128 </w:t>
            </w:r>
          </w:p>
        </w:tc>
        <w:tc>
          <w:tcPr>
            <w:tcW w:w="1417" w:type="dxa"/>
            <w:shd w:val="clear" w:color="auto" w:fill="auto"/>
            <w:vAlign w:val="center"/>
          </w:tcPr>
          <w:p w:rsidR="00C20066" w:rsidRPr="00C20066" w:rsidRDefault="00C20066">
            <w:pPr>
              <w:spacing w:before="60" w:after="60"/>
              <w:rPr>
                <w:rFonts w:cs="Arial"/>
                <w:sz w:val="20"/>
                <w:szCs w:val="20"/>
              </w:rPr>
            </w:pPr>
            <w:r w:rsidRPr="008C556F">
              <w:rPr>
                <w:rFonts w:cs="Arial"/>
                <w:sz w:val="20"/>
                <w:szCs w:val="20"/>
              </w:rPr>
              <w:t xml:space="preserve">1,977,004 </w:t>
            </w:r>
          </w:p>
        </w:tc>
        <w:tc>
          <w:tcPr>
            <w:tcW w:w="1418" w:type="dxa"/>
            <w:shd w:val="clear" w:color="auto" w:fill="auto"/>
            <w:vAlign w:val="center"/>
          </w:tcPr>
          <w:p w:rsidR="00C20066" w:rsidRPr="00C20066" w:rsidRDefault="00C20066">
            <w:pPr>
              <w:spacing w:before="60" w:after="60"/>
              <w:rPr>
                <w:rFonts w:cs="Arial"/>
                <w:sz w:val="20"/>
                <w:szCs w:val="20"/>
              </w:rPr>
            </w:pPr>
            <w:r w:rsidRPr="008C556F">
              <w:rPr>
                <w:rFonts w:cs="Arial"/>
                <w:sz w:val="20"/>
                <w:szCs w:val="20"/>
              </w:rPr>
              <w:t xml:space="preserve">2,201,051 </w:t>
            </w:r>
          </w:p>
        </w:tc>
        <w:tc>
          <w:tcPr>
            <w:tcW w:w="1418" w:type="dxa"/>
            <w:shd w:val="clear" w:color="auto" w:fill="auto"/>
            <w:vAlign w:val="center"/>
          </w:tcPr>
          <w:p w:rsidR="00C20066" w:rsidRPr="00C20066" w:rsidRDefault="00C20066">
            <w:pPr>
              <w:spacing w:before="60" w:after="60"/>
              <w:rPr>
                <w:rFonts w:cs="Arial"/>
                <w:sz w:val="20"/>
                <w:szCs w:val="20"/>
              </w:rPr>
            </w:pPr>
            <w:r w:rsidRPr="008C556F">
              <w:rPr>
                <w:rFonts w:cs="Arial"/>
                <w:sz w:val="20"/>
                <w:szCs w:val="20"/>
              </w:rPr>
              <w:t xml:space="preserve">2,421,029 </w:t>
            </w:r>
          </w:p>
        </w:tc>
      </w:tr>
    </w:tbl>
    <w:p w:rsidR="00990218" w:rsidRPr="008C556F" w:rsidRDefault="000B1E17" w:rsidP="005414AC">
      <w:pPr>
        <w:spacing w:after="0"/>
        <w:rPr>
          <w:i/>
          <w:sz w:val="20"/>
        </w:rPr>
      </w:pPr>
      <w:r>
        <w:rPr>
          <w:sz w:val="20"/>
        </w:rPr>
        <w:t xml:space="preserve">Source: </w:t>
      </w:r>
      <w:r w:rsidR="007A2B65">
        <w:rPr>
          <w:sz w:val="20"/>
        </w:rPr>
        <w:t>Final agreed estimates</w:t>
      </w:r>
      <w:r w:rsidR="00CF02E1">
        <w:rPr>
          <w:sz w:val="20"/>
        </w:rPr>
        <w:t xml:space="preserve"> based on financial years</w:t>
      </w:r>
      <w:r>
        <w:rPr>
          <w:sz w:val="20"/>
        </w:rPr>
        <w:t>.</w:t>
      </w:r>
      <w:r w:rsidR="00CF02E1">
        <w:rPr>
          <w:sz w:val="20"/>
        </w:rPr>
        <w:t xml:space="preserve"> </w:t>
      </w:r>
      <w:r w:rsidR="00CF02E1" w:rsidRPr="008C556F">
        <w:rPr>
          <w:i/>
          <w:sz w:val="20"/>
        </w:rPr>
        <w:t xml:space="preserve">Estimates for the Risk Sharing Arrangement were converted to </w:t>
      </w:r>
      <w:r w:rsidR="00C20066">
        <w:rPr>
          <w:i/>
          <w:sz w:val="20"/>
        </w:rPr>
        <w:t>calendar</w:t>
      </w:r>
      <w:r w:rsidR="00CF02E1" w:rsidRPr="008C556F">
        <w:rPr>
          <w:i/>
          <w:sz w:val="20"/>
        </w:rPr>
        <w:t xml:space="preserve"> years. </w:t>
      </w:r>
    </w:p>
    <w:p w:rsidR="007F4D5D" w:rsidRDefault="00CF02E1" w:rsidP="008C556F">
      <w:pPr>
        <w:spacing w:after="0"/>
        <w:rPr>
          <w:sz w:val="20"/>
        </w:rPr>
      </w:pPr>
      <w:r>
        <w:rPr>
          <w:sz w:val="20"/>
          <w:vertAlign w:val="superscript"/>
        </w:rPr>
        <w:t>a</w:t>
      </w:r>
      <w:r>
        <w:rPr>
          <w:sz w:val="20"/>
        </w:rPr>
        <w:t xml:space="preserve">49,144 newly diagnosed; 78,804 continuing from non-PBS supply (grandfathered); 83,672 </w:t>
      </w:r>
      <w:r w:rsidR="005414AC">
        <w:rPr>
          <w:sz w:val="20"/>
        </w:rPr>
        <w:t>previously lapsed.</w:t>
      </w:r>
    </w:p>
    <w:p w:rsidR="00CF02E1" w:rsidRDefault="00CF02E1" w:rsidP="008C556F">
      <w:pPr>
        <w:spacing w:after="0"/>
        <w:rPr>
          <w:sz w:val="20"/>
        </w:rPr>
      </w:pPr>
      <w:r w:rsidRPr="008C556F">
        <w:rPr>
          <w:sz w:val="20"/>
          <w:vertAlign w:val="superscript"/>
        </w:rPr>
        <w:t>b</w:t>
      </w:r>
      <w:r>
        <w:rPr>
          <w:sz w:val="20"/>
        </w:rPr>
        <w:t>27,257 newly diagnosed; 178,416 continuing on PBS from previous year;  68,459 previously lapsed</w:t>
      </w:r>
      <w:r w:rsidR="00424AE5">
        <w:rPr>
          <w:sz w:val="20"/>
        </w:rPr>
        <w:t>.</w:t>
      </w:r>
    </w:p>
    <w:p w:rsidR="00424AE5" w:rsidRPr="00424AE5" w:rsidRDefault="00424AE5" w:rsidP="009D4B00">
      <w:pPr>
        <w:rPr>
          <w:sz w:val="20"/>
        </w:rPr>
      </w:pPr>
      <w:r w:rsidRPr="008C556F">
        <w:rPr>
          <w:sz w:val="20"/>
          <w:vertAlign w:val="superscript"/>
        </w:rPr>
        <w:t>c</w:t>
      </w:r>
      <w:r w:rsidR="00F615E6">
        <w:rPr>
          <w:sz w:val="20"/>
          <w:vertAlign w:val="superscript"/>
        </w:rPr>
        <w:t xml:space="preserve"> </w:t>
      </w:r>
      <w:r>
        <w:rPr>
          <w:sz w:val="20"/>
        </w:rPr>
        <w:t>newly diagnosed plus continuing from previous year.</w:t>
      </w:r>
    </w:p>
    <w:p w:rsidR="00C20654" w:rsidRDefault="00204450" w:rsidP="00B66B24">
      <w:r>
        <w:t xml:space="preserve">The DUSC considered that the estimated prevalence of 3.7% was highly uncertain as estimates based on overseas data are problematic with </w:t>
      </w:r>
      <w:r w:rsidRPr="00204450">
        <w:t>wide variations in the prevalence of chronic pain by country suggest</w:t>
      </w:r>
      <w:r>
        <w:t>ing</w:t>
      </w:r>
      <w:r w:rsidRPr="00204450">
        <w:t xml:space="preserve"> cultural or health sy</w:t>
      </w:r>
      <w:r>
        <w:t xml:space="preserve">stem </w:t>
      </w:r>
      <w:r w:rsidR="000C3A18">
        <w:t>differences</w:t>
      </w:r>
      <w:r>
        <w:t xml:space="preserve">.  The DUSC considered </w:t>
      </w:r>
      <w:r w:rsidR="008D339F">
        <w:t>this uncertainty significantly a</w:t>
      </w:r>
      <w:r>
        <w:t>ffected the reliability of the overall estimates.</w:t>
      </w:r>
      <w:r w:rsidR="008D339F">
        <w:t xml:space="preserve">  The DUSC considered that a large number of patients </w:t>
      </w:r>
      <w:r w:rsidR="00C86C84">
        <w:t>were likely to seek treatment with pregabalin initially and that the submission underestimated this uptake.</w:t>
      </w:r>
    </w:p>
    <w:p w:rsidR="006665E1" w:rsidRDefault="006665E1" w:rsidP="00B66B24">
      <w:r>
        <w:t>The DUSC further considered that t</w:t>
      </w:r>
      <w:r w:rsidRPr="006665E1">
        <w:t>he total nu</w:t>
      </w:r>
      <w:r>
        <w:t>mber of prescriptions per year wa</w:t>
      </w:r>
      <w:r w:rsidRPr="006665E1">
        <w:t>s subject to several uncer</w:t>
      </w:r>
      <w:r>
        <w:t>tainties with differing effects</w:t>
      </w:r>
      <w:r w:rsidR="00E6008E">
        <w:t>, including;</w:t>
      </w:r>
    </w:p>
    <w:p w:rsidR="006665E1" w:rsidRPr="006665E1" w:rsidRDefault="006665E1" w:rsidP="006665E1">
      <w:pPr>
        <w:pStyle w:val="ListParagraph"/>
        <w:numPr>
          <w:ilvl w:val="0"/>
          <w:numId w:val="6"/>
        </w:numPr>
      </w:pPr>
      <w:r w:rsidRPr="006665E1">
        <w:t>The proportion who r</w:t>
      </w:r>
      <w:r>
        <w:t>espond and continue on therapy wa</w:t>
      </w:r>
      <w:r w:rsidRPr="006665E1">
        <w:t>s likely to be a substantial overestimate;</w:t>
      </w:r>
    </w:p>
    <w:p w:rsidR="00AE1557" w:rsidRDefault="00AE1557" w:rsidP="00DB018B">
      <w:pPr>
        <w:pStyle w:val="ListParagraph"/>
        <w:numPr>
          <w:ilvl w:val="0"/>
          <w:numId w:val="6"/>
        </w:numPr>
      </w:pPr>
      <w:r w:rsidRPr="00AE1557">
        <w:t>The assumptions of substitution</w:t>
      </w:r>
      <w:r w:rsidR="00DB018B">
        <w:t xml:space="preserve"> were considered</w:t>
      </w:r>
      <w:r w:rsidRPr="00AE1557">
        <w:t xml:space="preserve"> unlikely to be realised</w:t>
      </w:r>
      <w:r w:rsidR="00DB018B">
        <w:t>, with add-on use expected to</w:t>
      </w:r>
      <w:r w:rsidR="00DB018B" w:rsidRPr="00DB018B">
        <w:t xml:space="preserve"> be much higher than the switching </w:t>
      </w:r>
      <w:r w:rsidR="00DB018B">
        <w:t>proposed</w:t>
      </w:r>
      <w:r w:rsidR="009B12A1">
        <w:t>; and</w:t>
      </w:r>
    </w:p>
    <w:p w:rsidR="00687565" w:rsidRDefault="006423EB" w:rsidP="00687565">
      <w:pPr>
        <w:pStyle w:val="ListParagraph"/>
        <w:numPr>
          <w:ilvl w:val="0"/>
          <w:numId w:val="6"/>
        </w:numPr>
      </w:pPr>
      <w:r>
        <w:t>The mean total daily dose of 225 mg pregabalin was high</w:t>
      </w:r>
      <w:r w:rsidR="00EF4756">
        <w:t>,</w:t>
      </w:r>
      <w:r>
        <w:t xml:space="preserve"> and the average daily dose was likely to be lower.</w:t>
      </w:r>
    </w:p>
    <w:p w:rsidR="007F20A8" w:rsidRDefault="00687565" w:rsidP="007F20A8">
      <w:pPr>
        <w:tabs>
          <w:tab w:val="left" w:pos="0"/>
        </w:tabs>
      </w:pPr>
      <w:r>
        <w:t>In the March 2012 submission the cost off-sets for patients switching from amitriptyline, gabapentin or carbamazepine were reduced.</w:t>
      </w:r>
      <w:r w:rsidR="00BE76BF">
        <w:t xml:space="preserve">  </w:t>
      </w:r>
      <w:r w:rsidR="006F5DE1">
        <w:t xml:space="preserve">In year 1 a reduction </w:t>
      </w:r>
      <w:r w:rsidR="000D58E4">
        <w:t>in combined PBS and RPBS (</w:t>
      </w:r>
      <w:r w:rsidR="006F5DE1">
        <w:t>R/PBS</w:t>
      </w:r>
      <w:r w:rsidR="000D58E4">
        <w:t>)</w:t>
      </w:r>
      <w:r w:rsidR="006F5DE1">
        <w:t xml:space="preserve"> prescriptions of amitriptyline, gabapentin and carbamazepine of 112,255, 9,824 and 9,</w:t>
      </w:r>
      <w:r w:rsidR="00E065DA">
        <w:t>112 respectively was predicted.</w:t>
      </w:r>
    </w:p>
    <w:p w:rsidR="00094DCF" w:rsidRDefault="00ED633B" w:rsidP="00FE645A">
      <w:pPr>
        <w:pStyle w:val="Heading3"/>
      </w:pPr>
      <w:r>
        <w:t>Previous reviews by DUSC</w:t>
      </w:r>
    </w:p>
    <w:p w:rsidR="002F73E8" w:rsidRDefault="003C6ECF" w:rsidP="003C6ECF">
      <w:r>
        <w:t xml:space="preserve">Prior to the listing of pregabalin there were no medicines listed on the PBS </w:t>
      </w:r>
      <w:r w:rsidR="00BD0120">
        <w:t xml:space="preserve">schedule </w:t>
      </w:r>
      <w:r>
        <w:t>sp</w:t>
      </w:r>
      <w:r w:rsidR="00792D8B">
        <w:t>ecifically for neuropathic pain</w:t>
      </w:r>
      <w:r w:rsidR="00BD0120">
        <w:t xml:space="preserve">. Gabapentin has been listed on the RPBS schedule </w:t>
      </w:r>
      <w:r w:rsidR="00141799">
        <w:t xml:space="preserve">(ie. for DVA patients only) </w:t>
      </w:r>
      <w:r w:rsidR="00BD0120">
        <w:t xml:space="preserve">since 1 August 2002 for </w:t>
      </w:r>
      <w:r w:rsidR="00BD0120" w:rsidRPr="00BD0120">
        <w:t>treatment of refractory neuropathic pain not controlled by other drugs</w:t>
      </w:r>
      <w:r w:rsidR="00BD0120">
        <w:t>.</w:t>
      </w:r>
      <w:r w:rsidR="00792D8B">
        <w:t xml:space="preserve"> </w:t>
      </w:r>
      <w:r w:rsidR="00027495">
        <w:t xml:space="preserve">In recommending the listing of pregabalin at its March 2012 meeting, the </w:t>
      </w:r>
      <w:r w:rsidR="00027495" w:rsidRPr="009B7D58">
        <w:t xml:space="preserve">PBAC </w:t>
      </w:r>
      <w:r w:rsidR="00027495">
        <w:t>was</w:t>
      </w:r>
      <w:r w:rsidR="00027495" w:rsidRPr="009B7D58">
        <w:t xml:space="preserve"> concerned about the potential for use beyond the estima</w:t>
      </w:r>
      <w:r w:rsidR="00027495">
        <w:t xml:space="preserve">tes presented in the submission and considered that it </w:t>
      </w:r>
      <w:r w:rsidR="00027495" w:rsidRPr="001E153B">
        <w:t>was essential that the DUSC review usage 12 months after PBS listing.</w:t>
      </w:r>
      <w:r w:rsidR="00027495">
        <w:t xml:space="preserve"> </w:t>
      </w:r>
    </w:p>
    <w:p w:rsidR="002F73E8" w:rsidRDefault="00027495" w:rsidP="003C6ECF">
      <w:r>
        <w:t xml:space="preserve">A 12 month review was considered at the October 2014 DUSC meeting. </w:t>
      </w:r>
      <w:r w:rsidR="00167E10">
        <w:t>DUSC noted that</w:t>
      </w:r>
      <w:r w:rsidR="00B804E0">
        <w:rPr>
          <w:rStyle w:val="FootnoteReference"/>
        </w:rPr>
        <w:footnoteReference w:id="4"/>
      </w:r>
      <w:r w:rsidR="00167E10">
        <w:t>;</w:t>
      </w:r>
    </w:p>
    <w:p w:rsidR="00167E10" w:rsidRPr="00B804E0" w:rsidRDefault="00167E10" w:rsidP="00167E10">
      <w:pPr>
        <w:rPr>
          <w:i/>
        </w:rPr>
      </w:pPr>
      <w:r w:rsidRPr="00B804E0">
        <w:rPr>
          <w:i/>
        </w:rPr>
        <w:t xml:space="preserve">The number of prescriptions for pregabalin in the first twelve months of PBS listing was similar to predicted, however the data indicates that utilisation is yet to stabilise and that prescription numbers are increasing.  </w:t>
      </w:r>
    </w:p>
    <w:p w:rsidR="00167E10" w:rsidRPr="00B804E0" w:rsidRDefault="00167E10" w:rsidP="00167E10">
      <w:pPr>
        <w:rPr>
          <w:i/>
        </w:rPr>
      </w:pPr>
      <w:r w:rsidRPr="00B804E0">
        <w:rPr>
          <w:i/>
        </w:rPr>
        <w:t>In the first twelve months of listing 294,274 patients were supplied with at least one prescription for pregabalin through the PBS.  It was estimated that 211,620 patients in year 1 rising to 274,132 in year 2 would be treated with pregabalin.  The number of patients starting treatment with PBS subsidised pregabalin in the first year of listing was higher than that estimated in the submission, however it is unclear at this time point if patients are continuing on treatment with pregabalin, and if so for how long, and if pregabalin is being used intermittently.  The DUSC noted that the sponsor of pregabalin suggested that the persistence rate for continuation on therapy was high, based on a 10 % sample of PBS data.</w:t>
      </w:r>
    </w:p>
    <w:p w:rsidR="00167E10" w:rsidRPr="00B804E0" w:rsidRDefault="00167E10" w:rsidP="00167E10">
      <w:pPr>
        <w:rPr>
          <w:i/>
        </w:rPr>
      </w:pPr>
      <w:r w:rsidRPr="00B804E0">
        <w:rPr>
          <w:i/>
        </w:rPr>
        <w:t>The most commonly supplied strength of pregabalin is 75 mg (around half of all prescriptions), and the second most commonly prescribed strength is 150 mg.  The submission concluded that the mean total daily dose of pregabalin used in Australia in practice is 225 mg.  Analysis was not undertaken to determine if patients were supplied multiple strengths of pregabalin, nor which combination of strengths. This type of analysis is better undertaken when a longer period of data is available.  The proportions of pregabalin supplied by strength appear fairly consistent over the first year of listing.</w:t>
      </w:r>
    </w:p>
    <w:p w:rsidR="00167E10" w:rsidRPr="00B804E0" w:rsidRDefault="00167E10" w:rsidP="00167E10">
      <w:pPr>
        <w:rPr>
          <w:i/>
        </w:rPr>
      </w:pPr>
      <w:r w:rsidRPr="00B804E0">
        <w:rPr>
          <w:i/>
        </w:rPr>
        <w:t>The PBS/RPBS prescription volumes for amitriptyline, gabapentin, carbamazepine and duloxetine appear largely unchanged by the listing of pregabalin.  The DUSC suggested that this could indicate that there is co-administration of pregabalin with these agents rather than switching.  The DUSC considered that pregabalin is also likely to be used in combination with opioids in the treatment of neuropathic pain and that data investigating co-prescribing with opioids would also be informative to include in the 24 month review of pregabalin.</w:t>
      </w:r>
    </w:p>
    <w:p w:rsidR="00027495" w:rsidRDefault="00027495" w:rsidP="003C6ECF">
      <w:r w:rsidRPr="00725CBF">
        <w:t xml:space="preserve">The DUSC considered that a subsequent analysis of pregabalin should be undertaken when there is 24 months of utilisation data available.  The DUSC requested that the 24 month analysis include data on </w:t>
      </w:r>
      <w:r>
        <w:t xml:space="preserve">estimated </w:t>
      </w:r>
      <w:r w:rsidRPr="00725CBF">
        <w:t>co-</w:t>
      </w:r>
      <w:r>
        <w:t xml:space="preserve">administration </w:t>
      </w:r>
      <w:r w:rsidRPr="00725CBF">
        <w:t>with other medicines including amitriptyline, gabapentin, opioids and anti-epileptics, age, average dose, dose escalation (including the combination of strengths of pregabalin supplied), and persistence.</w:t>
      </w:r>
    </w:p>
    <w:p w:rsidR="00CA1C8E" w:rsidRDefault="00325D9E" w:rsidP="003C6ECF">
      <w:r>
        <w:t xml:space="preserve">For details of the DUSC consideration of </w:t>
      </w:r>
      <w:r w:rsidR="00017899">
        <w:t xml:space="preserve">the </w:t>
      </w:r>
      <w:r w:rsidR="00017899" w:rsidRPr="00017899">
        <w:t xml:space="preserve">12 month review </w:t>
      </w:r>
      <w:r w:rsidR="00017899">
        <w:t>of pregabalin</w:t>
      </w:r>
      <w:r>
        <w:t xml:space="preserve"> refer to the </w:t>
      </w:r>
      <w:r w:rsidRPr="009E7B38">
        <w:t>Public Release Document</w:t>
      </w:r>
      <w:r>
        <w:t xml:space="preserve"> from the </w:t>
      </w:r>
      <w:r w:rsidR="00017899">
        <w:t>October 2014</w:t>
      </w:r>
      <w:r>
        <w:t xml:space="preserve"> DUSC meeting.</w:t>
      </w:r>
    </w:p>
    <w:p w:rsidR="00E677DD" w:rsidRPr="005E22C2" w:rsidRDefault="00E677DD" w:rsidP="00A35800">
      <w:pPr>
        <w:pStyle w:val="Heading2"/>
      </w:pPr>
      <w:r w:rsidRPr="005E22C2">
        <w:t>Method</w:t>
      </w:r>
      <w:r w:rsidR="001B5D37" w:rsidRPr="005E22C2">
        <w:t>s</w:t>
      </w:r>
    </w:p>
    <w:p w:rsidR="00D0271A" w:rsidRDefault="000712FA" w:rsidP="00A35800">
      <w:r w:rsidRPr="0048575C">
        <w:t>Data for</w:t>
      </w:r>
      <w:r>
        <w:t xml:space="preserve"> pregabalin </w:t>
      </w:r>
      <w:r w:rsidRPr="0048575C">
        <w:t>w</w:t>
      </w:r>
      <w:r>
        <w:t>as</w:t>
      </w:r>
      <w:r w:rsidRPr="0048575C">
        <w:t xml:space="preserve"> extracted</w:t>
      </w:r>
      <w:r>
        <w:t xml:space="preserve"> from the DUSC and Department of Human Services (DHS) prescription databases from the date of listing of pregabalin on the Repatriation PBS (RPBS) Schedule (1 February 2008) to the most current available data (March 2015, inclusive). </w:t>
      </w:r>
      <w:r w:rsidR="00D0271A">
        <w:t xml:space="preserve">Data was extracted for </w:t>
      </w:r>
      <w:r>
        <w:t xml:space="preserve">both </w:t>
      </w:r>
      <w:r w:rsidR="00D0271A">
        <w:t xml:space="preserve">the </w:t>
      </w:r>
      <w:r>
        <w:t xml:space="preserve">PBS and </w:t>
      </w:r>
      <w:r w:rsidR="00D0271A">
        <w:t>RPBS pregabalin items</w:t>
      </w:r>
      <w:r>
        <w:t xml:space="preserve">. </w:t>
      </w:r>
      <w:r w:rsidR="00867BA8">
        <w:t>The PBS items were listed on 1 March 2013 and t</w:t>
      </w:r>
      <w:r>
        <w:t xml:space="preserve">he RPBS items were deleted from the </w:t>
      </w:r>
      <w:r w:rsidR="00867BA8">
        <w:t>Schedule on</w:t>
      </w:r>
      <w:r w:rsidR="00D0271A">
        <w:t xml:space="preserve"> 1 November 2013.</w:t>
      </w:r>
      <w:r w:rsidR="00540952">
        <w:t xml:space="preserve">  </w:t>
      </w:r>
    </w:p>
    <w:p w:rsidR="00CF7365" w:rsidRDefault="00CF7365" w:rsidP="00A35800">
      <w:r w:rsidRPr="00CF7365">
        <w:t>The DUSC database combines data on PBS prescriptions submitted to the Department of Human Services (DHS) for payment of a PBS/RPBS subsidy by the Govern</w:t>
      </w:r>
      <w:r w:rsidR="00EE6E8D">
        <w:t>ment, with an estimate of under</w:t>
      </w:r>
      <w:r w:rsidRPr="00CF7365">
        <w:t xml:space="preserve"> </w:t>
      </w:r>
      <w:r w:rsidR="00752B78">
        <w:t xml:space="preserve">patient </w:t>
      </w:r>
      <w:r w:rsidR="00FC07CF" w:rsidRPr="00CF7365">
        <w:t>co-payment</w:t>
      </w:r>
      <w:r w:rsidRPr="00CF7365">
        <w:t xml:space="preserve"> prescriptions based on dispensing data from a sample of pharmacies to the end of August 2012, replaced by actual under </w:t>
      </w:r>
      <w:r w:rsidR="00FC07CF" w:rsidRPr="00CF7365">
        <w:t>co-payment</w:t>
      </w:r>
      <w:r w:rsidRPr="00CF7365">
        <w:t xml:space="preserve"> data from 1 April 2012.  The DUSC database includes an estimate of private prescriptions based on dispensing data from a sample of pharmacies to the end of August 2012</w:t>
      </w:r>
      <w:r>
        <w:t>.</w:t>
      </w:r>
    </w:p>
    <w:p w:rsidR="00C401C0" w:rsidRDefault="00C401C0" w:rsidP="00C401C0">
      <w:pPr>
        <w:rPr>
          <w:rFonts w:eastAsia="Calibri" w:cs="Times New Roman"/>
        </w:rPr>
      </w:pPr>
      <w:r>
        <w:t xml:space="preserve">For the purpose of counting patients and performing other patient level analyses, PBS &amp; RPBS (R/PBS) </w:t>
      </w:r>
      <w:r w:rsidRPr="00AF6ACC">
        <w:rPr>
          <w:rFonts w:eastAsia="Calibri" w:cs="Times New Roman"/>
        </w:rPr>
        <w:t>prescription</w:t>
      </w:r>
      <w:r>
        <w:rPr>
          <w:rFonts w:eastAsia="Calibri" w:cs="Times New Roman"/>
        </w:rPr>
        <w:t xml:space="preserve"> data </w:t>
      </w:r>
      <w:r w:rsidRPr="00AF6ACC">
        <w:rPr>
          <w:rFonts w:eastAsia="Calibri" w:cs="Times New Roman"/>
        </w:rPr>
        <w:t xml:space="preserve">were extracted from the Department of Human Services (DHS) </w:t>
      </w:r>
      <w:r>
        <w:rPr>
          <w:rFonts w:eastAsia="Calibri" w:cs="Times New Roman"/>
        </w:rPr>
        <w:t xml:space="preserve">Prescription </w:t>
      </w:r>
      <w:r w:rsidRPr="00AF6ACC">
        <w:rPr>
          <w:rFonts w:eastAsia="Calibri" w:cs="Times New Roman"/>
        </w:rPr>
        <w:t>database</w:t>
      </w:r>
      <w:r w:rsidR="00867BA8">
        <w:rPr>
          <w:rFonts w:eastAsia="Calibri" w:cs="Times New Roman"/>
        </w:rPr>
        <w:t xml:space="preserve"> for scripts supplied from February 2008</w:t>
      </w:r>
      <w:r w:rsidRPr="00AF6ACC">
        <w:rPr>
          <w:rFonts w:eastAsia="Calibri" w:cs="Times New Roman"/>
        </w:rPr>
        <w:t>.</w:t>
      </w:r>
    </w:p>
    <w:p w:rsidR="00C401C0" w:rsidRDefault="00C401C0" w:rsidP="00C401C0">
      <w:pPr>
        <w:rPr>
          <w:rFonts w:eastAsia="Calibri" w:cs="Times New Roman"/>
        </w:rPr>
      </w:pPr>
      <w:r w:rsidRPr="00AF6ACC">
        <w:rPr>
          <w:rFonts w:eastAsia="Calibri" w:cs="Times New Roman"/>
        </w:rPr>
        <w:t xml:space="preserve">The number of </w:t>
      </w:r>
      <w:r>
        <w:rPr>
          <w:rFonts w:eastAsia="Calibri" w:cs="Times New Roman"/>
        </w:rPr>
        <w:t xml:space="preserve">prevalent </w:t>
      </w:r>
      <w:r w:rsidRPr="00AF6ACC">
        <w:rPr>
          <w:rFonts w:eastAsia="Calibri" w:cs="Times New Roman"/>
        </w:rPr>
        <w:t xml:space="preserve">patients was determined by counting the number of </w:t>
      </w:r>
      <w:r>
        <w:rPr>
          <w:rFonts w:eastAsia="Calibri" w:cs="Times New Roman"/>
        </w:rPr>
        <w:t xml:space="preserve">people supplied at least one PBS prescription using </w:t>
      </w:r>
      <w:r w:rsidRPr="00AF6ACC">
        <w:rPr>
          <w:rFonts w:eastAsia="Calibri" w:cs="Times New Roman"/>
        </w:rPr>
        <w:t>person</w:t>
      </w:r>
      <w:r>
        <w:rPr>
          <w:rFonts w:eastAsia="Calibri" w:cs="Times New Roman"/>
        </w:rPr>
        <w:t xml:space="preserve"> specific</w:t>
      </w:r>
      <w:r w:rsidRPr="00AF6ACC">
        <w:rPr>
          <w:rFonts w:eastAsia="Calibri" w:cs="Times New Roman"/>
        </w:rPr>
        <w:t xml:space="preserve"> numbers</w:t>
      </w:r>
      <w:r>
        <w:rPr>
          <w:rFonts w:eastAsia="Calibri" w:cs="Times New Roman"/>
        </w:rPr>
        <w:t xml:space="preserve"> (non</w:t>
      </w:r>
      <w:r w:rsidRPr="00AF6ACC">
        <w:rPr>
          <w:rFonts w:eastAsia="Calibri" w:cs="Times New Roman"/>
        </w:rPr>
        <w:t>-identif</w:t>
      </w:r>
      <w:r>
        <w:rPr>
          <w:rFonts w:eastAsia="Calibri" w:cs="Times New Roman"/>
        </w:rPr>
        <w:t>ying)</w:t>
      </w:r>
      <w:r w:rsidRPr="00AF6ACC">
        <w:rPr>
          <w:rFonts w:eastAsia="Calibri" w:cs="Times New Roman"/>
        </w:rPr>
        <w:t xml:space="preserve"> in the </w:t>
      </w:r>
      <w:r>
        <w:rPr>
          <w:rFonts w:eastAsia="Calibri" w:cs="Times New Roman"/>
        </w:rPr>
        <w:t>data</w:t>
      </w:r>
      <w:r w:rsidRPr="00AF6ACC">
        <w:rPr>
          <w:rFonts w:eastAsia="Calibri" w:cs="Times New Roman"/>
        </w:rPr>
        <w:t xml:space="preserve"> for the specified time period</w:t>
      </w:r>
      <w:r>
        <w:rPr>
          <w:rFonts w:eastAsia="Calibri" w:cs="Times New Roman"/>
        </w:rPr>
        <w:t>s</w:t>
      </w:r>
      <w:r w:rsidRPr="00AF6ACC">
        <w:rPr>
          <w:rFonts w:eastAsia="Calibri" w:cs="Times New Roman"/>
        </w:rPr>
        <w:t>.</w:t>
      </w:r>
      <w:r w:rsidRPr="00A34E84">
        <w:rPr>
          <w:rFonts w:eastAsia="Calibri" w:cs="Times New Roman"/>
        </w:rPr>
        <w:t xml:space="preserve"> </w:t>
      </w:r>
    </w:p>
    <w:p w:rsidR="00C401C0" w:rsidRDefault="00C401C0" w:rsidP="00C401C0">
      <w:pPr>
        <w:rPr>
          <w:rFonts w:eastAsia="Calibri" w:cs="Times New Roman"/>
        </w:rPr>
      </w:pPr>
      <w:r>
        <w:rPr>
          <w:rFonts w:eastAsia="Calibri" w:cs="Times New Roman"/>
        </w:rPr>
        <w:t>Patient initiation date</w:t>
      </w:r>
      <w:r w:rsidRPr="00AF6ACC">
        <w:rPr>
          <w:rFonts w:eastAsia="Calibri" w:cs="Times New Roman"/>
        </w:rPr>
        <w:t xml:space="preserve"> w</w:t>
      </w:r>
      <w:r>
        <w:rPr>
          <w:rFonts w:eastAsia="Calibri" w:cs="Times New Roman"/>
        </w:rPr>
        <w:t>as</w:t>
      </w:r>
      <w:r w:rsidRPr="00AF6ACC">
        <w:rPr>
          <w:rFonts w:eastAsia="Calibri" w:cs="Times New Roman"/>
        </w:rPr>
        <w:t xml:space="preserve"> defined as </w:t>
      </w:r>
      <w:r>
        <w:rPr>
          <w:rFonts w:eastAsia="Calibri" w:cs="Times New Roman"/>
        </w:rPr>
        <w:t xml:space="preserve">the date of supply of the first </w:t>
      </w:r>
      <w:r w:rsidR="00BE787A">
        <w:rPr>
          <w:rFonts w:eastAsia="Calibri" w:cs="Times New Roman"/>
        </w:rPr>
        <w:t xml:space="preserve">PBS </w:t>
      </w:r>
      <w:r w:rsidR="00867BA8">
        <w:rPr>
          <w:rFonts w:eastAsia="Calibri" w:cs="Times New Roman"/>
        </w:rPr>
        <w:t xml:space="preserve">or RPBS </w:t>
      </w:r>
      <w:r>
        <w:rPr>
          <w:rFonts w:eastAsia="Calibri" w:cs="Times New Roman"/>
        </w:rPr>
        <w:t>prescription</w:t>
      </w:r>
      <w:r w:rsidR="00BE787A">
        <w:rPr>
          <w:rFonts w:eastAsia="Calibri" w:cs="Times New Roman"/>
        </w:rPr>
        <w:t xml:space="preserve"> of pregabalin</w:t>
      </w:r>
      <w:r>
        <w:rPr>
          <w:rFonts w:eastAsia="Calibri" w:cs="Times New Roman"/>
        </w:rPr>
        <w:t>.</w:t>
      </w:r>
    </w:p>
    <w:p w:rsidR="00C401C0" w:rsidRDefault="00C401C0" w:rsidP="00C401C0">
      <w:pPr>
        <w:rPr>
          <w:rFonts w:eastAsia="Calibri" w:cs="Times New Roman"/>
        </w:rPr>
      </w:pPr>
      <w:r>
        <w:rPr>
          <w:rFonts w:eastAsia="Calibri" w:cs="Times New Roman"/>
        </w:rPr>
        <w:t>Data analysis was undertaken using SAS.</w:t>
      </w:r>
    </w:p>
    <w:p w:rsidR="00425B20" w:rsidRDefault="00425B20" w:rsidP="00A35800">
      <w:r>
        <w:t>All data were extracted based on the date of supply to the patient</w:t>
      </w:r>
      <w:r w:rsidR="00BF4776">
        <w:t xml:space="preserve">. The data </w:t>
      </w:r>
      <w:r>
        <w:t>differ</w:t>
      </w:r>
      <w:r w:rsidR="00BF4776">
        <w:t>s</w:t>
      </w:r>
      <w:r>
        <w:t xml:space="preserve"> from </w:t>
      </w:r>
      <w:r w:rsidR="00BF4776">
        <w:t xml:space="preserve">that available </w:t>
      </w:r>
      <w:r>
        <w:t>from the DHS (Medicare) PBS statistics website</w:t>
      </w:r>
      <w:r w:rsidR="00BF4776" w:rsidRPr="00BF4776">
        <w:t xml:space="preserve"> </w:t>
      </w:r>
      <w:r w:rsidR="00BF4776">
        <w:t>which is based on the date of processing and is only for subsidised R/PBS prescriptions (under</w:t>
      </w:r>
      <w:r w:rsidR="000975CC">
        <w:t xml:space="preserve"> </w:t>
      </w:r>
      <w:r w:rsidR="00223E6D">
        <w:t xml:space="preserve">patient </w:t>
      </w:r>
      <w:r w:rsidR="00BF4776">
        <w:t>co</w:t>
      </w:r>
      <w:r w:rsidR="00367400">
        <w:t>-</w:t>
      </w:r>
      <w:r w:rsidR="00BF4776">
        <w:t>payment not included)</w:t>
      </w:r>
      <w:r>
        <w:t>.</w:t>
      </w:r>
      <w:r>
        <w:rPr>
          <w:rStyle w:val="FootnoteReference"/>
        </w:rPr>
        <w:footnoteReference w:id="5"/>
      </w:r>
    </w:p>
    <w:p w:rsidR="0031302F" w:rsidRPr="00A60468" w:rsidRDefault="0031302F" w:rsidP="0031302F">
      <w:pPr>
        <w:rPr>
          <w:u w:val="single"/>
        </w:rPr>
      </w:pPr>
      <w:r w:rsidRPr="00A60468">
        <w:rPr>
          <w:u w:val="single"/>
        </w:rPr>
        <w:t xml:space="preserve">Estimated </w:t>
      </w:r>
      <w:r>
        <w:rPr>
          <w:u w:val="single"/>
        </w:rPr>
        <w:t xml:space="preserve">patient </w:t>
      </w:r>
      <w:r w:rsidRPr="00A60468">
        <w:rPr>
          <w:u w:val="single"/>
        </w:rPr>
        <w:t>drug regimen analysis</w:t>
      </w:r>
    </w:p>
    <w:p w:rsidR="00A667EE" w:rsidRDefault="0031302F" w:rsidP="00A667EE">
      <w:r>
        <w:t xml:space="preserve">The analysis was undertaken for patients who initiated treatment with pregabalin in </w:t>
      </w:r>
      <w:r w:rsidR="00451BF5">
        <w:t xml:space="preserve">the </w:t>
      </w:r>
      <w:r w:rsidR="006B25D0">
        <w:t>six month period March to August 2014 (inclusive).</w:t>
      </w:r>
      <w:r w:rsidR="00A667EE">
        <w:t xml:space="preserve"> This cohort of patients was </w:t>
      </w:r>
      <w:r w:rsidR="00245E45">
        <w:t>chosen</w:t>
      </w:r>
      <w:r w:rsidR="00A667EE">
        <w:t xml:space="preserve"> because it shows the most recent </w:t>
      </w:r>
      <w:r w:rsidR="0022110C">
        <w:t>patterns of use</w:t>
      </w:r>
      <w:r w:rsidR="00245E45">
        <w:t xml:space="preserve"> (</w:t>
      </w:r>
      <w:r w:rsidR="00867BA8">
        <w:t xml:space="preserve">more recent </w:t>
      </w:r>
      <w:r w:rsidR="00245E45">
        <w:t xml:space="preserve">initiators would not have sufficient follow-up data). Also </w:t>
      </w:r>
      <w:r w:rsidR="00A667EE">
        <w:t xml:space="preserve">patients </w:t>
      </w:r>
      <w:r w:rsidR="00451BF5">
        <w:t xml:space="preserve">in this cohort </w:t>
      </w:r>
      <w:r w:rsidR="00A667EE">
        <w:t>initiated more than 12 months after the PBS listing of pregabalin, so the analysis is unlikely to be confounded by patients that have been grandfathered from private prescriptions.</w:t>
      </w:r>
    </w:p>
    <w:p w:rsidR="0031302F" w:rsidRDefault="0031302F" w:rsidP="0031302F">
      <w:r>
        <w:t xml:space="preserve">Each patient’s PBS prescription history was extracted for the period </w:t>
      </w:r>
      <w:r w:rsidR="006B25D0">
        <w:t>from</w:t>
      </w:r>
      <w:r>
        <w:t xml:space="preserve"> </w:t>
      </w:r>
      <w:r w:rsidR="00A667EE">
        <w:t>Mar</w:t>
      </w:r>
      <w:r w:rsidR="00E4670D">
        <w:t>ch</w:t>
      </w:r>
      <w:r w:rsidR="00A667EE">
        <w:t xml:space="preserve"> 2013</w:t>
      </w:r>
      <w:r w:rsidR="006B25D0">
        <w:t xml:space="preserve"> to</w:t>
      </w:r>
      <w:r>
        <w:t xml:space="preserve"> March 2015 (inclusive) giving </w:t>
      </w:r>
      <w:r w:rsidR="006B25D0">
        <w:t>least</w:t>
      </w:r>
      <w:r>
        <w:t xml:space="preserve"> 1</w:t>
      </w:r>
      <w:r w:rsidR="00A667EE">
        <w:t>2</w:t>
      </w:r>
      <w:r>
        <w:t xml:space="preserve"> months pre-initiation and 7 months post-initiation prescription history.  T</w:t>
      </w:r>
      <w:r w:rsidR="00351DDB">
        <w:t>he</w:t>
      </w:r>
      <w:r>
        <w:t xml:space="preserve"> prescription history was filtered to contain medicines in the following ATC groups;</w:t>
      </w:r>
    </w:p>
    <w:p w:rsidR="00FA3C47" w:rsidRDefault="00FA3C47" w:rsidP="001F3166">
      <w:pPr>
        <w:pStyle w:val="ListParagraph"/>
        <w:numPr>
          <w:ilvl w:val="0"/>
          <w:numId w:val="7"/>
        </w:numPr>
      </w:pPr>
      <w:r>
        <w:t xml:space="preserve">M = Musculo-skeletal system </w:t>
      </w:r>
    </w:p>
    <w:p w:rsidR="00FA3C47" w:rsidRDefault="00FA3C47" w:rsidP="001F3166">
      <w:pPr>
        <w:pStyle w:val="ListParagraph"/>
        <w:numPr>
          <w:ilvl w:val="0"/>
          <w:numId w:val="7"/>
        </w:numPr>
      </w:pPr>
      <w:r>
        <w:t>N = Nervous system</w:t>
      </w:r>
    </w:p>
    <w:p w:rsidR="00FA3C47" w:rsidRDefault="00FA3C47" w:rsidP="001F3166">
      <w:pPr>
        <w:pStyle w:val="ListParagraph"/>
        <w:numPr>
          <w:ilvl w:val="0"/>
          <w:numId w:val="7"/>
        </w:numPr>
      </w:pPr>
      <w:r>
        <w:t>R05DA = Opium alkaloids and derivatives (</w:t>
      </w:r>
      <w:r w:rsidR="00A35323">
        <w:t>e.g.</w:t>
      </w:r>
      <w:r>
        <w:t xml:space="preserve"> codeine)</w:t>
      </w:r>
    </w:p>
    <w:p w:rsidR="00FA3C47" w:rsidRDefault="00FA3C47" w:rsidP="001F3166">
      <w:pPr>
        <w:pStyle w:val="ListParagraph"/>
        <w:numPr>
          <w:ilvl w:val="0"/>
          <w:numId w:val="7"/>
        </w:numPr>
      </w:pPr>
      <w:r>
        <w:t>C02AC01 = clonidine</w:t>
      </w:r>
    </w:p>
    <w:p w:rsidR="00AC6A39" w:rsidRDefault="00E6595D" w:rsidP="0031302F">
      <w:r>
        <w:t>A</w:t>
      </w:r>
      <w:r w:rsidR="00EE0A6F">
        <w:t xml:space="preserve"> preliminary</w:t>
      </w:r>
      <w:r>
        <w:t xml:space="preserve"> drug regimen analysis showed that there</w:t>
      </w:r>
      <w:r w:rsidR="000C2659">
        <w:t xml:space="preserve"> were</w:t>
      </w:r>
      <w:r>
        <w:t xml:space="preserve"> a large number of different drugs supplied, </w:t>
      </w:r>
      <w:r w:rsidR="000C2659">
        <w:t xml:space="preserve">resulting in </w:t>
      </w:r>
      <w:r>
        <w:t xml:space="preserve">a very large number of distinct drug regimens and regimen transitions around </w:t>
      </w:r>
      <w:r w:rsidR="000C2659">
        <w:t>initiation to pregab</w:t>
      </w:r>
      <w:r w:rsidR="003B2BE1">
        <w:t>a</w:t>
      </w:r>
      <w:r w:rsidR="000C2659">
        <w:t>lin. To reduce the number of distinct drug regimens, the drugs were grouped into the following drug groups;</w:t>
      </w:r>
    </w:p>
    <w:p w:rsidR="00143B01" w:rsidRPr="00B15CCE" w:rsidRDefault="00143B01" w:rsidP="00143B01">
      <w:pPr>
        <w:spacing w:before="200" w:after="20"/>
        <w:rPr>
          <w:b/>
        </w:rPr>
      </w:pPr>
      <w:r>
        <w:rPr>
          <w:b/>
        </w:rPr>
        <w:t xml:space="preserve">Table </w:t>
      </w:r>
      <w:r w:rsidR="00513026">
        <w:rPr>
          <w:b/>
        </w:rPr>
        <w:t>3</w:t>
      </w:r>
      <w:r>
        <w:rPr>
          <w:b/>
        </w:rPr>
        <w:t xml:space="preserve">: Drug </w:t>
      </w:r>
      <w:r w:rsidR="00513026">
        <w:rPr>
          <w:b/>
        </w:rPr>
        <w:t>g</w:t>
      </w:r>
      <w:r>
        <w:rPr>
          <w:b/>
        </w:rPr>
        <w:t xml:space="preserve">roups used in </w:t>
      </w:r>
      <w:r w:rsidR="00513026">
        <w:rPr>
          <w:b/>
        </w:rPr>
        <w:t>drug regimen analysis</w:t>
      </w:r>
    </w:p>
    <w:tbl>
      <w:tblPr>
        <w:tblW w:w="68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141"/>
        <w:gridCol w:w="2977"/>
      </w:tblGrid>
      <w:tr w:rsidR="00252E2E" w:rsidRPr="00244241" w:rsidTr="00A4115A">
        <w:tc>
          <w:tcPr>
            <w:tcW w:w="2709" w:type="dxa"/>
            <w:shd w:val="clear" w:color="auto" w:fill="BFBFBF" w:themeFill="background1" w:themeFillShade="BF"/>
            <w:noWrap/>
            <w:vAlign w:val="bottom"/>
            <w:hideMark/>
          </w:tcPr>
          <w:p w:rsidR="00252E2E" w:rsidRPr="00244241" w:rsidRDefault="00252E2E" w:rsidP="00252E2E">
            <w:pPr>
              <w:spacing w:after="0"/>
              <w:rPr>
                <w:rFonts w:eastAsia="Times New Roman" w:cs="Times New Roman"/>
                <w:b/>
                <w:bCs/>
                <w:color w:val="000000"/>
                <w:sz w:val="20"/>
                <w:szCs w:val="20"/>
              </w:rPr>
            </w:pPr>
            <w:r w:rsidRPr="00244241">
              <w:rPr>
                <w:rFonts w:eastAsia="Times New Roman" w:cs="Times New Roman"/>
                <w:b/>
                <w:bCs/>
                <w:color w:val="000000"/>
                <w:sz w:val="20"/>
                <w:szCs w:val="20"/>
              </w:rPr>
              <w:t>Drug Group</w:t>
            </w:r>
          </w:p>
        </w:tc>
        <w:tc>
          <w:tcPr>
            <w:tcW w:w="1141" w:type="dxa"/>
            <w:shd w:val="clear" w:color="auto" w:fill="BFBFBF" w:themeFill="background1" w:themeFillShade="BF"/>
            <w:noWrap/>
            <w:vAlign w:val="bottom"/>
            <w:hideMark/>
          </w:tcPr>
          <w:p w:rsidR="00252E2E" w:rsidRPr="00244241" w:rsidRDefault="00252E2E" w:rsidP="00252E2E">
            <w:pPr>
              <w:spacing w:after="0"/>
              <w:rPr>
                <w:rFonts w:eastAsia="Times New Roman" w:cs="Times New Roman"/>
                <w:b/>
                <w:bCs/>
                <w:color w:val="000000"/>
                <w:sz w:val="20"/>
                <w:szCs w:val="20"/>
              </w:rPr>
            </w:pPr>
            <w:r w:rsidRPr="00244241">
              <w:rPr>
                <w:rFonts w:eastAsia="Times New Roman" w:cs="Times New Roman"/>
                <w:b/>
                <w:bCs/>
                <w:color w:val="000000"/>
                <w:sz w:val="20"/>
                <w:szCs w:val="20"/>
              </w:rPr>
              <w:t>ATC code</w:t>
            </w:r>
          </w:p>
        </w:tc>
        <w:tc>
          <w:tcPr>
            <w:tcW w:w="2977" w:type="dxa"/>
            <w:shd w:val="clear" w:color="auto" w:fill="BFBFBF" w:themeFill="background1" w:themeFillShade="BF"/>
            <w:noWrap/>
            <w:vAlign w:val="bottom"/>
            <w:hideMark/>
          </w:tcPr>
          <w:p w:rsidR="00252E2E" w:rsidRPr="00244241" w:rsidRDefault="00252E2E" w:rsidP="00252E2E">
            <w:pPr>
              <w:spacing w:after="0"/>
              <w:rPr>
                <w:rFonts w:eastAsia="Times New Roman" w:cs="Times New Roman"/>
                <w:b/>
                <w:bCs/>
                <w:color w:val="000000"/>
                <w:sz w:val="20"/>
                <w:szCs w:val="20"/>
              </w:rPr>
            </w:pPr>
            <w:r w:rsidRPr="00244241">
              <w:rPr>
                <w:rFonts w:eastAsia="Times New Roman" w:cs="Times New Roman"/>
                <w:b/>
                <w:bCs/>
                <w:color w:val="000000"/>
                <w:sz w:val="20"/>
                <w:szCs w:val="20"/>
              </w:rPr>
              <w:t>Drug name</w:t>
            </w:r>
          </w:p>
        </w:tc>
      </w:tr>
      <w:tr w:rsidR="00252E2E" w:rsidRPr="00252E2E" w:rsidTr="00A4115A">
        <w:tc>
          <w:tcPr>
            <w:tcW w:w="2709" w:type="dxa"/>
            <w:shd w:val="clear" w:color="auto" w:fill="auto"/>
            <w:noWrap/>
            <w:vAlign w:val="bottom"/>
            <w:hideMark/>
          </w:tcPr>
          <w:p w:rsidR="00252E2E" w:rsidRPr="00244241" w:rsidRDefault="00252E2E"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Paracetamol, plain</w:t>
            </w:r>
          </w:p>
        </w:tc>
        <w:tc>
          <w:tcPr>
            <w:tcW w:w="1141" w:type="dxa"/>
            <w:shd w:val="clear" w:color="auto" w:fill="auto"/>
            <w:noWrap/>
            <w:vAlign w:val="bottom"/>
            <w:hideMark/>
          </w:tcPr>
          <w:p w:rsidR="00252E2E" w:rsidRPr="00244241" w:rsidRDefault="00252E2E"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N02BE01</w:t>
            </w:r>
          </w:p>
        </w:tc>
        <w:tc>
          <w:tcPr>
            <w:tcW w:w="2977" w:type="dxa"/>
            <w:shd w:val="clear" w:color="auto" w:fill="auto"/>
            <w:noWrap/>
            <w:vAlign w:val="bottom"/>
            <w:hideMark/>
          </w:tcPr>
          <w:p w:rsidR="00252E2E" w:rsidRPr="00244241" w:rsidRDefault="00252E2E" w:rsidP="00252E2E">
            <w:pPr>
              <w:spacing w:after="0"/>
              <w:rPr>
                <w:rFonts w:eastAsia="Times New Roman" w:cs="Times New Roman"/>
                <w:sz w:val="20"/>
                <w:szCs w:val="20"/>
              </w:rPr>
            </w:pPr>
            <w:r w:rsidRPr="00244241">
              <w:rPr>
                <w:rFonts w:eastAsia="Times New Roman" w:cs="Times New Roman"/>
                <w:sz w:val="20"/>
                <w:szCs w:val="20"/>
              </w:rPr>
              <w:t>PARACETAMOL</w:t>
            </w:r>
          </w:p>
        </w:tc>
      </w:tr>
      <w:tr w:rsidR="00A4115A" w:rsidRPr="00252E2E" w:rsidTr="00A4115A">
        <w:tc>
          <w:tcPr>
            <w:tcW w:w="2709" w:type="dxa"/>
            <w:vMerge w:val="restart"/>
            <w:shd w:val="clear" w:color="auto" w:fill="auto"/>
            <w:noWrap/>
            <w:hideMark/>
          </w:tcPr>
          <w:p w:rsidR="00A4115A" w:rsidRPr="00244241" w:rsidRDefault="00A4115A" w:rsidP="00A4115A">
            <w:pPr>
              <w:spacing w:after="0"/>
              <w:rPr>
                <w:rFonts w:eastAsia="Times New Roman" w:cs="Times New Roman"/>
                <w:bCs/>
                <w:color w:val="000000"/>
                <w:sz w:val="20"/>
                <w:szCs w:val="20"/>
              </w:rPr>
            </w:pPr>
            <w:r w:rsidRPr="00244241">
              <w:rPr>
                <w:rFonts w:eastAsia="Times New Roman" w:cs="Times New Roman"/>
                <w:bCs/>
                <w:color w:val="000000"/>
                <w:sz w:val="20"/>
                <w:szCs w:val="20"/>
              </w:rPr>
              <w:t>NSAID</w:t>
            </w: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M01AC06</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MELOXICAM</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M01AH01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CELECOXIB</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M01AB05</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DICLOFENAC</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M01AE02</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NAPROXEN</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M01AE01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IBUPROFEN</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M01AB01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INDOMETHACIN</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M01AC01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PIROXICAM</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M01AE03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KETOPROFEN</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M01AG01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MEFENAMIC_ACID</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M01AE11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TIAPROFENIC_ACID</w:t>
            </w:r>
          </w:p>
        </w:tc>
      </w:tr>
      <w:tr w:rsidR="00252E2E" w:rsidRPr="00252E2E" w:rsidTr="00A4115A">
        <w:tc>
          <w:tcPr>
            <w:tcW w:w="2709" w:type="dxa"/>
            <w:shd w:val="clear" w:color="auto" w:fill="auto"/>
            <w:noWrap/>
            <w:vAlign w:val="bottom"/>
            <w:hideMark/>
          </w:tcPr>
          <w:p w:rsidR="00252E2E" w:rsidRPr="00244241" w:rsidRDefault="00252E2E"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Pregabalin</w:t>
            </w:r>
          </w:p>
        </w:tc>
        <w:tc>
          <w:tcPr>
            <w:tcW w:w="1141" w:type="dxa"/>
            <w:shd w:val="clear" w:color="auto" w:fill="auto"/>
            <w:noWrap/>
            <w:vAlign w:val="bottom"/>
            <w:hideMark/>
          </w:tcPr>
          <w:p w:rsidR="00252E2E" w:rsidRPr="00244241" w:rsidRDefault="00252E2E"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N02BG</w:t>
            </w:r>
          </w:p>
        </w:tc>
        <w:tc>
          <w:tcPr>
            <w:tcW w:w="2977" w:type="dxa"/>
            <w:shd w:val="clear" w:color="auto" w:fill="auto"/>
            <w:noWrap/>
            <w:vAlign w:val="bottom"/>
            <w:hideMark/>
          </w:tcPr>
          <w:p w:rsidR="00252E2E" w:rsidRPr="00244241" w:rsidRDefault="00252E2E" w:rsidP="00252E2E">
            <w:pPr>
              <w:spacing w:after="0"/>
              <w:rPr>
                <w:rFonts w:eastAsia="Times New Roman" w:cs="Times New Roman"/>
                <w:sz w:val="20"/>
                <w:szCs w:val="20"/>
              </w:rPr>
            </w:pPr>
            <w:r w:rsidRPr="00244241">
              <w:rPr>
                <w:rFonts w:eastAsia="Times New Roman" w:cs="Times New Roman"/>
                <w:sz w:val="20"/>
                <w:szCs w:val="20"/>
              </w:rPr>
              <w:t>PREGABALIN</w:t>
            </w:r>
          </w:p>
        </w:tc>
      </w:tr>
      <w:tr w:rsidR="00A4115A" w:rsidRPr="00252E2E" w:rsidTr="00A4115A">
        <w:tc>
          <w:tcPr>
            <w:tcW w:w="2709" w:type="dxa"/>
            <w:vMerge w:val="restart"/>
            <w:shd w:val="clear" w:color="auto" w:fill="auto"/>
            <w:noWrap/>
            <w:hideMark/>
          </w:tcPr>
          <w:p w:rsidR="00A4115A" w:rsidRPr="00244241" w:rsidRDefault="00A4115A" w:rsidP="00A4115A">
            <w:pPr>
              <w:spacing w:after="0"/>
              <w:rPr>
                <w:rFonts w:eastAsia="Times New Roman" w:cs="Times New Roman"/>
                <w:bCs/>
                <w:color w:val="000000"/>
                <w:sz w:val="20"/>
                <w:szCs w:val="20"/>
              </w:rPr>
            </w:pPr>
            <w:r w:rsidRPr="00244241">
              <w:rPr>
                <w:rFonts w:eastAsia="Times New Roman" w:cs="Times New Roman"/>
                <w:bCs/>
                <w:color w:val="000000"/>
                <w:sz w:val="20"/>
                <w:szCs w:val="20"/>
              </w:rPr>
              <w:t>Anticonvulsant</w:t>
            </w: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N03AG01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VALPROATE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N03AF01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CARBAMAZEPINE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N03AX11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TOPIRAMATE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N03AX12</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GABAPENTIN</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N03AX14</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LEVETIRACETAM</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N03AX09</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LAMOTRIGINE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N03AB02</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PHENYTOIN</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N03AE01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CLONAZEPAM</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N02BG</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GABAPENTIN</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N03AA03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PRIMIDONE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N03AX18</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LACOSAMIDE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N03AF02</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OXCARBAZEPINE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N03AA02</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PHENOBARBITONE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N03AG04</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VIGABATRIN</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N03AX15</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ZONISAMIDE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N03AG06</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TIAGABINE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N03AX03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SULTHIAME</w:t>
            </w:r>
          </w:p>
        </w:tc>
      </w:tr>
      <w:tr w:rsidR="00A4115A" w:rsidRPr="00252E2E" w:rsidTr="00A4115A">
        <w:tc>
          <w:tcPr>
            <w:tcW w:w="2709" w:type="dxa"/>
            <w:vMerge/>
            <w:shd w:val="clear" w:color="auto" w:fill="auto"/>
            <w:noWrap/>
            <w:hideMark/>
          </w:tcPr>
          <w:p w:rsidR="00A4115A" w:rsidRPr="00244241" w:rsidRDefault="00A4115A" w:rsidP="00A4115A">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N03AX22</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PERAMPANEL</w:t>
            </w:r>
          </w:p>
        </w:tc>
      </w:tr>
      <w:tr w:rsidR="00252E2E" w:rsidRPr="00252E2E" w:rsidTr="00A4115A">
        <w:tc>
          <w:tcPr>
            <w:tcW w:w="2709" w:type="dxa"/>
            <w:shd w:val="clear" w:color="auto" w:fill="auto"/>
            <w:noWrap/>
            <w:vAlign w:val="bottom"/>
            <w:hideMark/>
          </w:tcPr>
          <w:p w:rsidR="00252E2E" w:rsidRPr="00244241" w:rsidRDefault="00252E2E"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Tramadol</w:t>
            </w:r>
          </w:p>
        </w:tc>
        <w:tc>
          <w:tcPr>
            <w:tcW w:w="1141" w:type="dxa"/>
            <w:shd w:val="clear" w:color="auto" w:fill="auto"/>
            <w:noWrap/>
            <w:vAlign w:val="bottom"/>
            <w:hideMark/>
          </w:tcPr>
          <w:p w:rsidR="00252E2E" w:rsidRPr="00244241" w:rsidRDefault="00252E2E"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N02AX02</w:t>
            </w:r>
          </w:p>
        </w:tc>
        <w:tc>
          <w:tcPr>
            <w:tcW w:w="2977" w:type="dxa"/>
            <w:shd w:val="clear" w:color="auto" w:fill="auto"/>
            <w:noWrap/>
            <w:vAlign w:val="bottom"/>
            <w:hideMark/>
          </w:tcPr>
          <w:p w:rsidR="00252E2E" w:rsidRPr="00244241" w:rsidRDefault="00252E2E" w:rsidP="00252E2E">
            <w:pPr>
              <w:spacing w:after="0"/>
              <w:rPr>
                <w:rFonts w:eastAsia="Times New Roman" w:cs="Times New Roman"/>
                <w:sz w:val="20"/>
                <w:szCs w:val="20"/>
              </w:rPr>
            </w:pPr>
            <w:r w:rsidRPr="00244241">
              <w:rPr>
                <w:rFonts w:eastAsia="Times New Roman" w:cs="Times New Roman"/>
                <w:sz w:val="20"/>
                <w:szCs w:val="20"/>
              </w:rPr>
              <w:t>TRAMADOL</w:t>
            </w:r>
          </w:p>
        </w:tc>
      </w:tr>
      <w:tr w:rsidR="00A4115A" w:rsidRPr="00252E2E" w:rsidTr="00A4115A">
        <w:tc>
          <w:tcPr>
            <w:tcW w:w="2709" w:type="dxa"/>
            <w:vMerge w:val="restart"/>
            <w:shd w:val="clear" w:color="auto" w:fill="auto"/>
            <w:noWrap/>
            <w:hideMark/>
          </w:tcPr>
          <w:p w:rsidR="00A4115A" w:rsidRPr="00244241" w:rsidRDefault="00A4115A" w:rsidP="00A4115A">
            <w:pPr>
              <w:spacing w:after="0"/>
              <w:rPr>
                <w:rFonts w:eastAsia="Times New Roman" w:cs="Times New Roman"/>
                <w:bCs/>
                <w:color w:val="000000"/>
                <w:sz w:val="20"/>
                <w:szCs w:val="20"/>
              </w:rPr>
            </w:pPr>
            <w:r w:rsidRPr="00244241">
              <w:rPr>
                <w:rFonts w:eastAsia="Times New Roman" w:cs="Times New Roman"/>
                <w:bCs/>
                <w:color w:val="000000"/>
                <w:sz w:val="20"/>
                <w:szCs w:val="20"/>
              </w:rPr>
              <w:t>Opioid S4</w:t>
            </w: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N02AA59</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PARACETAMOL_CODEINE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R05DA04</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CODEINE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N02BE51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PARACETAMOL_CODEINE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N02AA</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CODEINE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N02BA51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ASPIRIN_CODEINE</w:t>
            </w:r>
          </w:p>
        </w:tc>
      </w:tr>
      <w:tr w:rsidR="00A4115A" w:rsidRPr="00252E2E" w:rsidTr="00A4115A">
        <w:tc>
          <w:tcPr>
            <w:tcW w:w="2709" w:type="dxa"/>
            <w:vMerge w:val="restart"/>
            <w:shd w:val="clear" w:color="auto" w:fill="auto"/>
            <w:noWrap/>
            <w:hideMark/>
          </w:tcPr>
          <w:p w:rsidR="00A4115A" w:rsidRPr="00244241" w:rsidRDefault="00A4115A" w:rsidP="00A4115A">
            <w:pPr>
              <w:spacing w:after="0"/>
              <w:rPr>
                <w:rFonts w:eastAsia="Times New Roman" w:cs="Times New Roman"/>
                <w:bCs/>
                <w:color w:val="000000"/>
                <w:sz w:val="20"/>
                <w:szCs w:val="20"/>
              </w:rPr>
            </w:pPr>
            <w:r w:rsidRPr="00244241">
              <w:rPr>
                <w:rFonts w:eastAsia="Times New Roman" w:cs="Times New Roman"/>
                <w:bCs/>
                <w:color w:val="000000"/>
                <w:sz w:val="20"/>
                <w:szCs w:val="20"/>
              </w:rPr>
              <w:t>Opioid S8</w:t>
            </w: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N02AA05</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OXYCODONE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N02AE01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BUPRENORPHINE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N02AA55</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OXYCODONE_NALOXONE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N02AB03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FENTANYL</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N02AA01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MORPHINE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N02AA03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HYDROMORPHONE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N02AC</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METHADONE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N02AX06</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TAPENTADOL</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N02AC04</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DEXTROPROPOXYPHENE</w:t>
            </w:r>
          </w:p>
        </w:tc>
      </w:tr>
      <w:tr w:rsidR="00A4115A" w:rsidRPr="00252E2E" w:rsidTr="00A4115A">
        <w:tc>
          <w:tcPr>
            <w:tcW w:w="2709" w:type="dxa"/>
            <w:vMerge w:val="restart"/>
            <w:shd w:val="clear" w:color="auto" w:fill="auto"/>
            <w:noWrap/>
            <w:hideMark/>
          </w:tcPr>
          <w:p w:rsidR="00A4115A" w:rsidRPr="00244241" w:rsidRDefault="00A4115A" w:rsidP="00A4115A">
            <w:pPr>
              <w:spacing w:after="0"/>
              <w:rPr>
                <w:rFonts w:eastAsia="Times New Roman" w:cs="Times New Roman"/>
                <w:bCs/>
                <w:color w:val="000000"/>
                <w:sz w:val="20"/>
                <w:szCs w:val="20"/>
              </w:rPr>
            </w:pPr>
            <w:r w:rsidRPr="00244241">
              <w:rPr>
                <w:rFonts w:eastAsia="Times New Roman" w:cs="Times New Roman"/>
                <w:bCs/>
                <w:color w:val="000000"/>
                <w:sz w:val="20"/>
                <w:szCs w:val="20"/>
              </w:rPr>
              <w:t>SNRI</w:t>
            </w: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N06AX21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DULOXETINE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N06AX16</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VENLAFAXINE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N06AX23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DESVENLAFAXINE</w:t>
            </w:r>
          </w:p>
        </w:tc>
      </w:tr>
      <w:tr w:rsidR="00A4115A" w:rsidRPr="00252E2E" w:rsidTr="00A4115A">
        <w:tc>
          <w:tcPr>
            <w:tcW w:w="2709" w:type="dxa"/>
            <w:vMerge w:val="restart"/>
            <w:shd w:val="clear" w:color="auto" w:fill="auto"/>
            <w:noWrap/>
            <w:hideMark/>
          </w:tcPr>
          <w:p w:rsidR="00A4115A" w:rsidRPr="00244241" w:rsidRDefault="00A4115A" w:rsidP="00A4115A">
            <w:pPr>
              <w:spacing w:after="0"/>
              <w:rPr>
                <w:rFonts w:eastAsia="Times New Roman" w:cs="Times New Roman"/>
                <w:bCs/>
                <w:color w:val="000000"/>
                <w:sz w:val="20"/>
                <w:szCs w:val="20"/>
              </w:rPr>
            </w:pPr>
            <w:r w:rsidRPr="00244241">
              <w:rPr>
                <w:rFonts w:eastAsia="Times New Roman" w:cs="Times New Roman"/>
                <w:bCs/>
                <w:color w:val="000000"/>
                <w:sz w:val="20"/>
                <w:szCs w:val="20"/>
              </w:rPr>
              <w:t>TCA (Tricyclic antidepressant)</w:t>
            </w: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N06AA09</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AMITRIPTYLINE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N06AA16</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DOTHIEPIN</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N06AA12</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DOXEPIN</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N06AA10</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NORTRIPTYLINE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N06AA02</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IMIPRAMINE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N06AA04</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CLOMIPRAMINE</w:t>
            </w:r>
          </w:p>
        </w:tc>
      </w:tr>
      <w:tr w:rsidR="00A4115A" w:rsidRPr="00252E2E" w:rsidTr="00A4115A">
        <w:tc>
          <w:tcPr>
            <w:tcW w:w="2709" w:type="dxa"/>
            <w:vMerge w:val="restart"/>
            <w:shd w:val="clear" w:color="auto" w:fill="auto"/>
            <w:noWrap/>
            <w:hideMark/>
          </w:tcPr>
          <w:p w:rsidR="00A4115A" w:rsidRPr="00244241" w:rsidRDefault="00A4115A" w:rsidP="00A4115A">
            <w:pPr>
              <w:spacing w:after="0"/>
              <w:rPr>
                <w:rFonts w:eastAsia="Times New Roman" w:cs="Times New Roman"/>
                <w:bCs/>
                <w:color w:val="000000"/>
                <w:sz w:val="20"/>
                <w:szCs w:val="20"/>
              </w:rPr>
            </w:pPr>
            <w:r w:rsidRPr="00244241">
              <w:rPr>
                <w:rFonts w:eastAsia="Times New Roman" w:cs="Times New Roman"/>
                <w:bCs/>
                <w:color w:val="000000"/>
                <w:sz w:val="20"/>
                <w:szCs w:val="20"/>
              </w:rPr>
              <w:t>Other antidepressant</w:t>
            </w: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N06AB06</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SERTRALINE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N06AX11</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MIRTAZAPINE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N06AB10</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ESCITALOPRAM</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N06AB04</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CITALOPRAM</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N06AB03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FLUOXETINE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N06AB05</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PAROXETINE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N06AB08</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FLUVOXAMINE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N06AX18</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REBOXETINE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N06AX03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MIANSERIN</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N06AF04</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TRANYLCYPROMINE</w:t>
            </w:r>
          </w:p>
        </w:tc>
      </w:tr>
      <w:tr w:rsidR="00A4115A" w:rsidRPr="00252E2E" w:rsidTr="00A4115A">
        <w:tc>
          <w:tcPr>
            <w:tcW w:w="2709" w:type="dxa"/>
            <w:vMerge/>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p>
        </w:tc>
        <w:tc>
          <w:tcPr>
            <w:tcW w:w="1141" w:type="dxa"/>
            <w:shd w:val="clear" w:color="auto" w:fill="auto"/>
            <w:noWrap/>
            <w:vAlign w:val="bottom"/>
            <w:hideMark/>
          </w:tcPr>
          <w:p w:rsidR="00A4115A" w:rsidRPr="00244241" w:rsidRDefault="00A4115A"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N06AF03</w:t>
            </w:r>
          </w:p>
        </w:tc>
        <w:tc>
          <w:tcPr>
            <w:tcW w:w="2977" w:type="dxa"/>
            <w:shd w:val="clear" w:color="auto" w:fill="auto"/>
            <w:noWrap/>
            <w:vAlign w:val="bottom"/>
            <w:hideMark/>
          </w:tcPr>
          <w:p w:rsidR="00A4115A" w:rsidRPr="00244241" w:rsidRDefault="00A4115A" w:rsidP="00252E2E">
            <w:pPr>
              <w:spacing w:after="0"/>
              <w:rPr>
                <w:rFonts w:eastAsia="Times New Roman" w:cs="Times New Roman"/>
                <w:sz w:val="20"/>
                <w:szCs w:val="20"/>
              </w:rPr>
            </w:pPr>
            <w:r w:rsidRPr="00244241">
              <w:rPr>
                <w:rFonts w:eastAsia="Times New Roman" w:cs="Times New Roman"/>
                <w:sz w:val="20"/>
                <w:szCs w:val="20"/>
              </w:rPr>
              <w:t>PHENELZINE</w:t>
            </w:r>
          </w:p>
        </w:tc>
      </w:tr>
      <w:tr w:rsidR="00252E2E" w:rsidRPr="00252E2E" w:rsidTr="00A4115A">
        <w:tc>
          <w:tcPr>
            <w:tcW w:w="2709" w:type="dxa"/>
            <w:shd w:val="clear" w:color="auto" w:fill="auto"/>
            <w:noWrap/>
            <w:vAlign w:val="bottom"/>
            <w:hideMark/>
          </w:tcPr>
          <w:p w:rsidR="00252E2E" w:rsidRPr="00244241" w:rsidRDefault="00252E2E"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Clonidine</w:t>
            </w:r>
          </w:p>
        </w:tc>
        <w:tc>
          <w:tcPr>
            <w:tcW w:w="1141" w:type="dxa"/>
            <w:shd w:val="clear" w:color="auto" w:fill="auto"/>
            <w:noWrap/>
            <w:vAlign w:val="bottom"/>
            <w:hideMark/>
          </w:tcPr>
          <w:p w:rsidR="00252E2E" w:rsidRPr="00244241" w:rsidRDefault="00252E2E" w:rsidP="00252E2E">
            <w:pPr>
              <w:spacing w:after="0"/>
              <w:rPr>
                <w:rFonts w:eastAsia="Times New Roman" w:cs="Times New Roman"/>
                <w:bCs/>
                <w:color w:val="000000"/>
                <w:sz w:val="20"/>
                <w:szCs w:val="20"/>
              </w:rPr>
            </w:pPr>
            <w:r w:rsidRPr="00244241">
              <w:rPr>
                <w:rFonts w:eastAsia="Times New Roman" w:cs="Times New Roman"/>
                <w:bCs/>
                <w:color w:val="000000"/>
                <w:sz w:val="20"/>
                <w:szCs w:val="20"/>
              </w:rPr>
              <w:t>C02AC01</w:t>
            </w:r>
          </w:p>
        </w:tc>
        <w:tc>
          <w:tcPr>
            <w:tcW w:w="2977" w:type="dxa"/>
            <w:shd w:val="clear" w:color="auto" w:fill="auto"/>
            <w:noWrap/>
            <w:vAlign w:val="bottom"/>
            <w:hideMark/>
          </w:tcPr>
          <w:p w:rsidR="00252E2E" w:rsidRPr="00244241" w:rsidRDefault="00252E2E" w:rsidP="00252E2E">
            <w:pPr>
              <w:spacing w:after="0"/>
              <w:rPr>
                <w:rFonts w:eastAsia="Times New Roman" w:cs="Times New Roman"/>
                <w:sz w:val="20"/>
                <w:szCs w:val="20"/>
              </w:rPr>
            </w:pPr>
            <w:r w:rsidRPr="00244241">
              <w:rPr>
                <w:rFonts w:eastAsia="Times New Roman" w:cs="Times New Roman"/>
                <w:sz w:val="20"/>
                <w:szCs w:val="20"/>
              </w:rPr>
              <w:t>CLONIDINE</w:t>
            </w:r>
          </w:p>
        </w:tc>
      </w:tr>
    </w:tbl>
    <w:p w:rsidR="006B25D0" w:rsidRDefault="006B25D0" w:rsidP="009063EA"/>
    <w:p w:rsidR="00471291" w:rsidRDefault="00EE0A6F" w:rsidP="005F7DC5">
      <w:r>
        <w:t xml:space="preserve">Drugs not in the above list were excluded from the drug regimen analysis. </w:t>
      </w:r>
      <w:r w:rsidR="00471291">
        <w:t>The drug</w:t>
      </w:r>
      <w:r w:rsidR="00867BA8">
        <w:t xml:space="preserve"> groups </w:t>
      </w:r>
      <w:r w:rsidR="00471291">
        <w:t xml:space="preserve">in this list were chosen on the basis of the </w:t>
      </w:r>
      <w:r w:rsidR="005F7DC5">
        <w:t>drug groups mentioned in the eTG</w:t>
      </w:r>
      <w:r w:rsidR="005F7DC5">
        <w:rPr>
          <w:rStyle w:val="FootnoteReference"/>
        </w:rPr>
        <w:footnoteReference w:id="6"/>
      </w:r>
      <w:r w:rsidR="005F7DC5">
        <w:t xml:space="preserve"> and the </w:t>
      </w:r>
      <w:r w:rsidR="00865BAA">
        <w:t>more recent article</w:t>
      </w:r>
      <w:r w:rsidR="005F7DC5">
        <w:t xml:space="preserve"> “Neuropathic pain, A management update”</w:t>
      </w:r>
      <w:r w:rsidR="005F7DC5">
        <w:rPr>
          <w:rStyle w:val="FootnoteReference"/>
        </w:rPr>
        <w:footnoteReference w:id="7"/>
      </w:r>
      <w:r w:rsidR="005F7DC5">
        <w:t>.</w:t>
      </w:r>
    </w:p>
    <w:p w:rsidR="000C2659" w:rsidRDefault="00EE0A6F" w:rsidP="009063EA">
      <w:r>
        <w:t xml:space="preserve">A preliminary analysis using these drug groups showed that </w:t>
      </w:r>
      <w:r w:rsidR="00331C8E">
        <w:t>paracetamol</w:t>
      </w:r>
      <w:r w:rsidR="00B310C2">
        <w:t xml:space="preserve"> </w:t>
      </w:r>
      <w:r>
        <w:t>(plain) and NSAIDs were commonly part of patient drug regimens both pre and post initiation to pregabalin. However, as these drugs are also available over-the-counter (OTC), the number of patients with drug regimens that actually contained these drugs could be severely underestimated by this analysis of PBS prescription data. Thus it was decided to exclude these two drug groups from the analysis.</w:t>
      </w:r>
    </w:p>
    <w:p w:rsidR="00A60468" w:rsidRDefault="00AB0F4A" w:rsidP="00A35800">
      <w:r>
        <w:t>RPBS patients (</w:t>
      </w:r>
      <w:r w:rsidR="00053B14">
        <w:t>defined as those w</w:t>
      </w:r>
      <w:r>
        <w:t xml:space="preserve">ho had one or more RPBS scripts in the period </w:t>
      </w:r>
      <w:r w:rsidR="00053B14">
        <w:t>12 months pre-initiation and 7 months post initiation</w:t>
      </w:r>
      <w:r>
        <w:t xml:space="preserve">) were </w:t>
      </w:r>
      <w:r w:rsidR="00053B14">
        <w:t>identified in the six month cohort and were able to be analysed separately</w:t>
      </w:r>
      <w:r w:rsidR="00245E45">
        <w:t>.</w:t>
      </w:r>
    </w:p>
    <w:p w:rsidR="00B20628" w:rsidRDefault="00B20628" w:rsidP="00A35800">
      <w:r>
        <w:t xml:space="preserve">For more details see Appendix B: Detailed methodology to </w:t>
      </w:r>
      <w:r w:rsidRPr="003C6919">
        <w:t>estimate drug regimens and regimen transitions</w:t>
      </w:r>
      <w:r>
        <w:t>.</w:t>
      </w:r>
    </w:p>
    <w:p w:rsidR="00867BA8" w:rsidRPr="00690AC1" w:rsidRDefault="00867BA8" w:rsidP="00690AC1">
      <w:pPr>
        <w:rPr>
          <w:u w:val="single"/>
        </w:rPr>
      </w:pPr>
      <w:r w:rsidRPr="00690AC1">
        <w:rPr>
          <w:u w:val="single"/>
        </w:rPr>
        <w:t>Strength Sequence and Timing Analysis</w:t>
      </w:r>
    </w:p>
    <w:p w:rsidR="00867BA8" w:rsidRDefault="00EF3004" w:rsidP="00690AC1">
      <w:r>
        <w:t>To investigate dose, dose titration and persistence to therapy in the first few months, t</w:t>
      </w:r>
      <w:r w:rsidR="00867BA8">
        <w:t>he strength sequence and timing of the first few scripts after initiation of pregabalin was analysed. It was decided to limit the analysis to only the first three prescriptions as more than this would generate too many sequence paths to present. There are 4 different strengths of pregabalin plus a category of “None” (for patients that discontinue before the 3</w:t>
      </w:r>
      <w:r w:rsidR="00867BA8" w:rsidRPr="00690AC1">
        <w:t>rd</w:t>
      </w:r>
      <w:r w:rsidR="00867BA8">
        <w:t xml:space="preserve"> script) which generated approximately 4x5x5=100 different sequence paths for three scripts. An analysis of 4 scripts would have generated 500 sequence paths, too many to present. This analysis was performed for the cohort that initiated in the 3</w:t>
      </w:r>
      <w:r w:rsidR="00867BA8" w:rsidRPr="00690AC1">
        <w:t>rd</w:t>
      </w:r>
      <w:r w:rsidR="00867BA8">
        <w:t xml:space="preserve"> six month period after listing (ie. March to August 2014). This mean</w:t>
      </w:r>
      <w:r w:rsidR="00D06252">
        <w:t>s</w:t>
      </w:r>
      <w:r w:rsidR="00867BA8">
        <w:t xml:space="preserve"> that each patient had at least 7 months of follow-up to be supplied the three scripts. Th</w:t>
      </w:r>
      <w:r w:rsidR="00D06252">
        <w:t>is is the cohort that was used for the e</w:t>
      </w:r>
      <w:r w:rsidR="00D06252" w:rsidRPr="00D06252">
        <w:t xml:space="preserve">stimated patient drug regimen analysis </w:t>
      </w:r>
      <w:r w:rsidR="00D06252">
        <w:t xml:space="preserve">cohort </w:t>
      </w:r>
      <w:r w:rsidR="00D03531">
        <w:t xml:space="preserve">and </w:t>
      </w:r>
      <w:r w:rsidR="00D06252">
        <w:t xml:space="preserve">was chosen for similar reasons. That is, it shows the most recent </w:t>
      </w:r>
      <w:r w:rsidR="0022110C">
        <w:t>patterns of use</w:t>
      </w:r>
      <w:r w:rsidR="00D06252">
        <w:t xml:space="preserve"> (more recent initiators would not have sufficient follow-up data) and this cohort initiated more than 12 months after the PBS listing of pregabalin, so the analysis is unlikely to be confounded by patients that have been grandfathered from private prescriptions</w:t>
      </w:r>
      <w:r w:rsidR="00867BA8">
        <w:t xml:space="preserve">. The median days between </w:t>
      </w:r>
      <w:r w:rsidR="00D06252">
        <w:t>supplies</w:t>
      </w:r>
      <w:r w:rsidR="00867BA8">
        <w:t xml:space="preserve"> of scripts were </w:t>
      </w:r>
      <w:r w:rsidR="00D06252">
        <w:t>calculated. S</w:t>
      </w:r>
      <w:r w:rsidR="00867BA8">
        <w:t xml:space="preserve">cripts supplied on the same day were </w:t>
      </w:r>
      <w:r w:rsidR="00D06252">
        <w:t>excluded from</w:t>
      </w:r>
      <w:r w:rsidR="00867BA8">
        <w:t xml:space="preserve"> this calculation</w:t>
      </w:r>
      <w:r>
        <w:t>.</w:t>
      </w:r>
    </w:p>
    <w:p w:rsidR="00245E45" w:rsidRPr="00A60468" w:rsidRDefault="00245E45" w:rsidP="00245E45">
      <w:pPr>
        <w:rPr>
          <w:u w:val="single"/>
        </w:rPr>
      </w:pPr>
      <w:r w:rsidRPr="00A60468">
        <w:rPr>
          <w:u w:val="single"/>
        </w:rPr>
        <w:t xml:space="preserve">Estimated </w:t>
      </w:r>
      <w:r>
        <w:rPr>
          <w:u w:val="single"/>
        </w:rPr>
        <w:t>daily dose</w:t>
      </w:r>
    </w:p>
    <w:p w:rsidR="00A14902" w:rsidRDefault="00331C8E" w:rsidP="00EF3004">
      <w:r>
        <w:t>As the prescribed dose is not available in the PBS dataset</w:t>
      </w:r>
      <w:r w:rsidR="00EF3004">
        <w:t>, it was estimated u</w:t>
      </w:r>
      <w:r w:rsidR="000D5728">
        <w:t>sing the pregabalin treatment episodes generated as part of the estimated drug regimen analysis</w:t>
      </w:r>
      <w:r w:rsidR="00EF3004">
        <w:t>.</w:t>
      </w:r>
    </w:p>
    <w:p w:rsidR="000D5728" w:rsidRDefault="000D5728" w:rsidP="00A14902">
      <w:r>
        <w:t>This method involves the following steps;</w:t>
      </w:r>
    </w:p>
    <w:p w:rsidR="000D5728" w:rsidRDefault="000D5728" w:rsidP="00690AC1">
      <w:pPr>
        <w:pStyle w:val="ListParagraph"/>
        <w:numPr>
          <w:ilvl w:val="0"/>
          <w:numId w:val="33"/>
        </w:numPr>
        <w:spacing w:line="276" w:lineRule="auto"/>
      </w:pPr>
      <w:r>
        <w:t>discerning episodes of pregabalin treatment by detecting breaks in treatment;</w:t>
      </w:r>
    </w:p>
    <w:p w:rsidR="000D5728" w:rsidRDefault="000D5728" w:rsidP="00690AC1">
      <w:pPr>
        <w:pStyle w:val="ListParagraph"/>
        <w:numPr>
          <w:ilvl w:val="0"/>
          <w:numId w:val="33"/>
        </w:numPr>
        <w:spacing w:line="276" w:lineRule="auto"/>
      </w:pPr>
      <w:r>
        <w:t>calculating the length of each episode of treatment;</w:t>
      </w:r>
    </w:p>
    <w:p w:rsidR="000D5728" w:rsidRDefault="000D5728" w:rsidP="00690AC1">
      <w:pPr>
        <w:pStyle w:val="ListParagraph"/>
        <w:numPr>
          <w:ilvl w:val="0"/>
          <w:numId w:val="33"/>
        </w:numPr>
        <w:spacing w:line="276" w:lineRule="auto"/>
      </w:pPr>
      <w:r>
        <w:t>determining  of the mass of drug supplied in the episode, across all strengths;</w:t>
      </w:r>
    </w:p>
    <w:p w:rsidR="00245E45" w:rsidRDefault="000D5728" w:rsidP="00690AC1">
      <w:pPr>
        <w:pStyle w:val="ListParagraph"/>
        <w:numPr>
          <w:ilvl w:val="0"/>
          <w:numId w:val="33"/>
        </w:numPr>
        <w:spacing w:line="276" w:lineRule="auto"/>
      </w:pPr>
      <w:r>
        <w:t xml:space="preserve">calculate </w:t>
      </w:r>
      <w:r w:rsidR="00F652EE">
        <w:t xml:space="preserve">average </w:t>
      </w:r>
      <w:r>
        <w:t>dose per day across the episode = mass of drug / length of episode</w:t>
      </w:r>
    </w:p>
    <w:p w:rsidR="00245E45" w:rsidRDefault="00A14902" w:rsidP="00A35800">
      <w:r>
        <w:t>The estimated daily dose for each patient episode was then summarise</w:t>
      </w:r>
      <w:r w:rsidR="00451BF5">
        <w:t>d</w:t>
      </w:r>
      <w:r>
        <w:t xml:space="preserve"> as a distribution, mean and weighted mean.</w:t>
      </w:r>
      <w:r w:rsidR="00290EEB">
        <w:t xml:space="preserve"> This was done for three patient cohorts, that is, those who initiated in the 1</w:t>
      </w:r>
      <w:r w:rsidR="00290EEB" w:rsidRPr="00D03F2F">
        <w:rPr>
          <w:vertAlign w:val="superscript"/>
        </w:rPr>
        <w:t>st</w:t>
      </w:r>
      <w:r w:rsidR="00290EEB">
        <w:t>, 2</w:t>
      </w:r>
      <w:r w:rsidR="00290EEB" w:rsidRPr="00D03F2F">
        <w:rPr>
          <w:vertAlign w:val="superscript"/>
        </w:rPr>
        <w:t>nd</w:t>
      </w:r>
      <w:r w:rsidR="00290EEB">
        <w:t xml:space="preserve"> and 3</w:t>
      </w:r>
      <w:r w:rsidR="00290EEB" w:rsidRPr="00D03F2F">
        <w:rPr>
          <w:vertAlign w:val="superscript"/>
        </w:rPr>
        <w:t>rd</w:t>
      </w:r>
      <w:r w:rsidR="00290EEB">
        <w:t xml:space="preserve"> six month periods after listing of pregabalin (ie. March 2013).</w:t>
      </w:r>
    </w:p>
    <w:p w:rsidR="004A73EB" w:rsidRPr="00A60468" w:rsidRDefault="004A73EB" w:rsidP="00A4115A">
      <w:pPr>
        <w:keepNext/>
        <w:rPr>
          <w:u w:val="single"/>
        </w:rPr>
      </w:pPr>
      <w:r>
        <w:rPr>
          <w:u w:val="single"/>
        </w:rPr>
        <w:t>Prescriber Type analysis</w:t>
      </w:r>
    </w:p>
    <w:p w:rsidR="00A6237A" w:rsidRDefault="00CE53C1">
      <w:pPr>
        <w:spacing w:line="276" w:lineRule="auto"/>
      </w:pPr>
      <w:r w:rsidRPr="00CE53C1">
        <w:t xml:space="preserve">The prescriber type was determined from the </w:t>
      </w:r>
      <w:r w:rsidR="00EF3004">
        <w:t xml:space="preserve">Major Specialty field in the </w:t>
      </w:r>
      <w:r>
        <w:t xml:space="preserve">DHS </w:t>
      </w:r>
      <w:r w:rsidRPr="00CE53C1">
        <w:t>prescription database</w:t>
      </w:r>
      <w:r>
        <w:t>.</w:t>
      </w:r>
      <w:r w:rsidRPr="00CE53C1">
        <w:t xml:space="preserve"> </w:t>
      </w:r>
    </w:p>
    <w:p w:rsidR="00C714D0" w:rsidRPr="005E22C2" w:rsidRDefault="00C714D0" w:rsidP="00A35800">
      <w:pPr>
        <w:pStyle w:val="Heading2"/>
      </w:pPr>
      <w:r w:rsidRPr="005E22C2">
        <w:t>Results</w:t>
      </w:r>
    </w:p>
    <w:p w:rsidR="00736041" w:rsidRPr="005E22C2"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E824C0" w:rsidRDefault="00E824C0" w:rsidP="00E824C0">
      <w:pPr>
        <w:spacing w:before="240"/>
        <w:rPr>
          <w:b/>
          <w:i/>
        </w:rPr>
      </w:pPr>
      <w:r>
        <w:rPr>
          <w:b/>
          <w:i/>
        </w:rPr>
        <w:t>Patient count</w:t>
      </w:r>
    </w:p>
    <w:p w:rsidR="00E824C0" w:rsidRDefault="00E824C0" w:rsidP="00E824C0">
      <w:pPr>
        <w:spacing w:before="240"/>
      </w:pPr>
      <w:r>
        <w:t xml:space="preserve">The number of patients dispensed their first </w:t>
      </w:r>
      <w:r w:rsidR="004B62E0">
        <w:t xml:space="preserve">pregabalin </w:t>
      </w:r>
      <w:r>
        <w:t xml:space="preserve">PBS </w:t>
      </w:r>
      <w:r w:rsidR="004B62E0">
        <w:t xml:space="preserve">or RPBS item </w:t>
      </w:r>
      <w:r>
        <w:t xml:space="preserve">script from 1 </w:t>
      </w:r>
      <w:r w:rsidR="004B62E0">
        <w:t xml:space="preserve">February </w:t>
      </w:r>
      <w:r>
        <w:t>20</w:t>
      </w:r>
      <w:r w:rsidR="004B62E0">
        <w:t>08</w:t>
      </w:r>
      <w:r>
        <w:t xml:space="preserve"> to March 2015 (inclusive) </w:t>
      </w:r>
      <w:r w:rsidR="004B62E0">
        <w:t>was determined</w:t>
      </w:r>
      <w:r>
        <w:t xml:space="preserve">. </w:t>
      </w:r>
      <w:r w:rsidR="004B62E0">
        <w:t xml:space="preserve">Figure 1 shows these results from December 2012. </w:t>
      </w:r>
      <w:r w:rsidR="00170236">
        <w:t>Monthly p</w:t>
      </w:r>
      <w:r>
        <w:t xml:space="preserve">revalent patients (ie. </w:t>
      </w:r>
      <w:r w:rsidR="00170236">
        <w:t xml:space="preserve">patients dispensed one or more </w:t>
      </w:r>
      <w:r>
        <w:t>script</w:t>
      </w:r>
      <w:r w:rsidR="00170236">
        <w:t>s</w:t>
      </w:r>
      <w:r>
        <w:t xml:space="preserve"> in </w:t>
      </w:r>
      <w:r w:rsidR="00170236">
        <w:t>a</w:t>
      </w:r>
      <w:r>
        <w:t xml:space="preserve"> month) are also shown.</w:t>
      </w:r>
      <w:r w:rsidR="00170236">
        <w:t xml:space="preserve"> Monthly prevalence based of prescription supply data is a slight underestimate of the prevalence of patients on pregabalin as not all patients will receive a suppl</w:t>
      </w:r>
      <w:r w:rsidR="00007FBF">
        <w:t xml:space="preserve">y in a month. </w:t>
      </w:r>
    </w:p>
    <w:p w:rsidR="00E824C0" w:rsidRDefault="00E824C0" w:rsidP="00E824C0">
      <w:pPr>
        <w:spacing w:before="60" w:after="60"/>
        <w:rPr>
          <w:b/>
        </w:rPr>
      </w:pPr>
    </w:p>
    <w:p w:rsidR="00E824C0" w:rsidRDefault="00E824C0" w:rsidP="00E824C0">
      <w:pPr>
        <w:spacing w:before="60" w:after="60"/>
        <w:rPr>
          <w:b/>
        </w:rPr>
      </w:pPr>
      <w:r w:rsidRPr="00A4115A">
        <w:rPr>
          <w:noProof/>
          <w:bdr w:val="single" w:sz="4" w:space="0" w:color="auto"/>
        </w:rPr>
        <w:drawing>
          <wp:inline distT="0" distB="0" distL="0" distR="0" wp14:anchorId="02F34554" wp14:editId="49B7615C">
            <wp:extent cx="5687695" cy="3712801"/>
            <wp:effectExtent l="0" t="0" r="8255" b="25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24C0" w:rsidRDefault="00E824C0" w:rsidP="00E824C0">
      <w:pPr>
        <w:spacing w:before="60" w:after="60"/>
        <w:rPr>
          <w:b/>
        </w:rPr>
      </w:pPr>
      <w:r w:rsidRPr="009E0485">
        <w:rPr>
          <w:b/>
        </w:rPr>
        <w:t xml:space="preserve">Figure </w:t>
      </w:r>
      <w:r>
        <w:rPr>
          <w:b/>
        </w:rPr>
        <w:t>1: I</w:t>
      </w:r>
      <w:r w:rsidRPr="009E0485">
        <w:rPr>
          <w:b/>
        </w:rPr>
        <w:t xml:space="preserve">nitiating </w:t>
      </w:r>
      <w:r>
        <w:rPr>
          <w:b/>
        </w:rPr>
        <w:t xml:space="preserve">and prevalent </w:t>
      </w:r>
      <w:r w:rsidRPr="009E0485">
        <w:rPr>
          <w:b/>
        </w:rPr>
        <w:t xml:space="preserve">pregabalin </w:t>
      </w:r>
      <w:r>
        <w:rPr>
          <w:b/>
        </w:rPr>
        <w:t>patients by item type (ie. PBS/RPBS)</w:t>
      </w:r>
    </w:p>
    <w:p w:rsidR="00EB2212" w:rsidRDefault="00EB2212" w:rsidP="00E824C0">
      <w:pPr>
        <w:spacing w:before="240"/>
      </w:pPr>
    </w:p>
    <w:p w:rsidR="00E824C0" w:rsidRDefault="00E824C0" w:rsidP="00E824C0">
      <w:pPr>
        <w:spacing w:before="240"/>
      </w:pPr>
      <w:r>
        <w:t>The number of prevalent patients is continuing to trend upwards, while the number of initiating patients is stable at slightly over 20,000 per month.</w:t>
      </w:r>
      <w:r>
        <w:br w:type="page"/>
      </w:r>
    </w:p>
    <w:p w:rsidR="00F577BA" w:rsidRDefault="00F577BA" w:rsidP="00E94A68">
      <w:pPr>
        <w:spacing w:before="240"/>
        <w:rPr>
          <w:b/>
          <w:i/>
        </w:rPr>
      </w:pPr>
      <w:r>
        <w:rPr>
          <w:b/>
          <w:i/>
        </w:rPr>
        <w:t>Prescriptions</w:t>
      </w:r>
    </w:p>
    <w:p w:rsidR="003C10AF" w:rsidRPr="003C10AF" w:rsidRDefault="00563E54" w:rsidP="00E94A68">
      <w:pPr>
        <w:spacing w:before="240"/>
      </w:pPr>
      <w:r>
        <w:t xml:space="preserve">Figure </w:t>
      </w:r>
      <w:r w:rsidR="00EF41CA">
        <w:t>2</w:t>
      </w:r>
      <w:r>
        <w:t xml:space="preserve"> shows the total number of prescriptions suppl</w:t>
      </w:r>
      <w:r w:rsidR="004C4A77">
        <w:t xml:space="preserve">ied by </w:t>
      </w:r>
      <w:r w:rsidR="000712FA">
        <w:t>script type</w:t>
      </w:r>
      <w:r w:rsidR="004C4A77">
        <w:t xml:space="preserve"> and month of supply from March</w:t>
      </w:r>
      <w:r w:rsidR="000D58E4">
        <w:t xml:space="preserve"> 2012 to March 2015</w:t>
      </w:r>
      <w:r w:rsidR="009E0381">
        <w:t>.</w:t>
      </w:r>
    </w:p>
    <w:p w:rsidR="000D58E4" w:rsidRPr="00F577BA" w:rsidRDefault="000D58E4" w:rsidP="00A35800">
      <w:r w:rsidRPr="00EB2212">
        <w:rPr>
          <w:noProof/>
          <w:bdr w:val="single" w:sz="4" w:space="0" w:color="auto"/>
        </w:rPr>
        <w:drawing>
          <wp:inline distT="0" distB="0" distL="0" distR="0" wp14:anchorId="4D97478A" wp14:editId="4D4EAA13">
            <wp:extent cx="5687695" cy="3706724"/>
            <wp:effectExtent l="0" t="0" r="8255"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5557" w:rsidRPr="00255557" w:rsidRDefault="00255557" w:rsidP="0018677E">
      <w:pPr>
        <w:pStyle w:val="Figuretitle"/>
      </w:pPr>
      <w:r w:rsidRPr="00FE645A">
        <w:t xml:space="preserve">Figure </w:t>
      </w:r>
      <w:r w:rsidR="00EF41CA">
        <w:t>2</w:t>
      </w:r>
      <w:r w:rsidRPr="00FE645A">
        <w:t xml:space="preserve">: </w:t>
      </w:r>
      <w:r w:rsidR="003716CC">
        <w:t xml:space="preserve">Number of prescriptions </w:t>
      </w:r>
      <w:r w:rsidR="007F624E">
        <w:t xml:space="preserve">for pregabalin </w:t>
      </w:r>
      <w:r w:rsidR="00237AB2">
        <w:t xml:space="preserve">by </w:t>
      </w:r>
      <w:r w:rsidR="003716CC">
        <w:t>month of supply</w:t>
      </w:r>
    </w:p>
    <w:p w:rsidR="00EB2212" w:rsidRDefault="00EB2212" w:rsidP="00EB2212"/>
    <w:p w:rsidR="005D08D1" w:rsidRDefault="00EF41CA" w:rsidP="00EB2212">
      <w:pPr>
        <w:rPr>
          <w:b/>
          <w:i/>
        </w:rPr>
      </w:pPr>
      <w:r>
        <w:t>P</w:t>
      </w:r>
      <w:r w:rsidR="005D08D1">
        <w:t xml:space="preserve">rescription numbers </w:t>
      </w:r>
      <w:r w:rsidR="00F719A3">
        <w:t xml:space="preserve">have continued to increase rapidly in the second year of listing. </w:t>
      </w:r>
      <w:r w:rsidR="005D08D1">
        <w:rPr>
          <w:b/>
          <w:i/>
        </w:rPr>
        <w:br w:type="page"/>
      </w:r>
    </w:p>
    <w:p w:rsidR="007514CD" w:rsidRPr="007514CD" w:rsidRDefault="007514CD" w:rsidP="00E94A68">
      <w:pPr>
        <w:spacing w:before="240"/>
        <w:rPr>
          <w:b/>
          <w:i/>
        </w:rPr>
      </w:pPr>
      <w:r>
        <w:rPr>
          <w:b/>
          <w:i/>
        </w:rPr>
        <w:t>Prescriptions by strength</w:t>
      </w:r>
    </w:p>
    <w:p w:rsidR="002C5897" w:rsidRDefault="00392F2E" w:rsidP="00E94A68">
      <w:pPr>
        <w:spacing w:before="240"/>
      </w:pPr>
      <w:r>
        <w:t>Figure 3</w:t>
      </w:r>
      <w:r w:rsidR="00557CEF">
        <w:t xml:space="preserve"> shows the total number of prescriptions per month by strength.</w:t>
      </w:r>
      <w:r w:rsidR="004E1A4C">
        <w:t xml:space="preserve">  </w:t>
      </w:r>
    </w:p>
    <w:p w:rsidR="000B71AD" w:rsidRPr="002C5897" w:rsidRDefault="000B71AD" w:rsidP="00E94A68">
      <w:pPr>
        <w:spacing w:before="240"/>
      </w:pPr>
      <w:r w:rsidRPr="00EB2212">
        <w:rPr>
          <w:noProof/>
          <w:bdr w:val="single" w:sz="4" w:space="0" w:color="auto"/>
        </w:rPr>
        <w:drawing>
          <wp:inline distT="0" distB="0" distL="0" distR="0" wp14:anchorId="60D4A5B2" wp14:editId="1DD1692D">
            <wp:extent cx="5687695" cy="3706724"/>
            <wp:effectExtent l="0" t="0" r="8255" b="82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664E" w:rsidRDefault="00392F2E" w:rsidP="0018677E">
      <w:pPr>
        <w:pStyle w:val="Figuretitle"/>
      </w:pPr>
      <w:r>
        <w:t>Figure 3</w:t>
      </w:r>
      <w:r w:rsidR="000B71AD">
        <w:t>: P</w:t>
      </w:r>
      <w:r w:rsidR="0022664E">
        <w:t xml:space="preserve">rescriptions </w:t>
      </w:r>
      <w:r w:rsidR="009E4876">
        <w:t>of pregabalin by strength</w:t>
      </w:r>
    </w:p>
    <w:p w:rsidR="00B964FB" w:rsidRPr="00B964FB" w:rsidRDefault="00B964FB" w:rsidP="0018677E">
      <w:pPr>
        <w:pStyle w:val="Notes"/>
        <w:rPr>
          <w:b/>
        </w:rPr>
      </w:pPr>
      <w:r w:rsidRPr="00B964FB">
        <w:t>Note: The number 56 in the legend text refers to the number of capsules per pack</w:t>
      </w:r>
    </w:p>
    <w:p w:rsidR="00EB2212" w:rsidRDefault="00EB2212" w:rsidP="00CD2E06">
      <w:pPr>
        <w:spacing w:before="240"/>
      </w:pPr>
    </w:p>
    <w:p w:rsidR="00A5622A" w:rsidRDefault="00A5622A" w:rsidP="00CD2E06">
      <w:pPr>
        <w:spacing w:before="240"/>
      </w:pPr>
      <w:r>
        <w:t xml:space="preserve">The most common strength is the 75 mg PBS item which accounted for 48% of prescriptions supplied in the </w:t>
      </w:r>
      <w:r w:rsidR="00B964FB">
        <w:t xml:space="preserve">two years </w:t>
      </w:r>
      <w:r w:rsidR="004B62E0">
        <w:t xml:space="preserve">since PBS </w:t>
      </w:r>
      <w:r w:rsidR="00B964FB">
        <w:t>listing</w:t>
      </w:r>
      <w:r>
        <w:t>.</w:t>
      </w:r>
    </w:p>
    <w:p w:rsidR="00913C67" w:rsidRDefault="00CD2E06" w:rsidP="00CD2E06">
      <w:pPr>
        <w:spacing w:before="240"/>
      </w:pPr>
      <w:r>
        <w:t xml:space="preserve">The </w:t>
      </w:r>
      <w:r w:rsidR="005D08D1">
        <w:t xml:space="preserve">percentage </w:t>
      </w:r>
      <w:r w:rsidR="00913C67">
        <w:t>distribution of strength</w:t>
      </w:r>
      <w:r w:rsidR="005D08D1">
        <w:t>s</w:t>
      </w:r>
      <w:r w:rsidR="00392F2E">
        <w:t xml:space="preserve"> supplied is shown in Figure 4</w:t>
      </w:r>
      <w:r w:rsidR="00913C67">
        <w:t xml:space="preserve">. </w:t>
      </w:r>
    </w:p>
    <w:p w:rsidR="00913C67" w:rsidRDefault="00913C67" w:rsidP="00CD2E06">
      <w:pPr>
        <w:spacing w:before="240"/>
      </w:pPr>
      <w:r w:rsidRPr="00EB2212">
        <w:rPr>
          <w:noProof/>
          <w:bdr w:val="single" w:sz="4" w:space="0" w:color="auto"/>
        </w:rPr>
        <w:drawing>
          <wp:inline distT="0" distB="0" distL="0" distR="0" wp14:anchorId="57AD8AC8" wp14:editId="5B6FB143">
            <wp:extent cx="5687695" cy="3706724"/>
            <wp:effectExtent l="0" t="0" r="8255" b="825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677E" w:rsidRPr="0018677E" w:rsidRDefault="00013EC1" w:rsidP="0018677E">
      <w:pPr>
        <w:pStyle w:val="Figuretitle"/>
        <w:rPr>
          <w:bCs w:val="0"/>
          <w:iCs w:val="0"/>
        </w:rPr>
      </w:pPr>
      <w:r w:rsidRPr="0018677E">
        <w:rPr>
          <w:bCs w:val="0"/>
          <w:iCs w:val="0"/>
        </w:rPr>
        <w:t xml:space="preserve">Figure </w:t>
      </w:r>
      <w:r w:rsidR="00392F2E" w:rsidRPr="0018677E">
        <w:rPr>
          <w:bCs w:val="0"/>
          <w:iCs w:val="0"/>
        </w:rPr>
        <w:t>4</w:t>
      </w:r>
      <w:r w:rsidRPr="0018677E">
        <w:rPr>
          <w:bCs w:val="0"/>
          <w:iCs w:val="0"/>
        </w:rPr>
        <w:t>: Distribution of prescriptions of pregabalin by strength</w:t>
      </w:r>
    </w:p>
    <w:p w:rsidR="00013EC1" w:rsidRDefault="005D08D1" w:rsidP="0018677E">
      <w:pPr>
        <w:pStyle w:val="Notes"/>
      </w:pPr>
      <w:r w:rsidRPr="005D08D1">
        <w:t>Note: RPBS items are not shown as they are low volume and were delisted at the end of October 2013.</w:t>
      </w:r>
    </w:p>
    <w:p w:rsidR="00EB2212" w:rsidRDefault="00EB2212" w:rsidP="00013EC1"/>
    <w:p w:rsidR="001C7C10" w:rsidRDefault="00013EC1" w:rsidP="00013EC1">
      <w:r>
        <w:t xml:space="preserve">Figure </w:t>
      </w:r>
      <w:r w:rsidR="00392F2E">
        <w:t>4</w:t>
      </w:r>
      <w:r>
        <w:t xml:space="preserve"> shows a decreasing proportion of the 75mg strength (</w:t>
      </w:r>
      <w:r w:rsidR="005D08D1">
        <w:t xml:space="preserve">down </w:t>
      </w:r>
      <w:r>
        <w:t>to 45.4% in March 2015)</w:t>
      </w:r>
      <w:r w:rsidR="00E22EC0">
        <w:t>,</w:t>
      </w:r>
      <w:r w:rsidR="00B07965">
        <w:t xml:space="preserve"> </w:t>
      </w:r>
      <w:r>
        <w:t xml:space="preserve">an increasing proportion of the </w:t>
      </w:r>
      <w:r w:rsidR="00E22EC0">
        <w:t xml:space="preserve">25 and 300 mg </w:t>
      </w:r>
      <w:r>
        <w:t>strengths</w:t>
      </w:r>
      <w:r w:rsidR="00E22EC0">
        <w:t xml:space="preserve"> and the proportion of the 150mg strength is approximately flat</w:t>
      </w:r>
      <w:r>
        <w:t>.</w:t>
      </w:r>
    </w:p>
    <w:p w:rsidR="00982B1F" w:rsidRDefault="00982B1F" w:rsidP="00013EC1">
      <w:r w:rsidRPr="00982B1F">
        <w:t xml:space="preserve">At the October 2014 meeting DUSC considered that the 24 month review of pregabalin could include an analysis of the combination of strengths of pregabalin supplied. Figure </w:t>
      </w:r>
      <w:r w:rsidR="00392F2E">
        <w:t>5</w:t>
      </w:r>
      <w:r w:rsidRPr="00982B1F">
        <w:t xml:space="preserve"> indicates that few patients are </w:t>
      </w:r>
      <w:r w:rsidR="00392F2E">
        <w:t xml:space="preserve">supplied </w:t>
      </w:r>
      <w:r w:rsidRPr="00982B1F">
        <w:t>multiple strengths of pregabalin</w:t>
      </w:r>
      <w:r w:rsidR="00192CCA">
        <w:t xml:space="preserve"> at the same time</w:t>
      </w:r>
      <w:r w:rsidRPr="00982B1F">
        <w:t>.   </w:t>
      </w:r>
    </w:p>
    <w:p w:rsidR="00661F2A" w:rsidRDefault="00661F2A" w:rsidP="00661F2A">
      <w:r w:rsidRPr="00EB2212">
        <w:rPr>
          <w:noProof/>
          <w:bdr w:val="single" w:sz="4" w:space="0" w:color="auto"/>
        </w:rPr>
        <w:drawing>
          <wp:inline distT="0" distB="0" distL="0" distR="0" wp14:anchorId="39D4C668" wp14:editId="19CBD9A8">
            <wp:extent cx="5687695" cy="3716447"/>
            <wp:effectExtent l="0" t="0" r="82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1F2A" w:rsidRPr="00947419" w:rsidRDefault="00661F2A" w:rsidP="00661F2A">
      <w:pPr>
        <w:rPr>
          <w:bCs/>
          <w:sz w:val="22"/>
        </w:rPr>
      </w:pPr>
      <w:r w:rsidRPr="00072D2F">
        <w:rPr>
          <w:b/>
        </w:rPr>
        <w:t xml:space="preserve">Figure </w:t>
      </w:r>
      <w:r>
        <w:rPr>
          <w:b/>
        </w:rPr>
        <w:t>5</w:t>
      </w:r>
      <w:r w:rsidRPr="00072D2F">
        <w:rPr>
          <w:b/>
        </w:rPr>
        <w:t>:</w:t>
      </w:r>
      <w:r>
        <w:rPr>
          <w:b/>
        </w:rPr>
        <w:t xml:space="preserve"> </w:t>
      </w:r>
      <w:r w:rsidRPr="00947419">
        <w:rPr>
          <w:b/>
          <w:bCs/>
        </w:rPr>
        <w:t xml:space="preserve">Strengths of </w:t>
      </w:r>
      <w:r w:rsidR="00326881" w:rsidRPr="00947419">
        <w:rPr>
          <w:b/>
          <w:bCs/>
        </w:rPr>
        <w:t>pregabalin</w:t>
      </w:r>
      <w:r w:rsidRPr="00947419">
        <w:rPr>
          <w:b/>
          <w:bCs/>
        </w:rPr>
        <w:t xml:space="preserve"> supplied on original </w:t>
      </w:r>
      <w:r>
        <w:rPr>
          <w:b/>
          <w:bCs/>
        </w:rPr>
        <w:t>pre</w:t>
      </w:r>
      <w:r w:rsidRPr="00947419">
        <w:rPr>
          <w:b/>
          <w:bCs/>
        </w:rPr>
        <w:t>script</w:t>
      </w:r>
      <w:r>
        <w:rPr>
          <w:b/>
          <w:bCs/>
        </w:rPr>
        <w:t>ion</w:t>
      </w:r>
      <w:r w:rsidRPr="00947419">
        <w:rPr>
          <w:b/>
          <w:bCs/>
        </w:rPr>
        <w:t>s on the same day</w:t>
      </w:r>
      <w:r>
        <w:rPr>
          <w:b/>
          <w:bCs/>
        </w:rPr>
        <w:br/>
      </w:r>
      <w:r w:rsidRPr="00947419">
        <w:rPr>
          <w:bCs/>
          <w:sz w:val="22"/>
        </w:rPr>
        <w:t xml:space="preserve">Note: only </w:t>
      </w:r>
      <w:r>
        <w:rPr>
          <w:bCs/>
          <w:sz w:val="22"/>
        </w:rPr>
        <w:t xml:space="preserve">the </w:t>
      </w:r>
      <w:r w:rsidRPr="00947419">
        <w:rPr>
          <w:bCs/>
          <w:sz w:val="22"/>
        </w:rPr>
        <w:t xml:space="preserve">top ten strength combinations </w:t>
      </w:r>
      <w:r>
        <w:rPr>
          <w:bCs/>
          <w:sz w:val="22"/>
        </w:rPr>
        <w:t xml:space="preserve">are </w:t>
      </w:r>
      <w:r w:rsidRPr="00947419">
        <w:rPr>
          <w:bCs/>
          <w:sz w:val="22"/>
        </w:rPr>
        <w:t>shown</w:t>
      </w:r>
    </w:p>
    <w:p w:rsidR="00EB2212" w:rsidRDefault="00EB2212" w:rsidP="00661F2A"/>
    <w:p w:rsidR="00661F2A" w:rsidRDefault="00661F2A" w:rsidP="00661F2A">
      <w:r>
        <w:t>Figure 5 shows that there are relatively few instances of supply of the two or more strengths of pregabalin from original prescriptions on the same day. Only 3.0% percent of supply days in 2015 Q1 had instances of a combination of strengths supplied. This is probably because as patients up titrate, they are more likely to need a single strength to achieve the higher dose, not a combination of strengths.</w:t>
      </w:r>
    </w:p>
    <w:p w:rsidR="00013EC1" w:rsidRDefault="004B62E0" w:rsidP="00013EC1">
      <w:r>
        <w:t>A</w:t>
      </w:r>
      <w:r w:rsidR="001C7C10">
        <w:t xml:space="preserve">nalyses of </w:t>
      </w:r>
      <w:r>
        <w:t>p</w:t>
      </w:r>
      <w:r w:rsidR="00E22EC0">
        <w:t xml:space="preserve">rescription strength sequence and </w:t>
      </w:r>
      <w:r>
        <w:t>e</w:t>
      </w:r>
      <w:r w:rsidR="00E22EC0">
        <w:t xml:space="preserve">stimated </w:t>
      </w:r>
      <w:r>
        <w:t xml:space="preserve">daily </w:t>
      </w:r>
      <w:r w:rsidR="00E22EC0">
        <w:t xml:space="preserve">dose </w:t>
      </w:r>
      <w:r>
        <w:t>are presented later in this report</w:t>
      </w:r>
      <w:r w:rsidR="00E22EC0">
        <w:t>.</w:t>
      </w:r>
    </w:p>
    <w:p w:rsidR="005D08D1" w:rsidRDefault="005D08D1">
      <w:pPr>
        <w:spacing w:line="276" w:lineRule="auto"/>
        <w:rPr>
          <w:b/>
          <w:i/>
          <w:noProof/>
        </w:rPr>
      </w:pPr>
      <w:r>
        <w:rPr>
          <w:b/>
          <w:i/>
          <w:noProof/>
        </w:rPr>
        <w:br w:type="page"/>
      </w:r>
    </w:p>
    <w:p w:rsidR="009B3E9D" w:rsidRDefault="009B3E9D" w:rsidP="009B3E9D">
      <w:pPr>
        <w:pStyle w:val="Heading3"/>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rsidR="009B3E9D" w:rsidRDefault="009B3E9D" w:rsidP="009B3E9D">
      <w:r>
        <w:t xml:space="preserve">Table </w:t>
      </w:r>
      <w:r w:rsidR="00283481">
        <w:t>4</w:t>
      </w:r>
      <w:r>
        <w:t xml:space="preserve"> </w:t>
      </w:r>
      <w:r w:rsidR="007F48EA">
        <w:t>compares</w:t>
      </w:r>
      <w:r>
        <w:t xml:space="preserve"> the predicted and actual use of </w:t>
      </w:r>
      <w:r w:rsidR="00A543D9">
        <w:t>pregabalin</w:t>
      </w:r>
      <w:r>
        <w:t xml:space="preserve"> in each of the first 2 years of listing. </w:t>
      </w:r>
    </w:p>
    <w:p w:rsidR="009B3E9D" w:rsidRDefault="00670873" w:rsidP="009B3E9D">
      <w:pPr>
        <w:pStyle w:val="Tabletitle"/>
      </w:pPr>
      <w:r>
        <w:t xml:space="preserve">Table </w:t>
      </w:r>
      <w:r w:rsidR="00283481">
        <w:t>4</w:t>
      </w:r>
      <w:r w:rsidR="009B3E9D">
        <w:t xml:space="preserve">: Predicted vs Actual utilisation </w:t>
      </w:r>
    </w:p>
    <w:tbl>
      <w:tblPr>
        <w:tblW w:w="8946" w:type="dxa"/>
        <w:tblInd w:w="93" w:type="dxa"/>
        <w:tblLook w:val="04A0" w:firstRow="1" w:lastRow="0" w:firstColumn="1" w:lastColumn="0" w:noHBand="0" w:noVBand="1"/>
      </w:tblPr>
      <w:tblGrid>
        <w:gridCol w:w="3417"/>
        <w:gridCol w:w="2127"/>
        <w:gridCol w:w="1701"/>
        <w:gridCol w:w="1701"/>
      </w:tblGrid>
      <w:tr w:rsidR="00A543D9" w:rsidRPr="00A543D9" w:rsidTr="0018677E">
        <w:trPr>
          <w:trHeight w:val="300"/>
        </w:trPr>
        <w:tc>
          <w:tcPr>
            <w:tcW w:w="34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43D9" w:rsidRPr="00A543D9" w:rsidRDefault="00A543D9" w:rsidP="00A543D9">
            <w:pPr>
              <w:spacing w:after="0"/>
              <w:rPr>
                <w:rFonts w:ascii="Calibri" w:eastAsia="Times New Roman" w:hAnsi="Calibri" w:cs="Times New Roman"/>
                <w:b/>
                <w:bCs/>
                <w:sz w:val="20"/>
                <w:szCs w:val="20"/>
              </w:rPr>
            </w:pPr>
            <w:r w:rsidRPr="00A543D9">
              <w:rPr>
                <w:rFonts w:ascii="Calibri" w:eastAsia="Times New Roman" w:hAnsi="Calibri" w:cs="Times New Roman"/>
                <w:b/>
                <w:bCs/>
                <w:sz w:val="20"/>
                <w:szCs w:val="20"/>
              </w:rPr>
              <w: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543D9" w:rsidRPr="00A543D9" w:rsidRDefault="00A543D9" w:rsidP="00A543D9">
            <w:pPr>
              <w:spacing w:after="0"/>
              <w:jc w:val="center"/>
              <w:rPr>
                <w:rFonts w:ascii="Calibri" w:eastAsia="Times New Roman" w:hAnsi="Calibri" w:cs="Times New Roman"/>
                <w:b/>
                <w:bCs/>
                <w:sz w:val="20"/>
                <w:szCs w:val="20"/>
              </w:rPr>
            </w:pPr>
            <w:r w:rsidRPr="00A543D9">
              <w:rPr>
                <w:rFonts w:ascii="Calibri" w:eastAsia="Times New Roman" w:hAnsi="Calibri" w:cs="Times New Roman"/>
                <w:b/>
                <w:bCs/>
                <w:sz w:val="20"/>
                <w:szCs w:val="20"/>
              </w:rPr>
              <w:t>Year1</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543D9" w:rsidRPr="00A543D9" w:rsidRDefault="00A543D9" w:rsidP="00A543D9">
            <w:pPr>
              <w:spacing w:after="0"/>
              <w:jc w:val="center"/>
              <w:rPr>
                <w:rFonts w:ascii="Calibri" w:eastAsia="Times New Roman" w:hAnsi="Calibri" w:cs="Times New Roman"/>
                <w:b/>
                <w:bCs/>
                <w:sz w:val="20"/>
                <w:szCs w:val="20"/>
              </w:rPr>
            </w:pPr>
            <w:r w:rsidRPr="00A543D9">
              <w:rPr>
                <w:rFonts w:ascii="Calibri" w:eastAsia="Times New Roman" w:hAnsi="Calibri" w:cs="Times New Roman"/>
                <w:b/>
                <w:bCs/>
                <w:sz w:val="20"/>
                <w:szCs w:val="20"/>
              </w:rPr>
              <w:t>Year 2</w:t>
            </w:r>
          </w:p>
        </w:tc>
      </w:tr>
      <w:tr w:rsidR="00A543D9" w:rsidRPr="00A543D9" w:rsidTr="0018677E">
        <w:trPr>
          <w:trHeight w:val="300"/>
        </w:trPr>
        <w:tc>
          <w:tcPr>
            <w:tcW w:w="341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43D9" w:rsidRPr="00A543D9" w:rsidRDefault="00A543D9" w:rsidP="00A543D9">
            <w:pPr>
              <w:spacing w:after="0"/>
              <w:rPr>
                <w:rFonts w:ascii="Calibri" w:eastAsia="Times New Roman" w:hAnsi="Calibri"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43D9" w:rsidRPr="00A543D9" w:rsidRDefault="00A543D9" w:rsidP="00A543D9">
            <w:pPr>
              <w:spacing w:after="0"/>
              <w:rPr>
                <w:rFonts w:ascii="Calibri" w:eastAsia="Times New Roman" w:hAnsi="Calibri" w:cs="Times New Roman"/>
                <w:b/>
                <w:bCs/>
                <w:sz w:val="20"/>
                <w:szCs w:val="20"/>
              </w:rPr>
            </w:pPr>
          </w:p>
        </w:tc>
        <w:tc>
          <w:tcPr>
            <w:tcW w:w="1701" w:type="dxa"/>
            <w:tcBorders>
              <w:top w:val="nil"/>
              <w:left w:val="nil"/>
              <w:bottom w:val="single" w:sz="4" w:space="0" w:color="auto"/>
              <w:right w:val="single" w:sz="4" w:space="0" w:color="auto"/>
            </w:tcBorders>
            <w:shd w:val="clear" w:color="auto" w:fill="BFBFBF" w:themeFill="background1" w:themeFillShade="BF"/>
            <w:noWrap/>
            <w:vAlign w:val="center"/>
            <w:hideMark/>
          </w:tcPr>
          <w:p w:rsidR="00A543D9" w:rsidRPr="00244241" w:rsidRDefault="00A543D9" w:rsidP="00A543D9">
            <w:pPr>
              <w:spacing w:after="0"/>
              <w:jc w:val="center"/>
              <w:rPr>
                <w:rFonts w:ascii="Calibri" w:eastAsia="Times New Roman" w:hAnsi="Calibri" w:cs="Times New Roman"/>
                <w:b/>
                <w:sz w:val="20"/>
                <w:szCs w:val="20"/>
              </w:rPr>
            </w:pPr>
            <w:r w:rsidRPr="00244241">
              <w:rPr>
                <w:rFonts w:ascii="Calibri" w:eastAsia="Times New Roman" w:hAnsi="Calibri" w:cs="Times New Roman"/>
                <w:b/>
                <w:sz w:val="20"/>
                <w:szCs w:val="20"/>
              </w:rPr>
              <w:t>Mar13 to Feb14</w:t>
            </w:r>
          </w:p>
        </w:tc>
        <w:tc>
          <w:tcPr>
            <w:tcW w:w="1701" w:type="dxa"/>
            <w:tcBorders>
              <w:top w:val="nil"/>
              <w:left w:val="nil"/>
              <w:bottom w:val="single" w:sz="4" w:space="0" w:color="auto"/>
              <w:right w:val="single" w:sz="4" w:space="0" w:color="auto"/>
            </w:tcBorders>
            <w:shd w:val="clear" w:color="auto" w:fill="BFBFBF" w:themeFill="background1" w:themeFillShade="BF"/>
            <w:noWrap/>
            <w:vAlign w:val="center"/>
            <w:hideMark/>
          </w:tcPr>
          <w:p w:rsidR="00A543D9" w:rsidRPr="00244241" w:rsidRDefault="00A543D9" w:rsidP="00A543D9">
            <w:pPr>
              <w:spacing w:after="0"/>
              <w:jc w:val="center"/>
              <w:rPr>
                <w:rFonts w:ascii="Calibri" w:eastAsia="Times New Roman" w:hAnsi="Calibri" w:cs="Times New Roman"/>
                <w:b/>
                <w:sz w:val="20"/>
                <w:szCs w:val="20"/>
              </w:rPr>
            </w:pPr>
            <w:r w:rsidRPr="00244241">
              <w:rPr>
                <w:rFonts w:ascii="Calibri" w:eastAsia="Times New Roman" w:hAnsi="Calibri" w:cs="Times New Roman"/>
                <w:b/>
                <w:sz w:val="20"/>
                <w:szCs w:val="20"/>
              </w:rPr>
              <w:t>Mar14 to Feb15</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Patients</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Predicted (P)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191C9B">
              <w:rPr>
                <w:rFonts w:ascii="Calibri" w:eastAsia="Times New Roman" w:hAnsi="Calibri" w:cs="Times New Roman"/>
                <w:sz w:val="20"/>
                <w:szCs w:val="20"/>
              </w:rPr>
              <w:t>211,620</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191C9B">
              <w:rPr>
                <w:rFonts w:ascii="Calibri" w:eastAsia="Times New Roman" w:hAnsi="Calibri" w:cs="Times New Roman"/>
                <w:sz w:val="20"/>
                <w:szCs w:val="20"/>
              </w:rPr>
              <w:t>274,132</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Actual (A)</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294,747</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433,324</w:t>
            </w:r>
          </w:p>
        </w:tc>
      </w:tr>
      <w:tr w:rsidR="00A543D9" w:rsidRPr="00A543D9" w:rsidTr="0018677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Difference (A-P)/P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326881" w:rsidP="00A543D9">
            <w:pPr>
              <w:spacing w:after="0"/>
              <w:jc w:val="center"/>
              <w:rPr>
                <w:rFonts w:ascii="Calibri" w:eastAsia="Times New Roman" w:hAnsi="Calibri" w:cs="Times New Roman"/>
                <w:sz w:val="20"/>
                <w:szCs w:val="20"/>
              </w:rPr>
            </w:pPr>
            <w:r w:rsidRPr="00191C9B">
              <w:rPr>
                <w:rFonts w:ascii="Calibri" w:eastAsia="Times New Roman" w:hAnsi="Calibri" w:cs="Times New Roman"/>
                <w:sz w:val="20"/>
                <w:szCs w:val="20"/>
              </w:rPr>
              <w:t>+</w:t>
            </w:r>
            <w:r w:rsidR="00A543D9" w:rsidRPr="00191C9B">
              <w:rPr>
                <w:rFonts w:ascii="Calibri" w:eastAsia="Times New Roman" w:hAnsi="Calibri" w:cs="Times New Roman"/>
                <w:sz w:val="20"/>
                <w:szCs w:val="20"/>
              </w:rPr>
              <w:t>39</w:t>
            </w:r>
            <w:r w:rsidR="00A543D9" w:rsidRPr="00A543D9">
              <w:rPr>
                <w:rFonts w:ascii="Calibri" w:eastAsia="Times New Roman" w:hAnsi="Calibri" w:cs="Times New Roman"/>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326881" w:rsidP="00A543D9">
            <w:pPr>
              <w:spacing w:after="0"/>
              <w:jc w:val="center"/>
              <w:rPr>
                <w:rFonts w:ascii="Calibri" w:eastAsia="Times New Roman" w:hAnsi="Calibri" w:cs="Times New Roman"/>
                <w:sz w:val="20"/>
                <w:szCs w:val="20"/>
              </w:rPr>
            </w:pPr>
            <w:r w:rsidRPr="00191C9B">
              <w:rPr>
                <w:rFonts w:ascii="Calibri" w:eastAsia="Times New Roman" w:hAnsi="Calibri" w:cs="Times New Roman"/>
                <w:sz w:val="20"/>
                <w:szCs w:val="20"/>
              </w:rPr>
              <w:t>+</w:t>
            </w:r>
            <w:r w:rsidR="00A543D9" w:rsidRPr="00191C9B">
              <w:rPr>
                <w:rFonts w:ascii="Calibri" w:eastAsia="Times New Roman" w:hAnsi="Calibri" w:cs="Times New Roman"/>
                <w:sz w:val="20"/>
                <w:szCs w:val="20"/>
              </w:rPr>
              <w:t>58</w:t>
            </w:r>
            <w:r w:rsidR="00A543D9" w:rsidRPr="00A543D9">
              <w:rPr>
                <w:rFonts w:ascii="Calibri" w:eastAsia="Times New Roman" w:hAnsi="Calibri" w:cs="Times New Roman"/>
                <w:sz w:val="20"/>
                <w:szCs w:val="20"/>
              </w:rPr>
              <w:t>%</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Prescriptions</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Predicted (P)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762B10">
              <w:rPr>
                <w:rFonts w:ascii="Calibri" w:eastAsia="Times New Roman" w:hAnsi="Calibri" w:cs="Times New Roman"/>
                <w:sz w:val="20"/>
                <w:szCs w:val="20"/>
              </w:rPr>
              <w:t>1,381,724</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762B10">
              <w:rPr>
                <w:rFonts w:ascii="Calibri" w:eastAsia="Times New Roman" w:hAnsi="Calibri" w:cs="Times New Roman"/>
                <w:sz w:val="20"/>
                <w:szCs w:val="20"/>
              </w:rPr>
              <w:t>1,847,128</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Actual (A)</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1,396,766</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2,435,807</w:t>
            </w:r>
          </w:p>
        </w:tc>
      </w:tr>
      <w:tr w:rsidR="00A543D9" w:rsidRPr="00A543D9" w:rsidTr="0018677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Difference (A-P)/P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326881" w:rsidP="00A543D9">
            <w:pPr>
              <w:spacing w:after="0"/>
              <w:jc w:val="center"/>
              <w:rPr>
                <w:rFonts w:ascii="Calibri" w:eastAsia="Times New Roman" w:hAnsi="Calibri" w:cs="Times New Roman"/>
                <w:sz w:val="20"/>
                <w:szCs w:val="20"/>
              </w:rPr>
            </w:pPr>
            <w:r w:rsidRPr="00762B10">
              <w:rPr>
                <w:rFonts w:ascii="Calibri" w:eastAsia="Times New Roman" w:hAnsi="Calibri" w:cs="Times New Roman"/>
                <w:sz w:val="20"/>
                <w:szCs w:val="20"/>
              </w:rPr>
              <w:t>+</w:t>
            </w:r>
            <w:r w:rsidR="00A543D9" w:rsidRPr="00762B10">
              <w:rPr>
                <w:rFonts w:ascii="Calibri" w:eastAsia="Times New Roman" w:hAnsi="Calibri" w:cs="Times New Roman"/>
                <w:sz w:val="20"/>
                <w:szCs w:val="20"/>
              </w:rPr>
              <w:t>1</w:t>
            </w:r>
            <w:r w:rsidR="00A543D9" w:rsidRPr="00A543D9">
              <w:rPr>
                <w:rFonts w:ascii="Calibri" w:eastAsia="Times New Roman" w:hAnsi="Calibri" w:cs="Times New Roman"/>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326881" w:rsidP="00A543D9">
            <w:pPr>
              <w:spacing w:after="0"/>
              <w:jc w:val="center"/>
              <w:rPr>
                <w:rFonts w:ascii="Calibri" w:eastAsia="Times New Roman" w:hAnsi="Calibri" w:cs="Times New Roman"/>
                <w:sz w:val="20"/>
                <w:szCs w:val="20"/>
              </w:rPr>
            </w:pPr>
            <w:r w:rsidRPr="00762B10">
              <w:rPr>
                <w:rFonts w:ascii="Calibri" w:eastAsia="Times New Roman" w:hAnsi="Calibri" w:cs="Times New Roman"/>
                <w:sz w:val="20"/>
                <w:szCs w:val="20"/>
              </w:rPr>
              <w:t>+</w:t>
            </w:r>
            <w:r w:rsidR="00A543D9" w:rsidRPr="00762B10">
              <w:rPr>
                <w:rFonts w:ascii="Calibri" w:eastAsia="Times New Roman" w:hAnsi="Calibri" w:cs="Times New Roman"/>
                <w:sz w:val="20"/>
                <w:szCs w:val="20"/>
              </w:rPr>
              <w:t>32</w:t>
            </w:r>
            <w:r w:rsidR="00A543D9" w:rsidRPr="00A543D9">
              <w:rPr>
                <w:rFonts w:ascii="Calibri" w:eastAsia="Times New Roman" w:hAnsi="Calibri" w:cs="Times New Roman"/>
                <w:sz w:val="20"/>
                <w:szCs w:val="20"/>
              </w:rPr>
              <w:t>%</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Scripts per patient</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Predicted (P)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762B10">
              <w:rPr>
                <w:rFonts w:ascii="Calibri" w:eastAsia="Times New Roman" w:hAnsi="Calibri" w:cs="Times New Roman"/>
                <w:sz w:val="20"/>
                <w:szCs w:val="20"/>
              </w:rPr>
              <w:t>6.53</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762B10">
              <w:rPr>
                <w:rFonts w:ascii="Calibri" w:eastAsia="Times New Roman" w:hAnsi="Calibri" w:cs="Times New Roman"/>
                <w:sz w:val="20"/>
                <w:szCs w:val="20"/>
              </w:rPr>
              <w:t>6.74</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Actual (A)</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4.74</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5.62</w:t>
            </w:r>
          </w:p>
        </w:tc>
      </w:tr>
      <w:tr w:rsidR="00A543D9" w:rsidRPr="00A543D9" w:rsidTr="0018677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Difference (A-P)/P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762B10">
              <w:rPr>
                <w:rFonts w:ascii="Calibri" w:eastAsia="Times New Roman" w:hAnsi="Calibri" w:cs="Times New Roman"/>
                <w:sz w:val="20"/>
                <w:szCs w:val="20"/>
              </w:rPr>
              <w:t>-27</w:t>
            </w:r>
            <w:r w:rsidRPr="00A543D9">
              <w:rPr>
                <w:rFonts w:ascii="Calibri" w:eastAsia="Times New Roman" w:hAnsi="Calibri" w:cs="Times New Roman"/>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762B10">
              <w:rPr>
                <w:rFonts w:ascii="Calibri" w:eastAsia="Times New Roman" w:hAnsi="Calibri" w:cs="Times New Roman"/>
                <w:sz w:val="20"/>
                <w:szCs w:val="20"/>
              </w:rPr>
              <w:t>-17</w:t>
            </w:r>
            <w:r w:rsidRPr="00A543D9">
              <w:rPr>
                <w:rFonts w:ascii="Calibri" w:eastAsia="Times New Roman" w:hAnsi="Calibri" w:cs="Times New Roman"/>
                <w:sz w:val="20"/>
                <w:szCs w:val="20"/>
              </w:rPr>
              <w:t>%</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R/PBS expenditure</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Predicted (P)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xml:space="preserve"> $    </w:t>
            </w:r>
            <w:r w:rsidR="009E7B38">
              <w:rPr>
                <w:rFonts w:ascii="Calibri" w:eastAsia="Times New Roman" w:hAnsi="Calibri" w:cs="Times New Roman"/>
                <w:noProof/>
                <w:color w:val="000000"/>
                <w:sz w:val="20"/>
                <w:szCs w:val="20"/>
                <w:highlight w:val="black"/>
              </w:rPr>
              <w:t>''''''''''''''''''''''</w:t>
            </w:r>
            <w:r w:rsidRPr="00A543D9">
              <w:rPr>
                <w:rFonts w:ascii="Calibri" w:eastAsia="Times New Roman" w:hAnsi="Calibri" w:cs="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xml:space="preserve"> $      </w:t>
            </w:r>
            <w:r w:rsidR="009E7B38">
              <w:rPr>
                <w:rFonts w:ascii="Calibri" w:eastAsia="Times New Roman" w:hAnsi="Calibri" w:cs="Times New Roman"/>
                <w:noProof/>
                <w:color w:val="000000"/>
                <w:sz w:val="20"/>
                <w:szCs w:val="20"/>
                <w:highlight w:val="black"/>
              </w:rPr>
              <w:t>'''''''''''''''''''''''</w:t>
            </w:r>
            <w:r w:rsidRPr="00A543D9">
              <w:rPr>
                <w:rFonts w:ascii="Calibri" w:eastAsia="Times New Roman" w:hAnsi="Calibri" w:cs="Times New Roman"/>
                <w:sz w:val="20"/>
                <w:szCs w:val="20"/>
              </w:rPr>
              <w:t xml:space="preserve"> </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Actual (A)</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xml:space="preserve"> $    60,970,537 </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xml:space="preserve"> $      106,374,363 </w:t>
            </w:r>
          </w:p>
        </w:tc>
      </w:tr>
      <w:tr w:rsidR="00A543D9" w:rsidRPr="00A543D9" w:rsidTr="0018677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Difference (A-P)/P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9E7B38" w:rsidP="00A543D9">
            <w:pPr>
              <w:spacing w:after="0"/>
              <w:jc w:val="center"/>
              <w:rPr>
                <w:rFonts w:ascii="Calibri" w:eastAsia="Times New Roman" w:hAnsi="Calibri" w:cs="Times New Roman"/>
                <w:sz w:val="20"/>
                <w:szCs w:val="20"/>
              </w:rPr>
            </w:pPr>
            <w:r>
              <w:rPr>
                <w:rFonts w:ascii="Calibri" w:eastAsia="Times New Roman" w:hAnsi="Calibri" w:cs="Times New Roman"/>
                <w:noProof/>
                <w:color w:val="000000"/>
                <w:sz w:val="20"/>
                <w:szCs w:val="20"/>
                <w:highlight w:val="black"/>
              </w:rPr>
              <w:t>'''''''</w:t>
            </w:r>
            <w:r w:rsidR="00A543D9" w:rsidRPr="00A543D9">
              <w:rPr>
                <w:rFonts w:ascii="Calibri" w:eastAsia="Times New Roman" w:hAnsi="Calibri" w:cs="Times New Roman"/>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9E7B38" w:rsidP="00A543D9">
            <w:pPr>
              <w:spacing w:after="0"/>
              <w:jc w:val="center"/>
              <w:rPr>
                <w:rFonts w:ascii="Calibri" w:eastAsia="Times New Roman" w:hAnsi="Calibri" w:cs="Times New Roman"/>
                <w:sz w:val="20"/>
                <w:szCs w:val="20"/>
              </w:rPr>
            </w:pPr>
            <w:r>
              <w:rPr>
                <w:rFonts w:ascii="Calibri" w:eastAsia="Times New Roman" w:hAnsi="Calibri" w:cs="Times New Roman"/>
                <w:noProof/>
                <w:color w:val="000000"/>
                <w:sz w:val="20"/>
                <w:szCs w:val="20"/>
                <w:highlight w:val="black"/>
              </w:rPr>
              <w:t>'''''</w:t>
            </w:r>
            <w:r w:rsidR="00A543D9" w:rsidRPr="00A543D9">
              <w:rPr>
                <w:rFonts w:ascii="Calibri" w:eastAsia="Times New Roman" w:hAnsi="Calibri" w:cs="Times New Roman"/>
                <w:sz w:val="20"/>
                <w:szCs w:val="20"/>
              </w:rPr>
              <w:t>%</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E93EBF" w:rsidP="00E93EBF">
            <w:pPr>
              <w:spacing w:after="0"/>
              <w:rPr>
                <w:rFonts w:ascii="Calibri" w:eastAsia="Times New Roman" w:hAnsi="Calibri" w:cs="Times New Roman"/>
                <w:sz w:val="20"/>
                <w:szCs w:val="20"/>
              </w:rPr>
            </w:pPr>
            <w:r>
              <w:rPr>
                <w:rFonts w:ascii="Calibri" w:eastAsia="Times New Roman" w:hAnsi="Calibri" w:cs="Times New Roman"/>
                <w:sz w:val="20"/>
                <w:szCs w:val="20"/>
              </w:rPr>
              <w:t xml:space="preserve">Mean </w:t>
            </w:r>
            <w:r w:rsidR="00A543D9" w:rsidRPr="00A543D9">
              <w:rPr>
                <w:rFonts w:ascii="Calibri" w:eastAsia="Times New Roman" w:hAnsi="Calibri" w:cs="Times New Roman"/>
                <w:sz w:val="20"/>
                <w:szCs w:val="20"/>
              </w:rPr>
              <w:t>R/PBS expenditure per script</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Predicted (P)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w:t>
            </w:r>
            <w:r w:rsidR="009E7B38">
              <w:rPr>
                <w:rFonts w:ascii="Calibri" w:eastAsia="Times New Roman" w:hAnsi="Calibri" w:cs="Times New Roman"/>
                <w:noProof/>
                <w:color w:val="000000"/>
                <w:sz w:val="20"/>
                <w:szCs w:val="20"/>
                <w:highlight w:val="black"/>
              </w:rPr>
              <w:t>'''''</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w:t>
            </w:r>
            <w:r w:rsidR="009E7B38">
              <w:rPr>
                <w:rFonts w:ascii="Calibri" w:eastAsia="Times New Roman" w:hAnsi="Calibri" w:cs="Times New Roman"/>
                <w:noProof/>
                <w:color w:val="000000"/>
                <w:sz w:val="20"/>
                <w:szCs w:val="20"/>
                <w:highlight w:val="black"/>
              </w:rPr>
              <w:t>'''''</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Actual (A)</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$44</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$44</w:t>
            </w:r>
          </w:p>
        </w:tc>
      </w:tr>
      <w:tr w:rsidR="00A543D9" w:rsidRPr="00A543D9" w:rsidTr="0018677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Difference (A-P)/P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9E7B38" w:rsidP="00A543D9">
            <w:pPr>
              <w:spacing w:after="0"/>
              <w:jc w:val="center"/>
              <w:rPr>
                <w:rFonts w:ascii="Calibri" w:eastAsia="Times New Roman" w:hAnsi="Calibri" w:cs="Times New Roman"/>
                <w:sz w:val="20"/>
                <w:szCs w:val="20"/>
              </w:rPr>
            </w:pPr>
            <w:r>
              <w:rPr>
                <w:rFonts w:ascii="Calibri" w:eastAsia="Times New Roman" w:hAnsi="Calibri" w:cs="Times New Roman"/>
                <w:noProof/>
                <w:color w:val="000000"/>
                <w:sz w:val="20"/>
                <w:szCs w:val="20"/>
                <w:highlight w:val="black"/>
              </w:rPr>
              <w:t>'''''''</w:t>
            </w:r>
            <w:r w:rsidR="00A543D9" w:rsidRPr="00A543D9">
              <w:rPr>
                <w:rFonts w:ascii="Calibri" w:eastAsia="Times New Roman" w:hAnsi="Calibri" w:cs="Times New Roman"/>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9E7B38" w:rsidP="00A543D9">
            <w:pPr>
              <w:spacing w:after="0"/>
              <w:jc w:val="center"/>
              <w:rPr>
                <w:rFonts w:ascii="Calibri" w:eastAsia="Times New Roman" w:hAnsi="Calibri" w:cs="Times New Roman"/>
                <w:sz w:val="20"/>
                <w:szCs w:val="20"/>
              </w:rPr>
            </w:pPr>
            <w:r>
              <w:rPr>
                <w:rFonts w:ascii="Calibri" w:eastAsia="Times New Roman" w:hAnsi="Calibri" w:cs="Times New Roman"/>
                <w:noProof/>
                <w:color w:val="000000"/>
                <w:sz w:val="20"/>
                <w:szCs w:val="20"/>
                <w:highlight w:val="black"/>
              </w:rPr>
              <w:t>''''''</w:t>
            </w:r>
            <w:r w:rsidR="00A543D9" w:rsidRPr="00A543D9">
              <w:rPr>
                <w:rFonts w:ascii="Calibri" w:eastAsia="Times New Roman" w:hAnsi="Calibri" w:cs="Times New Roman"/>
                <w:sz w:val="20"/>
                <w:szCs w:val="20"/>
              </w:rPr>
              <w:t>%</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E93EBF" w:rsidP="00E93EBF">
            <w:pPr>
              <w:spacing w:after="0"/>
              <w:rPr>
                <w:rFonts w:ascii="Calibri" w:eastAsia="Times New Roman" w:hAnsi="Calibri" w:cs="Times New Roman"/>
                <w:sz w:val="20"/>
                <w:szCs w:val="20"/>
              </w:rPr>
            </w:pPr>
            <w:r>
              <w:rPr>
                <w:rFonts w:ascii="Calibri" w:eastAsia="Times New Roman" w:hAnsi="Calibri" w:cs="Times New Roman"/>
                <w:sz w:val="20"/>
                <w:szCs w:val="20"/>
              </w:rPr>
              <w:t xml:space="preserve">Mean </w:t>
            </w:r>
            <w:r w:rsidR="00A543D9" w:rsidRPr="00A543D9">
              <w:rPr>
                <w:rFonts w:ascii="Calibri" w:eastAsia="Times New Roman" w:hAnsi="Calibri" w:cs="Times New Roman"/>
                <w:sz w:val="20"/>
                <w:szCs w:val="20"/>
              </w:rPr>
              <w:t xml:space="preserve">R/PBS expenditure  per patient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Predicted (P)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w:t>
            </w:r>
            <w:r w:rsidR="009E7B38">
              <w:rPr>
                <w:rFonts w:ascii="Calibri" w:eastAsia="Times New Roman" w:hAnsi="Calibri" w:cs="Times New Roman"/>
                <w:noProof/>
                <w:color w:val="000000"/>
                <w:sz w:val="20"/>
                <w:szCs w:val="20"/>
                <w:highlight w:val="black"/>
              </w:rPr>
              <w:t>''''''''</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w:t>
            </w:r>
            <w:r w:rsidR="009E7B38">
              <w:rPr>
                <w:rFonts w:ascii="Calibri" w:eastAsia="Times New Roman" w:hAnsi="Calibri" w:cs="Times New Roman"/>
                <w:noProof/>
                <w:color w:val="000000"/>
                <w:sz w:val="20"/>
                <w:szCs w:val="20"/>
                <w:highlight w:val="black"/>
              </w:rPr>
              <w:t>'''''''</w:t>
            </w:r>
          </w:p>
        </w:tc>
      </w:tr>
      <w:tr w:rsidR="00A543D9" w:rsidRPr="00A543D9" w:rsidTr="0018677E">
        <w:trPr>
          <w:trHeight w:val="300"/>
        </w:trPr>
        <w:tc>
          <w:tcPr>
            <w:tcW w:w="3417" w:type="dxa"/>
            <w:tcBorders>
              <w:top w:val="nil"/>
              <w:left w:val="single" w:sz="4" w:space="0" w:color="auto"/>
              <w:bottom w:val="nil"/>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Actual (A)</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$207</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A543D9" w:rsidP="00A543D9">
            <w:pPr>
              <w:spacing w:after="0"/>
              <w:jc w:val="center"/>
              <w:rPr>
                <w:rFonts w:ascii="Calibri" w:eastAsia="Times New Roman" w:hAnsi="Calibri" w:cs="Times New Roman"/>
                <w:sz w:val="20"/>
                <w:szCs w:val="20"/>
              </w:rPr>
            </w:pPr>
            <w:r w:rsidRPr="00A543D9">
              <w:rPr>
                <w:rFonts w:ascii="Calibri" w:eastAsia="Times New Roman" w:hAnsi="Calibri" w:cs="Times New Roman"/>
                <w:sz w:val="20"/>
                <w:szCs w:val="20"/>
              </w:rPr>
              <w:t>$245</w:t>
            </w:r>
          </w:p>
        </w:tc>
      </w:tr>
      <w:tr w:rsidR="00A543D9" w:rsidRPr="00A543D9" w:rsidTr="0018677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w:t>
            </w:r>
          </w:p>
        </w:tc>
        <w:tc>
          <w:tcPr>
            <w:tcW w:w="2127" w:type="dxa"/>
            <w:tcBorders>
              <w:top w:val="nil"/>
              <w:left w:val="nil"/>
              <w:bottom w:val="single" w:sz="4" w:space="0" w:color="auto"/>
              <w:right w:val="single" w:sz="4" w:space="0" w:color="auto"/>
            </w:tcBorders>
            <w:shd w:val="clear" w:color="auto" w:fill="auto"/>
            <w:vAlign w:val="center"/>
            <w:hideMark/>
          </w:tcPr>
          <w:p w:rsidR="00A543D9" w:rsidRPr="00A543D9" w:rsidRDefault="00A543D9" w:rsidP="00A543D9">
            <w:pPr>
              <w:spacing w:after="0"/>
              <w:rPr>
                <w:rFonts w:ascii="Calibri" w:eastAsia="Times New Roman" w:hAnsi="Calibri" w:cs="Times New Roman"/>
                <w:sz w:val="20"/>
                <w:szCs w:val="20"/>
              </w:rPr>
            </w:pPr>
            <w:r w:rsidRPr="00A543D9">
              <w:rPr>
                <w:rFonts w:ascii="Calibri" w:eastAsia="Times New Roman" w:hAnsi="Calibri" w:cs="Times New Roman"/>
                <w:sz w:val="20"/>
                <w:szCs w:val="20"/>
              </w:rPr>
              <w:t>% Difference (A-P)/P</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9E7B38" w:rsidP="00A543D9">
            <w:pPr>
              <w:spacing w:after="0"/>
              <w:jc w:val="center"/>
              <w:rPr>
                <w:rFonts w:ascii="Calibri" w:eastAsia="Times New Roman" w:hAnsi="Calibri" w:cs="Times New Roman"/>
                <w:sz w:val="20"/>
                <w:szCs w:val="20"/>
              </w:rPr>
            </w:pPr>
            <w:r>
              <w:rPr>
                <w:rFonts w:ascii="Calibri" w:eastAsia="Times New Roman" w:hAnsi="Calibri" w:cs="Times New Roman"/>
                <w:noProof/>
                <w:color w:val="000000"/>
                <w:sz w:val="20"/>
                <w:szCs w:val="20"/>
                <w:highlight w:val="black"/>
              </w:rPr>
              <w:t>'''''''</w:t>
            </w:r>
            <w:r w:rsidR="00A543D9" w:rsidRPr="00A543D9">
              <w:rPr>
                <w:rFonts w:ascii="Calibri" w:eastAsia="Times New Roman" w:hAnsi="Calibri" w:cs="Times New Roman"/>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rsidR="00A543D9" w:rsidRPr="00A543D9" w:rsidRDefault="009E7B38" w:rsidP="00A543D9">
            <w:pPr>
              <w:spacing w:after="0"/>
              <w:jc w:val="center"/>
              <w:rPr>
                <w:rFonts w:ascii="Calibri" w:eastAsia="Times New Roman" w:hAnsi="Calibri" w:cs="Times New Roman"/>
                <w:sz w:val="20"/>
                <w:szCs w:val="20"/>
              </w:rPr>
            </w:pPr>
            <w:r>
              <w:rPr>
                <w:rFonts w:ascii="Calibri" w:eastAsia="Times New Roman" w:hAnsi="Calibri" w:cs="Times New Roman"/>
                <w:noProof/>
                <w:color w:val="000000"/>
                <w:sz w:val="20"/>
                <w:szCs w:val="20"/>
                <w:highlight w:val="black"/>
              </w:rPr>
              <w:t>''''''</w:t>
            </w:r>
            <w:r w:rsidR="00A543D9" w:rsidRPr="00A543D9">
              <w:rPr>
                <w:rFonts w:ascii="Calibri" w:eastAsia="Times New Roman" w:hAnsi="Calibri" w:cs="Times New Roman"/>
                <w:sz w:val="20"/>
                <w:szCs w:val="20"/>
              </w:rPr>
              <w:t>%</w:t>
            </w:r>
          </w:p>
        </w:tc>
      </w:tr>
    </w:tbl>
    <w:p w:rsidR="009B3E9D" w:rsidRDefault="009B3E9D" w:rsidP="009B3E9D">
      <w:pPr>
        <w:spacing w:after="0"/>
      </w:pPr>
    </w:p>
    <w:p w:rsidR="00CB2CEB" w:rsidRDefault="009B3E9D" w:rsidP="009B3E9D">
      <w:r>
        <w:t xml:space="preserve">The number of patients supplied </w:t>
      </w:r>
      <w:r w:rsidR="00A543D9">
        <w:t>pregabalin</w:t>
      </w:r>
      <w:r>
        <w:t xml:space="preserve"> </w:t>
      </w:r>
      <w:r w:rsidR="00A543D9">
        <w:t>wa</w:t>
      </w:r>
      <w:r>
        <w:t xml:space="preserve">s </w:t>
      </w:r>
      <w:r w:rsidR="00A543D9" w:rsidRPr="00191C9B">
        <w:t>39</w:t>
      </w:r>
      <w:r w:rsidR="00A543D9">
        <w:t xml:space="preserve">% and </w:t>
      </w:r>
      <w:r w:rsidR="00A543D9" w:rsidRPr="00191C9B">
        <w:t>58</w:t>
      </w:r>
      <w:r w:rsidR="00A543D9">
        <w:t xml:space="preserve">% higher </w:t>
      </w:r>
      <w:r>
        <w:t>than expected</w:t>
      </w:r>
      <w:r w:rsidR="00A543D9">
        <w:t xml:space="preserve"> in Year 1 and 2 respectively. However this only </w:t>
      </w:r>
      <w:r w:rsidR="00172159">
        <w:t xml:space="preserve">translated to prescriptions being 1% and 32% higher than expected in Year 1 and 2 respectively. This was because the </w:t>
      </w:r>
      <w:r w:rsidR="004B1D1E">
        <w:t xml:space="preserve">mean </w:t>
      </w:r>
      <w:r w:rsidR="00172159">
        <w:t>scripts per patient were lower than expected (</w:t>
      </w:r>
      <w:r w:rsidR="00172159" w:rsidRPr="00762B10">
        <w:t>27</w:t>
      </w:r>
      <w:r w:rsidR="00172159">
        <w:t xml:space="preserve">% and </w:t>
      </w:r>
      <w:r w:rsidR="00172159" w:rsidRPr="00762B10">
        <w:t>17</w:t>
      </w:r>
      <w:r w:rsidR="00172159">
        <w:t xml:space="preserve">% lower in Year 1 and 2 respectively). </w:t>
      </w:r>
    </w:p>
    <w:p w:rsidR="004B1D1E" w:rsidRDefault="004B1D1E" w:rsidP="009B3E9D">
      <w:r>
        <w:t xml:space="preserve">Mean </w:t>
      </w:r>
      <w:r w:rsidR="00172159">
        <w:t>R/PBS expenditure</w:t>
      </w:r>
      <w:r w:rsidR="00167032">
        <w:t xml:space="preserve"> </w:t>
      </w:r>
      <w:r w:rsidR="0064187B">
        <w:t xml:space="preserve">per </w:t>
      </w:r>
      <w:r w:rsidR="00CB2CEB">
        <w:t>script was</w:t>
      </w:r>
      <w:r w:rsidR="00172159">
        <w:t xml:space="preserve"> </w:t>
      </w:r>
      <w:r w:rsidR="009E7B38">
        <w:rPr>
          <w:noProof/>
          <w:color w:val="000000"/>
          <w:highlight w:val="black"/>
        </w:rPr>
        <w:t>'''''</w:t>
      </w:r>
      <w:r w:rsidR="00F32822">
        <w:t>% and</w:t>
      </w:r>
      <w:r w:rsidR="0064187B">
        <w:t xml:space="preserve"> </w:t>
      </w:r>
      <w:r w:rsidR="009E7B38">
        <w:rPr>
          <w:noProof/>
          <w:color w:val="000000"/>
          <w:highlight w:val="black"/>
        </w:rPr>
        <w:t>'''''</w:t>
      </w:r>
      <w:r w:rsidR="0064187B">
        <w:t xml:space="preserve">% lower than expected in Year 1 and 2 respectively. This </w:t>
      </w:r>
      <w:r>
        <w:t>could be due to;</w:t>
      </w:r>
    </w:p>
    <w:p w:rsidR="003F40E9" w:rsidRDefault="003F40E9" w:rsidP="002925BE">
      <w:pPr>
        <w:pStyle w:val="ListParagraph"/>
        <w:numPr>
          <w:ilvl w:val="0"/>
          <w:numId w:val="28"/>
        </w:numPr>
      </w:pPr>
      <w:r>
        <w:t xml:space="preserve">the </w:t>
      </w:r>
      <w:r w:rsidR="004B1D1E">
        <w:t xml:space="preserve">actual dose being </w:t>
      </w:r>
      <w:r>
        <w:t>lower</w:t>
      </w:r>
      <w:r w:rsidR="004B1D1E">
        <w:t xml:space="preserve"> than </w:t>
      </w:r>
      <w:r>
        <w:t xml:space="preserve">predicted </w:t>
      </w:r>
      <w:r w:rsidR="002925BE">
        <w:t>(t</w:t>
      </w:r>
      <w:r w:rsidR="002925BE" w:rsidRPr="002925BE">
        <w:t xml:space="preserve">his issue </w:t>
      </w:r>
      <w:r w:rsidR="00326881">
        <w:t>is</w:t>
      </w:r>
      <w:r w:rsidR="002925BE" w:rsidRPr="002925BE">
        <w:t xml:space="preserve"> investigated further in the dose analysis section below</w:t>
      </w:r>
      <w:r w:rsidR="002925BE">
        <w:t>)</w:t>
      </w:r>
      <w:r w:rsidR="002925BE" w:rsidRPr="002925BE">
        <w:t xml:space="preserve"> </w:t>
      </w:r>
      <w:r>
        <w:t>and/or;</w:t>
      </w:r>
    </w:p>
    <w:p w:rsidR="003F40E9" w:rsidRDefault="003F40E9" w:rsidP="003F40E9">
      <w:pPr>
        <w:pStyle w:val="ListParagraph"/>
        <w:numPr>
          <w:ilvl w:val="0"/>
          <w:numId w:val="28"/>
        </w:numPr>
      </w:pPr>
      <w:r>
        <w:t xml:space="preserve">the </w:t>
      </w:r>
      <w:r w:rsidR="002925BE">
        <w:t xml:space="preserve">proportion </w:t>
      </w:r>
      <w:r w:rsidR="001A7745">
        <w:t>of G</w:t>
      </w:r>
      <w:r>
        <w:t xml:space="preserve">eneral </w:t>
      </w:r>
      <w:r w:rsidR="00584031">
        <w:t xml:space="preserve">(ie. non-concessional) </w:t>
      </w:r>
      <w:r>
        <w:t>scripts being higher than predicted</w:t>
      </w:r>
      <w:r w:rsidR="00584031">
        <w:t xml:space="preserve">. </w:t>
      </w:r>
      <w:r>
        <w:t xml:space="preserve"> </w:t>
      </w:r>
      <w:r w:rsidR="00584031">
        <w:t>G</w:t>
      </w:r>
      <w:r>
        <w:t xml:space="preserve">eneral scripts result in lower </w:t>
      </w:r>
      <w:r w:rsidR="00584031">
        <w:t xml:space="preserve">R/PBS </w:t>
      </w:r>
      <w:r>
        <w:t xml:space="preserve">expenditure because of a higher </w:t>
      </w:r>
      <w:r w:rsidR="00584031">
        <w:t xml:space="preserve">patient </w:t>
      </w:r>
      <w:r>
        <w:t>copayment.</w:t>
      </w:r>
    </w:p>
    <w:p w:rsidR="002925BE" w:rsidRDefault="002925BE" w:rsidP="003F40E9">
      <w:r>
        <w:t xml:space="preserve">The proportion of </w:t>
      </w:r>
      <w:r w:rsidR="001A7745">
        <w:t>G</w:t>
      </w:r>
      <w:r>
        <w:t xml:space="preserve">eneral scripts was </w:t>
      </w:r>
      <w:r w:rsidR="001A7745" w:rsidRPr="001A7745">
        <w:t>22.2%</w:t>
      </w:r>
      <w:r w:rsidR="00712C5D">
        <w:t xml:space="preserve"> and </w:t>
      </w:r>
      <w:r w:rsidR="001A7745" w:rsidRPr="001A7745">
        <w:t>20.9%</w:t>
      </w:r>
      <w:r w:rsidR="001A7745">
        <w:t xml:space="preserve"> in Year 1 and 2 respectively. The submission assumed this proportion would be 10.9% based on the patient category distribution for gabapentin </w:t>
      </w:r>
      <w:r w:rsidR="0024495D">
        <w:t xml:space="preserve">scripts </w:t>
      </w:r>
      <w:r w:rsidR="001A7745">
        <w:t xml:space="preserve">from June 2011 to May 2012 </w:t>
      </w:r>
      <w:r w:rsidR="0024495D">
        <w:t>(</w:t>
      </w:r>
      <w:r w:rsidR="001A7745">
        <w:t>date of processing</w:t>
      </w:r>
      <w:r w:rsidR="0024495D">
        <w:t>).</w:t>
      </w:r>
      <w:r w:rsidR="001A7745">
        <w:t xml:space="preserve"> This difference would have made the average copayment larger than expected and so contributed to the less than expected R/PBS expenditure per script.</w:t>
      </w:r>
    </w:p>
    <w:p w:rsidR="009B3E9D" w:rsidRPr="009B3E9D" w:rsidRDefault="009B3E9D" w:rsidP="009B3E9D">
      <w:pPr>
        <w:pStyle w:val="Heading3"/>
        <w:rPr>
          <w:i/>
          <w:sz w:val="24"/>
        </w:rPr>
      </w:pPr>
      <w:r w:rsidRPr="009B3E9D">
        <w:rPr>
          <w:i/>
          <w:sz w:val="24"/>
        </w:rPr>
        <w:t>Changes in the use of other medicines for neuropathic pain</w:t>
      </w:r>
    </w:p>
    <w:p w:rsidR="00B750B4" w:rsidRDefault="00893A32" w:rsidP="004677DA">
      <w:r>
        <w:t xml:space="preserve">The total prescription numbers for amitriptyline (unrestricted PBS listing), gabapentin (Authority required streamlined PBS listing for </w:t>
      </w:r>
      <w:r w:rsidR="00DD64C9">
        <w:t xml:space="preserve">partial epileptic seizures), </w:t>
      </w:r>
      <w:r>
        <w:t xml:space="preserve">duloxetine (restricted benefit PBS listing for major depressive disorders) </w:t>
      </w:r>
      <w:r w:rsidR="00DD64C9">
        <w:t xml:space="preserve">and carbamazepine (unrestricted PBS listing) </w:t>
      </w:r>
      <w:r>
        <w:t>for</w:t>
      </w:r>
      <w:r w:rsidR="002F31E8">
        <w:t xml:space="preserve"> </w:t>
      </w:r>
      <w:r w:rsidR="00D6131E">
        <w:t xml:space="preserve">Q1 </w:t>
      </w:r>
      <w:r w:rsidR="002F31E8">
        <w:t xml:space="preserve">2012 </w:t>
      </w:r>
      <w:r w:rsidR="00D6131E">
        <w:t>through to Q1 201</w:t>
      </w:r>
      <w:r w:rsidR="00143B01">
        <w:t>5</w:t>
      </w:r>
      <w:r w:rsidR="009B1B43">
        <w:t xml:space="preserve"> are shown in F</w:t>
      </w:r>
      <w:r w:rsidR="00AC7E15">
        <w:t xml:space="preserve">igure </w:t>
      </w:r>
      <w:r w:rsidR="00143B01">
        <w:t>6</w:t>
      </w:r>
      <w:r>
        <w:t xml:space="preserve">.  </w:t>
      </w:r>
      <w:r w:rsidR="00214953">
        <w:t xml:space="preserve">This </w:t>
      </w:r>
      <w:r w:rsidR="0046322F">
        <w:t xml:space="preserve">data </w:t>
      </w:r>
      <w:r w:rsidR="00214953">
        <w:t>is</w:t>
      </w:r>
      <w:r w:rsidR="008B02F6">
        <w:t xml:space="preserve"> provided</w:t>
      </w:r>
      <w:r w:rsidR="00214953">
        <w:t xml:space="preserve"> to investigate if the listing of pregabalin has had an effect on the prescription volume</w:t>
      </w:r>
      <w:r w:rsidR="006201EB">
        <w:t>s</w:t>
      </w:r>
      <w:r w:rsidR="00214953">
        <w:t xml:space="preserve"> for these agents.</w:t>
      </w:r>
      <w:r w:rsidR="00030EEB">
        <w:t xml:space="preserve">  </w:t>
      </w:r>
      <w:r w:rsidR="00EE01BC">
        <w:t>Carbamazepine is included as the submission estimated a proportion of switching from carbamazepine to pregabalin and an associated cost off-set.  The submission also predicted substitution of pregabalin for amitriptyline and gabapentin.  The submission did not include cost offsets for switching from duloxetine to pregabalin.</w:t>
      </w:r>
    </w:p>
    <w:p w:rsidR="006A5FC4" w:rsidRDefault="006A5FC4" w:rsidP="004677DA"/>
    <w:p w:rsidR="001B401C" w:rsidRDefault="00953230" w:rsidP="00315CA1">
      <w:pPr>
        <w:spacing w:before="60" w:after="60"/>
        <w:rPr>
          <w:b/>
        </w:rPr>
      </w:pPr>
      <w:r w:rsidRPr="00EB2212">
        <w:rPr>
          <w:noProof/>
          <w:bdr w:val="single" w:sz="4" w:space="0" w:color="auto"/>
        </w:rPr>
        <w:drawing>
          <wp:inline distT="0" distB="0" distL="0" distR="0" wp14:anchorId="463C661C" wp14:editId="55C7A68C">
            <wp:extent cx="5687695" cy="3703686"/>
            <wp:effectExtent l="0" t="0" r="825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3A3D" w:rsidRDefault="00913A3D" w:rsidP="00913A3D">
      <w:pPr>
        <w:spacing w:before="60" w:after="60"/>
        <w:rPr>
          <w:b/>
        </w:rPr>
      </w:pPr>
      <w:r w:rsidRPr="00CB678E">
        <w:rPr>
          <w:b/>
        </w:rPr>
        <w:t xml:space="preserve">Figure </w:t>
      </w:r>
      <w:r>
        <w:rPr>
          <w:b/>
        </w:rPr>
        <w:t xml:space="preserve">6: </w:t>
      </w:r>
      <w:r w:rsidR="00584031">
        <w:rPr>
          <w:b/>
        </w:rPr>
        <w:t>P</w:t>
      </w:r>
      <w:r w:rsidRPr="00CB678E">
        <w:rPr>
          <w:b/>
        </w:rPr>
        <w:t>rescription</w:t>
      </w:r>
      <w:r>
        <w:rPr>
          <w:b/>
        </w:rPr>
        <w:t>s</w:t>
      </w:r>
      <w:r w:rsidRPr="00CB678E">
        <w:rPr>
          <w:b/>
        </w:rPr>
        <w:t xml:space="preserve"> for pregabalin, amitriptyline, gabapentin, duloxetine and carbamazepine</w:t>
      </w:r>
    </w:p>
    <w:p w:rsidR="00EB2212" w:rsidRDefault="00EB2212" w:rsidP="00315CA1">
      <w:pPr>
        <w:spacing w:before="60" w:after="60"/>
      </w:pPr>
    </w:p>
    <w:p w:rsidR="00953230" w:rsidRDefault="00913A3D" w:rsidP="00315CA1">
      <w:pPr>
        <w:spacing w:before="60" w:after="60"/>
      </w:pPr>
      <w:r>
        <w:t>The prescriptions supplied for amitriptyline, gabapentin, carbamazepine and duloxetine appear largely unchanged by the listing of pregabalin.</w:t>
      </w:r>
      <w:r w:rsidR="00523495">
        <w:t xml:space="preserve"> The submission predicted a reduction of 112,255 prescriptions of amitriptyline in the first year of listing of pregabalin due to substitution. This magnitude of decline should be observable in Figure 6, but it does not appear to have happened.</w:t>
      </w:r>
      <w:r w:rsidR="00C07896">
        <w:t xml:space="preserve"> </w:t>
      </w:r>
      <w:r w:rsidR="00C07896" w:rsidRPr="004B7277">
        <w:t xml:space="preserve">However as </w:t>
      </w:r>
      <w:r w:rsidR="00282BBC" w:rsidRPr="004B7277">
        <w:t xml:space="preserve">clinical guidelines recommend tricyclic antidepressants for neuropathic pain, and </w:t>
      </w:r>
      <w:r w:rsidR="006329D5">
        <w:t xml:space="preserve">PBS </w:t>
      </w:r>
      <w:r w:rsidR="00C07896" w:rsidRPr="004B7277">
        <w:t>eligibility for pregabalin requires patients to be refractory to treatment with</w:t>
      </w:r>
      <w:r w:rsidR="00C07896">
        <w:t xml:space="preserve"> other drugs</w:t>
      </w:r>
      <w:r w:rsidR="00282BBC">
        <w:t>,</w:t>
      </w:r>
      <w:r w:rsidR="00C07896">
        <w:t xml:space="preserve"> there is an ongoing role for amitriptyline in management of this condition.</w:t>
      </w:r>
    </w:p>
    <w:p w:rsidR="00377980" w:rsidRDefault="00377980" w:rsidP="00315CA1">
      <w:pPr>
        <w:spacing w:before="60" w:after="60"/>
      </w:pPr>
    </w:p>
    <w:p w:rsidR="00280004" w:rsidRPr="009B3E9D" w:rsidRDefault="00280004" w:rsidP="00280004">
      <w:pPr>
        <w:pStyle w:val="Heading3"/>
        <w:rPr>
          <w:i/>
          <w:sz w:val="24"/>
        </w:rPr>
      </w:pPr>
      <w:r w:rsidRPr="009B3E9D">
        <w:rPr>
          <w:i/>
          <w:sz w:val="24"/>
        </w:rPr>
        <w:t>Estimated Patient Drug Regimens and Regimen Transitions</w:t>
      </w:r>
    </w:p>
    <w:p w:rsidR="00B53486" w:rsidRDefault="00193BED" w:rsidP="00B53486">
      <w:r>
        <w:t>The estimated p</w:t>
      </w:r>
      <w:r w:rsidRPr="00280004">
        <w:t xml:space="preserve">atient </w:t>
      </w:r>
      <w:r>
        <w:t>d</w:t>
      </w:r>
      <w:r w:rsidRPr="00280004">
        <w:t xml:space="preserve">rug </w:t>
      </w:r>
      <w:r>
        <w:t>r</w:t>
      </w:r>
      <w:r w:rsidRPr="00280004">
        <w:t xml:space="preserve">egimen </w:t>
      </w:r>
      <w:r>
        <w:t>t</w:t>
      </w:r>
      <w:r w:rsidRPr="00280004">
        <w:t xml:space="preserve">ransitions </w:t>
      </w:r>
      <w:r>
        <w:t>at the point of initiation to pregabalin are shown in the table below.</w:t>
      </w:r>
      <w:r w:rsidR="00B53486">
        <w:t xml:space="preserve"> These are for patient</w:t>
      </w:r>
      <w:r w:rsidR="00584031">
        <w:t>s</w:t>
      </w:r>
      <w:r w:rsidR="00B53486">
        <w:t xml:space="preserve"> who initiated pregabalin in the six month period March to August 2014 (inclusive). See the Methods section for more details regarding this analysis.</w:t>
      </w:r>
    </w:p>
    <w:p w:rsidR="00530EFE" w:rsidRDefault="00530EFE" w:rsidP="00530EFE">
      <w:pPr>
        <w:pStyle w:val="Tabletitle"/>
      </w:pPr>
      <w:r>
        <w:t xml:space="preserve">Table </w:t>
      </w:r>
      <w:r w:rsidR="00283481">
        <w:t>5</w:t>
      </w:r>
      <w:r>
        <w:t>: E</w:t>
      </w:r>
      <w:r w:rsidRPr="00530EFE">
        <w:t>stimated drug regimen transitions at initiation</w:t>
      </w:r>
      <w:r>
        <w:t xml:space="preserve"> to pregabalin</w:t>
      </w:r>
    </w:p>
    <w:tbl>
      <w:tblPr>
        <w:tblW w:w="9087" w:type="dxa"/>
        <w:tblInd w:w="93" w:type="dxa"/>
        <w:tblLayout w:type="fixed"/>
        <w:tblLook w:val="04A0" w:firstRow="1" w:lastRow="0" w:firstColumn="1" w:lastColumn="0" w:noHBand="0" w:noVBand="1"/>
      </w:tblPr>
      <w:tblGrid>
        <w:gridCol w:w="2850"/>
        <w:gridCol w:w="2977"/>
        <w:gridCol w:w="851"/>
        <w:gridCol w:w="850"/>
        <w:gridCol w:w="851"/>
        <w:gridCol w:w="708"/>
      </w:tblGrid>
      <w:tr w:rsidR="00B53486" w:rsidRPr="00EB2212" w:rsidTr="00D44D25">
        <w:trPr>
          <w:trHeight w:val="510"/>
        </w:trPr>
        <w:tc>
          <w:tcPr>
            <w:tcW w:w="2850" w:type="dxa"/>
            <w:tcBorders>
              <w:top w:val="single" w:sz="4" w:space="0" w:color="000000"/>
              <w:left w:val="single" w:sz="4" w:space="0" w:color="000000"/>
              <w:bottom w:val="nil"/>
              <w:right w:val="nil"/>
            </w:tcBorders>
            <w:shd w:val="clear" w:color="auto" w:fill="BFBFBF" w:themeFill="background1" w:themeFillShade="BF"/>
            <w:vAlign w:val="bottom"/>
            <w:hideMark/>
          </w:tcPr>
          <w:p w:rsidR="00B53486" w:rsidRPr="00EB2212" w:rsidRDefault="00B53486" w:rsidP="00B53486">
            <w:pPr>
              <w:spacing w:after="0"/>
              <w:jc w:val="center"/>
              <w:rPr>
                <w:rFonts w:eastAsia="Times New Roman" w:cs="Times New Roman"/>
                <w:b/>
                <w:sz w:val="18"/>
                <w:szCs w:val="18"/>
              </w:rPr>
            </w:pPr>
            <w:r w:rsidRPr="00EB2212">
              <w:rPr>
                <w:rFonts w:eastAsia="Times New Roman" w:cs="Times New Roman"/>
                <w:b/>
                <w:sz w:val="18"/>
                <w:szCs w:val="18"/>
              </w:rPr>
              <w:t>Pre-initiation (week=-1)</w:t>
            </w:r>
          </w:p>
        </w:tc>
        <w:tc>
          <w:tcPr>
            <w:tcW w:w="2977" w:type="dxa"/>
            <w:tcBorders>
              <w:top w:val="single" w:sz="4" w:space="0" w:color="000000"/>
              <w:left w:val="single" w:sz="4" w:space="0" w:color="000000"/>
              <w:bottom w:val="nil"/>
              <w:right w:val="nil"/>
            </w:tcBorders>
            <w:shd w:val="clear" w:color="auto" w:fill="BFBFBF" w:themeFill="background1" w:themeFillShade="BF"/>
            <w:vAlign w:val="bottom"/>
            <w:hideMark/>
          </w:tcPr>
          <w:p w:rsidR="00B53486" w:rsidRPr="00EB2212" w:rsidRDefault="00B53486" w:rsidP="00B53486">
            <w:pPr>
              <w:spacing w:after="0"/>
              <w:jc w:val="center"/>
              <w:rPr>
                <w:rFonts w:eastAsia="Times New Roman" w:cs="Times New Roman"/>
                <w:b/>
                <w:sz w:val="18"/>
                <w:szCs w:val="18"/>
              </w:rPr>
            </w:pPr>
            <w:r w:rsidRPr="00EB2212">
              <w:rPr>
                <w:rFonts w:eastAsia="Times New Roman" w:cs="Times New Roman"/>
                <w:b/>
                <w:sz w:val="18"/>
                <w:szCs w:val="18"/>
              </w:rPr>
              <w:t>Post-initiation (week=0)</w:t>
            </w:r>
          </w:p>
        </w:tc>
        <w:tc>
          <w:tcPr>
            <w:tcW w:w="851" w:type="dxa"/>
            <w:tcBorders>
              <w:top w:val="single" w:sz="4" w:space="0" w:color="000000"/>
              <w:left w:val="single" w:sz="4" w:space="0" w:color="000000"/>
              <w:bottom w:val="nil"/>
              <w:right w:val="single" w:sz="4" w:space="0" w:color="auto"/>
            </w:tcBorders>
            <w:shd w:val="clear" w:color="auto" w:fill="BFBFBF" w:themeFill="background1" w:themeFillShade="BF"/>
            <w:vAlign w:val="bottom"/>
            <w:hideMark/>
          </w:tcPr>
          <w:p w:rsidR="00B53486" w:rsidRPr="00EB2212" w:rsidRDefault="00B53486" w:rsidP="00BC6A62">
            <w:pPr>
              <w:spacing w:after="0"/>
              <w:jc w:val="center"/>
              <w:rPr>
                <w:rFonts w:eastAsia="Times New Roman" w:cs="Times New Roman"/>
                <w:b/>
                <w:sz w:val="18"/>
                <w:szCs w:val="18"/>
              </w:rPr>
            </w:pPr>
            <w:r w:rsidRPr="00EB2212">
              <w:rPr>
                <w:rFonts w:eastAsia="Times New Roman" w:cs="Times New Roman"/>
                <w:b/>
                <w:sz w:val="18"/>
                <w:szCs w:val="18"/>
              </w:rPr>
              <w:t>Switch or Add?</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3486" w:rsidRPr="00EB2212" w:rsidRDefault="00B53486" w:rsidP="00D44D25">
            <w:pPr>
              <w:spacing w:after="0"/>
              <w:jc w:val="right"/>
              <w:rPr>
                <w:rFonts w:eastAsia="Times New Roman" w:cs="Times New Roman"/>
                <w:b/>
                <w:sz w:val="18"/>
                <w:szCs w:val="18"/>
              </w:rPr>
            </w:pPr>
            <w:r w:rsidRPr="00EB2212">
              <w:rPr>
                <w:rFonts w:eastAsia="Times New Roman" w:cs="Times New Roman"/>
                <w:b/>
                <w:sz w:val="18"/>
                <w:szCs w:val="18"/>
              </w:rPr>
              <w:t>Patients</w:t>
            </w:r>
          </w:p>
        </w:tc>
        <w:tc>
          <w:tcPr>
            <w:tcW w:w="851" w:type="dxa"/>
            <w:tcBorders>
              <w:top w:val="single" w:sz="4" w:space="0" w:color="000000"/>
              <w:left w:val="single" w:sz="4" w:space="0" w:color="auto"/>
              <w:bottom w:val="nil"/>
              <w:right w:val="single" w:sz="4" w:space="0" w:color="000000"/>
            </w:tcBorders>
            <w:shd w:val="clear" w:color="auto" w:fill="BFBFBF" w:themeFill="background1" w:themeFillShade="BF"/>
            <w:vAlign w:val="bottom"/>
            <w:hideMark/>
          </w:tcPr>
          <w:p w:rsidR="00B53486" w:rsidRPr="00EB2212" w:rsidRDefault="00B53486" w:rsidP="00B53486">
            <w:pPr>
              <w:spacing w:after="0"/>
              <w:jc w:val="center"/>
              <w:rPr>
                <w:rFonts w:eastAsia="Times New Roman" w:cs="Times New Roman"/>
                <w:b/>
                <w:sz w:val="18"/>
                <w:szCs w:val="18"/>
              </w:rPr>
            </w:pPr>
            <w:r w:rsidRPr="00EB2212">
              <w:rPr>
                <w:rFonts w:eastAsia="Times New Roman" w:cs="Times New Roman"/>
                <w:b/>
                <w:sz w:val="18"/>
                <w:szCs w:val="18"/>
              </w:rPr>
              <w:t>% patients</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B53486" w:rsidRPr="00EB2212" w:rsidRDefault="00B53486" w:rsidP="00B53486">
            <w:pPr>
              <w:spacing w:after="0"/>
              <w:jc w:val="center"/>
              <w:rPr>
                <w:rFonts w:eastAsia="Times New Roman" w:cs="Times New Roman"/>
                <w:b/>
                <w:sz w:val="18"/>
                <w:szCs w:val="18"/>
              </w:rPr>
            </w:pPr>
            <w:r w:rsidRPr="00EB2212">
              <w:rPr>
                <w:rFonts w:eastAsia="Times New Roman" w:cs="Times New Roman"/>
                <w:b/>
                <w:sz w:val="18"/>
                <w:szCs w:val="18"/>
              </w:rPr>
              <w:t>Rank</w:t>
            </w:r>
          </w:p>
        </w:tc>
      </w:tr>
      <w:tr w:rsidR="00931988"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931988" w:rsidRPr="00EB2212" w:rsidRDefault="00931988" w:rsidP="00B53486">
            <w:pPr>
              <w:spacing w:after="0"/>
              <w:rPr>
                <w:rFonts w:eastAsia="Times New Roman" w:cs="Times New Roman"/>
                <w:sz w:val="18"/>
                <w:szCs w:val="18"/>
              </w:rPr>
            </w:pPr>
            <w:r w:rsidRPr="00EB2212">
              <w:rPr>
                <w:rFonts w:eastAsia="Times New Roman" w:cs="Times New Roman"/>
                <w:sz w:val="18"/>
                <w:szCs w:val="18"/>
              </w:rPr>
              <w:t>None</w:t>
            </w:r>
          </w:p>
        </w:tc>
        <w:tc>
          <w:tcPr>
            <w:tcW w:w="2977" w:type="dxa"/>
            <w:tcBorders>
              <w:top w:val="single" w:sz="4" w:space="0" w:color="000000"/>
              <w:left w:val="single" w:sz="4" w:space="0" w:color="000000"/>
              <w:bottom w:val="nil"/>
              <w:right w:val="nil"/>
            </w:tcBorders>
            <w:shd w:val="clear" w:color="auto" w:fill="auto"/>
            <w:noWrap/>
            <w:vAlign w:val="bottom"/>
            <w:hideMark/>
          </w:tcPr>
          <w:p w:rsidR="00931988" w:rsidRPr="00EB2212" w:rsidRDefault="00931988" w:rsidP="00B53486">
            <w:pPr>
              <w:spacing w:after="0"/>
              <w:rPr>
                <w:rFonts w:eastAsia="Times New Roman" w:cs="Times New Roman"/>
                <w:sz w:val="18"/>
                <w:szCs w:val="18"/>
              </w:rPr>
            </w:pP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931988" w:rsidRPr="00EB2212" w:rsidRDefault="00931988"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988" w:rsidRPr="00EB2212" w:rsidRDefault="00931988" w:rsidP="00D44D25">
            <w:pPr>
              <w:spacing w:after="0"/>
              <w:jc w:val="right"/>
              <w:rPr>
                <w:rFonts w:eastAsia="Times New Roman" w:cs="Times New Roman"/>
                <w:sz w:val="18"/>
                <w:szCs w:val="18"/>
              </w:rPr>
            </w:pPr>
            <w:r w:rsidRPr="00EB2212">
              <w:rPr>
                <w:rFonts w:eastAsia="Times New Roman" w:cs="Times New Roman"/>
                <w:sz w:val="18"/>
                <w:szCs w:val="18"/>
              </w:rPr>
              <w:t xml:space="preserve">50,076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931988" w:rsidRPr="00EB2212" w:rsidRDefault="00931988" w:rsidP="00B53486">
            <w:pPr>
              <w:spacing w:after="0"/>
              <w:jc w:val="right"/>
              <w:rPr>
                <w:rFonts w:eastAsia="Times New Roman" w:cs="Times New Roman"/>
                <w:sz w:val="18"/>
                <w:szCs w:val="18"/>
              </w:rPr>
            </w:pPr>
            <w:r w:rsidRPr="00EB2212">
              <w:rPr>
                <w:rFonts w:eastAsia="Times New Roman" w:cs="Times New Roman"/>
                <w:sz w:val="18"/>
                <w:szCs w:val="18"/>
              </w:rPr>
              <w:t>37.5%</w:t>
            </w:r>
          </w:p>
        </w:tc>
        <w:tc>
          <w:tcPr>
            <w:tcW w:w="708" w:type="dxa"/>
            <w:tcBorders>
              <w:top w:val="nil"/>
              <w:left w:val="nil"/>
              <w:bottom w:val="single" w:sz="4" w:space="0" w:color="auto"/>
              <w:right w:val="single" w:sz="4" w:space="0" w:color="auto"/>
            </w:tcBorders>
            <w:shd w:val="clear" w:color="auto" w:fill="auto"/>
            <w:noWrap/>
            <w:vAlign w:val="bottom"/>
            <w:hideMark/>
          </w:tcPr>
          <w:p w:rsidR="00931988" w:rsidRPr="00EB2212" w:rsidRDefault="00931988" w:rsidP="00B53486">
            <w:pPr>
              <w:spacing w:after="0"/>
              <w:jc w:val="right"/>
              <w:rPr>
                <w:rFonts w:eastAsia="Times New Roman" w:cs="Times New Roman"/>
                <w:sz w:val="18"/>
                <w:szCs w:val="18"/>
              </w:rPr>
            </w:pPr>
            <w:r w:rsidRPr="00EB2212">
              <w:rPr>
                <w:rFonts w:eastAsia="Times New Roman" w:cs="Times New Roman"/>
                <w:sz w:val="18"/>
                <w:szCs w:val="18"/>
              </w:rPr>
              <w:t>1</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7,536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5.6%</w:t>
            </w:r>
          </w:p>
        </w:tc>
        <w:tc>
          <w:tcPr>
            <w:tcW w:w="708" w:type="dxa"/>
            <w:tcBorders>
              <w:top w:val="nil"/>
              <w:left w:val="nil"/>
              <w:bottom w:val="single" w:sz="4" w:space="0" w:color="auto"/>
              <w:right w:val="single" w:sz="4" w:space="0" w:color="auto"/>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Other_antidepressant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Other_antidepressant+Pregabalin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6,588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4.9%</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3</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3,969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3.0%</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4</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None</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3,881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2.9%</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5</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3,182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2.4%</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6</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TCA</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Pregabalin+TCA</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3,078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7</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SNRI</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Pregabalin+SNRI</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3,043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8</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2,606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2.0%</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9</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Tramadol</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Pregabalin+Tramadol</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2,383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1.8%</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10</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None</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2,161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1.6%</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11</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Opioid_S8+Other_antidepressant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Opioid_S8+Other_antidepressant+</w:t>
            </w:r>
            <w:r w:rsidR="00D44D25">
              <w:rPr>
                <w:rFonts w:eastAsia="Times New Roman" w:cs="Times New Roman"/>
                <w:sz w:val="18"/>
                <w:szCs w:val="18"/>
              </w:rPr>
              <w:t xml:space="preserve"> </w:t>
            </w: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2,083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1.6%</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12</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TCA</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1,917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13</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None</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Pregabalin+Tramadol</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1,579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1.2%</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14</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Tramadol</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1,400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15</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Opioid_S8+TCA</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Opioid_S8+Pregabalin+TCA</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1,136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0.9%</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16</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Opioid_S8+SNRI</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Opioid_S8+Pregabalin+SNRI</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  1,126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0.8%</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17</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Other_antidepressant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866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0.6%</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18</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Opioid_S4+Other_antidepressant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Opioid_S4+Other_antidepressant+</w:t>
            </w:r>
            <w:r w:rsidR="00D44D25">
              <w:rPr>
                <w:rFonts w:eastAsia="Times New Roman" w:cs="Times New Roman"/>
                <w:sz w:val="18"/>
                <w:szCs w:val="18"/>
              </w:rPr>
              <w:t xml:space="preserve"> </w:t>
            </w: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797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0.6%</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19</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Opioid_S4+Opioid_S8</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Opioid_S4+Opioid_S8+Pregabalin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783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0.6%</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20</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Opioid_S4+Opioid_S8</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750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0.6%</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21</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D37534" w:rsidP="00B53486">
            <w:pPr>
              <w:spacing w:after="0"/>
              <w:rPr>
                <w:rFonts w:eastAsia="Times New Roman" w:cs="Times New Roman"/>
                <w:sz w:val="18"/>
                <w:szCs w:val="18"/>
              </w:rPr>
            </w:pPr>
            <w:r w:rsidRPr="00EB2212">
              <w:rPr>
                <w:rFonts w:eastAsia="Times New Roman" w:cs="Times New Roman"/>
                <w:sz w:val="18"/>
                <w:szCs w:val="18"/>
              </w:rPr>
              <w:t>Anticonvulsant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D37534" w:rsidP="00B53486">
            <w:pPr>
              <w:spacing w:after="0"/>
              <w:rPr>
                <w:rFonts w:eastAsia="Times New Roman" w:cs="Times New Roman"/>
                <w:sz w:val="18"/>
                <w:szCs w:val="18"/>
              </w:rPr>
            </w:pPr>
            <w:r w:rsidRPr="00EB2212">
              <w:rPr>
                <w:rFonts w:eastAsia="Times New Roman" w:cs="Times New Roman"/>
                <w:sz w:val="18"/>
                <w:szCs w:val="18"/>
              </w:rPr>
              <w:t>Anticonvulsant</w:t>
            </w:r>
            <w:r w:rsidR="005C5E1B"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710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22</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None</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Pregabalin+TCA</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634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23</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Opioid_S8+Other_antidepressant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Other_antidepressant+Pregabalin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575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0.4%</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24</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Other_antidepressant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Opioid_S8+Other_antidepressant+</w:t>
            </w:r>
            <w:r w:rsidR="00D44D25">
              <w:rPr>
                <w:rFonts w:eastAsia="Times New Roman" w:cs="Times New Roman"/>
                <w:sz w:val="18"/>
                <w:szCs w:val="18"/>
              </w:rPr>
              <w:t xml:space="preserve"> </w:t>
            </w: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553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0.4%</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25</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Opioid_S4+Other_antidepressant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Other_antidepressant+Pregabalin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516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0.4%</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26</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Opioid_S4+Opioid_S8</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485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0.4%</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27</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None</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Opioid_S8+Pregabalin+Tramadol</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448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28</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Opioid_S8+Tramadol</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Opioid_S8+Pregabalin+Tramadol</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443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29</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None</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Other_antidepressant+Pregabalin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443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30</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Opioid_S8+TCA</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439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31</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D37534" w:rsidP="00B53486">
            <w:pPr>
              <w:spacing w:after="0"/>
              <w:rPr>
                <w:rFonts w:eastAsia="Times New Roman" w:cs="Times New Roman"/>
                <w:sz w:val="18"/>
                <w:szCs w:val="18"/>
              </w:rPr>
            </w:pPr>
            <w:r w:rsidRPr="00EB2212">
              <w:rPr>
                <w:rFonts w:eastAsia="Times New Roman" w:cs="Times New Roman"/>
                <w:sz w:val="18"/>
                <w:szCs w:val="18"/>
              </w:rPr>
              <w:t>Anticonvulsant</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Pregabalin</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438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32</w:t>
            </w:r>
          </w:p>
        </w:tc>
      </w:tr>
      <w:tr w:rsidR="005C5E1B" w:rsidRPr="00EB2212" w:rsidTr="00D44D25">
        <w:trPr>
          <w:trHeight w:val="255"/>
        </w:trPr>
        <w:tc>
          <w:tcPr>
            <w:tcW w:w="2850"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Opioid_S4+SNRI</w:t>
            </w:r>
          </w:p>
        </w:tc>
        <w:tc>
          <w:tcPr>
            <w:tcW w:w="2977" w:type="dxa"/>
            <w:tcBorders>
              <w:top w:val="single" w:sz="4" w:space="0" w:color="000000"/>
              <w:left w:val="single" w:sz="4" w:space="0" w:color="000000"/>
              <w:bottom w:val="nil"/>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Opioid_S4+Pregabalin+SNRI</w:t>
            </w:r>
          </w:p>
        </w:tc>
        <w:tc>
          <w:tcPr>
            <w:tcW w:w="851" w:type="dxa"/>
            <w:tcBorders>
              <w:top w:val="single" w:sz="4" w:space="0" w:color="000000"/>
              <w:left w:val="single" w:sz="4" w:space="0" w:color="000000"/>
              <w:bottom w:val="nil"/>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420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33</w:t>
            </w:r>
          </w:p>
        </w:tc>
      </w:tr>
      <w:tr w:rsidR="005C5E1B" w:rsidRPr="00EB2212" w:rsidTr="00D44D25">
        <w:trPr>
          <w:trHeight w:val="255"/>
        </w:trPr>
        <w:tc>
          <w:tcPr>
            <w:tcW w:w="2850" w:type="dxa"/>
            <w:tcBorders>
              <w:top w:val="single" w:sz="4" w:space="0" w:color="000000"/>
              <w:left w:val="single" w:sz="4" w:space="0" w:color="000000"/>
              <w:bottom w:val="single" w:sz="4" w:space="0" w:color="auto"/>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w:t>
            </w:r>
          </w:p>
        </w:tc>
        <w:tc>
          <w:tcPr>
            <w:tcW w:w="2977" w:type="dxa"/>
            <w:tcBorders>
              <w:top w:val="single" w:sz="4" w:space="0" w:color="000000"/>
              <w:left w:val="single" w:sz="4" w:space="0" w:color="000000"/>
              <w:bottom w:val="single" w:sz="4" w:space="0" w:color="auto"/>
              <w:right w:val="nil"/>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Opioid_S4+Opioid_S8+Pregabalin</w:t>
            </w:r>
          </w:p>
        </w:tc>
        <w:tc>
          <w:tcPr>
            <w:tcW w:w="851" w:type="dxa"/>
            <w:tcBorders>
              <w:top w:val="single" w:sz="4" w:space="0" w:color="000000"/>
              <w:left w:val="single" w:sz="4" w:space="0" w:color="000000"/>
              <w:bottom w:val="single" w:sz="4" w:space="0" w:color="auto"/>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Add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419 </w:t>
            </w:r>
          </w:p>
        </w:tc>
        <w:tc>
          <w:tcPr>
            <w:tcW w:w="851" w:type="dxa"/>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0.3%</w:t>
            </w:r>
          </w:p>
        </w:tc>
        <w:tc>
          <w:tcPr>
            <w:tcW w:w="708" w:type="dxa"/>
            <w:tcBorders>
              <w:top w:val="nil"/>
              <w:left w:val="nil"/>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34</w:t>
            </w:r>
          </w:p>
        </w:tc>
      </w:tr>
      <w:tr w:rsidR="005C5E1B" w:rsidRPr="00EB2212" w:rsidTr="00D44D25">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Opioid_S8+Tramadol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E1B" w:rsidRPr="00EB2212" w:rsidRDefault="005C5E1B" w:rsidP="00B53486">
            <w:pPr>
              <w:spacing w:after="0"/>
              <w:rPr>
                <w:rFonts w:eastAsia="Times New Roman" w:cs="Times New Roman"/>
                <w:sz w:val="18"/>
                <w:szCs w:val="18"/>
              </w:rPr>
            </w:pPr>
            <w:r w:rsidRPr="00EB2212">
              <w:rPr>
                <w:rFonts w:eastAsia="Times New Roman" w:cs="Times New Roman"/>
                <w:sz w:val="18"/>
                <w:szCs w:val="18"/>
              </w:rPr>
              <w:t>Opioid_S8+Pregabalin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E1B" w:rsidRPr="00EB2212" w:rsidRDefault="005C5E1B" w:rsidP="00BC6A62">
            <w:pPr>
              <w:spacing w:after="0"/>
              <w:jc w:val="center"/>
              <w:rPr>
                <w:rFonts w:eastAsia="Times New Roman" w:cs="Times New Roman"/>
                <w:sz w:val="18"/>
                <w:szCs w:val="18"/>
              </w:rPr>
            </w:pPr>
            <w:r w:rsidRPr="00EB2212">
              <w:rPr>
                <w:rFonts w:eastAsia="Times New Roman" w:cs="Times New Roman"/>
                <w:sz w:val="18"/>
                <w:szCs w:val="18"/>
              </w:rPr>
              <w:t>Switch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E1B" w:rsidRPr="00EB2212" w:rsidRDefault="005C5E1B" w:rsidP="00D44D25">
            <w:pPr>
              <w:spacing w:after="0"/>
              <w:jc w:val="right"/>
              <w:rPr>
                <w:rFonts w:eastAsia="Times New Roman" w:cs="Times New Roman"/>
                <w:sz w:val="18"/>
                <w:szCs w:val="18"/>
              </w:rPr>
            </w:pPr>
            <w:r w:rsidRPr="00EB2212">
              <w:rPr>
                <w:rFonts w:eastAsia="Times New Roman" w:cs="Times New Roman"/>
                <w:sz w:val="18"/>
                <w:szCs w:val="18"/>
              </w:rPr>
              <w:t xml:space="preserve">418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E1B" w:rsidRPr="00EB2212" w:rsidRDefault="005C5E1B" w:rsidP="00B53486">
            <w:pPr>
              <w:spacing w:after="0"/>
              <w:jc w:val="right"/>
              <w:rPr>
                <w:rFonts w:eastAsia="Times New Roman" w:cs="Times New Roman"/>
                <w:sz w:val="18"/>
                <w:szCs w:val="18"/>
              </w:rPr>
            </w:pPr>
            <w:r w:rsidRPr="00EB2212">
              <w:rPr>
                <w:rFonts w:eastAsia="Times New Roman" w:cs="Times New Roman"/>
                <w:sz w:val="18"/>
                <w:szCs w:val="18"/>
              </w:rPr>
              <w:t>35</w:t>
            </w:r>
          </w:p>
        </w:tc>
      </w:tr>
      <w:tr w:rsidR="007C6C08" w:rsidRPr="00EB2212" w:rsidTr="00D44D25">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7C6C08" w:rsidP="00B53486">
            <w:pPr>
              <w:spacing w:after="0"/>
              <w:rPr>
                <w:rFonts w:eastAsia="Times New Roman" w:cs="Times New Roman"/>
                <w:sz w:val="18"/>
                <w:szCs w:val="18"/>
              </w:rPr>
            </w:pPr>
            <w:r w:rsidRPr="00EB2212">
              <w:rPr>
                <w:rFonts w:eastAsia="Times New Roman" w:cs="Times New Roman"/>
                <w:sz w:val="18"/>
                <w:szCs w:val="18"/>
              </w:rPr>
              <w:t>Other</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7C6C08" w:rsidP="00B53486">
            <w:pPr>
              <w:spacing w:after="0"/>
              <w:rPr>
                <w:rFonts w:eastAsia="Times New Roman" w:cs="Times New Roman"/>
                <w:sz w:val="18"/>
                <w:szCs w:val="18"/>
              </w:rPr>
            </w:pPr>
            <w:r w:rsidRPr="00EB2212">
              <w:rPr>
                <w:rFonts w:eastAsia="Times New Roman" w:cs="Times New Roman"/>
                <w:sz w:val="18"/>
                <w:szCs w:val="18"/>
              </w:rPr>
              <w:t>Other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7C6C08" w:rsidP="00BC6A62">
            <w:pPr>
              <w:spacing w:after="0"/>
              <w:jc w:val="center"/>
              <w:rPr>
                <w:rFonts w:eastAsia="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C08" w:rsidRPr="00EB2212" w:rsidRDefault="00530EFE" w:rsidP="00D44D25">
            <w:pPr>
              <w:spacing w:after="0"/>
              <w:jc w:val="right"/>
              <w:rPr>
                <w:rFonts w:eastAsia="Times New Roman" w:cs="Times New Roman"/>
                <w:sz w:val="18"/>
                <w:szCs w:val="18"/>
              </w:rPr>
            </w:pPr>
            <w:r w:rsidRPr="00EB2212">
              <w:rPr>
                <w:rFonts w:eastAsia="Times New Roman" w:cs="Times New Roman"/>
                <w:sz w:val="18"/>
                <w:szCs w:val="18"/>
              </w:rPr>
              <w:t xml:space="preserve"> </w:t>
            </w:r>
            <w:r w:rsidR="007C6C08" w:rsidRPr="00EB2212">
              <w:rPr>
                <w:rFonts w:eastAsia="Times New Roman" w:cs="Times New Roman"/>
                <w:sz w:val="18"/>
                <w:szCs w:val="18"/>
              </w:rPr>
              <w:t>2</w:t>
            </w:r>
            <w:r w:rsidR="00931988" w:rsidRPr="00EB2212">
              <w:rPr>
                <w:rFonts w:eastAsia="Times New Roman" w:cs="Times New Roman"/>
                <w:sz w:val="18"/>
                <w:szCs w:val="18"/>
              </w:rPr>
              <w:t>5</w:t>
            </w:r>
            <w:r w:rsidR="007C6C08" w:rsidRPr="00EB2212">
              <w:rPr>
                <w:rFonts w:eastAsia="Times New Roman" w:cs="Times New Roman"/>
                <w:sz w:val="18"/>
                <w:szCs w:val="18"/>
              </w:rPr>
              <w:t>,</w:t>
            </w:r>
            <w:r w:rsidR="00931988" w:rsidRPr="00EB2212">
              <w:rPr>
                <w:rFonts w:eastAsia="Times New Roman" w:cs="Times New Roman"/>
                <w:sz w:val="18"/>
                <w:szCs w:val="18"/>
              </w:rPr>
              <w:t>733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931988" w:rsidP="00B53486">
            <w:pPr>
              <w:spacing w:after="0"/>
              <w:jc w:val="right"/>
              <w:rPr>
                <w:rFonts w:eastAsia="Times New Roman" w:cs="Times New Roman"/>
                <w:sz w:val="18"/>
                <w:szCs w:val="18"/>
              </w:rPr>
            </w:pPr>
            <w:r w:rsidRPr="00EB2212">
              <w:rPr>
                <w:rFonts w:eastAsia="Times New Roman" w:cs="Times New Roman"/>
                <w:sz w:val="18"/>
                <w:szCs w:val="18"/>
              </w:rPr>
              <w:t>19.3</w:t>
            </w:r>
            <w:r w:rsidR="00530EFE" w:rsidRPr="00EB2212">
              <w:rPr>
                <w:rFonts w:eastAsia="Times New Roman" w:cs="Times New Roman"/>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7C6C08" w:rsidP="00B53486">
            <w:pPr>
              <w:spacing w:after="0"/>
              <w:jc w:val="right"/>
              <w:rPr>
                <w:rFonts w:eastAsia="Times New Roman" w:cs="Times New Roman"/>
                <w:sz w:val="18"/>
                <w:szCs w:val="18"/>
              </w:rPr>
            </w:pPr>
          </w:p>
        </w:tc>
      </w:tr>
      <w:tr w:rsidR="007C6C08" w:rsidRPr="00EB2212" w:rsidTr="00D44D25">
        <w:trPr>
          <w:trHeight w:val="24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7C6C08" w:rsidP="00B53486">
            <w:pPr>
              <w:spacing w:after="0"/>
              <w:rPr>
                <w:rFonts w:eastAsia="Times New Roman" w:cs="Times New Roman"/>
                <w:sz w:val="18"/>
                <w:szCs w:val="18"/>
              </w:rPr>
            </w:pPr>
            <w:r w:rsidRPr="00EB2212">
              <w:rPr>
                <w:rFonts w:eastAsia="Times New Roman" w:cs="Times New Roman"/>
                <w:sz w:val="18"/>
                <w:szCs w:val="18"/>
              </w:rPr>
              <w:t>Total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7C6C08" w:rsidP="00B53486">
            <w:pPr>
              <w:spacing w:after="0"/>
              <w:rPr>
                <w:rFonts w:eastAsia="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7C6C08" w:rsidP="00BC6A62">
            <w:pPr>
              <w:spacing w:after="0"/>
              <w:jc w:val="center"/>
              <w:rPr>
                <w:rFonts w:eastAsia="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C08" w:rsidRPr="00EB2212" w:rsidRDefault="007C6C08" w:rsidP="00D44D25">
            <w:pPr>
              <w:spacing w:after="0"/>
              <w:jc w:val="right"/>
              <w:rPr>
                <w:rFonts w:eastAsia="Times New Roman" w:cs="Times New Roman"/>
                <w:sz w:val="18"/>
                <w:szCs w:val="18"/>
              </w:rPr>
            </w:pPr>
            <w:r w:rsidRPr="00EB2212">
              <w:rPr>
                <w:rFonts w:eastAsia="Times New Roman" w:cs="Times New Roman"/>
                <w:sz w:val="18"/>
                <w:szCs w:val="18"/>
              </w:rPr>
              <w:t>133,614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530EFE" w:rsidP="00B53486">
            <w:pPr>
              <w:spacing w:after="0"/>
              <w:jc w:val="right"/>
              <w:rPr>
                <w:rFonts w:eastAsia="Times New Roman" w:cs="Times New Roman"/>
                <w:sz w:val="18"/>
                <w:szCs w:val="18"/>
              </w:rPr>
            </w:pPr>
            <w:r w:rsidRPr="00EB2212">
              <w:rPr>
                <w:rFonts w:eastAsia="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C08" w:rsidRPr="00EB2212" w:rsidRDefault="007C6C08" w:rsidP="00B53486">
            <w:pPr>
              <w:spacing w:after="0"/>
              <w:jc w:val="right"/>
              <w:rPr>
                <w:rFonts w:eastAsia="Times New Roman" w:cs="Times New Roman"/>
                <w:sz w:val="18"/>
                <w:szCs w:val="18"/>
              </w:rPr>
            </w:pPr>
          </w:p>
        </w:tc>
      </w:tr>
    </w:tbl>
    <w:p w:rsidR="00193BED" w:rsidRDefault="00193BED" w:rsidP="00193BED"/>
    <w:p w:rsidR="00D844F8" w:rsidRDefault="00530EFE" w:rsidP="00FF5026">
      <w:r>
        <w:t xml:space="preserve">Table </w:t>
      </w:r>
      <w:r w:rsidR="00283481">
        <w:t>5</w:t>
      </w:r>
      <w:r>
        <w:t xml:space="preserve"> shows that the most common transition is to initiate pregabalin without having been on any drugs (considered in this analysis) beforehand. It should be remembered that that paracetamol</w:t>
      </w:r>
      <w:r w:rsidR="003F1689">
        <w:t xml:space="preserve"> (in plain products)</w:t>
      </w:r>
      <w:r>
        <w:t xml:space="preserve"> and NSAIDs were excluded from th</w:t>
      </w:r>
      <w:r w:rsidR="005C5E1B">
        <w:t>is</w:t>
      </w:r>
      <w:r>
        <w:t xml:space="preserve"> analysis </w:t>
      </w:r>
      <w:r w:rsidR="0052288D">
        <w:t>because the</w:t>
      </w:r>
      <w:r w:rsidR="00FA0D17">
        <w:t>y are available over the counter</w:t>
      </w:r>
      <w:r w:rsidR="0052288D">
        <w:t xml:space="preserve"> and </w:t>
      </w:r>
      <w:r w:rsidR="00C61F40">
        <w:t>so have incomplete</w:t>
      </w:r>
      <w:r w:rsidR="0052288D">
        <w:t xml:space="preserve"> capture in the data</w:t>
      </w:r>
      <w:r w:rsidR="00C61F40">
        <w:t xml:space="preserve"> </w:t>
      </w:r>
      <w:r>
        <w:t xml:space="preserve">(see Methods section). The most common </w:t>
      </w:r>
      <w:r w:rsidR="00FF5026">
        <w:t xml:space="preserve">addition </w:t>
      </w:r>
      <w:r w:rsidR="005C5E1B">
        <w:t>wa</w:t>
      </w:r>
      <w:r w:rsidR="00FF5026">
        <w:t xml:space="preserve">s to add pregabalin </w:t>
      </w:r>
      <w:r w:rsidR="00513026">
        <w:t>to</w:t>
      </w:r>
      <w:r w:rsidR="00FF5026">
        <w:t xml:space="preserve"> a </w:t>
      </w:r>
      <w:r w:rsidR="005C5E1B">
        <w:t>strong</w:t>
      </w:r>
      <w:r w:rsidR="00FF5026">
        <w:t xml:space="preserve"> opioid (ie. Opioid</w:t>
      </w:r>
      <w:r w:rsidR="005C5E1B">
        <w:t>_</w:t>
      </w:r>
      <w:r w:rsidR="00FF5026">
        <w:t>S</w:t>
      </w:r>
      <w:r w:rsidR="005C5E1B">
        <w:t>8</w:t>
      </w:r>
      <w:r w:rsidR="00FF5026">
        <w:t xml:space="preserve">) and the most common switch </w:t>
      </w:r>
      <w:r w:rsidR="005C5E1B">
        <w:t>wa</w:t>
      </w:r>
      <w:r w:rsidR="00FF5026">
        <w:t xml:space="preserve">s to substitute pregabalin for a </w:t>
      </w:r>
      <w:r w:rsidR="005C5E1B">
        <w:t>weak opioid (ie. Opioid_S4)</w:t>
      </w:r>
      <w:r w:rsidR="00FF5026">
        <w:t>.</w:t>
      </w:r>
    </w:p>
    <w:p w:rsidR="00B53486" w:rsidRDefault="00DA5CBC" w:rsidP="00FF5026">
      <w:r>
        <w:t xml:space="preserve">Oxycodone was the </w:t>
      </w:r>
      <w:r w:rsidR="00D844F8">
        <w:t>most common strong opioid</w:t>
      </w:r>
      <w:r w:rsidR="003F1689">
        <w:t xml:space="preserve"> </w:t>
      </w:r>
      <w:r>
        <w:t xml:space="preserve">that </w:t>
      </w:r>
      <w:r w:rsidR="003F1689">
        <w:t xml:space="preserve">pregabalin </w:t>
      </w:r>
      <w:r>
        <w:t>was added to</w:t>
      </w:r>
      <w:r w:rsidR="003F1689">
        <w:t>. T</w:t>
      </w:r>
      <w:r w:rsidR="00D844F8">
        <w:t xml:space="preserve">he most common weak opioid substituted by pregabalin was </w:t>
      </w:r>
      <w:r>
        <w:t>codeine in a combination product with paracetamol</w:t>
      </w:r>
      <w:r w:rsidR="00D844F8">
        <w:t>.</w:t>
      </w:r>
    </w:p>
    <w:p w:rsidR="00523495" w:rsidRDefault="00523495" w:rsidP="00FF5026">
      <w:r>
        <w:t xml:space="preserve">To summarise pregabalin </w:t>
      </w:r>
      <w:r w:rsidR="002B63C3">
        <w:t>initiation</w:t>
      </w:r>
      <w:r>
        <w:t xml:space="preserve"> transitions;</w:t>
      </w:r>
    </w:p>
    <w:p w:rsidR="00523495" w:rsidRDefault="00B179EE" w:rsidP="00523495">
      <w:pPr>
        <w:pStyle w:val="ListParagraph"/>
        <w:numPr>
          <w:ilvl w:val="0"/>
          <w:numId w:val="24"/>
        </w:numPr>
      </w:pPr>
      <w:r>
        <w:t>45.2</w:t>
      </w:r>
      <w:r w:rsidR="00523495">
        <w:t xml:space="preserve">% </w:t>
      </w:r>
      <w:r>
        <w:t xml:space="preserve">(n=60,372) </w:t>
      </w:r>
      <w:r w:rsidR="00523495">
        <w:t>of patients initiate</w:t>
      </w:r>
      <w:r>
        <w:t>d</w:t>
      </w:r>
      <w:r w:rsidR="00523495">
        <w:t xml:space="preserve"> pregabalin without being on a </w:t>
      </w:r>
      <w:r w:rsidR="00C61F40">
        <w:t xml:space="preserve">PBS </w:t>
      </w:r>
      <w:r w:rsidR="00523495">
        <w:t xml:space="preserve">drug regimen (excluding </w:t>
      </w:r>
      <w:r w:rsidR="00D37534">
        <w:t>paracetamol</w:t>
      </w:r>
      <w:r w:rsidR="00523495">
        <w:t xml:space="preserve"> and NSAIDs)</w:t>
      </w:r>
      <w:r w:rsidR="00530C3D">
        <w:t xml:space="preserve"> just prior to </w:t>
      </w:r>
      <w:r w:rsidR="00D66561">
        <w:t>initiation (50,076 of these initiate onto pregabalin monotherapy).</w:t>
      </w:r>
    </w:p>
    <w:p w:rsidR="00523495" w:rsidRDefault="00B179EE" w:rsidP="00523495">
      <w:pPr>
        <w:pStyle w:val="ListParagraph"/>
        <w:numPr>
          <w:ilvl w:val="0"/>
          <w:numId w:val="24"/>
        </w:numPr>
      </w:pPr>
      <w:r>
        <w:t>33.2</w:t>
      </w:r>
      <w:r w:rsidR="00523495">
        <w:t xml:space="preserve">% </w:t>
      </w:r>
      <w:r>
        <w:t xml:space="preserve">(n=44,410) </w:t>
      </w:r>
      <w:r w:rsidR="00523495">
        <w:t xml:space="preserve">of patients add pregabalin to an existing </w:t>
      </w:r>
      <w:r w:rsidR="00C61F40">
        <w:t xml:space="preserve">PBS </w:t>
      </w:r>
      <w:r w:rsidR="00523495">
        <w:t xml:space="preserve">drug regimen; and </w:t>
      </w:r>
    </w:p>
    <w:p w:rsidR="00523495" w:rsidRDefault="009F3311" w:rsidP="00523495">
      <w:pPr>
        <w:pStyle w:val="ListParagraph"/>
        <w:numPr>
          <w:ilvl w:val="0"/>
          <w:numId w:val="24"/>
        </w:numPr>
      </w:pPr>
      <w:r>
        <w:t>21.6</w:t>
      </w:r>
      <w:r w:rsidR="00523495">
        <w:t xml:space="preserve">% </w:t>
      </w:r>
      <w:r w:rsidR="00B179EE">
        <w:t xml:space="preserve">(n=28,832) </w:t>
      </w:r>
      <w:r w:rsidR="00523495">
        <w:t>of patients substitute at least one drug in their regimen</w:t>
      </w:r>
      <w:r w:rsidR="0052288D">
        <w:t>.</w:t>
      </w:r>
    </w:p>
    <w:p w:rsidR="00530C3D" w:rsidRDefault="00B179EE" w:rsidP="00BC0F46">
      <w:r>
        <w:t>45.2%</w:t>
      </w:r>
      <w:r w:rsidR="00530C3D">
        <w:t xml:space="preserve"> of patients were not on a drug regimen just prior to initiation</w:t>
      </w:r>
      <w:r w:rsidR="00D66561">
        <w:t xml:space="preserve"> of pregabalin</w:t>
      </w:r>
      <w:r w:rsidR="00530C3D">
        <w:t xml:space="preserve">, but this does not mean they had not tried and stopped treatment on one or more of the drug groups </w:t>
      </w:r>
      <w:r w:rsidR="006329D5">
        <w:t>in the past</w:t>
      </w:r>
      <w:r w:rsidR="00530C3D">
        <w:t xml:space="preserve">. Table </w:t>
      </w:r>
      <w:r w:rsidR="00283481">
        <w:t>6</w:t>
      </w:r>
      <w:r w:rsidR="00530C3D">
        <w:t xml:space="preserve"> shows the drug groups </w:t>
      </w:r>
      <w:r>
        <w:t xml:space="preserve">(excluding </w:t>
      </w:r>
      <w:r w:rsidR="00C61F40">
        <w:t>paracetamol</w:t>
      </w:r>
      <w:r>
        <w:t xml:space="preserve"> and NSAIDs) </w:t>
      </w:r>
      <w:r w:rsidR="00530C3D">
        <w:t xml:space="preserve">tried by these patients in the 12 months prior to their </w:t>
      </w:r>
      <w:r w:rsidR="00C61F40">
        <w:t>initiation</w:t>
      </w:r>
      <w:r w:rsidR="00530C3D">
        <w:t xml:space="preserve"> to pregabalin.</w:t>
      </w:r>
    </w:p>
    <w:p w:rsidR="00327622" w:rsidRDefault="00327622" w:rsidP="00327622">
      <w:pPr>
        <w:pStyle w:val="Tabletitle"/>
      </w:pPr>
      <w:r>
        <w:t xml:space="preserve">Table </w:t>
      </w:r>
      <w:r w:rsidR="00283481">
        <w:t>6</w:t>
      </w:r>
      <w:r>
        <w:t>: D</w:t>
      </w:r>
      <w:r w:rsidRPr="00327622">
        <w:t>rug group</w:t>
      </w:r>
      <w:r>
        <w:t>s</w:t>
      </w:r>
      <w:r w:rsidRPr="00327622">
        <w:t xml:space="preserve"> </w:t>
      </w:r>
      <w:r w:rsidR="002C3156" w:rsidRPr="002C3156">
        <w:t xml:space="preserve">tried </w:t>
      </w:r>
      <w:r w:rsidR="002C3156">
        <w:t xml:space="preserve">anytime </w:t>
      </w:r>
      <w:r w:rsidR="002C3156" w:rsidRPr="002C3156">
        <w:t>in</w:t>
      </w:r>
      <w:r w:rsidR="002C3156">
        <w:t xml:space="preserve"> the</w:t>
      </w:r>
      <w:r w:rsidR="002C3156" w:rsidRPr="002C3156">
        <w:t xml:space="preserve"> 12 months prior </w:t>
      </w:r>
      <w:r w:rsidR="00C61F40">
        <w:t xml:space="preserve">to pregabalin initiation </w:t>
      </w:r>
      <w:r w:rsidR="002C3156">
        <w:t xml:space="preserve">for patients </w:t>
      </w:r>
      <w:r w:rsidR="00C61F40">
        <w:t xml:space="preserve">on </w:t>
      </w:r>
      <w:r w:rsidR="002C3156">
        <w:t>no treatment in the week before pregabalin initiation.</w:t>
      </w:r>
    </w:p>
    <w:tbl>
      <w:tblPr>
        <w:tblW w:w="6860" w:type="dxa"/>
        <w:tblInd w:w="93" w:type="dxa"/>
        <w:tblLook w:val="04A0" w:firstRow="1" w:lastRow="0" w:firstColumn="1" w:lastColumn="0" w:noHBand="0" w:noVBand="1"/>
      </w:tblPr>
      <w:tblGrid>
        <w:gridCol w:w="3608"/>
        <w:gridCol w:w="1110"/>
        <w:gridCol w:w="1182"/>
        <w:gridCol w:w="960"/>
      </w:tblGrid>
      <w:tr w:rsidR="00327622" w:rsidRPr="00327622" w:rsidTr="00244241">
        <w:trPr>
          <w:trHeight w:val="300"/>
        </w:trPr>
        <w:tc>
          <w:tcPr>
            <w:tcW w:w="3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27622" w:rsidRPr="00154093" w:rsidRDefault="00327622" w:rsidP="00244241">
            <w:pPr>
              <w:spacing w:after="0"/>
              <w:jc w:val="center"/>
              <w:rPr>
                <w:rFonts w:eastAsia="Times New Roman" w:cs="Times New Roman"/>
                <w:b/>
                <w:sz w:val="20"/>
                <w:szCs w:val="16"/>
              </w:rPr>
            </w:pPr>
            <w:r w:rsidRPr="00154093">
              <w:rPr>
                <w:rFonts w:eastAsia="Times New Roman" w:cs="Times New Roman"/>
                <w:b/>
                <w:sz w:val="20"/>
                <w:szCs w:val="16"/>
              </w:rPr>
              <w:t>Drug Groups</w:t>
            </w:r>
          </w:p>
        </w:tc>
        <w:tc>
          <w:tcPr>
            <w:tcW w:w="1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27622" w:rsidRPr="00154093" w:rsidRDefault="00327622" w:rsidP="00244241">
            <w:pPr>
              <w:spacing w:after="0"/>
              <w:jc w:val="center"/>
              <w:rPr>
                <w:rFonts w:eastAsia="Times New Roman" w:cs="Times New Roman"/>
                <w:b/>
                <w:sz w:val="20"/>
                <w:szCs w:val="16"/>
              </w:rPr>
            </w:pPr>
            <w:r w:rsidRPr="00154093">
              <w:rPr>
                <w:rFonts w:eastAsia="Times New Roman" w:cs="Times New Roman"/>
                <w:b/>
                <w:sz w:val="20"/>
                <w:szCs w:val="16"/>
              </w:rPr>
              <w:t>Patients</w:t>
            </w:r>
          </w:p>
        </w:tc>
        <w:tc>
          <w:tcPr>
            <w:tcW w:w="1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27622" w:rsidRPr="00154093" w:rsidRDefault="00327622" w:rsidP="00244241">
            <w:pPr>
              <w:spacing w:after="0"/>
              <w:jc w:val="center"/>
              <w:rPr>
                <w:rFonts w:eastAsia="Times New Roman" w:cs="Times New Roman"/>
                <w:b/>
                <w:sz w:val="20"/>
                <w:szCs w:val="16"/>
              </w:rPr>
            </w:pPr>
            <w:r w:rsidRPr="00154093">
              <w:rPr>
                <w:rFonts w:eastAsia="Times New Roman" w:cs="Times New Roman"/>
                <w:b/>
                <w:sz w:val="20"/>
                <w:szCs w:val="16"/>
              </w:rPr>
              <w:t>% Patients</w:t>
            </w: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27622" w:rsidRPr="00154093" w:rsidRDefault="00327622" w:rsidP="00244241">
            <w:pPr>
              <w:spacing w:after="0"/>
              <w:jc w:val="center"/>
              <w:rPr>
                <w:rFonts w:eastAsia="Times New Roman" w:cs="Times New Roman"/>
                <w:b/>
                <w:sz w:val="20"/>
                <w:szCs w:val="16"/>
              </w:rPr>
            </w:pPr>
            <w:r w:rsidRPr="00154093">
              <w:rPr>
                <w:rFonts w:eastAsia="Times New Roman" w:cs="Times New Roman"/>
                <w:b/>
                <w:sz w:val="20"/>
                <w:szCs w:val="16"/>
              </w:rPr>
              <w:t>Ranks</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None</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36,893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60.8%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5,510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9.1%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2</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4,169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3</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Tramadol</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2,268</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4</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TCA</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1,783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5</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Opioid_S4, Opioid_S8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1,470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6</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Other_antidepressant</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1,365</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7</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Opioid_S8, Tramadol</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922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8</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Opioid_S4, Tramadol</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667</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9</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SNRI</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577</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10</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Opioid_S4, TCA</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446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11</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D37534" w:rsidP="00327622">
            <w:pPr>
              <w:spacing w:after="0"/>
              <w:rPr>
                <w:rFonts w:ascii="MS Sans Serif" w:eastAsia="Times New Roman" w:hAnsi="MS Sans Serif" w:cs="Times New Roman"/>
                <w:sz w:val="20"/>
                <w:szCs w:val="20"/>
              </w:rPr>
            </w:pPr>
            <w:r w:rsidRPr="00647298">
              <w:rPr>
                <w:rFonts w:ascii="Calibri" w:hAnsi="Calibri"/>
                <w:sz w:val="20"/>
                <w:szCs w:val="20"/>
              </w:rPr>
              <w:t>Anticonvulsant</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409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12</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Opioid_S8, TCA</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409</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13</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Opioid_S4, Opioid_S8, Tramadol</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376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0.6%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14</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Opioid_S4, Other_antidepressant</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327</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15</w:t>
            </w: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 xml:space="preserve">Other </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2,781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p>
        </w:tc>
      </w:tr>
      <w:tr w:rsidR="00BE2D7D" w:rsidRPr="00327622" w:rsidTr="00867BA8">
        <w:tc>
          <w:tcPr>
            <w:tcW w:w="3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327622">
            <w:pPr>
              <w:spacing w:after="0"/>
              <w:rPr>
                <w:rFonts w:ascii="MS Sans Serif" w:eastAsia="Times New Roman" w:hAnsi="MS Sans Serif" w:cs="Times New Roman"/>
                <w:sz w:val="20"/>
                <w:szCs w:val="20"/>
              </w:rPr>
            </w:pPr>
            <w:r w:rsidRPr="00647298">
              <w:rPr>
                <w:rFonts w:ascii="Calibri" w:hAnsi="Calibri"/>
                <w:sz w:val="20"/>
                <w:szCs w:val="20"/>
              </w:rPr>
              <w:t>Total</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60,372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r w:rsidRPr="00647298">
              <w:rPr>
                <w:rFonts w:ascii="Calibri" w:hAnsi="Calibri"/>
                <w:sz w:val="20"/>
                <w:szCs w:val="20"/>
              </w:rPr>
              <w:t>100.0%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D7D" w:rsidRPr="00647298" w:rsidRDefault="00BE2D7D" w:rsidP="00BC18C7">
            <w:pPr>
              <w:spacing w:after="0"/>
              <w:jc w:val="right"/>
              <w:rPr>
                <w:rFonts w:ascii="MS Sans Serif" w:eastAsia="Times New Roman" w:hAnsi="MS Sans Serif" w:cs="Times New Roman"/>
                <w:sz w:val="20"/>
                <w:szCs w:val="20"/>
              </w:rPr>
            </w:pPr>
          </w:p>
        </w:tc>
      </w:tr>
    </w:tbl>
    <w:p w:rsidR="00BA3208" w:rsidRDefault="00BA3208" w:rsidP="00BC0F46"/>
    <w:p w:rsidR="006329D5" w:rsidRDefault="006329D5" w:rsidP="00BC0F46">
      <w:r>
        <w:t xml:space="preserve">Table 6 shows that the vast majority of patients not on any PBS medicines just prior to initiation of pregabalin had not used other medicines in the preceding 12 months. </w:t>
      </w:r>
    </w:p>
    <w:p w:rsidR="00BC0F46" w:rsidRDefault="00BC0F46" w:rsidP="00BC0F46">
      <w:r>
        <w:t>The estimated p</w:t>
      </w:r>
      <w:r w:rsidRPr="00280004">
        <w:t xml:space="preserve">atient </w:t>
      </w:r>
      <w:r>
        <w:t>d</w:t>
      </w:r>
      <w:r w:rsidRPr="00280004">
        <w:t xml:space="preserve">rug </w:t>
      </w:r>
      <w:r>
        <w:t>r</w:t>
      </w:r>
      <w:r w:rsidRPr="00280004">
        <w:t>egimen</w:t>
      </w:r>
      <w:r>
        <w:t xml:space="preserve">s in the 7 months pre and post initiation to pregabalin are shown in the </w:t>
      </w:r>
      <w:r w:rsidR="00513026">
        <w:t>F</w:t>
      </w:r>
      <w:r>
        <w:t xml:space="preserve">igure </w:t>
      </w:r>
      <w:r w:rsidR="00513026">
        <w:t>7</w:t>
      </w:r>
      <w:r>
        <w:t>.</w:t>
      </w:r>
      <w:r w:rsidR="005F6923">
        <w:t xml:space="preserve"> The</w:t>
      </w:r>
      <w:r w:rsidR="00513026">
        <w:t xml:space="preserve"> patient cohort is the same as that used </w:t>
      </w:r>
      <w:r w:rsidR="005C2B7F">
        <w:t xml:space="preserve">for the drug regimen transition analysis in Table </w:t>
      </w:r>
      <w:r w:rsidR="00283481">
        <w:t>5</w:t>
      </w:r>
      <w:r w:rsidR="005C2B7F">
        <w:t>.</w:t>
      </w:r>
    </w:p>
    <w:p w:rsidR="005F6923" w:rsidRDefault="00F66B3E" w:rsidP="00BC0F46">
      <w:r w:rsidRPr="00EB2212">
        <w:rPr>
          <w:noProof/>
          <w:bdr w:val="single" w:sz="4" w:space="0" w:color="auto"/>
        </w:rPr>
        <w:drawing>
          <wp:inline distT="0" distB="0" distL="0" distR="0" wp14:anchorId="049B7882" wp14:editId="2E073DD7">
            <wp:extent cx="5935851" cy="3890075"/>
            <wp:effectExtent l="0" t="0" r="825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3BED" w:rsidRDefault="00193BED" w:rsidP="00BC0F46">
      <w:r w:rsidRPr="00072D2F">
        <w:rPr>
          <w:b/>
        </w:rPr>
        <w:t xml:space="preserve">Figure </w:t>
      </w:r>
      <w:r w:rsidR="00947419">
        <w:rPr>
          <w:b/>
        </w:rPr>
        <w:t>7</w:t>
      </w:r>
      <w:r w:rsidRPr="00072D2F">
        <w:rPr>
          <w:b/>
        </w:rPr>
        <w:t xml:space="preserve">: </w:t>
      </w:r>
      <w:r>
        <w:rPr>
          <w:b/>
        </w:rPr>
        <w:t>Estimate drug regimens pre and post initiation to pregabalin</w:t>
      </w:r>
    </w:p>
    <w:p w:rsidR="00193BED" w:rsidRDefault="005C2B7F">
      <w:pPr>
        <w:spacing w:line="276" w:lineRule="auto"/>
      </w:pPr>
      <w:r>
        <w:t>Figure 7</w:t>
      </w:r>
      <w:r w:rsidR="00193BED">
        <w:t xml:space="preserve"> shows that in the weeks before initiation to pregabalin, the number of </w:t>
      </w:r>
      <w:r w:rsidR="0063171B">
        <w:t>patients on opioids (ie. Opioid_</w:t>
      </w:r>
      <w:r w:rsidR="00193BED">
        <w:t>S8</w:t>
      </w:r>
      <w:r w:rsidR="0063171B">
        <w:t>, Opioid_</w:t>
      </w:r>
      <w:r w:rsidR="00193BED">
        <w:t>S4</w:t>
      </w:r>
      <w:r w:rsidR="0063171B">
        <w:t xml:space="preserve"> and</w:t>
      </w:r>
      <w:r w:rsidR="00193BED">
        <w:t xml:space="preserve"> Tramadol) increase</w:t>
      </w:r>
      <w:r w:rsidR="00FF5026">
        <w:t>d</w:t>
      </w:r>
      <w:r w:rsidR="00193BED">
        <w:t xml:space="preserve">. The number of patients on tricyclic antidepressants </w:t>
      </w:r>
      <w:r w:rsidR="0063171B">
        <w:t xml:space="preserve">(TCA) </w:t>
      </w:r>
      <w:r w:rsidR="00193BED">
        <w:t>also increase</w:t>
      </w:r>
      <w:r w:rsidR="00FF5026">
        <w:t>d</w:t>
      </w:r>
      <w:r w:rsidR="00193BED">
        <w:t xml:space="preserve"> slightly, however the number of patients on SNRI and</w:t>
      </w:r>
      <w:r w:rsidR="00FF5026">
        <w:t xml:space="preserve"> other antidepressants decreased</w:t>
      </w:r>
      <w:r w:rsidR="00193BED">
        <w:t>. After initiation to pregabalin</w:t>
      </w:r>
      <w:r w:rsidR="00FF5026">
        <w:t xml:space="preserve"> the discontinuation rate is high. Approximately half </w:t>
      </w:r>
      <w:r w:rsidR="002B63C3">
        <w:t xml:space="preserve">(50.4%) </w:t>
      </w:r>
      <w:r w:rsidR="00FF5026">
        <w:t xml:space="preserve">of the patients that initiated onto pregabalin </w:t>
      </w:r>
      <w:r w:rsidR="00D1082A">
        <w:t xml:space="preserve">monotherapy </w:t>
      </w:r>
      <w:r w:rsidR="00131258">
        <w:t>were not deemed to on pregabalin monotherapy 5 weeks after initiation</w:t>
      </w:r>
      <w:r w:rsidR="0001649A">
        <w:t xml:space="preserve"> </w:t>
      </w:r>
      <w:r w:rsidR="009228C5">
        <w:t xml:space="preserve">(ie. either the patient only had the initiating script or there was a break in therapy after the initiating script) </w:t>
      </w:r>
      <w:r w:rsidR="0001649A">
        <w:t xml:space="preserve">and </w:t>
      </w:r>
      <w:r w:rsidR="00D1082A">
        <w:t xml:space="preserve">43.9% of patients that initiated onto any regimen </w:t>
      </w:r>
      <w:r w:rsidR="008F28D9">
        <w:t xml:space="preserve">containing pregabalin </w:t>
      </w:r>
      <w:r w:rsidR="00D1082A">
        <w:t xml:space="preserve">(ie. mono or combination therapy) </w:t>
      </w:r>
      <w:r w:rsidR="00131258">
        <w:t xml:space="preserve">were not deemed to </w:t>
      </w:r>
      <w:r w:rsidR="006329D5">
        <w:t xml:space="preserve">be </w:t>
      </w:r>
      <w:r w:rsidR="00131258">
        <w:t xml:space="preserve">on a regimen </w:t>
      </w:r>
      <w:r w:rsidR="00BD7705">
        <w:t xml:space="preserve">containing pregabalin </w:t>
      </w:r>
      <w:r w:rsidR="00131258">
        <w:t>5 weeks after initiation</w:t>
      </w:r>
      <w:r w:rsidR="00D1082A">
        <w:t>.</w:t>
      </w:r>
    </w:p>
    <w:p w:rsidR="00D37534" w:rsidRDefault="00D37534" w:rsidP="00D37534">
      <w:pPr>
        <w:spacing w:line="276" w:lineRule="auto"/>
      </w:pPr>
      <w:r>
        <w:t xml:space="preserve">An analysis using the 10% PBS sample included in the Sponsor’s response to the 12 month PvA </w:t>
      </w:r>
      <w:r w:rsidR="00BD7705">
        <w:t xml:space="preserve">analysis </w:t>
      </w:r>
      <w:r>
        <w:t>of pregabalin considered that the average persistence with pregabalin was 82% after 14 months. The methodology used to produce this result is not clear</w:t>
      </w:r>
      <w:r w:rsidR="006329D5">
        <w:t>, for example the cohorts and lookback periods were not defined</w:t>
      </w:r>
      <w:r>
        <w:t>.</w:t>
      </w:r>
      <w:r w:rsidR="006329D5">
        <w:t xml:space="preserve"> In addition, the analysis was likely limited by the short period of data available at the time of the analysis. </w:t>
      </w:r>
      <w:r w:rsidR="009130D3">
        <w:t xml:space="preserve">In their response to the 24 month PvA analysis the Sponsor clarified their methodology, </w:t>
      </w:r>
      <w:r w:rsidR="002C5DC3">
        <w:t>and re-ra</w:t>
      </w:r>
      <w:r w:rsidR="009130D3">
        <w:t xml:space="preserve">n their analysis with a slightly modified method (ie. they excluded grandfathered patients because it is not possible to measure their persistence rate) and </w:t>
      </w:r>
      <w:r w:rsidR="002C5DC3">
        <w:t xml:space="preserve">using </w:t>
      </w:r>
      <w:r w:rsidR="009130D3">
        <w:t>prescription data up to the end of March 2015. This re-analysis gave a persistence rate of 56% at 12 months, which was less than the 82% after 14 months reported in their first analysis.</w:t>
      </w:r>
    </w:p>
    <w:p w:rsidR="00714EC3" w:rsidRDefault="00714EC3" w:rsidP="00714EC3">
      <w:pPr>
        <w:spacing w:line="276" w:lineRule="auto"/>
      </w:pPr>
      <w:r>
        <w:t>DVA patients were assessed separately because treatment patterns may vary because gabapentin is available for neuropathic pain through the RPBS and because pregabalin was available for neuropathic pain through the RPBS prior to its listing on the PBS.  There were 3,905 patients in the 6 month cohort (N=133,614) analysed in th</w:t>
      </w:r>
      <w:r w:rsidR="00BD7705">
        <w:t>is</w:t>
      </w:r>
      <w:r>
        <w:t xml:space="preserve"> section that had at least one RPBS script in the period March 2013 to March 2015 inclusive (ie. 2.9% RPBS patients). These patients were analysed separately and the results are shown in Appendix A. These show that the RPBS patient estimated drug regimens and transitions are not substantially different from the whole cohort and so are unlikely to have biased the results.</w:t>
      </w:r>
    </w:p>
    <w:p w:rsidR="00714EC3" w:rsidRDefault="00D37534" w:rsidP="00714EC3">
      <w:pPr>
        <w:spacing w:line="276" w:lineRule="auto"/>
      </w:pPr>
      <w:r>
        <w:t>Figure 8</w:t>
      </w:r>
      <w:r w:rsidR="00714EC3">
        <w:t xml:space="preserve"> shows the estimated drug regimens by calendar week from March 2014 to Feb</w:t>
      </w:r>
      <w:r w:rsidR="00A848EF">
        <w:t>ruary</w:t>
      </w:r>
      <w:r w:rsidR="00714EC3">
        <w:t xml:space="preserve"> 2015 (inclusive) for all regimens that contain pregabalin. The analysis includes all pregabalin patients, not just the six month initiator cohort used for the previous analyses. </w:t>
      </w:r>
    </w:p>
    <w:p w:rsidR="00573C12" w:rsidRDefault="005F3839">
      <w:pPr>
        <w:spacing w:line="276" w:lineRule="auto"/>
      </w:pPr>
      <w:r w:rsidRPr="00EB2212">
        <w:rPr>
          <w:noProof/>
          <w:bdr w:val="single" w:sz="4" w:space="0" w:color="auto"/>
        </w:rPr>
        <w:drawing>
          <wp:inline distT="0" distB="0" distL="0" distR="0" wp14:anchorId="6C914F4D" wp14:editId="1AC9D17F">
            <wp:extent cx="5925787" cy="4073236"/>
            <wp:effectExtent l="0" t="0" r="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3839" w:rsidRDefault="005F3839" w:rsidP="005F3839">
      <w:r w:rsidRPr="00072D2F">
        <w:rPr>
          <w:b/>
        </w:rPr>
        <w:t xml:space="preserve">Figure </w:t>
      </w:r>
      <w:r w:rsidR="00947419">
        <w:rPr>
          <w:b/>
        </w:rPr>
        <w:t>8</w:t>
      </w:r>
      <w:r w:rsidRPr="00072D2F">
        <w:rPr>
          <w:b/>
        </w:rPr>
        <w:t xml:space="preserve">: </w:t>
      </w:r>
      <w:r>
        <w:rPr>
          <w:b/>
        </w:rPr>
        <w:t>Estimate</w:t>
      </w:r>
      <w:r w:rsidR="0090602C">
        <w:rPr>
          <w:b/>
        </w:rPr>
        <w:t>d</w:t>
      </w:r>
      <w:r>
        <w:rPr>
          <w:b/>
        </w:rPr>
        <w:t xml:space="preserve"> drug regimens containing pregabalin by calendar week</w:t>
      </w:r>
    </w:p>
    <w:p w:rsidR="00165ADF" w:rsidRDefault="00D37534">
      <w:pPr>
        <w:spacing w:line="276" w:lineRule="auto"/>
      </w:pPr>
      <w:r>
        <w:t>A</w:t>
      </w:r>
      <w:r w:rsidR="009E3A54">
        <w:t xml:space="preserve">t the start of the last week in Figure </w:t>
      </w:r>
      <w:r w:rsidR="00890133">
        <w:t>8</w:t>
      </w:r>
      <w:r w:rsidR="009E3A54">
        <w:t xml:space="preserve"> (ie. 25/2/2015), there were a total of </w:t>
      </w:r>
      <w:r w:rsidR="004A3FAD">
        <w:t xml:space="preserve">212,993 </w:t>
      </w:r>
      <w:r w:rsidR="009E3A54">
        <w:t>pati</w:t>
      </w:r>
      <w:r w:rsidR="005C2B7F">
        <w:t xml:space="preserve">ents estimated </w:t>
      </w:r>
      <w:r w:rsidR="0090602C">
        <w:t xml:space="preserve">to </w:t>
      </w:r>
      <w:r w:rsidR="005C2B7F">
        <w:t>be on pregaba</w:t>
      </w:r>
      <w:r w:rsidR="009E3A54">
        <w:t>lin</w:t>
      </w:r>
      <w:r w:rsidR="005C2B7F">
        <w:t xml:space="preserve">.  </w:t>
      </w:r>
      <w:r w:rsidR="009E3A54" w:rsidRPr="009E3A54">
        <w:t>80</w:t>
      </w:r>
      <w:r w:rsidR="009E3A54">
        <w:t>,</w:t>
      </w:r>
      <w:r w:rsidR="009E3A54" w:rsidRPr="009E3A54">
        <w:t>214</w:t>
      </w:r>
      <w:r w:rsidR="009E3A54">
        <w:t xml:space="preserve"> (</w:t>
      </w:r>
      <w:r w:rsidR="00027C84">
        <w:t>37.7</w:t>
      </w:r>
      <w:r w:rsidR="00890133">
        <w:t xml:space="preserve"> </w:t>
      </w:r>
      <w:r w:rsidR="009E3A54">
        <w:t>%) were estimated to be on pregabalin alone</w:t>
      </w:r>
      <w:r w:rsidR="005C2B7F">
        <w:t xml:space="preserve"> and </w:t>
      </w:r>
      <w:r w:rsidR="009E3A54">
        <w:t>the remainder (</w:t>
      </w:r>
      <w:r w:rsidR="00027C84">
        <w:t>62.3</w:t>
      </w:r>
      <w:r w:rsidR="009E3A54">
        <w:t xml:space="preserve">%) were estimated to be on pregabalin in combination with </w:t>
      </w:r>
      <w:r w:rsidR="00A4729E">
        <w:t>another drug group. The most common combination was with a strong opioid (Opioid_S8, 21,633 patients, 1</w:t>
      </w:r>
      <w:r w:rsidR="00027C84">
        <w:t>0</w:t>
      </w:r>
      <w:r w:rsidR="00A4729E">
        <w:t>.2% of all patients).</w:t>
      </w:r>
      <w:r w:rsidR="00165ADF">
        <w:t xml:space="preserve"> The distribution of estimated drug regimens as </w:t>
      </w:r>
      <w:r w:rsidR="00C46D2A">
        <w:t xml:space="preserve">at </w:t>
      </w:r>
      <w:r w:rsidR="007423F9">
        <w:t>25/2/2015 is</w:t>
      </w:r>
      <w:r w:rsidR="00165ADF">
        <w:t xml:space="preserve"> shown in the table below.</w:t>
      </w:r>
    </w:p>
    <w:p w:rsidR="00165ADF" w:rsidRDefault="00165ADF" w:rsidP="00165ADF">
      <w:pPr>
        <w:pStyle w:val="Tabletitle"/>
      </w:pPr>
      <w:r>
        <w:t xml:space="preserve">Table </w:t>
      </w:r>
      <w:r w:rsidR="00283481">
        <w:t>7</w:t>
      </w:r>
      <w:r>
        <w:t>: E</w:t>
      </w:r>
      <w:r w:rsidRPr="00530EFE">
        <w:t xml:space="preserve">stimated </w:t>
      </w:r>
      <w:r>
        <w:t xml:space="preserve">patient </w:t>
      </w:r>
      <w:r w:rsidRPr="00530EFE">
        <w:t>drug regimen</w:t>
      </w:r>
      <w:r>
        <w:t>s containing pregabalin as at 25/2/2015</w:t>
      </w:r>
    </w:p>
    <w:tbl>
      <w:tblPr>
        <w:tblW w:w="7528" w:type="dxa"/>
        <w:tblInd w:w="93" w:type="dxa"/>
        <w:tblLook w:val="04A0" w:firstRow="1" w:lastRow="0" w:firstColumn="1" w:lastColumn="0" w:noHBand="0" w:noVBand="1"/>
      </w:tblPr>
      <w:tblGrid>
        <w:gridCol w:w="5380"/>
        <w:gridCol w:w="1014"/>
        <w:gridCol w:w="1134"/>
      </w:tblGrid>
      <w:tr w:rsidR="00165ADF" w:rsidRPr="00165ADF" w:rsidTr="00244241">
        <w:trPr>
          <w:trHeight w:val="255"/>
        </w:trPr>
        <w:tc>
          <w:tcPr>
            <w:tcW w:w="5380" w:type="dxa"/>
            <w:tcBorders>
              <w:top w:val="single" w:sz="4" w:space="0" w:color="000000"/>
              <w:left w:val="single" w:sz="4" w:space="0" w:color="000000"/>
              <w:bottom w:val="nil"/>
              <w:right w:val="nil"/>
            </w:tcBorders>
            <w:shd w:val="clear" w:color="auto" w:fill="BFBFBF" w:themeFill="background1" w:themeFillShade="BF"/>
            <w:noWrap/>
            <w:vAlign w:val="bottom"/>
            <w:hideMark/>
          </w:tcPr>
          <w:p w:rsidR="00165ADF" w:rsidRPr="00C031DB" w:rsidRDefault="00165ADF" w:rsidP="00244241">
            <w:pPr>
              <w:spacing w:after="0"/>
              <w:jc w:val="center"/>
              <w:rPr>
                <w:rFonts w:eastAsia="Times New Roman" w:cs="Times New Roman"/>
                <w:b/>
                <w:sz w:val="20"/>
                <w:szCs w:val="20"/>
              </w:rPr>
            </w:pPr>
            <w:r w:rsidRPr="00C031DB">
              <w:rPr>
                <w:rFonts w:eastAsia="Times New Roman" w:cs="Times New Roman"/>
                <w:b/>
                <w:sz w:val="20"/>
                <w:szCs w:val="20"/>
              </w:rPr>
              <w:t>Estimated drug regimen</w:t>
            </w:r>
          </w:p>
        </w:tc>
        <w:tc>
          <w:tcPr>
            <w:tcW w:w="1014" w:type="dxa"/>
            <w:tcBorders>
              <w:top w:val="single" w:sz="4" w:space="0" w:color="000000"/>
              <w:left w:val="single" w:sz="4" w:space="0" w:color="000000"/>
              <w:bottom w:val="nil"/>
              <w:right w:val="nil"/>
            </w:tcBorders>
            <w:shd w:val="clear" w:color="auto" w:fill="BFBFBF" w:themeFill="background1" w:themeFillShade="BF"/>
            <w:noWrap/>
            <w:vAlign w:val="bottom"/>
            <w:hideMark/>
          </w:tcPr>
          <w:p w:rsidR="00165ADF" w:rsidRPr="00C031DB" w:rsidRDefault="00165ADF" w:rsidP="00244241">
            <w:pPr>
              <w:spacing w:after="0"/>
              <w:jc w:val="center"/>
              <w:rPr>
                <w:rFonts w:eastAsia="Times New Roman" w:cs="Times New Roman"/>
                <w:b/>
                <w:sz w:val="20"/>
                <w:szCs w:val="20"/>
              </w:rPr>
            </w:pPr>
            <w:r w:rsidRPr="00C031DB">
              <w:rPr>
                <w:rFonts w:eastAsia="Times New Roman" w:cs="Times New Roman"/>
                <w:b/>
                <w:sz w:val="20"/>
                <w:szCs w:val="20"/>
              </w:rPr>
              <w:t>Patients</w:t>
            </w:r>
          </w:p>
        </w:tc>
        <w:tc>
          <w:tcPr>
            <w:tcW w:w="1134" w:type="dxa"/>
            <w:tcBorders>
              <w:top w:val="single" w:sz="4" w:space="0" w:color="000000"/>
              <w:left w:val="single" w:sz="4" w:space="0" w:color="000000"/>
              <w:bottom w:val="nil"/>
              <w:right w:val="single" w:sz="4" w:space="0" w:color="000000"/>
            </w:tcBorders>
            <w:shd w:val="clear" w:color="auto" w:fill="BFBFBF" w:themeFill="background1" w:themeFillShade="BF"/>
            <w:noWrap/>
            <w:vAlign w:val="bottom"/>
            <w:hideMark/>
          </w:tcPr>
          <w:p w:rsidR="00165ADF" w:rsidRPr="00C031DB" w:rsidRDefault="00165ADF" w:rsidP="00244241">
            <w:pPr>
              <w:spacing w:after="0"/>
              <w:jc w:val="center"/>
              <w:rPr>
                <w:rFonts w:eastAsia="Times New Roman" w:cs="Times New Roman"/>
                <w:b/>
                <w:sz w:val="20"/>
                <w:szCs w:val="20"/>
              </w:rPr>
            </w:pPr>
            <w:r w:rsidRPr="00C031DB">
              <w:rPr>
                <w:rFonts w:eastAsia="Times New Roman" w:cs="Times New Roman"/>
                <w:b/>
                <w:sz w:val="20"/>
                <w:szCs w:val="20"/>
              </w:rPr>
              <w:t>% Patients</w:t>
            </w:r>
          </w:p>
        </w:tc>
      </w:tr>
      <w:tr w:rsidR="00890133" w:rsidRPr="00165ADF" w:rsidTr="00165ADF">
        <w:trPr>
          <w:trHeight w:val="255"/>
        </w:trPr>
        <w:tc>
          <w:tcPr>
            <w:tcW w:w="5380" w:type="dxa"/>
            <w:tcBorders>
              <w:top w:val="single" w:sz="4" w:space="0" w:color="000000"/>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Pregabalin</w:t>
            </w:r>
          </w:p>
        </w:tc>
        <w:tc>
          <w:tcPr>
            <w:tcW w:w="1014" w:type="dxa"/>
            <w:tcBorders>
              <w:top w:val="single" w:sz="4" w:space="0" w:color="000000"/>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80,214</w:t>
            </w:r>
          </w:p>
        </w:tc>
        <w:tc>
          <w:tcPr>
            <w:tcW w:w="1134" w:type="dxa"/>
            <w:tcBorders>
              <w:top w:val="single" w:sz="4" w:space="0" w:color="000000"/>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37.7%</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Opioid_S8+Pregabalin</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21,633</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10.2%</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Other_antidepressant+Pregabalin</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17,391</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8.2%</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Pregabalin+SNRI</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10,480</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4.9%</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Pregabalin+TCA</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10,403</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4.9%</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Opioid_S8+Other_antidepressant+Pregabalin</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9,019</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4.2%</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Opioid_S4+Pregabalin</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7,153</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3.4%</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Pregabalin+Tramadol</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7,084</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3.3%</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Opioid_S8+Pregabalin+SNRI</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6,680</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3.1%</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Opioid_S8+Pregabalin+TCA</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5,397</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2.5%</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Opioid_S4+Opioid_S8+Pregabalin</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2,566</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1.2%</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Opioid_S4+Other_antidepressant+Pregabalin</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2,341</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1.1%</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D37534" w:rsidP="00165ADF">
            <w:pPr>
              <w:spacing w:after="0"/>
              <w:rPr>
                <w:rFonts w:eastAsia="Times New Roman" w:cs="Times New Roman"/>
                <w:sz w:val="20"/>
                <w:szCs w:val="20"/>
              </w:rPr>
            </w:pPr>
            <w:r w:rsidRPr="00693451">
              <w:rPr>
                <w:rFonts w:eastAsia="Times New Roman" w:cs="Times New Roman"/>
                <w:sz w:val="20"/>
                <w:szCs w:val="20"/>
              </w:rPr>
              <w:t>Anticonvulsant</w:t>
            </w:r>
            <w:r w:rsidR="00890133" w:rsidRPr="00693451">
              <w:rPr>
                <w:rFonts w:eastAsia="Times New Roman" w:cs="Times New Roman"/>
                <w:sz w:val="20"/>
                <w:szCs w:val="20"/>
              </w:rPr>
              <w:t>+Pregabalin</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1,934</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0.9%</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Opioid_S8+Pregabalin+Tramadol</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1,850</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0.9%</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Opioid_S4+Pregabalin+SNRI</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1,590</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0.7%</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Other_antidepressant+Pregabalin+Tramadol</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1,502</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0.7%</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Opioid_S4+Pregabalin+TCA</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1,417</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0.7%</w:t>
            </w:r>
          </w:p>
        </w:tc>
      </w:tr>
      <w:tr w:rsidR="00890133" w:rsidRPr="00165ADF" w:rsidTr="00165ADF">
        <w:trPr>
          <w:trHeight w:val="255"/>
        </w:trPr>
        <w:tc>
          <w:tcPr>
            <w:tcW w:w="5380"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Other_antidepressant+Pregabalin+TCA</w:t>
            </w:r>
          </w:p>
        </w:tc>
        <w:tc>
          <w:tcPr>
            <w:tcW w:w="1014" w:type="dxa"/>
            <w:tcBorders>
              <w:top w:val="nil"/>
              <w:left w:val="single" w:sz="4" w:space="0" w:color="000000"/>
              <w:bottom w:val="nil"/>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1,361</w:t>
            </w:r>
          </w:p>
        </w:tc>
        <w:tc>
          <w:tcPr>
            <w:tcW w:w="1134" w:type="dxa"/>
            <w:tcBorders>
              <w:top w:val="nil"/>
              <w:left w:val="single" w:sz="4" w:space="0" w:color="000000"/>
              <w:bottom w:val="nil"/>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0.6%</w:t>
            </w:r>
          </w:p>
        </w:tc>
      </w:tr>
      <w:tr w:rsidR="00890133" w:rsidRPr="00165ADF" w:rsidTr="007F7142">
        <w:trPr>
          <w:trHeight w:val="255"/>
        </w:trPr>
        <w:tc>
          <w:tcPr>
            <w:tcW w:w="5380" w:type="dxa"/>
            <w:tcBorders>
              <w:top w:val="nil"/>
              <w:left w:val="single" w:sz="4" w:space="0" w:color="000000"/>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Opioid_S4+Opioid_S8+Other_antidepressant+Pregabalin</w:t>
            </w:r>
          </w:p>
        </w:tc>
        <w:tc>
          <w:tcPr>
            <w:tcW w:w="1014" w:type="dxa"/>
            <w:tcBorders>
              <w:top w:val="nil"/>
              <w:left w:val="single" w:sz="4" w:space="0" w:color="000000"/>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1,322</w:t>
            </w:r>
          </w:p>
        </w:tc>
        <w:tc>
          <w:tcPr>
            <w:tcW w:w="1134" w:type="dxa"/>
            <w:tcBorders>
              <w:top w:val="nil"/>
              <w:left w:val="single" w:sz="4" w:space="0" w:color="000000"/>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0.6%</w:t>
            </w:r>
          </w:p>
        </w:tc>
      </w:tr>
      <w:tr w:rsidR="00890133" w:rsidRPr="00165ADF" w:rsidTr="007F7142">
        <w:trPr>
          <w:trHeight w:val="255"/>
        </w:trPr>
        <w:tc>
          <w:tcPr>
            <w:tcW w:w="5380" w:type="dxa"/>
            <w:tcBorders>
              <w:top w:val="nil"/>
              <w:left w:val="single" w:sz="4" w:space="0" w:color="000000"/>
              <w:right w:val="nil"/>
            </w:tcBorders>
            <w:shd w:val="clear" w:color="auto" w:fill="auto"/>
            <w:noWrap/>
            <w:vAlign w:val="bottom"/>
            <w:hideMark/>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Pregabalin+TCA+Tramadol</w:t>
            </w:r>
          </w:p>
        </w:tc>
        <w:tc>
          <w:tcPr>
            <w:tcW w:w="1014" w:type="dxa"/>
            <w:tcBorders>
              <w:top w:val="nil"/>
              <w:left w:val="single" w:sz="4" w:space="0" w:color="000000"/>
              <w:right w:val="nil"/>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1,233</w:t>
            </w:r>
          </w:p>
        </w:tc>
        <w:tc>
          <w:tcPr>
            <w:tcW w:w="1134" w:type="dxa"/>
            <w:tcBorders>
              <w:top w:val="nil"/>
              <w:left w:val="single" w:sz="4" w:space="0" w:color="000000"/>
              <w:right w:val="single" w:sz="4" w:space="0" w:color="000000"/>
            </w:tcBorders>
            <w:shd w:val="clear" w:color="auto" w:fill="auto"/>
            <w:noWrap/>
            <w:vAlign w:val="bottom"/>
            <w:hideMark/>
          </w:tcPr>
          <w:p w:rsidR="00890133" w:rsidRPr="00693451" w:rsidRDefault="00890133" w:rsidP="00165ADF">
            <w:pPr>
              <w:spacing w:after="0"/>
              <w:jc w:val="right"/>
              <w:rPr>
                <w:rFonts w:eastAsia="Times New Roman" w:cs="Times New Roman"/>
                <w:sz w:val="20"/>
                <w:szCs w:val="20"/>
              </w:rPr>
            </w:pPr>
            <w:r w:rsidRPr="00693451">
              <w:rPr>
                <w:sz w:val="20"/>
                <w:szCs w:val="20"/>
              </w:rPr>
              <w:t>0.6%</w:t>
            </w:r>
          </w:p>
        </w:tc>
      </w:tr>
      <w:tr w:rsidR="00890133" w:rsidRPr="00165ADF" w:rsidTr="007F7142">
        <w:trPr>
          <w:trHeight w:val="255"/>
        </w:trPr>
        <w:tc>
          <w:tcPr>
            <w:tcW w:w="5380" w:type="dxa"/>
            <w:tcBorders>
              <w:left w:val="single" w:sz="4" w:space="0" w:color="000000"/>
              <w:bottom w:val="single" w:sz="4" w:space="0" w:color="000000"/>
              <w:right w:val="nil"/>
            </w:tcBorders>
            <w:shd w:val="clear" w:color="auto" w:fill="auto"/>
            <w:noWrap/>
            <w:vAlign w:val="bottom"/>
          </w:tcPr>
          <w:p w:rsidR="00890133" w:rsidRPr="00693451" w:rsidRDefault="00890133" w:rsidP="00165ADF">
            <w:pPr>
              <w:spacing w:after="0"/>
              <w:rPr>
                <w:rFonts w:eastAsia="Times New Roman" w:cs="Times New Roman"/>
                <w:sz w:val="20"/>
                <w:szCs w:val="20"/>
              </w:rPr>
            </w:pPr>
            <w:r w:rsidRPr="00693451">
              <w:rPr>
                <w:rFonts w:eastAsia="Times New Roman" w:cs="Times New Roman"/>
                <w:sz w:val="20"/>
                <w:szCs w:val="20"/>
              </w:rPr>
              <w:t xml:space="preserve">Other </w:t>
            </w:r>
          </w:p>
        </w:tc>
        <w:tc>
          <w:tcPr>
            <w:tcW w:w="1014" w:type="dxa"/>
            <w:tcBorders>
              <w:left w:val="single" w:sz="4" w:space="0" w:color="000000"/>
              <w:bottom w:val="single" w:sz="4" w:space="0" w:color="000000"/>
              <w:right w:val="nil"/>
            </w:tcBorders>
            <w:shd w:val="clear" w:color="auto" w:fill="auto"/>
            <w:noWrap/>
            <w:vAlign w:val="bottom"/>
          </w:tcPr>
          <w:p w:rsidR="00890133" w:rsidRPr="00693451" w:rsidRDefault="007F7142" w:rsidP="00165ADF">
            <w:pPr>
              <w:spacing w:after="0"/>
              <w:jc w:val="right"/>
              <w:rPr>
                <w:rFonts w:eastAsia="Times New Roman" w:cs="Times New Roman"/>
                <w:sz w:val="20"/>
                <w:szCs w:val="20"/>
              </w:rPr>
            </w:pPr>
            <w:r w:rsidRPr="00693451">
              <w:rPr>
                <w:rFonts w:eastAsia="Times New Roman" w:cs="Times New Roman"/>
                <w:sz w:val="20"/>
                <w:szCs w:val="20"/>
              </w:rPr>
              <w:t>20,423</w:t>
            </w:r>
          </w:p>
        </w:tc>
        <w:tc>
          <w:tcPr>
            <w:tcW w:w="1134" w:type="dxa"/>
            <w:tcBorders>
              <w:left w:val="single" w:sz="4" w:space="0" w:color="000000"/>
              <w:bottom w:val="single" w:sz="4" w:space="0" w:color="000000"/>
              <w:right w:val="single" w:sz="4" w:space="0" w:color="000000"/>
            </w:tcBorders>
            <w:shd w:val="clear" w:color="auto" w:fill="auto"/>
            <w:noWrap/>
            <w:vAlign w:val="bottom"/>
          </w:tcPr>
          <w:p w:rsidR="00890133"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9.6%</w:t>
            </w:r>
          </w:p>
        </w:tc>
      </w:tr>
      <w:tr w:rsidR="00165ADF" w:rsidRPr="00165ADF" w:rsidTr="00165ADF">
        <w:trPr>
          <w:trHeight w:val="255"/>
        </w:trPr>
        <w:tc>
          <w:tcPr>
            <w:tcW w:w="5380" w:type="dxa"/>
            <w:tcBorders>
              <w:top w:val="single" w:sz="4" w:space="0" w:color="000000"/>
              <w:left w:val="single" w:sz="4" w:space="0" w:color="000000"/>
              <w:bottom w:val="single" w:sz="4" w:space="0" w:color="000000"/>
              <w:right w:val="nil"/>
            </w:tcBorders>
            <w:shd w:val="clear" w:color="auto" w:fill="auto"/>
            <w:noWrap/>
            <w:vAlign w:val="bottom"/>
            <w:hideMark/>
          </w:tcPr>
          <w:p w:rsidR="00165ADF" w:rsidRPr="00693451" w:rsidRDefault="00165ADF" w:rsidP="00165ADF">
            <w:pPr>
              <w:spacing w:after="0"/>
              <w:rPr>
                <w:rFonts w:eastAsia="Times New Roman" w:cs="Times New Roman"/>
                <w:sz w:val="20"/>
                <w:szCs w:val="20"/>
              </w:rPr>
            </w:pPr>
            <w:r w:rsidRPr="00693451">
              <w:rPr>
                <w:rFonts w:eastAsia="Times New Roman" w:cs="Times New Roman"/>
                <w:sz w:val="20"/>
                <w:szCs w:val="20"/>
              </w:rPr>
              <w:t>Grand Total</w:t>
            </w:r>
          </w:p>
        </w:tc>
        <w:tc>
          <w:tcPr>
            <w:tcW w:w="1014" w:type="dxa"/>
            <w:tcBorders>
              <w:top w:val="single" w:sz="4" w:space="0" w:color="000000"/>
              <w:left w:val="single" w:sz="4" w:space="0" w:color="000000"/>
              <w:bottom w:val="single" w:sz="4" w:space="0" w:color="000000"/>
              <w:right w:val="nil"/>
            </w:tcBorders>
            <w:shd w:val="clear" w:color="auto" w:fill="auto"/>
            <w:noWrap/>
            <w:vAlign w:val="bottom"/>
            <w:hideMark/>
          </w:tcPr>
          <w:p w:rsidR="00165ADF" w:rsidRPr="00693451" w:rsidRDefault="00890133" w:rsidP="00165ADF">
            <w:pPr>
              <w:spacing w:after="0"/>
              <w:jc w:val="right"/>
              <w:rPr>
                <w:rFonts w:eastAsia="Times New Roman" w:cs="Times New Roman"/>
                <w:sz w:val="20"/>
                <w:szCs w:val="20"/>
              </w:rPr>
            </w:pPr>
            <w:r w:rsidRPr="00693451">
              <w:rPr>
                <w:rFonts w:eastAsia="Times New Roman" w:cs="Times New Roman"/>
                <w:sz w:val="20"/>
                <w:szCs w:val="20"/>
              </w:rPr>
              <w:t>212,993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5ADF" w:rsidRPr="00693451" w:rsidRDefault="00165ADF" w:rsidP="00165ADF">
            <w:pPr>
              <w:spacing w:after="0"/>
              <w:jc w:val="right"/>
              <w:rPr>
                <w:rFonts w:eastAsia="Times New Roman" w:cs="Times New Roman"/>
                <w:sz w:val="20"/>
                <w:szCs w:val="20"/>
              </w:rPr>
            </w:pPr>
            <w:r w:rsidRPr="00693451">
              <w:rPr>
                <w:rFonts w:eastAsia="Times New Roman" w:cs="Times New Roman"/>
                <w:sz w:val="20"/>
                <w:szCs w:val="20"/>
              </w:rPr>
              <w:t>100.0%</w:t>
            </w:r>
          </w:p>
        </w:tc>
      </w:tr>
    </w:tbl>
    <w:p w:rsidR="00280004" w:rsidRDefault="00280004" w:rsidP="00280004"/>
    <w:p w:rsidR="00D37534" w:rsidRDefault="00D37534">
      <w:pPr>
        <w:spacing w:line="276" w:lineRule="auto"/>
        <w:rPr>
          <w:b/>
          <w:i/>
          <w:szCs w:val="28"/>
        </w:rPr>
      </w:pPr>
      <w:r>
        <w:rPr>
          <w:i/>
        </w:rPr>
        <w:br w:type="page"/>
      </w:r>
    </w:p>
    <w:p w:rsidR="00777208" w:rsidRDefault="00777208" w:rsidP="00777208">
      <w:pPr>
        <w:pStyle w:val="Heading3"/>
        <w:rPr>
          <w:i/>
          <w:sz w:val="24"/>
        </w:rPr>
      </w:pPr>
      <w:r>
        <w:rPr>
          <w:i/>
          <w:sz w:val="24"/>
        </w:rPr>
        <w:t>Strength Sequence and Timing Analysis</w:t>
      </w:r>
    </w:p>
    <w:p w:rsidR="00914B95" w:rsidRDefault="00914B95" w:rsidP="008F4ED3">
      <w:pPr>
        <w:spacing w:line="276" w:lineRule="auto"/>
      </w:pPr>
      <w:r>
        <w:t xml:space="preserve">The </w:t>
      </w:r>
      <w:r w:rsidR="00B603D6">
        <w:t xml:space="preserve">Product Information </w:t>
      </w:r>
      <w:r w:rsidR="00BD7705">
        <w:t xml:space="preserve">(PI) </w:t>
      </w:r>
      <w:r w:rsidR="00B603D6">
        <w:t>and Australian Medicine Handbook</w:t>
      </w:r>
      <w:r w:rsidR="00B603D6" w:rsidRPr="002E7878">
        <w:rPr>
          <w:vertAlign w:val="superscript"/>
        </w:rPr>
        <w:footnoteReference w:id="8"/>
      </w:r>
      <w:r w:rsidR="00B603D6">
        <w:t xml:space="preserve"> </w:t>
      </w:r>
      <w:r>
        <w:t>recommend</w:t>
      </w:r>
      <w:r w:rsidR="00B603D6">
        <w:t>ed</w:t>
      </w:r>
      <w:r>
        <w:t xml:space="preserve"> dose of pregabalin is initially 75mg twice daily</w:t>
      </w:r>
      <w:r w:rsidR="00B603D6">
        <w:t xml:space="preserve">; if required, an </w:t>
      </w:r>
      <w:r w:rsidR="00375D37">
        <w:t>increase after 3 to 7 days to 150mg twice daily, and to a maximum of 300mg twice daily after a further 7 days if required.</w:t>
      </w:r>
    </w:p>
    <w:p w:rsidR="002B4770" w:rsidRDefault="00B603D6" w:rsidP="008F4ED3">
      <w:pPr>
        <w:spacing w:line="276" w:lineRule="auto"/>
      </w:pPr>
      <w:r>
        <w:t xml:space="preserve">The </w:t>
      </w:r>
      <w:r w:rsidR="002B4770">
        <w:t>eTG</w:t>
      </w:r>
      <w:r>
        <w:t xml:space="preserve"> recommended dose</w:t>
      </w:r>
      <w:r w:rsidRPr="002B4770">
        <w:t xml:space="preserve"> </w:t>
      </w:r>
      <w:r>
        <w:t xml:space="preserve">of </w:t>
      </w:r>
      <w:r w:rsidR="002B4770" w:rsidRPr="002B4770">
        <w:t xml:space="preserve">pregabalin </w:t>
      </w:r>
      <w:r>
        <w:t xml:space="preserve">is </w:t>
      </w:r>
      <w:r w:rsidR="002B4770" w:rsidRPr="002B4770">
        <w:t>75 mg orally, daily; increase to twice daily after 2 or 3 days and then more slowly up to 300 mg twice daily</w:t>
      </w:r>
      <w:r w:rsidRPr="00861955">
        <w:rPr>
          <w:vertAlign w:val="superscript"/>
        </w:rPr>
        <w:footnoteReference w:id="9"/>
      </w:r>
      <w:r>
        <w:t>.</w:t>
      </w:r>
    </w:p>
    <w:p w:rsidR="00BC69EE" w:rsidRDefault="00D66561" w:rsidP="008F4ED3">
      <w:pPr>
        <w:spacing w:line="276" w:lineRule="auto"/>
      </w:pPr>
      <w:r>
        <w:t xml:space="preserve">Table </w:t>
      </w:r>
      <w:r w:rsidR="00283481">
        <w:t>8</w:t>
      </w:r>
      <w:r>
        <w:t xml:space="preserve"> shows that the </w:t>
      </w:r>
      <w:r w:rsidR="00BC69EE">
        <w:t xml:space="preserve">75mg capsule </w:t>
      </w:r>
      <w:r w:rsidR="004F657A">
        <w:t>was</w:t>
      </w:r>
      <w:r w:rsidR="00BC69EE">
        <w:t xml:space="preserve"> the most common strength used for initiation to pregabalin (59%). The most common 1</w:t>
      </w:r>
      <w:r w:rsidR="00BC69EE" w:rsidRPr="008F4ED3">
        <w:t>st</w:t>
      </w:r>
      <w:r w:rsidR="00BC69EE">
        <w:t xml:space="preserve"> </w:t>
      </w:r>
      <w:r w:rsidR="00873F01">
        <w:t>→</w:t>
      </w:r>
      <w:r w:rsidR="00BC69EE">
        <w:t xml:space="preserve"> 2</w:t>
      </w:r>
      <w:r w:rsidR="00BC69EE" w:rsidRPr="008F4ED3">
        <w:t>nd</w:t>
      </w:r>
      <w:r w:rsidR="00BC69EE">
        <w:t xml:space="preserve"> strength </w:t>
      </w:r>
      <w:r w:rsidR="0089107E">
        <w:t>sequence</w:t>
      </w:r>
      <w:r w:rsidR="00BC69EE">
        <w:t xml:space="preserve">s </w:t>
      </w:r>
      <w:r w:rsidR="004F657A">
        <w:t>and the median days to supply of the 2</w:t>
      </w:r>
      <w:r w:rsidR="004F657A" w:rsidRPr="008F4ED3">
        <w:t>nd</w:t>
      </w:r>
      <w:r w:rsidR="004F657A">
        <w:t xml:space="preserve"> script were</w:t>
      </w:r>
      <w:r w:rsidR="00BC69EE">
        <w:t>;</w:t>
      </w:r>
    </w:p>
    <w:p w:rsidR="00BC69EE" w:rsidRDefault="00BC69EE" w:rsidP="008F4ED3">
      <w:pPr>
        <w:pStyle w:val="ListParagraph"/>
        <w:numPr>
          <w:ilvl w:val="0"/>
          <w:numId w:val="36"/>
        </w:numPr>
        <w:spacing w:line="276" w:lineRule="auto"/>
      </w:pPr>
      <w:r>
        <w:t>75</w:t>
      </w:r>
      <w:r w:rsidR="00873F01">
        <w:t>→</w:t>
      </w:r>
      <w:r>
        <w:t>75mg (39,256, 30.0% of cohort</w:t>
      </w:r>
      <w:r w:rsidR="00D96CF8">
        <w:t>, 31 days</w:t>
      </w:r>
      <w:r>
        <w:t>)</w:t>
      </w:r>
    </w:p>
    <w:p w:rsidR="00493D23" w:rsidRDefault="00BC69EE" w:rsidP="008F4ED3">
      <w:pPr>
        <w:pStyle w:val="ListParagraph"/>
        <w:numPr>
          <w:ilvl w:val="0"/>
          <w:numId w:val="36"/>
        </w:numPr>
        <w:spacing w:line="276" w:lineRule="auto"/>
      </w:pPr>
      <w:r>
        <w:t>75</w:t>
      </w:r>
      <w:r w:rsidR="00873F01">
        <w:t>→</w:t>
      </w:r>
      <w:r>
        <w:t>None (29,316, 22.4% of cohort</w:t>
      </w:r>
      <w:r w:rsidR="00D96CF8">
        <w:t xml:space="preserve"> </w:t>
      </w:r>
      <w:r>
        <w:t>)</w:t>
      </w:r>
    </w:p>
    <w:p w:rsidR="00BC69EE" w:rsidRDefault="00BC69EE" w:rsidP="008F4ED3">
      <w:pPr>
        <w:pStyle w:val="ListParagraph"/>
        <w:numPr>
          <w:ilvl w:val="0"/>
          <w:numId w:val="36"/>
        </w:numPr>
        <w:spacing w:line="276" w:lineRule="auto"/>
      </w:pPr>
      <w:r>
        <w:t>25</w:t>
      </w:r>
      <w:r w:rsidR="00873F01">
        <w:t>→</w:t>
      </w:r>
      <w:r>
        <w:t>25mg (21,202, 16.2% of cohort</w:t>
      </w:r>
      <w:r w:rsidR="00307D00">
        <w:t>, 28 days</w:t>
      </w:r>
      <w:r>
        <w:t>)</w:t>
      </w:r>
    </w:p>
    <w:p w:rsidR="00BC69EE" w:rsidRDefault="00BC69EE" w:rsidP="008F4ED3">
      <w:pPr>
        <w:pStyle w:val="ListParagraph"/>
        <w:numPr>
          <w:ilvl w:val="0"/>
          <w:numId w:val="36"/>
        </w:numPr>
        <w:spacing w:line="276" w:lineRule="auto"/>
      </w:pPr>
      <w:r>
        <w:t>25</w:t>
      </w:r>
      <w:r w:rsidR="00873F01">
        <w:t>→</w:t>
      </w:r>
      <w:r>
        <w:t xml:space="preserve">75mg (6,752, </w:t>
      </w:r>
      <w:r w:rsidR="00926EA5">
        <w:t>5.1</w:t>
      </w:r>
      <w:r>
        <w:t>% of cohort</w:t>
      </w:r>
      <w:r w:rsidR="00307D00">
        <w:t>, 20 days</w:t>
      </w:r>
      <w:r>
        <w:t>)</w:t>
      </w:r>
    </w:p>
    <w:p w:rsidR="00BC69EE" w:rsidRDefault="00BC69EE" w:rsidP="008F4ED3">
      <w:pPr>
        <w:pStyle w:val="ListParagraph"/>
        <w:numPr>
          <w:ilvl w:val="0"/>
          <w:numId w:val="36"/>
        </w:numPr>
        <w:spacing w:line="276" w:lineRule="auto"/>
      </w:pPr>
      <w:r>
        <w:t>75</w:t>
      </w:r>
      <w:r w:rsidR="00873F01">
        <w:t>→</w:t>
      </w:r>
      <w:r>
        <w:t xml:space="preserve">150mg (5,685, </w:t>
      </w:r>
      <w:r w:rsidR="00926EA5">
        <w:t>4.3</w:t>
      </w:r>
      <w:r>
        <w:t>% of cohort</w:t>
      </w:r>
      <w:r w:rsidR="00307D00">
        <w:t>, 21 days</w:t>
      </w:r>
      <w:r>
        <w:t>)</w:t>
      </w:r>
    </w:p>
    <w:p w:rsidR="002F3D6B" w:rsidRDefault="00926EA5" w:rsidP="008F4ED3">
      <w:pPr>
        <w:spacing w:line="276" w:lineRule="auto"/>
      </w:pPr>
      <w:r>
        <w:t>It can be seen the 1</w:t>
      </w:r>
      <w:r w:rsidRPr="008F4ED3">
        <w:t>st</w:t>
      </w:r>
      <w:r>
        <w:t xml:space="preserve"> </w:t>
      </w:r>
      <w:r w:rsidR="00873F01">
        <w:t>→</w:t>
      </w:r>
      <w:r>
        <w:t xml:space="preserve"> 2</w:t>
      </w:r>
      <w:r w:rsidRPr="008F4ED3">
        <w:t>nd</w:t>
      </w:r>
      <w:r>
        <w:t xml:space="preserve"> strength </w:t>
      </w:r>
      <w:r w:rsidR="0089107E">
        <w:t>sequence</w:t>
      </w:r>
      <w:r>
        <w:t xml:space="preserve"> </w:t>
      </w:r>
      <w:r w:rsidR="0089107E">
        <w:t xml:space="preserve">of </w:t>
      </w:r>
      <w:r w:rsidR="002F3D6B">
        <w:t>75</w:t>
      </w:r>
      <w:r w:rsidR="00873F01">
        <w:t>→</w:t>
      </w:r>
      <w:r w:rsidR="002F3D6B">
        <w:t xml:space="preserve">150mg capsules, corresponding to the first titration </w:t>
      </w:r>
      <w:r>
        <w:t>described by the PI (ie. 150</w:t>
      </w:r>
      <w:r w:rsidR="00873F01">
        <w:t>→</w:t>
      </w:r>
      <w:r w:rsidR="002F3D6B">
        <w:t>300</w:t>
      </w:r>
      <w:r>
        <w:t>mg</w:t>
      </w:r>
      <w:r w:rsidR="002F3D6B">
        <w:t xml:space="preserve"> daily dose after an interval of 3 to 7 days</w:t>
      </w:r>
      <w:r>
        <w:t>)</w:t>
      </w:r>
      <w:r w:rsidR="002F3D6B">
        <w:t>,</w:t>
      </w:r>
      <w:r>
        <w:t xml:space="preserve"> is the 5</w:t>
      </w:r>
      <w:r w:rsidRPr="008F4ED3">
        <w:t>th</w:t>
      </w:r>
      <w:r>
        <w:t xml:space="preserve"> most frequent one in </w:t>
      </w:r>
      <w:r w:rsidR="00F21481">
        <w:t xml:space="preserve">clinical </w:t>
      </w:r>
      <w:r>
        <w:t>practice.</w:t>
      </w:r>
      <w:r w:rsidR="004F657A">
        <w:t xml:space="preserve"> When the median days to supply of the 2</w:t>
      </w:r>
      <w:r w:rsidR="004F657A" w:rsidRPr="008F4ED3">
        <w:t>nd</w:t>
      </w:r>
      <w:r w:rsidR="004F657A">
        <w:t xml:space="preserve"> scripts are less than 28 (eg. 25</w:t>
      </w:r>
      <w:r w:rsidR="00873F01">
        <w:t>→</w:t>
      </w:r>
      <w:r w:rsidR="004F657A">
        <w:t>75mg or 75</w:t>
      </w:r>
      <w:r w:rsidR="00873F01">
        <w:t>→</w:t>
      </w:r>
      <w:r w:rsidR="004F657A">
        <w:t xml:space="preserve">150mg) it is likely that dose </w:t>
      </w:r>
      <w:r w:rsidR="0089107E">
        <w:t xml:space="preserve">up </w:t>
      </w:r>
      <w:r w:rsidR="00B34E29">
        <w:t>titration</w:t>
      </w:r>
      <w:r w:rsidR="004F657A">
        <w:t xml:space="preserve"> is </w:t>
      </w:r>
      <w:r w:rsidR="00B34E29">
        <w:t>occurring.</w:t>
      </w:r>
      <w:r w:rsidR="002F3D6B">
        <w:t xml:space="preserve"> If the titration of 150</w:t>
      </w:r>
      <w:r w:rsidR="00873F01">
        <w:t>→</w:t>
      </w:r>
      <w:r w:rsidR="002F3D6B">
        <w:t>300mg per day occurred after 6 days then the first script would last 17 days (ie. 6 days x 2 capsules per day + 11 days at 4 capsules per day = 56 capsules).</w:t>
      </w:r>
      <w:r w:rsidR="00735BA3">
        <w:t xml:space="preserve"> The above result indicates that the extent of up titration is </w:t>
      </w:r>
      <w:r w:rsidR="0089107E">
        <w:t>approximate</w:t>
      </w:r>
      <w:r w:rsidR="00025CD7">
        <w:t>ly</w:t>
      </w:r>
      <w:r w:rsidR="0089107E">
        <w:t xml:space="preserve"> </w:t>
      </w:r>
      <w:r w:rsidR="00735BA3">
        <w:t>9.4% (ie. 5.1% + 4.3%) of patients</w:t>
      </w:r>
      <w:r w:rsidR="0089107E">
        <w:t>.</w:t>
      </w:r>
      <w:r w:rsidR="00735BA3">
        <w:t xml:space="preserve"> </w:t>
      </w:r>
    </w:p>
    <w:p w:rsidR="00926EA5" w:rsidRDefault="00926EA5" w:rsidP="008F4ED3">
      <w:pPr>
        <w:spacing w:line="276" w:lineRule="auto"/>
      </w:pPr>
      <w:r>
        <w:t>The most common 1</w:t>
      </w:r>
      <w:r w:rsidRPr="008F4ED3">
        <w:t>st</w:t>
      </w:r>
      <w:r>
        <w:t xml:space="preserve"> </w:t>
      </w:r>
      <w:r w:rsidR="00873F01">
        <w:t>→</w:t>
      </w:r>
      <w:r>
        <w:t xml:space="preserve"> 2</w:t>
      </w:r>
      <w:r w:rsidRPr="008F4ED3">
        <w:t>nd</w:t>
      </w:r>
      <w:r>
        <w:t xml:space="preserve"> </w:t>
      </w:r>
      <w:r w:rsidR="00873F01">
        <w:t>→</w:t>
      </w:r>
      <w:r>
        <w:t xml:space="preserve"> 3</w:t>
      </w:r>
      <w:r w:rsidRPr="008F4ED3">
        <w:t>rd</w:t>
      </w:r>
      <w:r>
        <w:t xml:space="preserve"> strength </w:t>
      </w:r>
      <w:r w:rsidR="0089107E">
        <w:t>sequences</w:t>
      </w:r>
      <w:r>
        <w:t xml:space="preserve"> </w:t>
      </w:r>
      <w:r w:rsidR="0089107E">
        <w:t>and the median days to between the supply of the 2</w:t>
      </w:r>
      <w:r w:rsidR="0089107E" w:rsidRPr="008F4ED3">
        <w:t>nd</w:t>
      </w:r>
      <w:r w:rsidR="0089107E">
        <w:t xml:space="preserve"> and 3</w:t>
      </w:r>
      <w:r w:rsidR="0089107E" w:rsidRPr="008F4ED3">
        <w:t>rd</w:t>
      </w:r>
      <w:r w:rsidR="0089107E">
        <w:t xml:space="preserve"> scripts were</w:t>
      </w:r>
      <w:r>
        <w:t>;</w:t>
      </w:r>
    </w:p>
    <w:p w:rsidR="00926EA5" w:rsidRDefault="00926EA5" w:rsidP="008F4ED3">
      <w:pPr>
        <w:pStyle w:val="ListParagraph"/>
        <w:numPr>
          <w:ilvl w:val="0"/>
          <w:numId w:val="37"/>
        </w:numPr>
        <w:spacing w:line="276" w:lineRule="auto"/>
      </w:pPr>
      <w:r>
        <w:t>75</w:t>
      </w:r>
      <w:r w:rsidR="00873F01">
        <w:t>→</w:t>
      </w:r>
      <w:r>
        <w:t>75</w:t>
      </w:r>
      <w:r w:rsidR="00873F01">
        <w:t>→</w:t>
      </w:r>
      <w:r>
        <w:t xml:space="preserve">75mg (27,882, </w:t>
      </w:r>
      <w:r w:rsidR="009E5688">
        <w:t>21.3</w:t>
      </w:r>
      <w:r>
        <w:t>% of cohort</w:t>
      </w:r>
      <w:r w:rsidR="00C837CF">
        <w:t>, 30 days</w:t>
      </w:r>
      <w:r>
        <w:t>)</w:t>
      </w:r>
    </w:p>
    <w:p w:rsidR="00926EA5" w:rsidRDefault="00926EA5" w:rsidP="008F4ED3">
      <w:pPr>
        <w:pStyle w:val="ListParagraph"/>
        <w:numPr>
          <w:ilvl w:val="0"/>
          <w:numId w:val="37"/>
        </w:numPr>
        <w:spacing w:line="276" w:lineRule="auto"/>
      </w:pPr>
      <w:r>
        <w:t>25</w:t>
      </w:r>
      <w:r w:rsidR="00873F01">
        <w:t>→</w:t>
      </w:r>
      <w:r>
        <w:t>25</w:t>
      </w:r>
      <w:r w:rsidR="00873F01">
        <w:t>→</w:t>
      </w:r>
      <w:r>
        <w:t>25mg (</w:t>
      </w:r>
      <w:r w:rsidR="00D63D71">
        <w:t>14,869</w:t>
      </w:r>
      <w:r>
        <w:t xml:space="preserve">, </w:t>
      </w:r>
      <w:r w:rsidR="009E5688">
        <w:t>11.4</w:t>
      </w:r>
      <w:r>
        <w:t>% of cohort</w:t>
      </w:r>
      <w:r w:rsidR="00C837CF">
        <w:t>, 28 days</w:t>
      </w:r>
      <w:r>
        <w:t>)</w:t>
      </w:r>
    </w:p>
    <w:p w:rsidR="00D63D71" w:rsidRDefault="009E5688" w:rsidP="008F4ED3">
      <w:pPr>
        <w:pStyle w:val="ListParagraph"/>
        <w:numPr>
          <w:ilvl w:val="0"/>
          <w:numId w:val="37"/>
        </w:numPr>
        <w:spacing w:line="276" w:lineRule="auto"/>
      </w:pPr>
      <w:r>
        <w:t>150</w:t>
      </w:r>
      <w:r w:rsidR="00873F01">
        <w:t>→</w:t>
      </w:r>
      <w:r w:rsidR="00D63D71">
        <w:t>150</w:t>
      </w:r>
      <w:r w:rsidR="00873F01">
        <w:t>→</w:t>
      </w:r>
      <w:r w:rsidR="00D63D71">
        <w:t>150mg(3,240,</w:t>
      </w:r>
      <w:r>
        <w:t xml:space="preserve"> 2.5%</w:t>
      </w:r>
      <w:r w:rsidR="00C837CF">
        <w:t xml:space="preserve"> of cohort, 29 days</w:t>
      </w:r>
      <w:r>
        <w:t xml:space="preserve">) </w:t>
      </w:r>
    </w:p>
    <w:p w:rsidR="00D63D71" w:rsidRDefault="00D63D71" w:rsidP="008F4ED3">
      <w:pPr>
        <w:pStyle w:val="ListParagraph"/>
        <w:numPr>
          <w:ilvl w:val="0"/>
          <w:numId w:val="37"/>
        </w:numPr>
        <w:spacing w:line="276" w:lineRule="auto"/>
      </w:pPr>
      <w:r>
        <w:t>75</w:t>
      </w:r>
      <w:r w:rsidR="00873F01">
        <w:t>→</w:t>
      </w:r>
      <w:r>
        <w:t>150</w:t>
      </w:r>
      <w:r w:rsidR="00873F01">
        <w:t>→</w:t>
      </w:r>
      <w:r>
        <w:t xml:space="preserve">150mg(3,207, </w:t>
      </w:r>
      <w:r w:rsidR="009E5688">
        <w:t>2.5%</w:t>
      </w:r>
      <w:r w:rsidR="00C837CF">
        <w:t xml:space="preserve"> of cohort, 29 days</w:t>
      </w:r>
      <w:r w:rsidR="009E5688">
        <w:t>)</w:t>
      </w:r>
    </w:p>
    <w:p w:rsidR="008F4ED3" w:rsidRDefault="00D96CF8" w:rsidP="008F4ED3">
      <w:pPr>
        <w:spacing w:line="276" w:lineRule="auto"/>
      </w:pPr>
      <w:r>
        <w:t>These strength sequences imply that many patients are initiating on the 75mg capsu</w:t>
      </w:r>
      <w:r w:rsidR="00C837CF">
        <w:t xml:space="preserve">le </w:t>
      </w:r>
      <w:r w:rsidR="00C837CF" w:rsidRPr="009228C5">
        <w:t xml:space="preserve">(dose = 150mg/day) and not </w:t>
      </w:r>
      <w:r w:rsidR="00265B2F" w:rsidRPr="009228C5">
        <w:t xml:space="preserve">up </w:t>
      </w:r>
      <w:r w:rsidR="00C837CF" w:rsidRPr="009228C5">
        <w:t>titrating</w:t>
      </w:r>
      <w:r w:rsidRPr="009228C5">
        <w:t xml:space="preserve"> to using the 150mg </w:t>
      </w:r>
      <w:r w:rsidR="0089107E" w:rsidRPr="009228C5">
        <w:t>capsule.</w:t>
      </w:r>
      <w:r w:rsidR="00F21481" w:rsidRPr="009228C5">
        <w:t xml:space="preserve"> In addition, many patients are initiating and then not continuing to a second or third prescription.</w:t>
      </w:r>
      <w:r w:rsidR="00785D95" w:rsidRPr="009228C5">
        <w:t xml:space="preserve"> 35.9% (n= 47,004) of patients </w:t>
      </w:r>
      <w:r w:rsidR="005E5593" w:rsidRPr="009228C5">
        <w:t xml:space="preserve">discontinued after </w:t>
      </w:r>
      <w:r w:rsidR="00785D95" w:rsidRPr="009228C5">
        <w:t xml:space="preserve">one script and </w:t>
      </w:r>
      <w:r w:rsidR="005E5593" w:rsidRPr="009228C5">
        <w:t>a further 13.0% (n=16,981)</w:t>
      </w:r>
      <w:r w:rsidR="005E5593">
        <w:t xml:space="preserve"> discontinued after </w:t>
      </w:r>
      <w:r w:rsidR="008F4ED3">
        <w:t>two scripts.</w:t>
      </w:r>
      <w:r w:rsidR="00A72870">
        <w:t xml:space="preserve"> </w:t>
      </w:r>
      <w:r w:rsidR="008F4ED3">
        <w:t xml:space="preserve">In the </w:t>
      </w:r>
      <w:r w:rsidR="008F4ED3" w:rsidRPr="008F4ED3">
        <w:t>Estimated Patient Dru</w:t>
      </w:r>
      <w:r w:rsidR="008F4ED3">
        <w:t xml:space="preserve">g Regimens section above it was estimated that </w:t>
      </w:r>
      <w:r w:rsidR="008F4ED3" w:rsidRPr="008F4ED3">
        <w:t xml:space="preserve">43.9% of patients that initiated onto any pregabalin regimen (ie. mono or combination therapy) were not deemed to </w:t>
      </w:r>
      <w:r w:rsidR="004E76BA">
        <w:t xml:space="preserve">be </w:t>
      </w:r>
      <w:r w:rsidR="008F4ED3" w:rsidRPr="008F4ED3">
        <w:t>on a pregabalin regimen 5 weeks after initiation.</w:t>
      </w:r>
      <w:r w:rsidR="008F4ED3">
        <w:t xml:space="preserve"> This means that 35.9% of patients had only one script for pregabalin and 8.0% (ie. 43.9% - 35.9%) of patients were estimated to have had a break in pregabalin treatment (ie. they had more than one script, but had a break in treatment after the first script).</w:t>
      </w:r>
    </w:p>
    <w:p w:rsidR="00472310" w:rsidRDefault="00292894" w:rsidP="00493D23">
      <w:pPr>
        <w:pStyle w:val="Tabletitle"/>
      </w:pPr>
      <w:r>
        <w:t xml:space="preserve">Table </w:t>
      </w:r>
      <w:r w:rsidR="00283481">
        <w:t>8</w:t>
      </w:r>
      <w:r>
        <w:t xml:space="preserve">: </w:t>
      </w:r>
      <w:r w:rsidR="00493D23">
        <w:t>Strength s</w:t>
      </w:r>
      <w:r w:rsidR="00493D23" w:rsidRPr="00493D23">
        <w:t xml:space="preserve">equence and </w:t>
      </w:r>
      <w:r w:rsidR="00493D23">
        <w:t>median time to supply of first three prescriptions</w:t>
      </w:r>
    </w:p>
    <w:tbl>
      <w:tblPr>
        <w:tblW w:w="9087" w:type="dxa"/>
        <w:tblInd w:w="93" w:type="dxa"/>
        <w:tblLook w:val="04A0" w:firstRow="1" w:lastRow="0" w:firstColumn="1" w:lastColumn="0" w:noHBand="0" w:noVBand="1"/>
      </w:tblPr>
      <w:tblGrid>
        <w:gridCol w:w="1291"/>
        <w:gridCol w:w="286"/>
        <w:gridCol w:w="1273"/>
        <w:gridCol w:w="1134"/>
        <w:gridCol w:w="1276"/>
        <w:gridCol w:w="1418"/>
        <w:gridCol w:w="1275"/>
        <w:gridCol w:w="1134"/>
      </w:tblGrid>
      <w:tr w:rsidR="0029066A" w:rsidRPr="0029066A" w:rsidTr="0018677E">
        <w:trPr>
          <w:trHeight w:val="760"/>
          <w:tblHeader/>
        </w:trPr>
        <w:tc>
          <w:tcPr>
            <w:tcW w:w="398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2894" w:rsidP="00292894">
            <w:pPr>
              <w:spacing w:after="0"/>
              <w:jc w:val="center"/>
              <w:rPr>
                <w:rFonts w:ascii="Calibri" w:eastAsia="Times New Roman" w:hAnsi="Calibri" w:cs="Times New Roman"/>
                <w:b/>
                <w:bCs/>
                <w:color w:val="000000"/>
                <w:sz w:val="20"/>
                <w:szCs w:val="22"/>
              </w:rPr>
            </w:pPr>
            <w:r>
              <w:rPr>
                <w:rFonts w:ascii="Calibri" w:eastAsia="Times New Roman" w:hAnsi="Calibri" w:cs="Times New Roman"/>
                <w:b/>
                <w:bCs/>
                <w:color w:val="000000"/>
                <w:sz w:val="20"/>
                <w:szCs w:val="22"/>
              </w:rPr>
              <w:t>S</w:t>
            </w:r>
            <w:r w:rsidR="0029066A" w:rsidRPr="0029066A">
              <w:rPr>
                <w:rFonts w:ascii="Calibri" w:eastAsia="Times New Roman" w:hAnsi="Calibri" w:cs="Times New Roman"/>
                <w:b/>
                <w:bCs/>
                <w:color w:val="000000"/>
                <w:sz w:val="20"/>
                <w:szCs w:val="22"/>
              </w:rPr>
              <w:t xml:space="preserve">trength of pregabalin </w:t>
            </w:r>
            <w:r>
              <w:rPr>
                <w:rFonts w:ascii="Calibri" w:eastAsia="Times New Roman" w:hAnsi="Calibri" w:cs="Times New Roman"/>
                <w:b/>
                <w:bCs/>
                <w:color w:val="000000"/>
                <w:sz w:val="20"/>
                <w:szCs w:val="22"/>
              </w:rPr>
              <w:t>capsules</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Not supplied on same day as previous script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Supplied on the same day as previous script</w:t>
            </w:r>
          </w:p>
        </w:tc>
      </w:tr>
      <w:tr w:rsidR="0029066A" w:rsidRPr="0029066A" w:rsidTr="0018677E">
        <w:trPr>
          <w:trHeight w:val="700"/>
          <w:tblHeader/>
        </w:trPr>
        <w:tc>
          <w:tcPr>
            <w:tcW w:w="1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Script 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Script 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Script 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Patients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xml:space="preserve">% Patients </w:t>
            </w:r>
            <w:r w:rsidRPr="0029066A">
              <w:rPr>
                <w:rFonts w:ascii="Calibri" w:eastAsia="Times New Roman" w:hAnsi="Calibri" w:cs="Times New Roman"/>
                <w:b/>
                <w:bCs/>
                <w:color w:val="000000"/>
                <w:sz w:val="20"/>
                <w:szCs w:val="22"/>
              </w:rPr>
              <w:br/>
              <w:t>(% of previous script)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days to supply (median)*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Patients</w:t>
            </w:r>
          </w:p>
        </w:tc>
      </w:tr>
      <w:tr w:rsidR="00A4115A" w:rsidRPr="0029066A" w:rsidTr="00A4115A">
        <w:trPr>
          <w:trHeight w:val="300"/>
        </w:trPr>
        <w:tc>
          <w:tcPr>
            <w:tcW w:w="1291" w:type="dxa"/>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w:t>
            </w:r>
          </w:p>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14,869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434</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436</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3,834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21,202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870</w:t>
            </w:r>
          </w:p>
        </w:tc>
      </w:tr>
      <w:tr w:rsidR="00A4115A" w:rsidRPr="0029066A" w:rsidTr="00A4115A">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50</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1,516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6,752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50</w:t>
            </w:r>
          </w:p>
        </w:tc>
      </w:tr>
      <w:tr w:rsidR="00A4115A" w:rsidRPr="0029066A" w:rsidTr="00A4115A">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44</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 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65</w:t>
            </w:r>
          </w:p>
        </w:tc>
      </w:tr>
      <w:tr w:rsidR="00A4115A" w:rsidRPr="0029066A" w:rsidTr="00A4115A">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None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b/>
                <w:bCs/>
                <w:color w:val="000000"/>
                <w:sz w:val="20"/>
                <w:szCs w:val="22"/>
              </w:rPr>
            </w:pPr>
          </w:p>
        </w:tc>
      </w:tr>
      <w:tr w:rsidR="0029066A" w:rsidRPr="0029066A" w:rsidTr="0018677E">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43,447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986</w:t>
            </w:r>
          </w:p>
        </w:tc>
      </w:tr>
      <w:tr w:rsidR="0018677E" w:rsidRPr="0029066A" w:rsidTr="0018677E">
        <w:trPr>
          <w:trHeight w:val="300"/>
        </w:trPr>
        <w:tc>
          <w:tcPr>
            <w:tcW w:w="1291" w:type="dxa"/>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w:t>
            </w:r>
          </w:p>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181</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2,785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200</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27,882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709</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2,469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7,951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39,256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709</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19</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413</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3,207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34</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5,685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484</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12</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13</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None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29,316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p>
        </w:tc>
      </w:tr>
      <w:tr w:rsidR="0029066A" w:rsidRPr="0029066A" w:rsidTr="0018677E">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77,470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1,406</w:t>
            </w:r>
          </w:p>
        </w:tc>
      </w:tr>
      <w:tr w:rsidR="0018677E" w:rsidRPr="0029066A" w:rsidTr="0018677E">
        <w:trPr>
          <w:trHeight w:val="300"/>
        </w:trPr>
        <w:tc>
          <w:tcPr>
            <w:tcW w:w="1291" w:type="dxa"/>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w:t>
            </w:r>
          </w:p>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38</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44</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12</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12</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87</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95</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23</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4,393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219</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18677E" w:rsidRPr="0029066A" w:rsidRDefault="0018677E"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15</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19</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None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2,456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p>
        </w:tc>
      </w:tr>
      <w:tr w:rsidR="0029066A" w:rsidRPr="0029066A" w:rsidTr="0018677E">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8,863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294</w:t>
            </w:r>
          </w:p>
        </w:tc>
      </w:tr>
      <w:tr w:rsidR="00A4115A" w:rsidRPr="0029066A" w:rsidTr="00A4115A">
        <w:trPr>
          <w:trHeight w:val="300"/>
        </w:trPr>
        <w:tc>
          <w:tcPr>
            <w:tcW w:w="1291" w:type="dxa"/>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w:t>
            </w:r>
          </w:p>
          <w:p w:rsidR="00A4115A" w:rsidRPr="0029066A" w:rsidRDefault="00A4115A" w:rsidP="0018677E">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25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w:t>
            </w:r>
          </w:p>
        </w:tc>
      </w:tr>
      <w:tr w:rsidR="00A4115A" w:rsidRPr="0029066A" w:rsidTr="00A4115A">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p>
        </w:tc>
      </w:tr>
      <w:tr w:rsidR="00A4115A" w:rsidRPr="0029066A" w:rsidTr="00A4115A">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150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12</w:t>
            </w:r>
          </w:p>
        </w:tc>
      </w:tr>
      <w:tr w:rsidR="00A4115A" w:rsidRPr="0029066A" w:rsidTr="00A4115A">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val="restart"/>
            <w:tcBorders>
              <w:top w:val="single" w:sz="4" w:space="0" w:color="auto"/>
              <w:left w:val="single" w:sz="4" w:space="0" w:color="auto"/>
              <w:right w:val="single" w:sz="4" w:space="0" w:color="auto"/>
            </w:tcBorders>
            <w:shd w:val="clear" w:color="auto" w:fill="auto"/>
            <w:noWrap/>
            <w:hideMark/>
          </w:tcPr>
          <w:p w:rsidR="00A4115A" w:rsidRPr="0029066A" w:rsidRDefault="00A4115A" w:rsidP="00A4115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25mg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75mg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1</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150mg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300mg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649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22</w:t>
            </w:r>
          </w:p>
        </w:tc>
      </w:tr>
      <w:tr w:rsidR="00A4115A" w:rsidRPr="0029066A" w:rsidTr="00A84934">
        <w:trPr>
          <w:trHeight w:val="300"/>
        </w:trPr>
        <w:tc>
          <w:tcPr>
            <w:tcW w:w="1291" w:type="dxa"/>
            <w:vMerge/>
            <w:tcBorders>
              <w:left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066A">
            <w:pPr>
              <w:spacing w:after="0"/>
              <w:rPr>
                <w:rFonts w:ascii="Calibri" w:eastAsia="Times New Roman" w:hAnsi="Calibri" w:cs="Times New Roman"/>
                <w:sz w:val="20"/>
                <w:szCs w:val="22"/>
              </w:rPr>
            </w:pPr>
            <w:r w:rsidRPr="0029066A">
              <w:rPr>
                <w:rFonts w:ascii="Calibri" w:eastAsia="Times New Roman" w:hAnsi="Calibri" w:cs="Times New Roman"/>
                <w:sz w:val="20"/>
                <w:szCs w:val="22"/>
              </w:rPr>
              <w:t>None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29066A" w:rsidRDefault="00A4115A"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 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68%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23</w:t>
            </w:r>
          </w:p>
        </w:tc>
      </w:tr>
      <w:tr w:rsidR="0018677E" w:rsidRPr="0029066A" w:rsidTr="0018677E">
        <w:trPr>
          <w:trHeight w:val="300"/>
        </w:trPr>
        <w:tc>
          <w:tcPr>
            <w:tcW w:w="1291" w:type="dxa"/>
            <w:vMerge/>
            <w:tcBorders>
              <w:left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r w:rsidRPr="0029066A">
              <w:rPr>
                <w:rFonts w:ascii="Calibri" w:eastAsia="Times New Roman" w:hAnsi="Calibri" w:cs="Times New Roman"/>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sz w:val="20"/>
                <w:szCs w:val="22"/>
              </w:rPr>
            </w:pPr>
          </w:p>
        </w:tc>
      </w:tr>
      <w:tr w:rsidR="0018677E" w:rsidRPr="0029066A" w:rsidTr="0018677E">
        <w:trPr>
          <w:trHeight w:val="300"/>
        </w:trPr>
        <w:tc>
          <w:tcPr>
            <w:tcW w:w="1291" w:type="dxa"/>
            <w:vMerge/>
            <w:tcBorders>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None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066A">
            <w:pPr>
              <w:spacing w:after="0"/>
              <w:rPr>
                <w:rFonts w:ascii="Calibri" w:eastAsia="Times New Roman" w:hAnsi="Calibri" w:cs="Times New Roman"/>
                <w:b/>
                <w:bCs/>
                <w:color w:val="000000"/>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77E" w:rsidRPr="0029066A" w:rsidRDefault="0018677E" w:rsidP="00292894">
            <w:pPr>
              <w:spacing w:after="0"/>
              <w:jc w:val="center"/>
              <w:rPr>
                <w:rFonts w:ascii="Calibri" w:eastAsia="Times New Roman" w:hAnsi="Calibri" w:cs="Times New Roman"/>
                <w:b/>
                <w:bCs/>
                <w:color w:val="000000"/>
                <w:sz w:val="20"/>
                <w:szCs w:val="22"/>
              </w:rPr>
            </w:pPr>
          </w:p>
        </w:tc>
      </w:tr>
      <w:tr w:rsidR="0029066A" w:rsidRPr="0029066A" w:rsidTr="0018677E">
        <w:trPr>
          <w:trHeight w:val="300"/>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300 mg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36</w:t>
            </w:r>
          </w:p>
        </w:tc>
      </w:tr>
      <w:tr w:rsidR="0029066A" w:rsidRPr="0029066A" w:rsidTr="0018677E">
        <w:trPr>
          <w:trHeight w:val="300"/>
        </w:trPr>
        <w:tc>
          <w:tcPr>
            <w:tcW w:w="15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Grand Total</w:t>
            </w: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9066A" w:rsidRPr="0029066A" w:rsidRDefault="0029066A" w:rsidP="0029066A">
            <w:pPr>
              <w:spacing w:after="0"/>
              <w:rPr>
                <w:rFonts w:ascii="Calibri" w:eastAsia="Times New Roman" w:hAnsi="Calibri" w:cs="Times New Roman"/>
                <w:b/>
                <w:bCs/>
                <w:color w:val="000000"/>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130,892</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100%</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9066A" w:rsidRPr="0029066A" w:rsidRDefault="0029066A" w:rsidP="00292894">
            <w:pPr>
              <w:spacing w:after="0"/>
              <w:jc w:val="center"/>
              <w:rPr>
                <w:rFonts w:ascii="Calibri" w:eastAsia="Times New Roman" w:hAnsi="Calibri" w:cs="Times New Roman"/>
                <w:b/>
                <w:bCs/>
                <w:color w:val="000000"/>
                <w:sz w:val="20"/>
                <w:szCs w:val="22"/>
              </w:rPr>
            </w:pPr>
            <w:r w:rsidRPr="0029066A">
              <w:rPr>
                <w:rFonts w:ascii="Calibri" w:eastAsia="Times New Roman" w:hAnsi="Calibri" w:cs="Times New Roman"/>
                <w:b/>
                <w:bCs/>
                <w:color w:val="000000"/>
                <w:sz w:val="20"/>
                <w:szCs w:val="22"/>
              </w:rPr>
              <w:t>2,722</w:t>
            </w:r>
          </w:p>
        </w:tc>
      </w:tr>
      <w:tr w:rsidR="0029066A" w:rsidRPr="0029066A" w:rsidTr="0018677E">
        <w:trPr>
          <w:trHeight w:val="300"/>
        </w:trPr>
        <w:tc>
          <w:tcPr>
            <w:tcW w:w="7953" w:type="dxa"/>
            <w:gridSpan w:val="7"/>
            <w:tcBorders>
              <w:top w:val="single" w:sz="4" w:space="0" w:color="auto"/>
              <w:left w:val="nil"/>
              <w:bottom w:val="nil"/>
              <w:right w:val="nil"/>
            </w:tcBorders>
            <w:shd w:val="clear" w:color="auto" w:fill="auto"/>
            <w:noWrap/>
            <w:vAlign w:val="bottom"/>
            <w:hideMark/>
          </w:tcPr>
          <w:p w:rsidR="0029066A" w:rsidRPr="0029066A" w:rsidRDefault="0029066A" w:rsidP="00493D23">
            <w:pPr>
              <w:spacing w:after="0"/>
              <w:rPr>
                <w:rFonts w:ascii="Calibri" w:eastAsia="Times New Roman" w:hAnsi="Calibri" w:cs="Times New Roman"/>
                <w:sz w:val="20"/>
                <w:szCs w:val="22"/>
              </w:rPr>
            </w:pPr>
            <w:r w:rsidRPr="0029066A">
              <w:rPr>
                <w:rFonts w:ascii="Calibri" w:eastAsia="Times New Roman" w:hAnsi="Calibri" w:cs="Times New Roman"/>
                <w:sz w:val="20"/>
                <w:szCs w:val="22"/>
              </w:rPr>
              <w:t>* The Script 2 Total rows contain the median days to supply of Script 2 after Script 1.</w:t>
            </w:r>
          </w:p>
        </w:tc>
        <w:tc>
          <w:tcPr>
            <w:tcW w:w="1134" w:type="dxa"/>
            <w:tcBorders>
              <w:top w:val="single" w:sz="4" w:space="0" w:color="auto"/>
              <w:left w:val="nil"/>
              <w:bottom w:val="nil"/>
              <w:right w:val="nil"/>
            </w:tcBorders>
            <w:shd w:val="clear" w:color="auto" w:fill="auto"/>
            <w:noWrap/>
            <w:vAlign w:val="bottom"/>
            <w:hideMark/>
          </w:tcPr>
          <w:p w:rsidR="0029066A" w:rsidRPr="0029066A" w:rsidRDefault="0029066A" w:rsidP="00493D23">
            <w:pPr>
              <w:spacing w:after="0"/>
              <w:rPr>
                <w:rFonts w:ascii="Calibri" w:eastAsia="Times New Roman" w:hAnsi="Calibri" w:cs="Times New Roman"/>
                <w:sz w:val="20"/>
                <w:szCs w:val="22"/>
              </w:rPr>
            </w:pPr>
          </w:p>
        </w:tc>
      </w:tr>
      <w:tr w:rsidR="0029066A" w:rsidRPr="0029066A" w:rsidTr="0018677E">
        <w:trPr>
          <w:trHeight w:val="300"/>
        </w:trPr>
        <w:tc>
          <w:tcPr>
            <w:tcW w:w="7953" w:type="dxa"/>
            <w:gridSpan w:val="7"/>
            <w:tcBorders>
              <w:top w:val="nil"/>
              <w:left w:val="nil"/>
              <w:bottom w:val="nil"/>
              <w:right w:val="nil"/>
            </w:tcBorders>
            <w:shd w:val="clear" w:color="auto" w:fill="auto"/>
            <w:noWrap/>
            <w:vAlign w:val="bottom"/>
            <w:hideMark/>
          </w:tcPr>
          <w:p w:rsidR="0029066A" w:rsidRPr="0029066A" w:rsidRDefault="0029066A" w:rsidP="00493D23">
            <w:pPr>
              <w:spacing w:after="0"/>
              <w:rPr>
                <w:rFonts w:ascii="Calibri" w:eastAsia="Times New Roman" w:hAnsi="Calibri" w:cs="Times New Roman"/>
                <w:sz w:val="20"/>
                <w:szCs w:val="22"/>
              </w:rPr>
            </w:pPr>
            <w:r w:rsidRPr="0029066A">
              <w:rPr>
                <w:rFonts w:ascii="Calibri" w:eastAsia="Times New Roman" w:hAnsi="Calibri" w:cs="Times New Roman"/>
                <w:sz w:val="20"/>
                <w:szCs w:val="22"/>
              </w:rPr>
              <w:t xml:space="preserve">The Script 1 Total rows do not have a median days to supply as there </w:t>
            </w:r>
            <w:r w:rsidR="00493D23">
              <w:rPr>
                <w:rFonts w:ascii="Calibri" w:eastAsia="Times New Roman" w:hAnsi="Calibri" w:cs="Times New Roman"/>
                <w:sz w:val="20"/>
                <w:szCs w:val="22"/>
              </w:rPr>
              <w:t>wa</w:t>
            </w:r>
            <w:r w:rsidRPr="0029066A">
              <w:rPr>
                <w:rFonts w:ascii="Calibri" w:eastAsia="Times New Roman" w:hAnsi="Calibri" w:cs="Times New Roman"/>
                <w:sz w:val="20"/>
                <w:szCs w:val="22"/>
              </w:rPr>
              <w:t>s no prior script</w:t>
            </w:r>
          </w:p>
        </w:tc>
        <w:tc>
          <w:tcPr>
            <w:tcW w:w="1134" w:type="dxa"/>
            <w:tcBorders>
              <w:top w:val="nil"/>
              <w:left w:val="nil"/>
              <w:bottom w:val="nil"/>
              <w:right w:val="nil"/>
            </w:tcBorders>
            <w:shd w:val="clear" w:color="auto" w:fill="auto"/>
            <w:noWrap/>
            <w:vAlign w:val="bottom"/>
            <w:hideMark/>
          </w:tcPr>
          <w:p w:rsidR="0029066A" w:rsidRPr="0029066A" w:rsidRDefault="0029066A" w:rsidP="00493D23">
            <w:pPr>
              <w:spacing w:after="0"/>
              <w:rPr>
                <w:rFonts w:ascii="Calibri" w:eastAsia="Times New Roman" w:hAnsi="Calibri" w:cs="Times New Roman"/>
                <w:sz w:val="20"/>
                <w:szCs w:val="22"/>
              </w:rPr>
            </w:pPr>
          </w:p>
        </w:tc>
      </w:tr>
    </w:tbl>
    <w:p w:rsidR="00777208" w:rsidRDefault="00777208">
      <w:pPr>
        <w:spacing w:line="276" w:lineRule="auto"/>
        <w:rPr>
          <w:b/>
          <w:i/>
          <w:szCs w:val="28"/>
        </w:rPr>
      </w:pPr>
    </w:p>
    <w:p w:rsidR="007E7451" w:rsidRDefault="00265B2F" w:rsidP="007E7451">
      <w:pPr>
        <w:pStyle w:val="Heading3"/>
        <w:rPr>
          <w:i/>
          <w:sz w:val="24"/>
        </w:rPr>
      </w:pPr>
      <w:r>
        <w:rPr>
          <w:i/>
          <w:sz w:val="24"/>
        </w:rPr>
        <w:t xml:space="preserve">Estimated </w:t>
      </w:r>
      <w:r w:rsidR="007E7451">
        <w:rPr>
          <w:i/>
          <w:sz w:val="24"/>
        </w:rPr>
        <w:t>Dose Analysis</w:t>
      </w:r>
    </w:p>
    <w:p w:rsidR="007442E8" w:rsidRDefault="002759DC" w:rsidP="00265B2F">
      <w:pPr>
        <w:spacing w:line="276" w:lineRule="auto"/>
      </w:pPr>
      <w:r>
        <w:t xml:space="preserve">The </w:t>
      </w:r>
      <w:r w:rsidR="00C2722D">
        <w:t xml:space="preserve">dose analysis </w:t>
      </w:r>
      <w:r>
        <w:t>results are summarised in the following two figures and table.</w:t>
      </w:r>
    </w:p>
    <w:p w:rsidR="002759DC" w:rsidRDefault="002759DC" w:rsidP="009C7E0E">
      <w:pPr>
        <w:spacing w:after="0"/>
      </w:pPr>
      <w:r w:rsidRPr="00A4115A">
        <w:rPr>
          <w:noProof/>
          <w:bdr w:val="single" w:sz="4" w:space="0" w:color="auto"/>
        </w:rPr>
        <w:drawing>
          <wp:inline distT="0" distB="0" distL="0" distR="0" wp14:anchorId="7EA6364B" wp14:editId="61CD32CB">
            <wp:extent cx="5687695" cy="3703686"/>
            <wp:effectExtent l="0" t="0" r="825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59DC" w:rsidRPr="007E7451" w:rsidRDefault="002759DC" w:rsidP="002759DC">
      <w:r w:rsidRPr="00072D2F">
        <w:rPr>
          <w:b/>
        </w:rPr>
        <w:t xml:space="preserve">Figure </w:t>
      </w:r>
      <w:r w:rsidR="00C2722D">
        <w:rPr>
          <w:b/>
        </w:rPr>
        <w:t>9</w:t>
      </w:r>
      <w:r w:rsidRPr="00072D2F">
        <w:rPr>
          <w:b/>
        </w:rPr>
        <w:t>:</w:t>
      </w:r>
      <w:r>
        <w:rPr>
          <w:b/>
        </w:rPr>
        <w:t xml:space="preserve"> Estimate of daily dose by </w:t>
      </w:r>
      <w:r w:rsidR="00CC1419">
        <w:rPr>
          <w:b/>
        </w:rPr>
        <w:t>initiation cohort</w:t>
      </w:r>
      <w:r>
        <w:rPr>
          <w:b/>
          <w:bCs/>
        </w:rPr>
        <w:br/>
      </w:r>
      <w:r w:rsidRPr="00E33405">
        <w:rPr>
          <w:bCs/>
          <w:sz w:val="22"/>
        </w:rPr>
        <w:t xml:space="preserve">Note: </w:t>
      </w:r>
      <w:r w:rsidR="00E33405">
        <w:rPr>
          <w:bCs/>
          <w:sz w:val="22"/>
        </w:rPr>
        <w:t xml:space="preserve"> </w:t>
      </w:r>
      <w:r w:rsidR="00CC1419" w:rsidRPr="00E33405">
        <w:rPr>
          <w:bCs/>
          <w:sz w:val="22"/>
        </w:rPr>
        <w:t>excluding outliers with an average dose &gt;= 640 mg/day</w:t>
      </w:r>
      <w:r w:rsidR="00594285" w:rsidRPr="00E33405">
        <w:rPr>
          <w:bCs/>
          <w:sz w:val="22"/>
        </w:rPr>
        <w:t xml:space="preserve"> (</w:t>
      </w:r>
      <w:r w:rsidR="00E33405" w:rsidRPr="00E33405">
        <w:rPr>
          <w:bCs/>
          <w:sz w:val="22"/>
        </w:rPr>
        <w:t>6,384</w:t>
      </w:r>
      <w:r w:rsidR="00594285" w:rsidRPr="00E33405">
        <w:rPr>
          <w:bCs/>
          <w:sz w:val="22"/>
        </w:rPr>
        <w:t xml:space="preserve"> patients were excluded</w:t>
      </w:r>
      <w:r w:rsidR="00E33405" w:rsidRPr="00E33405">
        <w:rPr>
          <w:bCs/>
          <w:sz w:val="22"/>
        </w:rPr>
        <w:t>, 1.17%</w:t>
      </w:r>
      <w:r w:rsidR="00E33405">
        <w:rPr>
          <w:bCs/>
          <w:sz w:val="22"/>
        </w:rPr>
        <w:t xml:space="preserve"> of all patients</w:t>
      </w:r>
      <w:r w:rsidR="00594285" w:rsidRPr="00E33405">
        <w:rPr>
          <w:bCs/>
          <w:sz w:val="22"/>
        </w:rPr>
        <w:t>).</w:t>
      </w:r>
    </w:p>
    <w:p w:rsidR="00CC1419" w:rsidRDefault="00CC1419" w:rsidP="009C7E0E">
      <w:pPr>
        <w:spacing w:after="0"/>
      </w:pPr>
      <w:r>
        <w:t xml:space="preserve">Figure </w:t>
      </w:r>
      <w:r w:rsidR="00C2722D">
        <w:t>9</w:t>
      </w:r>
      <w:r>
        <w:t xml:space="preserve"> show</w:t>
      </w:r>
      <w:r w:rsidR="00C2722D">
        <w:t>s</w:t>
      </w:r>
      <w:r>
        <w:t xml:space="preserve"> that the three most common daily doses are approximately 150mg, 50mg and 300mg respectively. </w:t>
      </w:r>
      <w:r w:rsidR="00F16C74">
        <w:t>It also shows that the patients in the first cohort had a relatively higher frequency of high doses and lower frequency of low doses</w:t>
      </w:r>
      <w:r w:rsidR="00F663CB">
        <w:t>. This probably reflects patients responding to and established on treatment in the private market moving to PBS supply.</w:t>
      </w:r>
    </w:p>
    <w:p w:rsidR="00733433" w:rsidRDefault="00733433" w:rsidP="009C7E0E">
      <w:pPr>
        <w:spacing w:after="0"/>
      </w:pPr>
    </w:p>
    <w:p w:rsidR="00733433" w:rsidRDefault="009C0FD2" w:rsidP="009C7E0E">
      <w:pPr>
        <w:spacing w:after="0"/>
      </w:pPr>
      <w:r>
        <w:t>Since i</w:t>
      </w:r>
      <w:r w:rsidR="00733433">
        <w:t xml:space="preserve">t </w:t>
      </w:r>
      <w:r>
        <w:t>i</w:t>
      </w:r>
      <w:r w:rsidR="00733433">
        <w:t xml:space="preserve">s anticipated that patients may go on and off therapies for neuropathic pain, and it is not known whether patients who reinitiate after a break </w:t>
      </w:r>
      <w:r w:rsidR="00E33405">
        <w:t xml:space="preserve">(ie. start a new episode of treatment) </w:t>
      </w:r>
      <w:r w:rsidR="00733433">
        <w:t xml:space="preserve">would </w:t>
      </w:r>
      <w:r w:rsidR="00E33405">
        <w:t>re-</w:t>
      </w:r>
      <w:r w:rsidR="00733433">
        <w:t>commence on a low dose of pregabalin and up</w:t>
      </w:r>
      <w:r>
        <w:t>-</w:t>
      </w:r>
      <w:r w:rsidR="00733433">
        <w:t>titrate</w:t>
      </w:r>
      <w:r w:rsidR="00E33405">
        <w:t>,</w:t>
      </w:r>
      <w:r w:rsidR="00733433">
        <w:t xml:space="preserve"> an analysis of dose according to treatment episode was also undertaken</w:t>
      </w:r>
      <w:r>
        <w:t xml:space="preserve">. Episodes are defined as a break of two standard coverage days (SCD) or more between the coverage end date of one script and the </w:t>
      </w:r>
      <w:r w:rsidR="00946FCB">
        <w:t xml:space="preserve">supply of the </w:t>
      </w:r>
      <w:r>
        <w:t>next. SCD is the median time to re-supply and is 27 days for pregabalin (see Appendix B for more detail).</w:t>
      </w:r>
    </w:p>
    <w:p w:rsidR="00EB2212" w:rsidRDefault="00EB2212" w:rsidP="009C7E0E">
      <w:pPr>
        <w:spacing w:after="0"/>
      </w:pPr>
    </w:p>
    <w:p w:rsidR="00C2381B" w:rsidRDefault="00C2381B" w:rsidP="00C2381B">
      <w:pPr>
        <w:spacing w:after="0"/>
      </w:pPr>
      <w:r w:rsidRPr="00A4115A">
        <w:rPr>
          <w:noProof/>
          <w:bdr w:val="single" w:sz="4" w:space="0" w:color="auto"/>
        </w:rPr>
        <w:drawing>
          <wp:inline distT="0" distB="0" distL="0" distR="0" wp14:anchorId="718A95C9" wp14:editId="18227056">
            <wp:extent cx="5687695" cy="3703686"/>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2381B" w:rsidRPr="007E7451" w:rsidRDefault="00C2381B" w:rsidP="00C2381B">
      <w:r w:rsidRPr="00072D2F">
        <w:rPr>
          <w:b/>
        </w:rPr>
        <w:t>Figure</w:t>
      </w:r>
      <w:r w:rsidR="004607EE">
        <w:rPr>
          <w:b/>
        </w:rPr>
        <w:t xml:space="preserve"> </w:t>
      </w:r>
      <w:r>
        <w:rPr>
          <w:b/>
        </w:rPr>
        <w:t>1</w:t>
      </w:r>
      <w:r w:rsidR="008E29CF">
        <w:rPr>
          <w:b/>
        </w:rPr>
        <w:t>0</w:t>
      </w:r>
      <w:r w:rsidRPr="00072D2F">
        <w:rPr>
          <w:b/>
        </w:rPr>
        <w:t>:</w:t>
      </w:r>
      <w:r w:rsidR="007F3641">
        <w:rPr>
          <w:b/>
        </w:rPr>
        <w:t xml:space="preserve"> </w:t>
      </w:r>
      <w:r>
        <w:rPr>
          <w:b/>
        </w:rPr>
        <w:t>Estimate</w:t>
      </w:r>
      <w:r w:rsidR="008E29CF">
        <w:rPr>
          <w:b/>
        </w:rPr>
        <w:t xml:space="preserve"> </w:t>
      </w:r>
      <w:r>
        <w:rPr>
          <w:b/>
        </w:rPr>
        <w:t>of</w:t>
      </w:r>
      <w:r w:rsidR="008E29CF">
        <w:rPr>
          <w:b/>
        </w:rPr>
        <w:t xml:space="preserve"> </w:t>
      </w:r>
      <w:r>
        <w:rPr>
          <w:b/>
        </w:rPr>
        <w:t>daily</w:t>
      </w:r>
      <w:r w:rsidR="008E29CF">
        <w:rPr>
          <w:b/>
        </w:rPr>
        <w:t xml:space="preserve"> </w:t>
      </w:r>
      <w:r>
        <w:rPr>
          <w:b/>
        </w:rPr>
        <w:t>dose</w:t>
      </w:r>
      <w:r w:rsidR="008E29CF">
        <w:rPr>
          <w:b/>
        </w:rPr>
        <w:t xml:space="preserve"> </w:t>
      </w:r>
      <w:r>
        <w:rPr>
          <w:b/>
        </w:rPr>
        <w:t>by</w:t>
      </w:r>
      <w:r w:rsidR="008E29CF">
        <w:rPr>
          <w:b/>
        </w:rPr>
        <w:t xml:space="preserve"> </w:t>
      </w:r>
      <w:r>
        <w:rPr>
          <w:b/>
        </w:rPr>
        <w:t>episode</w:t>
      </w:r>
      <w:r>
        <w:rPr>
          <w:b/>
          <w:bCs/>
        </w:rPr>
        <w:br/>
      </w:r>
      <w:r w:rsidRPr="00947419">
        <w:rPr>
          <w:bCs/>
          <w:sz w:val="22"/>
        </w:rPr>
        <w:t>Note:</w:t>
      </w:r>
      <w:r w:rsidR="00E33405">
        <w:rPr>
          <w:bCs/>
          <w:sz w:val="22"/>
        </w:rPr>
        <w:t xml:space="preserve"> </w:t>
      </w:r>
      <w:r w:rsidRPr="00CC1419">
        <w:rPr>
          <w:bCs/>
          <w:sz w:val="22"/>
        </w:rPr>
        <w:t>excluding</w:t>
      </w:r>
      <w:r w:rsidR="008E29CF">
        <w:rPr>
          <w:bCs/>
          <w:sz w:val="22"/>
        </w:rPr>
        <w:t xml:space="preserve"> </w:t>
      </w:r>
      <w:r w:rsidRPr="00CC1419">
        <w:rPr>
          <w:bCs/>
          <w:sz w:val="22"/>
        </w:rPr>
        <w:t>outliers</w:t>
      </w:r>
      <w:r w:rsidR="008E29CF">
        <w:rPr>
          <w:bCs/>
          <w:sz w:val="22"/>
        </w:rPr>
        <w:t xml:space="preserve"> </w:t>
      </w:r>
      <w:r w:rsidRPr="00CC1419">
        <w:rPr>
          <w:bCs/>
          <w:sz w:val="22"/>
        </w:rPr>
        <w:t>with</w:t>
      </w:r>
      <w:r w:rsidR="008E29CF">
        <w:rPr>
          <w:bCs/>
          <w:sz w:val="22"/>
        </w:rPr>
        <w:t xml:space="preserve"> </w:t>
      </w:r>
      <w:r w:rsidRPr="00CC1419">
        <w:rPr>
          <w:bCs/>
          <w:sz w:val="22"/>
        </w:rPr>
        <w:t>a</w:t>
      </w:r>
      <w:r>
        <w:rPr>
          <w:bCs/>
          <w:sz w:val="22"/>
        </w:rPr>
        <w:t>n</w:t>
      </w:r>
      <w:r w:rsidR="008E29CF">
        <w:rPr>
          <w:bCs/>
          <w:sz w:val="22"/>
        </w:rPr>
        <w:t xml:space="preserve"> </w:t>
      </w:r>
      <w:r w:rsidRPr="00CC1419">
        <w:rPr>
          <w:bCs/>
          <w:sz w:val="22"/>
        </w:rPr>
        <w:t>average</w:t>
      </w:r>
      <w:r w:rsidR="008E29CF">
        <w:rPr>
          <w:bCs/>
          <w:sz w:val="22"/>
        </w:rPr>
        <w:t xml:space="preserve"> </w:t>
      </w:r>
      <w:r w:rsidRPr="00CC1419">
        <w:rPr>
          <w:bCs/>
          <w:sz w:val="22"/>
        </w:rPr>
        <w:t>dose</w:t>
      </w:r>
      <w:r w:rsidR="008E29CF">
        <w:rPr>
          <w:bCs/>
          <w:sz w:val="22"/>
        </w:rPr>
        <w:t xml:space="preserve"> </w:t>
      </w:r>
      <w:r w:rsidRPr="00CC1419">
        <w:rPr>
          <w:bCs/>
          <w:sz w:val="22"/>
        </w:rPr>
        <w:t>&gt;</w:t>
      </w:r>
      <w:r>
        <w:rPr>
          <w:bCs/>
          <w:sz w:val="22"/>
        </w:rPr>
        <w:t>=</w:t>
      </w:r>
      <w:r w:rsidR="008E29CF">
        <w:rPr>
          <w:bCs/>
          <w:sz w:val="22"/>
        </w:rPr>
        <w:t xml:space="preserve"> </w:t>
      </w:r>
      <w:r w:rsidRPr="00CC1419">
        <w:rPr>
          <w:bCs/>
          <w:sz w:val="22"/>
        </w:rPr>
        <w:t>640</w:t>
      </w:r>
      <w:r w:rsidR="008E29CF">
        <w:rPr>
          <w:bCs/>
          <w:sz w:val="22"/>
        </w:rPr>
        <w:t xml:space="preserve"> </w:t>
      </w:r>
      <w:r w:rsidRPr="00CC1419">
        <w:rPr>
          <w:bCs/>
          <w:sz w:val="22"/>
        </w:rPr>
        <w:t>mg/day</w:t>
      </w:r>
      <w:r w:rsidR="009C0FD2">
        <w:rPr>
          <w:bCs/>
          <w:sz w:val="22"/>
        </w:rPr>
        <w:t xml:space="preserve"> </w:t>
      </w:r>
      <w:r w:rsidR="00E33405" w:rsidRPr="00E33405">
        <w:rPr>
          <w:bCs/>
          <w:sz w:val="22"/>
        </w:rPr>
        <w:t>(6,384 patients were excluded, 1.17%</w:t>
      </w:r>
      <w:r w:rsidR="00E33405">
        <w:rPr>
          <w:bCs/>
          <w:sz w:val="22"/>
        </w:rPr>
        <w:t xml:space="preserve"> of all patients</w:t>
      </w:r>
      <w:r w:rsidR="00E33405" w:rsidRPr="00E33405">
        <w:rPr>
          <w:bCs/>
          <w:sz w:val="22"/>
        </w:rPr>
        <w:t>)</w:t>
      </w:r>
      <w:r>
        <w:rPr>
          <w:bCs/>
          <w:sz w:val="22"/>
        </w:rPr>
        <w:t>.</w:t>
      </w:r>
    </w:p>
    <w:p w:rsidR="008E29CF" w:rsidRDefault="00C12CF2" w:rsidP="00ED3CDC">
      <w:pPr>
        <w:spacing w:line="276" w:lineRule="auto"/>
      </w:pPr>
      <w:r>
        <w:t xml:space="preserve">Figure 10 shows that </w:t>
      </w:r>
      <w:r w:rsidR="00ED3CDC" w:rsidRPr="00ED3CDC">
        <w:t>patient</w:t>
      </w:r>
      <w:r w:rsidR="00ED3CDC">
        <w:t xml:space="preserve"> first episodes</w:t>
      </w:r>
      <w:r w:rsidR="00ED3CDC" w:rsidRPr="00ED3CDC">
        <w:t xml:space="preserve"> had a relatively higher frequency of </w:t>
      </w:r>
      <w:r w:rsidR="00ED3CDC">
        <w:t>low</w:t>
      </w:r>
      <w:r w:rsidR="00ED3CDC" w:rsidRPr="00ED3CDC">
        <w:t xml:space="preserve"> doses and lower frequency of </w:t>
      </w:r>
      <w:r w:rsidR="00ED3CDC">
        <w:t>high</w:t>
      </w:r>
      <w:r w:rsidR="00ED3CDC" w:rsidRPr="00ED3CDC">
        <w:t xml:space="preserve"> doses</w:t>
      </w:r>
      <w:r w:rsidR="00A37926">
        <w:t xml:space="preserve">. </w:t>
      </w:r>
      <w:r w:rsidR="00946FCB">
        <w:t xml:space="preserve">This may be due to the fact that </w:t>
      </w:r>
      <w:r w:rsidR="00192378">
        <w:t xml:space="preserve">a </w:t>
      </w:r>
      <w:r w:rsidR="00946FCB">
        <w:t xml:space="preserve">first episode contains the titration period. </w:t>
      </w:r>
      <w:r w:rsidR="00A37926">
        <w:t xml:space="preserve">This leads to </w:t>
      </w:r>
      <w:r w:rsidR="00946FCB">
        <w:t>a</w:t>
      </w:r>
      <w:r w:rsidR="00A37926">
        <w:t xml:space="preserve"> lower average dose for first episodes, as shown in Table </w:t>
      </w:r>
      <w:r w:rsidR="00805B51">
        <w:t>8</w:t>
      </w:r>
      <w:r w:rsidR="00A37926">
        <w:t xml:space="preserve"> (but only for the 2</w:t>
      </w:r>
      <w:r w:rsidR="00A37926" w:rsidRPr="00A37926">
        <w:rPr>
          <w:vertAlign w:val="superscript"/>
        </w:rPr>
        <w:t>nd</w:t>
      </w:r>
      <w:r w:rsidR="00A37926">
        <w:t xml:space="preserve"> and 3</w:t>
      </w:r>
      <w:r w:rsidR="00A37926" w:rsidRPr="00A37926">
        <w:rPr>
          <w:vertAlign w:val="superscript"/>
        </w:rPr>
        <w:t>rd</w:t>
      </w:r>
      <w:r w:rsidR="00A37926">
        <w:t xml:space="preserve"> initiation cohorts. In the 1</w:t>
      </w:r>
      <w:r w:rsidR="00A37926" w:rsidRPr="00A37926">
        <w:rPr>
          <w:vertAlign w:val="superscript"/>
        </w:rPr>
        <w:t>st</w:t>
      </w:r>
      <w:r w:rsidR="00A37926">
        <w:t xml:space="preserve"> cohort the average dose is approximately equal across the episodes</w:t>
      </w:r>
      <w:r w:rsidR="00946FCB">
        <w:t>. Again, this may be due to more patients grandfathered from the private market in this cohort</w:t>
      </w:r>
      <w:r w:rsidR="00A37926">
        <w:t>).</w:t>
      </w:r>
      <w:r w:rsidR="00C52E97">
        <w:t xml:space="preserve"> </w:t>
      </w:r>
    </w:p>
    <w:p w:rsidR="00820C66" w:rsidRDefault="00820C66">
      <w:pPr>
        <w:spacing w:line="276" w:lineRule="auto"/>
        <w:rPr>
          <w:rFonts w:eastAsiaTheme="majorEastAsia" w:cstheme="majorBidi"/>
          <w:b/>
          <w:bCs/>
          <w:iCs/>
        </w:rPr>
      </w:pPr>
      <w:r>
        <w:br w:type="page"/>
      </w:r>
    </w:p>
    <w:p w:rsidR="00C2381B" w:rsidRPr="00477ECE" w:rsidRDefault="00C2381B" w:rsidP="00C2381B">
      <w:pPr>
        <w:pStyle w:val="Tabletitle"/>
      </w:pPr>
      <w:r w:rsidRPr="00477ECE">
        <w:t xml:space="preserve">Table </w:t>
      </w:r>
      <w:r w:rsidR="00283481">
        <w:t>9</w:t>
      </w:r>
      <w:r w:rsidRPr="00477ECE">
        <w:t xml:space="preserve">: </w:t>
      </w:r>
      <w:r>
        <w:t>Estimated Average Daily Doses of pregabalin</w:t>
      </w:r>
    </w:p>
    <w:tbl>
      <w:tblPr>
        <w:tblW w:w="9087" w:type="dxa"/>
        <w:tblInd w:w="93" w:type="dxa"/>
        <w:tblLook w:val="04A0" w:firstRow="1" w:lastRow="0" w:firstColumn="1" w:lastColumn="0" w:noHBand="0" w:noVBand="1"/>
      </w:tblPr>
      <w:tblGrid>
        <w:gridCol w:w="3276"/>
        <w:gridCol w:w="1275"/>
        <w:gridCol w:w="1560"/>
        <w:gridCol w:w="1417"/>
        <w:gridCol w:w="1559"/>
      </w:tblGrid>
      <w:tr w:rsidR="00C2381B" w:rsidRPr="00A4115A" w:rsidTr="00A4115A">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C2381B" w:rsidRPr="00A4115A" w:rsidRDefault="00C2381B" w:rsidP="00C2381B">
            <w:pPr>
              <w:spacing w:after="0"/>
              <w:rPr>
                <w:rFonts w:ascii="Calibri" w:eastAsia="Times New Roman" w:hAnsi="Calibri" w:cs="Times New Roman"/>
                <w:b/>
                <w:bCs/>
                <w:color w:val="000000"/>
                <w:sz w:val="20"/>
                <w:szCs w:val="20"/>
              </w:rPr>
            </w:pPr>
            <w:r w:rsidRPr="00A4115A">
              <w:rPr>
                <w:rFonts w:ascii="Calibri" w:eastAsia="Times New Roman" w:hAnsi="Calibri" w:cs="Times New Roman"/>
                <w:b/>
                <w:bCs/>
                <w:color w:val="000000"/>
                <w:sz w:val="20"/>
                <w:szCs w:val="20"/>
              </w:rPr>
              <w:t>Initiation Cohort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C2381B" w:rsidRPr="00A4115A" w:rsidRDefault="00C2381B" w:rsidP="00C2381B">
            <w:pPr>
              <w:spacing w:after="0"/>
              <w:jc w:val="center"/>
              <w:rPr>
                <w:rFonts w:ascii="Calibri" w:eastAsia="Times New Roman" w:hAnsi="Calibri" w:cs="Times New Roman"/>
                <w:b/>
                <w:bCs/>
                <w:color w:val="000000"/>
                <w:sz w:val="20"/>
                <w:szCs w:val="20"/>
              </w:rPr>
            </w:pPr>
            <w:r w:rsidRPr="00A4115A">
              <w:rPr>
                <w:rFonts w:ascii="Calibri" w:eastAsia="Times New Roman" w:hAnsi="Calibri" w:cs="Times New Roman"/>
                <w:b/>
                <w:bCs/>
                <w:color w:val="000000"/>
                <w:sz w:val="20"/>
                <w:szCs w:val="20"/>
              </w:rPr>
              <w:t>Episode*</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C2381B" w:rsidRPr="00A4115A" w:rsidRDefault="00C2381B" w:rsidP="00C2381B">
            <w:pPr>
              <w:spacing w:after="0"/>
              <w:jc w:val="center"/>
              <w:rPr>
                <w:rFonts w:ascii="Calibri" w:eastAsia="Times New Roman" w:hAnsi="Calibri" w:cs="Times New Roman"/>
                <w:b/>
                <w:bCs/>
                <w:color w:val="000000"/>
                <w:sz w:val="20"/>
                <w:szCs w:val="20"/>
              </w:rPr>
            </w:pPr>
            <w:r w:rsidRPr="00A4115A">
              <w:rPr>
                <w:rFonts w:ascii="Calibri" w:eastAsia="Times New Roman" w:hAnsi="Calibri" w:cs="Times New Roman"/>
                <w:b/>
                <w:bCs/>
                <w:color w:val="000000"/>
                <w:sz w:val="20"/>
                <w:szCs w:val="20"/>
              </w:rPr>
              <w:t>Patients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C2381B" w:rsidRPr="00A4115A" w:rsidRDefault="00C2381B" w:rsidP="00C2381B">
            <w:pPr>
              <w:spacing w:after="0"/>
              <w:jc w:val="center"/>
              <w:rPr>
                <w:rFonts w:ascii="Calibri" w:eastAsia="Times New Roman" w:hAnsi="Calibri" w:cs="Times New Roman"/>
                <w:b/>
                <w:bCs/>
                <w:color w:val="000000"/>
                <w:sz w:val="20"/>
                <w:szCs w:val="20"/>
              </w:rPr>
            </w:pPr>
            <w:r w:rsidRPr="00A4115A">
              <w:rPr>
                <w:rFonts w:ascii="Calibri" w:eastAsia="Times New Roman" w:hAnsi="Calibri" w:cs="Times New Roman"/>
                <w:b/>
                <w:bCs/>
                <w:color w:val="000000"/>
                <w:sz w:val="20"/>
                <w:szCs w:val="20"/>
              </w:rPr>
              <w:t>Average Dose (mg/day)</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C2381B" w:rsidRPr="00A4115A" w:rsidRDefault="00C2381B" w:rsidP="00C2381B">
            <w:pPr>
              <w:spacing w:after="0"/>
              <w:jc w:val="center"/>
              <w:rPr>
                <w:rFonts w:ascii="Calibri" w:eastAsia="Times New Roman" w:hAnsi="Calibri" w:cs="Times New Roman"/>
                <w:b/>
                <w:bCs/>
                <w:color w:val="000000"/>
                <w:sz w:val="20"/>
                <w:szCs w:val="20"/>
              </w:rPr>
            </w:pPr>
            <w:r w:rsidRPr="00A4115A">
              <w:rPr>
                <w:rFonts w:ascii="Calibri" w:eastAsia="Times New Roman" w:hAnsi="Calibri" w:cs="Times New Roman"/>
                <w:b/>
                <w:bCs/>
                <w:color w:val="000000"/>
                <w:sz w:val="20"/>
                <w:szCs w:val="20"/>
              </w:rPr>
              <w:t>Weighted** Average Dose (mg/day)</w:t>
            </w:r>
          </w:p>
        </w:tc>
      </w:tr>
      <w:tr w:rsidR="00A4115A" w:rsidRPr="00A4115A" w:rsidTr="00A4115A">
        <w:trPr>
          <w:trHeight w:val="300"/>
        </w:trPr>
        <w:tc>
          <w:tcPr>
            <w:tcW w:w="3276" w:type="dxa"/>
            <w:vMerge w:val="restart"/>
            <w:tcBorders>
              <w:top w:val="single" w:sz="4" w:space="0" w:color="auto"/>
              <w:left w:val="single" w:sz="4" w:space="0" w:color="auto"/>
              <w:right w:val="single" w:sz="4" w:space="0" w:color="auto"/>
            </w:tcBorders>
            <w:shd w:val="clear" w:color="auto" w:fill="auto"/>
            <w:noWrap/>
            <w:hideMark/>
          </w:tcPr>
          <w:p w:rsidR="00A4115A" w:rsidRPr="00A4115A" w:rsidRDefault="00A4115A" w:rsidP="00A4115A">
            <w:pPr>
              <w:spacing w:after="0"/>
              <w:rPr>
                <w:rFonts w:ascii="Calibri" w:eastAsia="Times New Roman" w:hAnsi="Calibri" w:cs="Times New Roman"/>
                <w:bCs/>
                <w:color w:val="000000"/>
                <w:sz w:val="20"/>
                <w:szCs w:val="20"/>
              </w:rPr>
            </w:pPr>
            <w:r w:rsidRPr="00A4115A">
              <w:rPr>
                <w:rFonts w:ascii="Calibri" w:eastAsia="Times New Roman" w:hAnsi="Calibri" w:cs="Times New Roman"/>
                <w:bCs/>
                <w:color w:val="000000"/>
                <w:sz w:val="20"/>
                <w:szCs w:val="20"/>
              </w:rPr>
              <w:t>Initiated in 1st 6 months after listing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163,938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229</w:t>
            </w:r>
          </w:p>
        </w:tc>
      </w:tr>
      <w:tr w:rsidR="00A4115A" w:rsidRPr="00A4115A" w:rsidTr="00A84934">
        <w:trPr>
          <w:trHeight w:val="300"/>
        </w:trPr>
        <w:tc>
          <w:tcPr>
            <w:tcW w:w="3276" w:type="dxa"/>
            <w:vMerge/>
            <w:tcBorders>
              <w:left w:val="single" w:sz="4" w:space="0" w:color="auto"/>
              <w:right w:val="single" w:sz="4" w:space="0" w:color="auto"/>
            </w:tcBorders>
            <w:shd w:val="clear" w:color="auto" w:fill="auto"/>
            <w:noWrap/>
            <w:vAlign w:val="bottom"/>
            <w:hideMark/>
          </w:tcPr>
          <w:p w:rsidR="00A4115A" w:rsidRPr="00A4115A" w:rsidRDefault="00A4115A" w:rsidP="00C2381B">
            <w:pPr>
              <w:spacing w:after="0"/>
              <w:rPr>
                <w:rFonts w:ascii="Calibri" w:eastAsia="Times New Roman" w:hAnsi="Calibri"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47,571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183</w:t>
            </w:r>
          </w:p>
        </w:tc>
      </w:tr>
      <w:tr w:rsidR="00A4115A" w:rsidRPr="00A4115A" w:rsidTr="00A84934">
        <w:trPr>
          <w:trHeight w:val="300"/>
        </w:trPr>
        <w:tc>
          <w:tcPr>
            <w:tcW w:w="3276" w:type="dxa"/>
            <w:vMerge/>
            <w:tcBorders>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rPr>
                <w:rFonts w:ascii="Calibri" w:eastAsia="Times New Roman" w:hAnsi="Calibri"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13,490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172</w:t>
            </w:r>
          </w:p>
        </w:tc>
      </w:tr>
      <w:tr w:rsidR="00A4115A" w:rsidRPr="00A4115A" w:rsidTr="00A4115A">
        <w:trPr>
          <w:trHeight w:val="300"/>
        </w:trPr>
        <w:tc>
          <w:tcPr>
            <w:tcW w:w="3276" w:type="dxa"/>
            <w:vMerge w:val="restart"/>
            <w:tcBorders>
              <w:top w:val="single" w:sz="4" w:space="0" w:color="auto"/>
              <w:left w:val="single" w:sz="4" w:space="0" w:color="auto"/>
              <w:right w:val="single" w:sz="4" w:space="0" w:color="auto"/>
            </w:tcBorders>
            <w:shd w:val="clear" w:color="auto" w:fill="auto"/>
            <w:noWrap/>
            <w:hideMark/>
          </w:tcPr>
          <w:p w:rsidR="00A4115A" w:rsidRPr="00A4115A" w:rsidRDefault="00A4115A" w:rsidP="00A4115A">
            <w:pPr>
              <w:spacing w:after="0"/>
              <w:rPr>
                <w:rFonts w:ascii="Calibri" w:eastAsia="Times New Roman" w:hAnsi="Calibri" w:cs="Times New Roman"/>
                <w:bCs/>
                <w:color w:val="000000"/>
                <w:sz w:val="20"/>
                <w:szCs w:val="20"/>
              </w:rPr>
            </w:pPr>
            <w:r w:rsidRPr="00A4115A">
              <w:rPr>
                <w:rFonts w:ascii="Calibri" w:eastAsia="Times New Roman" w:hAnsi="Calibri" w:cs="Times New Roman"/>
                <w:bCs/>
                <w:color w:val="000000"/>
                <w:sz w:val="20"/>
                <w:szCs w:val="20"/>
              </w:rPr>
              <w:t>Initiated in 2nd 6 months after listing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128,214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182</w:t>
            </w:r>
          </w:p>
        </w:tc>
      </w:tr>
      <w:tr w:rsidR="00A4115A" w:rsidRPr="00A4115A" w:rsidTr="00A84934">
        <w:trPr>
          <w:trHeight w:val="300"/>
        </w:trPr>
        <w:tc>
          <w:tcPr>
            <w:tcW w:w="3276" w:type="dxa"/>
            <w:vMerge/>
            <w:tcBorders>
              <w:left w:val="single" w:sz="4" w:space="0" w:color="auto"/>
              <w:right w:val="single" w:sz="4" w:space="0" w:color="auto"/>
            </w:tcBorders>
            <w:shd w:val="clear" w:color="auto" w:fill="auto"/>
            <w:noWrap/>
            <w:vAlign w:val="bottom"/>
            <w:hideMark/>
          </w:tcPr>
          <w:p w:rsidR="00A4115A" w:rsidRPr="00A4115A" w:rsidRDefault="00A4115A" w:rsidP="00C2381B">
            <w:pPr>
              <w:spacing w:after="0"/>
              <w:rPr>
                <w:rFonts w:ascii="Calibri" w:eastAsia="Times New Roman" w:hAnsi="Calibri" w:cs="Times New Roman"/>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29,252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157</w:t>
            </w:r>
          </w:p>
        </w:tc>
      </w:tr>
      <w:tr w:rsidR="00A4115A" w:rsidRPr="00A4115A" w:rsidTr="00A84934">
        <w:trPr>
          <w:trHeight w:val="300"/>
        </w:trPr>
        <w:tc>
          <w:tcPr>
            <w:tcW w:w="3276" w:type="dxa"/>
            <w:vMerge/>
            <w:tcBorders>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rPr>
                <w:rFonts w:ascii="Calibri" w:eastAsia="Times New Roman" w:hAnsi="Calibri"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5,645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155</w:t>
            </w:r>
          </w:p>
        </w:tc>
      </w:tr>
      <w:tr w:rsidR="00A4115A" w:rsidRPr="00A4115A" w:rsidTr="00A4115A">
        <w:trPr>
          <w:trHeight w:val="300"/>
        </w:trPr>
        <w:tc>
          <w:tcPr>
            <w:tcW w:w="3276" w:type="dxa"/>
            <w:vMerge w:val="restart"/>
            <w:tcBorders>
              <w:top w:val="single" w:sz="4" w:space="0" w:color="auto"/>
              <w:left w:val="single" w:sz="4" w:space="0" w:color="auto"/>
              <w:right w:val="single" w:sz="4" w:space="0" w:color="auto"/>
            </w:tcBorders>
            <w:shd w:val="clear" w:color="auto" w:fill="auto"/>
            <w:noWrap/>
            <w:hideMark/>
          </w:tcPr>
          <w:p w:rsidR="00A4115A" w:rsidRPr="00A4115A" w:rsidRDefault="00A4115A" w:rsidP="00A4115A">
            <w:pPr>
              <w:spacing w:after="0"/>
              <w:rPr>
                <w:rFonts w:ascii="Calibri" w:eastAsia="Times New Roman" w:hAnsi="Calibri" w:cs="Times New Roman"/>
                <w:bCs/>
                <w:color w:val="000000"/>
                <w:sz w:val="20"/>
                <w:szCs w:val="20"/>
              </w:rPr>
            </w:pPr>
            <w:r w:rsidRPr="00A4115A">
              <w:rPr>
                <w:rFonts w:ascii="Calibri" w:eastAsia="Times New Roman" w:hAnsi="Calibri" w:cs="Times New Roman"/>
                <w:bCs/>
                <w:color w:val="000000"/>
                <w:sz w:val="20"/>
                <w:szCs w:val="20"/>
              </w:rPr>
              <w:t>Initiated in 3rd 6 months after listing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132,863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165</w:t>
            </w:r>
          </w:p>
        </w:tc>
      </w:tr>
      <w:tr w:rsidR="00A4115A" w:rsidRPr="00A4115A" w:rsidTr="00A84934">
        <w:trPr>
          <w:trHeight w:val="300"/>
        </w:trPr>
        <w:tc>
          <w:tcPr>
            <w:tcW w:w="3276" w:type="dxa"/>
            <w:vMerge/>
            <w:tcBorders>
              <w:left w:val="single" w:sz="4" w:space="0" w:color="auto"/>
              <w:right w:val="single" w:sz="4" w:space="0" w:color="auto"/>
            </w:tcBorders>
            <w:shd w:val="clear" w:color="auto" w:fill="auto"/>
            <w:noWrap/>
            <w:vAlign w:val="bottom"/>
            <w:hideMark/>
          </w:tcPr>
          <w:p w:rsidR="00A4115A" w:rsidRPr="00A4115A" w:rsidRDefault="00A4115A" w:rsidP="00C2381B">
            <w:pPr>
              <w:spacing w:after="0"/>
              <w:rPr>
                <w:rFonts w:ascii="Calibri" w:eastAsia="Times New Roman" w:hAnsi="Calibri" w:cs="Times New Roman"/>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18,752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150</w:t>
            </w:r>
          </w:p>
        </w:tc>
      </w:tr>
      <w:tr w:rsidR="00A4115A" w:rsidRPr="00A4115A" w:rsidTr="00A84934">
        <w:trPr>
          <w:trHeight w:val="300"/>
        </w:trPr>
        <w:tc>
          <w:tcPr>
            <w:tcW w:w="3276" w:type="dxa"/>
            <w:vMerge/>
            <w:tcBorders>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rPr>
                <w:rFonts w:ascii="Calibri" w:eastAsia="Times New Roman" w:hAnsi="Calibri"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1,432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15A" w:rsidRPr="00A4115A" w:rsidRDefault="00A4115A" w:rsidP="00C2381B">
            <w:pPr>
              <w:spacing w:after="0"/>
              <w:jc w:val="center"/>
              <w:rPr>
                <w:rFonts w:ascii="Calibri" w:eastAsia="Times New Roman" w:hAnsi="Calibri" w:cs="Times New Roman"/>
                <w:sz w:val="20"/>
                <w:szCs w:val="20"/>
              </w:rPr>
            </w:pPr>
            <w:r w:rsidRPr="00A4115A">
              <w:rPr>
                <w:rFonts w:ascii="Calibri" w:eastAsia="Times New Roman" w:hAnsi="Calibri" w:cs="Times New Roman"/>
                <w:sz w:val="20"/>
                <w:szCs w:val="20"/>
              </w:rPr>
              <w:t>155</w:t>
            </w:r>
          </w:p>
        </w:tc>
      </w:tr>
      <w:tr w:rsidR="00E33405" w:rsidRPr="00A4115A" w:rsidTr="00A4115A">
        <w:trPr>
          <w:trHeight w:val="300"/>
        </w:trPr>
        <w:tc>
          <w:tcPr>
            <w:tcW w:w="9087" w:type="dxa"/>
            <w:gridSpan w:val="5"/>
            <w:tcBorders>
              <w:top w:val="single" w:sz="4" w:space="0" w:color="auto"/>
              <w:left w:val="nil"/>
              <w:bottom w:val="nil"/>
            </w:tcBorders>
            <w:shd w:val="clear" w:color="auto" w:fill="auto"/>
            <w:noWrap/>
            <w:hideMark/>
          </w:tcPr>
          <w:p w:rsidR="00244241" w:rsidRPr="00A4115A" w:rsidRDefault="00244241" w:rsidP="003B2BE1">
            <w:pPr>
              <w:spacing w:after="0"/>
              <w:rPr>
                <w:rFonts w:ascii="Calibri" w:eastAsia="Times New Roman" w:hAnsi="Calibri" w:cs="Times New Roman"/>
                <w:sz w:val="20"/>
                <w:szCs w:val="20"/>
              </w:rPr>
            </w:pPr>
          </w:p>
          <w:p w:rsidR="00E33405" w:rsidRPr="00A4115A" w:rsidRDefault="002D4F03" w:rsidP="003B2BE1">
            <w:pPr>
              <w:spacing w:after="0"/>
              <w:rPr>
                <w:rFonts w:ascii="Calibri" w:eastAsia="Times New Roman" w:hAnsi="Calibri" w:cs="Times New Roman"/>
                <w:sz w:val="20"/>
                <w:szCs w:val="20"/>
              </w:rPr>
            </w:pPr>
            <w:r w:rsidRPr="00A4115A">
              <w:rPr>
                <w:rFonts w:ascii="Calibri" w:eastAsia="Times New Roman" w:hAnsi="Calibri" w:cs="Times New Roman"/>
                <w:sz w:val="20"/>
                <w:szCs w:val="20"/>
              </w:rPr>
              <w:t xml:space="preserve">Note:  excluding outliers with an average dose &gt; 640 mg/day </w:t>
            </w:r>
            <w:r w:rsidRPr="00A4115A">
              <w:rPr>
                <w:bCs/>
                <w:sz w:val="20"/>
                <w:szCs w:val="20"/>
              </w:rPr>
              <w:t>(6,384 patients were excluded, 1.17% of all patients).</w:t>
            </w:r>
          </w:p>
        </w:tc>
      </w:tr>
      <w:tr w:rsidR="00C2381B" w:rsidRPr="00A4115A" w:rsidTr="00A4115A">
        <w:trPr>
          <w:trHeight w:val="300"/>
        </w:trPr>
        <w:tc>
          <w:tcPr>
            <w:tcW w:w="9087" w:type="dxa"/>
            <w:gridSpan w:val="5"/>
            <w:tcBorders>
              <w:top w:val="nil"/>
              <w:left w:val="nil"/>
              <w:bottom w:val="nil"/>
              <w:right w:val="nil"/>
            </w:tcBorders>
            <w:shd w:val="clear" w:color="auto" w:fill="auto"/>
            <w:noWrap/>
            <w:vAlign w:val="bottom"/>
            <w:hideMark/>
          </w:tcPr>
          <w:p w:rsidR="00C2381B" w:rsidRPr="00A4115A" w:rsidRDefault="00C2381B" w:rsidP="005050C6">
            <w:pPr>
              <w:spacing w:after="0"/>
              <w:rPr>
                <w:rFonts w:ascii="Calibri" w:eastAsia="Times New Roman" w:hAnsi="Calibri" w:cs="Times New Roman"/>
                <w:sz w:val="20"/>
                <w:szCs w:val="20"/>
              </w:rPr>
            </w:pPr>
            <w:r w:rsidRPr="00A4115A">
              <w:rPr>
                <w:rFonts w:ascii="Calibri" w:eastAsia="Times New Roman" w:hAnsi="Calibri" w:cs="Times New Roman"/>
                <w:sz w:val="20"/>
                <w:szCs w:val="20"/>
              </w:rPr>
              <w:t>* Episodes greater than 3 are not displa</w:t>
            </w:r>
            <w:r w:rsidR="005050C6" w:rsidRPr="00A4115A">
              <w:rPr>
                <w:rFonts w:ascii="Calibri" w:eastAsia="Times New Roman" w:hAnsi="Calibri" w:cs="Times New Roman"/>
                <w:sz w:val="20"/>
                <w:szCs w:val="20"/>
              </w:rPr>
              <w:t>y</w:t>
            </w:r>
            <w:r w:rsidRPr="00A4115A">
              <w:rPr>
                <w:rFonts w:ascii="Calibri" w:eastAsia="Times New Roman" w:hAnsi="Calibri" w:cs="Times New Roman"/>
                <w:sz w:val="20"/>
                <w:szCs w:val="20"/>
              </w:rPr>
              <w:t xml:space="preserve">ed </w:t>
            </w:r>
            <w:r w:rsidR="005050C6" w:rsidRPr="00A4115A">
              <w:rPr>
                <w:rFonts w:ascii="Calibri" w:eastAsia="Times New Roman" w:hAnsi="Calibri" w:cs="Times New Roman"/>
                <w:sz w:val="20"/>
                <w:szCs w:val="20"/>
              </w:rPr>
              <w:t>be</w:t>
            </w:r>
            <w:r w:rsidRPr="00A4115A">
              <w:rPr>
                <w:rFonts w:ascii="Calibri" w:eastAsia="Times New Roman" w:hAnsi="Calibri" w:cs="Times New Roman"/>
                <w:sz w:val="20"/>
                <w:szCs w:val="20"/>
              </w:rPr>
              <w:t xml:space="preserve">cause of low patient numbers in the </w:t>
            </w:r>
            <w:r w:rsidR="005050C6" w:rsidRPr="00A4115A">
              <w:rPr>
                <w:rFonts w:ascii="Calibri" w:eastAsia="Times New Roman" w:hAnsi="Calibri" w:cs="Times New Roman"/>
                <w:sz w:val="20"/>
                <w:szCs w:val="20"/>
              </w:rPr>
              <w:t>subsequent episodes.</w:t>
            </w:r>
          </w:p>
        </w:tc>
      </w:tr>
      <w:tr w:rsidR="00C2381B" w:rsidRPr="00A4115A" w:rsidTr="00A4115A">
        <w:trPr>
          <w:trHeight w:val="300"/>
        </w:trPr>
        <w:tc>
          <w:tcPr>
            <w:tcW w:w="4551" w:type="dxa"/>
            <w:gridSpan w:val="2"/>
            <w:tcBorders>
              <w:top w:val="nil"/>
              <w:left w:val="nil"/>
              <w:bottom w:val="nil"/>
              <w:right w:val="nil"/>
            </w:tcBorders>
            <w:shd w:val="clear" w:color="auto" w:fill="auto"/>
            <w:noWrap/>
            <w:vAlign w:val="bottom"/>
            <w:hideMark/>
          </w:tcPr>
          <w:p w:rsidR="00C2381B" w:rsidRPr="00A4115A" w:rsidRDefault="00C2381B" w:rsidP="00C2381B">
            <w:pPr>
              <w:spacing w:after="0"/>
              <w:rPr>
                <w:rFonts w:ascii="Calibri" w:eastAsia="Times New Roman" w:hAnsi="Calibri" w:cs="Times New Roman"/>
                <w:sz w:val="20"/>
                <w:szCs w:val="20"/>
              </w:rPr>
            </w:pPr>
            <w:r w:rsidRPr="00A4115A">
              <w:rPr>
                <w:rFonts w:ascii="Calibri" w:eastAsia="Times New Roman" w:hAnsi="Calibri" w:cs="Times New Roman"/>
                <w:sz w:val="20"/>
                <w:szCs w:val="20"/>
              </w:rPr>
              <w:t>** Weighted by the length of each episode</w:t>
            </w:r>
          </w:p>
        </w:tc>
        <w:tc>
          <w:tcPr>
            <w:tcW w:w="1560" w:type="dxa"/>
            <w:tcBorders>
              <w:top w:val="nil"/>
              <w:left w:val="nil"/>
              <w:bottom w:val="nil"/>
              <w:right w:val="nil"/>
            </w:tcBorders>
            <w:shd w:val="clear" w:color="auto" w:fill="auto"/>
            <w:noWrap/>
            <w:vAlign w:val="bottom"/>
            <w:hideMark/>
          </w:tcPr>
          <w:p w:rsidR="00C2381B" w:rsidRPr="00A4115A" w:rsidRDefault="00C2381B" w:rsidP="00C2381B">
            <w:pPr>
              <w:spacing w:after="0"/>
              <w:rPr>
                <w:rFonts w:ascii="Calibri" w:eastAsia="Times New Roman" w:hAnsi="Calibri" w:cs="Times New Roman"/>
                <w:sz w:val="20"/>
                <w:szCs w:val="20"/>
              </w:rPr>
            </w:pPr>
          </w:p>
        </w:tc>
        <w:tc>
          <w:tcPr>
            <w:tcW w:w="1417" w:type="dxa"/>
            <w:tcBorders>
              <w:top w:val="nil"/>
              <w:left w:val="nil"/>
              <w:bottom w:val="nil"/>
              <w:right w:val="nil"/>
            </w:tcBorders>
            <w:shd w:val="clear" w:color="auto" w:fill="auto"/>
            <w:noWrap/>
            <w:vAlign w:val="bottom"/>
            <w:hideMark/>
          </w:tcPr>
          <w:p w:rsidR="00C2381B" w:rsidRPr="00A4115A" w:rsidRDefault="00C2381B" w:rsidP="00C2381B">
            <w:pPr>
              <w:spacing w:after="0"/>
              <w:jc w:val="center"/>
              <w:rPr>
                <w:rFonts w:ascii="Calibri" w:eastAsia="Times New Roman" w:hAnsi="Calibri" w:cs="Times New Roman"/>
                <w:sz w:val="20"/>
                <w:szCs w:val="20"/>
              </w:rPr>
            </w:pPr>
          </w:p>
        </w:tc>
        <w:tc>
          <w:tcPr>
            <w:tcW w:w="1559" w:type="dxa"/>
            <w:tcBorders>
              <w:top w:val="nil"/>
              <w:left w:val="nil"/>
              <w:bottom w:val="nil"/>
              <w:right w:val="nil"/>
            </w:tcBorders>
            <w:shd w:val="clear" w:color="auto" w:fill="auto"/>
            <w:noWrap/>
            <w:vAlign w:val="bottom"/>
            <w:hideMark/>
          </w:tcPr>
          <w:p w:rsidR="00C2381B" w:rsidRPr="00A4115A" w:rsidRDefault="00C2381B" w:rsidP="00C2381B">
            <w:pPr>
              <w:spacing w:after="0"/>
              <w:jc w:val="center"/>
              <w:rPr>
                <w:rFonts w:ascii="Calibri" w:eastAsia="Times New Roman" w:hAnsi="Calibri" w:cs="Times New Roman"/>
                <w:sz w:val="20"/>
                <w:szCs w:val="20"/>
              </w:rPr>
            </w:pPr>
          </w:p>
        </w:tc>
      </w:tr>
    </w:tbl>
    <w:p w:rsidR="00CC1419" w:rsidRDefault="00CC1419" w:rsidP="009C7E0E">
      <w:pPr>
        <w:spacing w:after="0"/>
      </w:pPr>
    </w:p>
    <w:p w:rsidR="00DD3454" w:rsidRDefault="001817B5">
      <w:pPr>
        <w:spacing w:line="276" w:lineRule="auto"/>
      </w:pPr>
      <w:r>
        <w:t xml:space="preserve">The </w:t>
      </w:r>
      <w:r w:rsidR="008E29CF">
        <w:t xml:space="preserve">weighted average dose in Table </w:t>
      </w:r>
      <w:r w:rsidR="00283481">
        <w:t>9</w:t>
      </w:r>
      <w:r>
        <w:t xml:space="preserve"> has regard to the length of treatment in each episode. For example, the average dose for episode 1 and cohort 1 is 181 mg/day and the weighted average dose is 229 mg/day. This means that the higher dose episodes are also on average longer and this increases the weighted average dose relative to the episode average.</w:t>
      </w:r>
    </w:p>
    <w:p w:rsidR="00355E3A" w:rsidRDefault="001817B5">
      <w:pPr>
        <w:spacing w:line="276" w:lineRule="auto"/>
      </w:pPr>
      <w:r>
        <w:t xml:space="preserve">The </w:t>
      </w:r>
      <w:r w:rsidR="002A006C">
        <w:t xml:space="preserve">cohort 1 </w:t>
      </w:r>
      <w:r>
        <w:t xml:space="preserve">weighted average dose of 229 mg/day </w:t>
      </w:r>
      <w:r w:rsidR="00DD3454">
        <w:t>wa</w:t>
      </w:r>
      <w:r>
        <w:t xml:space="preserve">s quite close to the 225 mg/day assumed in the submission. </w:t>
      </w:r>
      <w:r w:rsidR="002A006C">
        <w:t xml:space="preserve">The doses </w:t>
      </w:r>
      <w:r>
        <w:t>are lower for the later cohorts 2 &amp; 3.</w:t>
      </w:r>
      <w:r w:rsidR="002A006C">
        <w:t xml:space="preserve"> </w:t>
      </w:r>
      <w:r w:rsidR="00DD3454">
        <w:t xml:space="preserve">This </w:t>
      </w:r>
      <w:r w:rsidR="00DE730B">
        <w:t xml:space="preserve">probably reflects cohort 1 including many patients established on pregabalin in the private market moving to PBS subsidised therapy, and possibly also that the early cohort patients </w:t>
      </w:r>
      <w:r w:rsidR="008D340E">
        <w:t xml:space="preserve">include those </w:t>
      </w:r>
      <w:r w:rsidR="00DE730B">
        <w:t>with high unmet clinical need</w:t>
      </w:r>
      <w:r w:rsidR="004B7F01">
        <w:t xml:space="preserve"> and who may need higher doses.</w:t>
      </w:r>
    </w:p>
    <w:p w:rsidR="00DD3454" w:rsidRDefault="001817B5">
      <w:pPr>
        <w:spacing w:line="276" w:lineRule="auto"/>
      </w:pPr>
      <w:r>
        <w:t xml:space="preserve">The trend across episodes is inconsistent </w:t>
      </w:r>
      <w:r w:rsidR="00DD3454">
        <w:t>between cohorts</w:t>
      </w:r>
      <w:r>
        <w:t xml:space="preserve"> and measures (ie</w:t>
      </w:r>
      <w:r w:rsidR="007F3641">
        <w:t>.</w:t>
      </w:r>
      <w:r>
        <w:t xml:space="preserve"> </w:t>
      </w:r>
      <w:r w:rsidR="00DD3454">
        <w:t>weighted vs non-weight average dose). The non-weighted average dose is higher in later episodes for cohorts 2 &amp; 3.</w:t>
      </w:r>
    </w:p>
    <w:p w:rsidR="006531D5" w:rsidRDefault="006531D5">
      <w:pPr>
        <w:spacing w:line="276" w:lineRule="auto"/>
      </w:pPr>
      <w:r>
        <w:t>The percentage</w:t>
      </w:r>
      <w:r w:rsidR="00712C5D">
        <w:t>s</w:t>
      </w:r>
      <w:r>
        <w:t xml:space="preserve"> of patients having one or more breaks in treatment (ie. more</w:t>
      </w:r>
      <w:r w:rsidR="00475B98">
        <w:t xml:space="preserve"> than one episode of treatment), </w:t>
      </w:r>
      <w:r>
        <w:t xml:space="preserve">calculated from </w:t>
      </w:r>
      <w:r w:rsidR="00475B98">
        <w:t xml:space="preserve">the figures in </w:t>
      </w:r>
      <w:r>
        <w:t xml:space="preserve">Table </w:t>
      </w:r>
      <w:r w:rsidR="00283481">
        <w:t>9</w:t>
      </w:r>
      <w:r w:rsidR="00475B98">
        <w:t>, were</w:t>
      </w:r>
      <w:r>
        <w:t xml:space="preserve"> 29%, 22% and 14% </w:t>
      </w:r>
      <w:r w:rsidR="00475B98">
        <w:t xml:space="preserve">for cohorts 1, 2 and 3 </w:t>
      </w:r>
      <w:r>
        <w:t xml:space="preserve">respectively. The </w:t>
      </w:r>
      <w:r w:rsidR="00475B98">
        <w:t>percentages are lower for each cohort because the follow-up time decreases. Each cohort is followed up until the end of March 2015, thus patients have an average follow-up time of 22.5, 16.5 and 10.5 months in cohorts 1, 2 &amp; 3 respectively.</w:t>
      </w:r>
      <w:r w:rsidR="00172052">
        <w:t xml:space="preserve"> These breaks in treatment also contribute to the lower than expected scripts per patient (see Table </w:t>
      </w:r>
      <w:r w:rsidR="00283481">
        <w:t>4</w:t>
      </w:r>
      <w:r w:rsidR="00172052">
        <w:t>).</w:t>
      </w:r>
    </w:p>
    <w:p w:rsidR="0063468D" w:rsidRDefault="00805B51">
      <w:pPr>
        <w:spacing w:line="276" w:lineRule="auto"/>
      </w:pPr>
      <w:r>
        <w:t xml:space="preserve">In case the results for </w:t>
      </w:r>
      <w:r w:rsidR="009F6253">
        <w:t>E</w:t>
      </w:r>
      <w:r>
        <w:t>pisode 1 are heavily influence</w:t>
      </w:r>
      <w:r w:rsidR="00221733">
        <w:t>d</w:t>
      </w:r>
      <w:r>
        <w:t xml:space="preserve"> by the titration period in the first month of use, the analysis </w:t>
      </w:r>
      <w:r w:rsidR="00221733">
        <w:t xml:space="preserve">presented </w:t>
      </w:r>
      <w:r>
        <w:t xml:space="preserve">in Table </w:t>
      </w:r>
      <w:r w:rsidR="00283481">
        <w:t>9</w:t>
      </w:r>
      <w:r>
        <w:t xml:space="preserve"> was repeated excluding the first script. The results are shown in Table</w:t>
      </w:r>
      <w:r w:rsidR="0063468D">
        <w:t xml:space="preserve"> </w:t>
      </w:r>
      <w:r w:rsidR="00283481">
        <w:t>10</w:t>
      </w:r>
      <w:r w:rsidR="0063468D">
        <w:t>.</w:t>
      </w:r>
    </w:p>
    <w:p w:rsidR="006136D5" w:rsidRPr="00477ECE" w:rsidRDefault="006136D5" w:rsidP="006136D5">
      <w:pPr>
        <w:pStyle w:val="Tabletitle"/>
      </w:pPr>
      <w:r w:rsidRPr="00477ECE">
        <w:t xml:space="preserve">Table </w:t>
      </w:r>
      <w:r w:rsidR="00283481">
        <w:t>10</w:t>
      </w:r>
      <w:r w:rsidRPr="00477ECE">
        <w:t xml:space="preserve">: </w:t>
      </w:r>
      <w:r>
        <w:t>Estimated Average Daily Doses, excluding the first script from Episo</w:t>
      </w:r>
      <w:r w:rsidR="009F6253">
        <w:t>d</w:t>
      </w:r>
      <w:r>
        <w:t>e 1</w:t>
      </w:r>
    </w:p>
    <w:tbl>
      <w:tblPr>
        <w:tblW w:w="8946" w:type="dxa"/>
        <w:tblInd w:w="93" w:type="dxa"/>
        <w:tblLook w:val="04A0" w:firstRow="1" w:lastRow="0" w:firstColumn="1" w:lastColumn="0" w:noHBand="0" w:noVBand="1"/>
      </w:tblPr>
      <w:tblGrid>
        <w:gridCol w:w="3417"/>
        <w:gridCol w:w="1418"/>
        <w:gridCol w:w="1417"/>
        <w:gridCol w:w="1418"/>
        <w:gridCol w:w="1276"/>
      </w:tblGrid>
      <w:tr w:rsidR="006136D5" w:rsidRPr="00244241" w:rsidTr="00A4115A">
        <w:trPr>
          <w:trHeight w:val="900"/>
        </w:trPr>
        <w:tc>
          <w:tcPr>
            <w:tcW w:w="3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136D5" w:rsidRPr="00244241" w:rsidRDefault="006136D5" w:rsidP="00244241">
            <w:pPr>
              <w:spacing w:after="0"/>
              <w:jc w:val="center"/>
              <w:rPr>
                <w:rFonts w:ascii="Calibri" w:eastAsia="Times New Roman" w:hAnsi="Calibri" w:cs="Times New Roman"/>
                <w:b/>
                <w:bCs/>
                <w:color w:val="000000"/>
                <w:sz w:val="20"/>
                <w:szCs w:val="20"/>
              </w:rPr>
            </w:pPr>
            <w:r w:rsidRPr="00244241">
              <w:rPr>
                <w:rFonts w:ascii="Calibri" w:eastAsia="Times New Roman" w:hAnsi="Calibri" w:cs="Times New Roman"/>
                <w:b/>
                <w:bCs/>
                <w:color w:val="000000"/>
                <w:sz w:val="20"/>
                <w:szCs w:val="20"/>
              </w:rPr>
              <w:t>Initiation Cohort</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136D5" w:rsidRPr="00244241" w:rsidRDefault="006136D5" w:rsidP="00244241">
            <w:pPr>
              <w:spacing w:after="0"/>
              <w:jc w:val="center"/>
              <w:rPr>
                <w:rFonts w:ascii="Calibri" w:eastAsia="Times New Roman" w:hAnsi="Calibri" w:cs="Times New Roman"/>
                <w:b/>
                <w:bCs/>
                <w:color w:val="000000"/>
                <w:sz w:val="20"/>
                <w:szCs w:val="20"/>
              </w:rPr>
            </w:pPr>
            <w:r w:rsidRPr="00244241">
              <w:rPr>
                <w:rFonts w:ascii="Calibri" w:eastAsia="Times New Roman" w:hAnsi="Calibri" w:cs="Times New Roman"/>
                <w:b/>
                <w:bCs/>
                <w:color w:val="000000"/>
                <w:sz w:val="20"/>
                <w:szCs w:val="20"/>
              </w:rPr>
              <w:t>Episode*</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136D5" w:rsidRPr="00244241" w:rsidRDefault="006136D5" w:rsidP="00244241">
            <w:pPr>
              <w:spacing w:after="0"/>
              <w:jc w:val="center"/>
              <w:rPr>
                <w:rFonts w:ascii="Calibri" w:eastAsia="Times New Roman" w:hAnsi="Calibri" w:cs="Times New Roman"/>
                <w:b/>
                <w:bCs/>
                <w:color w:val="000000"/>
                <w:sz w:val="20"/>
                <w:szCs w:val="20"/>
              </w:rPr>
            </w:pPr>
            <w:r w:rsidRPr="00244241">
              <w:rPr>
                <w:rFonts w:ascii="Calibri" w:eastAsia="Times New Roman" w:hAnsi="Calibri" w:cs="Times New Roman"/>
                <w:b/>
                <w:bCs/>
                <w:color w:val="000000"/>
                <w:sz w:val="20"/>
                <w:szCs w:val="20"/>
              </w:rPr>
              <w:t>Patients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136D5" w:rsidRPr="00244241" w:rsidRDefault="006136D5" w:rsidP="00244241">
            <w:pPr>
              <w:spacing w:after="0"/>
              <w:jc w:val="center"/>
              <w:rPr>
                <w:rFonts w:ascii="Calibri" w:eastAsia="Times New Roman" w:hAnsi="Calibri" w:cs="Times New Roman"/>
                <w:b/>
                <w:bCs/>
                <w:color w:val="000000"/>
                <w:sz w:val="20"/>
                <w:szCs w:val="20"/>
              </w:rPr>
            </w:pPr>
            <w:r w:rsidRPr="00244241">
              <w:rPr>
                <w:rFonts w:ascii="Calibri" w:eastAsia="Times New Roman" w:hAnsi="Calibri" w:cs="Times New Roman"/>
                <w:b/>
                <w:bCs/>
                <w:color w:val="000000"/>
                <w:sz w:val="20"/>
                <w:szCs w:val="20"/>
              </w:rPr>
              <w:t>Average Dose (mg/day)</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136D5" w:rsidRPr="00244241" w:rsidRDefault="006136D5" w:rsidP="00244241">
            <w:pPr>
              <w:spacing w:after="0"/>
              <w:jc w:val="center"/>
              <w:rPr>
                <w:rFonts w:ascii="Calibri" w:eastAsia="Times New Roman" w:hAnsi="Calibri" w:cs="Times New Roman"/>
                <w:b/>
                <w:bCs/>
                <w:color w:val="000000"/>
                <w:sz w:val="20"/>
                <w:szCs w:val="20"/>
              </w:rPr>
            </w:pPr>
            <w:r w:rsidRPr="00244241">
              <w:rPr>
                <w:rFonts w:ascii="Calibri" w:eastAsia="Times New Roman" w:hAnsi="Calibri" w:cs="Times New Roman"/>
                <w:b/>
                <w:bCs/>
                <w:color w:val="000000"/>
                <w:sz w:val="20"/>
                <w:szCs w:val="20"/>
              </w:rPr>
              <w:t>Weighted** Average Dose (mg/day)</w:t>
            </w:r>
          </w:p>
        </w:tc>
      </w:tr>
      <w:tr w:rsidR="006136D5" w:rsidRPr="00244241" w:rsidTr="00A4115A">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BD089D">
            <w:pPr>
              <w:spacing w:after="0"/>
              <w:rPr>
                <w:rFonts w:ascii="Calibri" w:eastAsia="Times New Roman" w:hAnsi="Calibri" w:cs="Times New Roman"/>
                <w:bCs/>
                <w:color w:val="000000"/>
                <w:sz w:val="20"/>
                <w:szCs w:val="20"/>
              </w:rPr>
            </w:pPr>
            <w:r w:rsidRPr="00244241">
              <w:rPr>
                <w:rFonts w:ascii="Calibri" w:eastAsia="Times New Roman" w:hAnsi="Calibri" w:cs="Times New Roman"/>
                <w:bCs/>
                <w:color w:val="000000"/>
                <w:sz w:val="20"/>
                <w:szCs w:val="20"/>
              </w:rPr>
              <w:t>Initiated in 1st 6 months after listing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9F6253"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130,040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9F6253">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w:t>
            </w:r>
            <w:r w:rsidR="009F6253" w:rsidRPr="00244241">
              <w:rPr>
                <w:rFonts w:ascii="Calibri" w:eastAsia="Times New Roman" w:hAnsi="Calibri" w:cs="Times New Roman"/>
                <w:sz w:val="20"/>
                <w:szCs w:val="20"/>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9F6253"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235</w:t>
            </w:r>
          </w:p>
        </w:tc>
      </w:tr>
      <w:tr w:rsidR="006136D5" w:rsidRPr="00244241" w:rsidTr="00A4115A">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BD089D">
            <w:pPr>
              <w:spacing w:after="0"/>
              <w:rPr>
                <w:rFonts w:ascii="Calibri" w:eastAsia="Times New Roman" w:hAnsi="Calibri" w:cs="Times New Roman"/>
                <w:bCs/>
                <w:color w:val="000000"/>
                <w:sz w:val="20"/>
                <w:szCs w:val="20"/>
              </w:rPr>
            </w:pPr>
            <w:r w:rsidRPr="00244241">
              <w:rPr>
                <w:rFonts w:ascii="Calibri" w:eastAsia="Times New Roman" w:hAnsi="Calibri" w:cs="Times New Roman"/>
                <w:bCs/>
                <w:color w:val="000000"/>
                <w:sz w:val="20"/>
                <w:szCs w:val="20"/>
              </w:rPr>
              <w:t>Initiated in 2nd 6 months after listing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9F6253"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88,817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9F6253">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w:t>
            </w:r>
            <w:r w:rsidR="009F6253" w:rsidRPr="00244241">
              <w:rPr>
                <w:rFonts w:ascii="Calibri" w:eastAsia="Times New Roman" w:hAnsi="Calibri" w:cs="Times New Roman"/>
                <w:sz w:val="20"/>
                <w:szCs w:val="20"/>
              </w:rPr>
              <w:t>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9F6253"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191</w:t>
            </w:r>
          </w:p>
        </w:tc>
      </w:tr>
      <w:tr w:rsidR="006136D5" w:rsidRPr="00244241" w:rsidTr="00A4115A">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BD089D">
            <w:pPr>
              <w:spacing w:after="0"/>
              <w:rPr>
                <w:rFonts w:ascii="Calibri" w:eastAsia="Times New Roman" w:hAnsi="Calibri" w:cs="Times New Roman"/>
                <w:bCs/>
                <w:color w:val="000000"/>
                <w:sz w:val="20"/>
                <w:szCs w:val="20"/>
              </w:rPr>
            </w:pPr>
            <w:r w:rsidRPr="00244241">
              <w:rPr>
                <w:rFonts w:ascii="Calibri" w:eastAsia="Times New Roman" w:hAnsi="Calibri" w:cs="Times New Roman"/>
                <w:bCs/>
                <w:color w:val="000000"/>
                <w:sz w:val="20"/>
                <w:szCs w:val="20"/>
              </w:rPr>
              <w:t>Initiated in 3rd 6 months after listing</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9F6253"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85,616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6136D5" w:rsidP="009F6253">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w:t>
            </w:r>
            <w:r w:rsidR="009F6253" w:rsidRPr="00244241">
              <w:rPr>
                <w:rFonts w:ascii="Calibri" w:eastAsia="Times New Roman" w:hAnsi="Calibri" w:cs="Times New Roman"/>
                <w:sz w:val="20"/>
                <w:szCs w:val="20"/>
              </w:rPr>
              <w:t>6</w:t>
            </w:r>
            <w:r w:rsidRPr="00244241">
              <w:rPr>
                <w:rFonts w:ascii="Calibri" w:eastAsia="Times New Roman" w:hAnsi="Calibri"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6D5" w:rsidRPr="00244241" w:rsidRDefault="009F6253" w:rsidP="00BD089D">
            <w:pPr>
              <w:spacing w:after="0"/>
              <w:jc w:val="center"/>
              <w:rPr>
                <w:rFonts w:ascii="Calibri" w:eastAsia="Times New Roman" w:hAnsi="Calibri" w:cs="Times New Roman"/>
                <w:sz w:val="20"/>
                <w:szCs w:val="20"/>
              </w:rPr>
            </w:pPr>
            <w:r w:rsidRPr="00244241">
              <w:rPr>
                <w:rFonts w:ascii="Calibri" w:eastAsia="Times New Roman" w:hAnsi="Calibri" w:cs="Times New Roman"/>
                <w:sz w:val="20"/>
                <w:szCs w:val="20"/>
              </w:rPr>
              <w:t>178</w:t>
            </w:r>
          </w:p>
        </w:tc>
      </w:tr>
      <w:tr w:rsidR="00E33405" w:rsidRPr="00C2381B" w:rsidTr="00A4115A">
        <w:trPr>
          <w:trHeight w:val="300"/>
        </w:trPr>
        <w:tc>
          <w:tcPr>
            <w:tcW w:w="8946" w:type="dxa"/>
            <w:gridSpan w:val="5"/>
            <w:tcBorders>
              <w:top w:val="single" w:sz="4" w:space="0" w:color="auto"/>
              <w:left w:val="nil"/>
              <w:bottom w:val="nil"/>
            </w:tcBorders>
            <w:shd w:val="clear" w:color="auto" w:fill="auto"/>
            <w:noWrap/>
            <w:hideMark/>
          </w:tcPr>
          <w:p w:rsidR="00E33405" w:rsidRPr="00C2381B" w:rsidRDefault="00E33405" w:rsidP="00EC71C3">
            <w:pPr>
              <w:spacing w:after="0"/>
              <w:rPr>
                <w:rFonts w:ascii="Calibri" w:eastAsia="Times New Roman" w:hAnsi="Calibri" w:cs="Times New Roman"/>
                <w:sz w:val="22"/>
                <w:szCs w:val="22"/>
              </w:rPr>
            </w:pPr>
            <w:r w:rsidRPr="00C2381B">
              <w:rPr>
                <w:rFonts w:ascii="Calibri" w:eastAsia="Times New Roman" w:hAnsi="Calibri" w:cs="Times New Roman"/>
                <w:sz w:val="22"/>
                <w:szCs w:val="22"/>
              </w:rPr>
              <w:t>Note: excluding outliers with a</w:t>
            </w:r>
            <w:r>
              <w:rPr>
                <w:rFonts w:ascii="Calibri" w:eastAsia="Times New Roman" w:hAnsi="Calibri" w:cs="Times New Roman"/>
                <w:sz w:val="22"/>
                <w:szCs w:val="22"/>
              </w:rPr>
              <w:t>n</w:t>
            </w:r>
            <w:r w:rsidRPr="00C2381B">
              <w:rPr>
                <w:rFonts w:ascii="Calibri" w:eastAsia="Times New Roman" w:hAnsi="Calibri" w:cs="Times New Roman"/>
                <w:sz w:val="22"/>
                <w:szCs w:val="22"/>
              </w:rPr>
              <w:t xml:space="preserve"> average dose &gt; 640 mg/day</w:t>
            </w:r>
            <w:r>
              <w:rPr>
                <w:rFonts w:ascii="Calibri" w:eastAsia="Times New Roman" w:hAnsi="Calibri" w:cs="Times New Roman"/>
                <w:sz w:val="22"/>
                <w:szCs w:val="22"/>
              </w:rPr>
              <w:t xml:space="preserve"> </w:t>
            </w:r>
            <w:r w:rsidRPr="00E33405">
              <w:rPr>
                <w:bCs/>
                <w:sz w:val="22"/>
              </w:rPr>
              <w:t>(6,384</w:t>
            </w:r>
            <w:r>
              <w:rPr>
                <w:bCs/>
                <w:sz w:val="22"/>
              </w:rPr>
              <w:t xml:space="preserve"> p</w:t>
            </w:r>
            <w:r w:rsidRPr="00E33405">
              <w:rPr>
                <w:bCs/>
                <w:sz w:val="22"/>
              </w:rPr>
              <w:t>atients were excluded, 1.17%</w:t>
            </w:r>
            <w:r>
              <w:rPr>
                <w:bCs/>
                <w:sz w:val="22"/>
              </w:rPr>
              <w:t xml:space="preserve"> of all patients</w:t>
            </w:r>
            <w:r w:rsidRPr="00E33405">
              <w:rPr>
                <w:bCs/>
                <w:sz w:val="22"/>
              </w:rPr>
              <w:t>)</w:t>
            </w:r>
            <w:r>
              <w:rPr>
                <w:bCs/>
                <w:sz w:val="22"/>
              </w:rPr>
              <w:t>.</w:t>
            </w:r>
          </w:p>
        </w:tc>
      </w:tr>
      <w:tr w:rsidR="006136D5" w:rsidRPr="00C2381B" w:rsidTr="00A4115A">
        <w:trPr>
          <w:trHeight w:val="300"/>
        </w:trPr>
        <w:tc>
          <w:tcPr>
            <w:tcW w:w="4835" w:type="dxa"/>
            <w:gridSpan w:val="2"/>
            <w:tcBorders>
              <w:top w:val="nil"/>
              <w:left w:val="nil"/>
              <w:bottom w:val="nil"/>
              <w:right w:val="nil"/>
            </w:tcBorders>
            <w:shd w:val="clear" w:color="auto" w:fill="auto"/>
            <w:noWrap/>
            <w:vAlign w:val="bottom"/>
            <w:hideMark/>
          </w:tcPr>
          <w:p w:rsidR="006136D5" w:rsidRPr="00C2381B" w:rsidRDefault="006136D5" w:rsidP="00BD089D">
            <w:pPr>
              <w:spacing w:after="0"/>
              <w:rPr>
                <w:rFonts w:ascii="Calibri" w:eastAsia="Times New Roman" w:hAnsi="Calibri" w:cs="Times New Roman"/>
                <w:sz w:val="22"/>
                <w:szCs w:val="22"/>
              </w:rPr>
            </w:pPr>
            <w:r w:rsidRPr="00C2381B">
              <w:rPr>
                <w:rFonts w:ascii="Calibri" w:eastAsia="Times New Roman" w:hAnsi="Calibri" w:cs="Times New Roman"/>
                <w:sz w:val="22"/>
                <w:szCs w:val="22"/>
              </w:rPr>
              <w:t>** Weighted by the length of each episode</w:t>
            </w:r>
          </w:p>
        </w:tc>
        <w:tc>
          <w:tcPr>
            <w:tcW w:w="1417" w:type="dxa"/>
            <w:tcBorders>
              <w:top w:val="nil"/>
              <w:left w:val="nil"/>
              <w:bottom w:val="nil"/>
              <w:right w:val="nil"/>
            </w:tcBorders>
            <w:shd w:val="clear" w:color="auto" w:fill="auto"/>
            <w:noWrap/>
            <w:vAlign w:val="bottom"/>
            <w:hideMark/>
          </w:tcPr>
          <w:p w:rsidR="006136D5" w:rsidRPr="00C2381B" w:rsidRDefault="006136D5" w:rsidP="00BD089D">
            <w:pPr>
              <w:spacing w:after="0"/>
              <w:rPr>
                <w:rFonts w:ascii="Calibri" w:eastAsia="Times New Roman" w:hAnsi="Calibri" w:cs="Times New Roman"/>
                <w:sz w:val="22"/>
                <w:szCs w:val="22"/>
              </w:rPr>
            </w:pPr>
          </w:p>
        </w:tc>
        <w:tc>
          <w:tcPr>
            <w:tcW w:w="1418" w:type="dxa"/>
            <w:tcBorders>
              <w:top w:val="nil"/>
              <w:left w:val="nil"/>
              <w:bottom w:val="nil"/>
              <w:right w:val="nil"/>
            </w:tcBorders>
            <w:shd w:val="clear" w:color="auto" w:fill="auto"/>
            <w:noWrap/>
            <w:vAlign w:val="bottom"/>
            <w:hideMark/>
          </w:tcPr>
          <w:p w:rsidR="006136D5" w:rsidRPr="00C2381B" w:rsidRDefault="006136D5" w:rsidP="00BD089D">
            <w:pPr>
              <w:spacing w:after="0"/>
              <w:jc w:val="center"/>
              <w:rPr>
                <w:rFonts w:ascii="Calibri" w:eastAsia="Times New Roman" w:hAnsi="Calibri" w:cs="Times New Roman"/>
                <w:sz w:val="22"/>
                <w:szCs w:val="22"/>
              </w:rPr>
            </w:pPr>
          </w:p>
        </w:tc>
        <w:tc>
          <w:tcPr>
            <w:tcW w:w="1276" w:type="dxa"/>
            <w:tcBorders>
              <w:top w:val="nil"/>
              <w:left w:val="nil"/>
              <w:bottom w:val="nil"/>
              <w:right w:val="nil"/>
            </w:tcBorders>
            <w:shd w:val="clear" w:color="auto" w:fill="auto"/>
            <w:noWrap/>
            <w:vAlign w:val="bottom"/>
            <w:hideMark/>
          </w:tcPr>
          <w:p w:rsidR="006136D5" w:rsidRPr="00C2381B" w:rsidRDefault="006136D5" w:rsidP="00BD089D">
            <w:pPr>
              <w:spacing w:after="0"/>
              <w:jc w:val="center"/>
              <w:rPr>
                <w:rFonts w:ascii="Calibri" w:eastAsia="Times New Roman" w:hAnsi="Calibri" w:cs="Times New Roman"/>
                <w:sz w:val="22"/>
                <w:szCs w:val="22"/>
              </w:rPr>
            </w:pPr>
          </w:p>
        </w:tc>
      </w:tr>
    </w:tbl>
    <w:p w:rsidR="00244241" w:rsidRDefault="00244241" w:rsidP="009F6253">
      <w:pPr>
        <w:spacing w:line="276" w:lineRule="auto"/>
      </w:pPr>
    </w:p>
    <w:p w:rsidR="009F6253" w:rsidRDefault="009F6253" w:rsidP="009F6253">
      <w:pPr>
        <w:spacing w:line="276" w:lineRule="auto"/>
      </w:pPr>
      <w:r>
        <w:t xml:space="preserve">Table </w:t>
      </w:r>
      <w:r w:rsidR="00283481">
        <w:t>10</w:t>
      </w:r>
      <w:r>
        <w:t xml:space="preserve"> shows that </w:t>
      </w:r>
      <w:r w:rsidR="00274413">
        <w:t xml:space="preserve">both the average dose and the weighted average dose increases if the first script is excluded from the analysis, </w:t>
      </w:r>
      <w:r w:rsidR="00517F88">
        <w:t xml:space="preserve">however </w:t>
      </w:r>
      <w:r w:rsidR="00274413">
        <w:t xml:space="preserve">the increases </w:t>
      </w:r>
      <w:r w:rsidR="0046545B">
        <w:t>are</w:t>
      </w:r>
      <w:r w:rsidR="00274413">
        <w:t xml:space="preserve"> not large. That is, a maximum of 14% (ie. </w:t>
      </w:r>
      <w:r w:rsidR="00735BA3">
        <w:t xml:space="preserve">average dose changes from </w:t>
      </w:r>
      <w:r w:rsidR="00274413">
        <w:t xml:space="preserve">142 to 162mg per day) in the case of those who initiated in </w:t>
      </w:r>
      <w:r w:rsidR="00517F88">
        <w:t xml:space="preserve">the </w:t>
      </w:r>
      <w:r w:rsidR="00274413">
        <w:t>3</w:t>
      </w:r>
      <w:r w:rsidR="00274413" w:rsidRPr="00284A4F">
        <w:t>rd</w:t>
      </w:r>
      <w:r w:rsidR="00274413">
        <w:t xml:space="preserve"> 6 months after listing</w:t>
      </w:r>
      <w:r w:rsidR="00735BA3">
        <w:t xml:space="preserve">. This result is consistent with the result of the </w:t>
      </w:r>
      <w:r w:rsidR="00735BA3" w:rsidRPr="00735BA3">
        <w:t>Strength Sequence and Timing Analysis</w:t>
      </w:r>
      <w:r w:rsidR="00735BA3">
        <w:t xml:space="preserve"> which estimated that the extent of up titration was small.</w:t>
      </w:r>
    </w:p>
    <w:p w:rsidR="00820C66" w:rsidRDefault="00820C66">
      <w:pPr>
        <w:spacing w:line="276" w:lineRule="auto"/>
        <w:rPr>
          <w:b/>
          <w:i/>
          <w:szCs w:val="28"/>
        </w:rPr>
      </w:pPr>
      <w:r>
        <w:rPr>
          <w:i/>
        </w:rPr>
        <w:br w:type="page"/>
      </w:r>
    </w:p>
    <w:p w:rsidR="007F3641" w:rsidRPr="007F3641" w:rsidRDefault="007F3641" w:rsidP="007F3641">
      <w:pPr>
        <w:pStyle w:val="Heading3"/>
        <w:rPr>
          <w:i/>
          <w:sz w:val="24"/>
          <w:u w:val="single"/>
        </w:rPr>
      </w:pPr>
      <w:r>
        <w:rPr>
          <w:i/>
          <w:sz w:val="24"/>
        </w:rPr>
        <w:t>Patient Age Analysis</w:t>
      </w:r>
    </w:p>
    <w:p w:rsidR="00A37926" w:rsidRDefault="007F3641" w:rsidP="009B3E9D">
      <w:pPr>
        <w:pStyle w:val="Heading3"/>
        <w:rPr>
          <w:u w:val="single"/>
        </w:rPr>
      </w:pPr>
      <w:r w:rsidRPr="00A4115A">
        <w:rPr>
          <w:noProof/>
          <w:bdr w:val="single" w:sz="4" w:space="0" w:color="auto"/>
        </w:rPr>
        <w:drawing>
          <wp:inline distT="0" distB="0" distL="0" distR="0" wp14:anchorId="00DCFA66" wp14:editId="7C3C5DDE">
            <wp:extent cx="5687695" cy="3703686"/>
            <wp:effectExtent l="0" t="0" r="825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F3641" w:rsidRPr="007E7451" w:rsidRDefault="007F3641" w:rsidP="007F3641">
      <w:r w:rsidRPr="00072D2F">
        <w:rPr>
          <w:b/>
        </w:rPr>
        <w:t>Figure</w:t>
      </w:r>
      <w:r w:rsidR="00DA29A6">
        <w:rPr>
          <w:b/>
        </w:rPr>
        <w:t xml:space="preserve"> </w:t>
      </w:r>
      <w:r>
        <w:rPr>
          <w:b/>
        </w:rPr>
        <w:t>1</w:t>
      </w:r>
      <w:r w:rsidR="002D4F03">
        <w:rPr>
          <w:b/>
        </w:rPr>
        <w:t>1</w:t>
      </w:r>
      <w:r w:rsidRPr="00072D2F">
        <w:rPr>
          <w:b/>
        </w:rPr>
        <w:t>:</w:t>
      </w:r>
      <w:r>
        <w:rPr>
          <w:b/>
        </w:rPr>
        <w:t xml:space="preserve"> Patient age at initiation to pregabalin by year since general PBS listing</w:t>
      </w:r>
      <w:r>
        <w:rPr>
          <w:b/>
          <w:bCs/>
        </w:rPr>
        <w:t xml:space="preserve"> </w:t>
      </w:r>
      <w:r>
        <w:rPr>
          <w:b/>
          <w:bCs/>
        </w:rPr>
        <w:br/>
      </w:r>
      <w:r w:rsidRPr="00690AC1">
        <w:rPr>
          <w:bCs/>
          <w:sz w:val="20"/>
        </w:rPr>
        <w:t>Note: “Prior to Yr1” = all initiations to the RPBS items (listed from February 2008) prior to general PBS listing in March 2013.</w:t>
      </w:r>
    </w:p>
    <w:p w:rsidR="00F93390" w:rsidRDefault="00FD12B4" w:rsidP="00690AC1">
      <w:pPr>
        <w:spacing w:line="276" w:lineRule="auto"/>
      </w:pPr>
      <w:r>
        <w:t>Figure 1</w:t>
      </w:r>
      <w:r w:rsidR="002D4F03">
        <w:t>1</w:t>
      </w:r>
      <w:r>
        <w:t xml:space="preserve"> shows that slightly more patients initiated in Year 1 compared to Year 2. The median ages were 83, 62, 61 </w:t>
      </w:r>
      <w:r w:rsidR="00EB288F">
        <w:t xml:space="preserve">years </w:t>
      </w:r>
      <w:r>
        <w:t xml:space="preserve">in </w:t>
      </w:r>
      <w:r w:rsidR="00EB288F">
        <w:t>the periods Prior</w:t>
      </w:r>
      <w:r>
        <w:t xml:space="preserve"> to Yr1, Year 1 and Year 2 respectively. </w:t>
      </w:r>
      <w:r w:rsidR="007F3641">
        <w:t xml:space="preserve">An unusual feature is the </w:t>
      </w:r>
      <w:r>
        <w:t xml:space="preserve">sharp </w:t>
      </w:r>
      <w:r w:rsidR="007F3641">
        <w:t xml:space="preserve">peak of initiators in Year 1 </w:t>
      </w:r>
      <w:r>
        <w:t xml:space="preserve">and </w:t>
      </w:r>
      <w:r w:rsidR="007F3641">
        <w:t>Year 2</w:t>
      </w:r>
      <w:r w:rsidR="00EB288F">
        <w:t xml:space="preserve"> just after the age of 65 years</w:t>
      </w:r>
      <w:r>
        <w:t xml:space="preserve">. This </w:t>
      </w:r>
      <w:r w:rsidR="006A3433">
        <w:t>may be</w:t>
      </w:r>
      <w:r>
        <w:t xml:space="preserve"> related to patients qualifying for PBS concession cards </w:t>
      </w:r>
      <w:r w:rsidR="007F3641">
        <w:t xml:space="preserve">at </w:t>
      </w:r>
      <w:r>
        <w:t>this age</w:t>
      </w:r>
      <w:r w:rsidR="007F3641">
        <w:t xml:space="preserve">. </w:t>
      </w:r>
      <w:r>
        <w:t>Figure 1</w:t>
      </w:r>
      <w:r w:rsidR="002D4F03">
        <w:t>2</w:t>
      </w:r>
      <w:r>
        <w:t xml:space="preserve"> shows initiators in Year </w:t>
      </w:r>
      <w:r w:rsidR="00F93390">
        <w:t xml:space="preserve">2 </w:t>
      </w:r>
      <w:r>
        <w:t xml:space="preserve">by </w:t>
      </w:r>
      <w:r w:rsidR="00F93390">
        <w:t>age and initiating script type.</w:t>
      </w:r>
    </w:p>
    <w:p w:rsidR="00F93390" w:rsidRDefault="006854E2" w:rsidP="007F3641">
      <w:r w:rsidRPr="00A4115A">
        <w:rPr>
          <w:noProof/>
          <w:bdr w:val="single" w:sz="4" w:space="0" w:color="auto"/>
        </w:rPr>
        <w:drawing>
          <wp:inline distT="0" distB="0" distL="0" distR="0" wp14:anchorId="13494D15" wp14:editId="7D4AA177">
            <wp:extent cx="5687695" cy="3703686"/>
            <wp:effectExtent l="0" t="0" r="825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854E2" w:rsidRDefault="006854E2" w:rsidP="006854E2">
      <w:r w:rsidRPr="00072D2F">
        <w:rPr>
          <w:b/>
        </w:rPr>
        <w:t>Figure</w:t>
      </w:r>
      <w:r>
        <w:rPr>
          <w:b/>
        </w:rPr>
        <w:t xml:space="preserve"> 1</w:t>
      </w:r>
      <w:r w:rsidR="002D4F03">
        <w:rPr>
          <w:b/>
        </w:rPr>
        <w:t>2</w:t>
      </w:r>
      <w:r w:rsidRPr="00072D2F">
        <w:rPr>
          <w:b/>
        </w:rPr>
        <w:t>:</w:t>
      </w:r>
      <w:r>
        <w:rPr>
          <w:b/>
        </w:rPr>
        <w:t xml:space="preserve"> Patient age at initiation to pregabalin in Year 2 by initiating script type</w:t>
      </w:r>
      <w:r>
        <w:rPr>
          <w:b/>
          <w:bCs/>
        </w:rPr>
        <w:t xml:space="preserve"> </w:t>
      </w:r>
    </w:p>
    <w:p w:rsidR="006854E2" w:rsidRDefault="006854E2" w:rsidP="006854E2">
      <w:r>
        <w:t xml:space="preserve">Patients can qualify for Concessional Non-Safety Net scripts if they qualify for a Pensioner Concession Card, Commonwealth Seniors Health Card or a Health Care Card. People can qualify for the </w:t>
      </w:r>
      <w:r w:rsidR="00EB288F">
        <w:t>Commonwealth Seniors Health Card from age 65 years and for the Pensioner Concession Card from age 60 if they are receiving a CentreLink allowance (the most common one being the age pension from age 65 years).</w:t>
      </w:r>
    </w:p>
    <w:p w:rsidR="00172052" w:rsidRDefault="00172052">
      <w:pPr>
        <w:spacing w:line="276" w:lineRule="auto"/>
        <w:rPr>
          <w:b/>
          <w:i/>
          <w:szCs w:val="28"/>
        </w:rPr>
      </w:pPr>
      <w:r>
        <w:rPr>
          <w:i/>
        </w:rPr>
        <w:br w:type="page"/>
      </w:r>
    </w:p>
    <w:p w:rsidR="008C7BF1" w:rsidRPr="007F3641" w:rsidRDefault="008C7BF1" w:rsidP="008C7BF1">
      <w:pPr>
        <w:pStyle w:val="Heading3"/>
        <w:rPr>
          <w:i/>
          <w:sz w:val="24"/>
          <w:u w:val="single"/>
        </w:rPr>
      </w:pPr>
      <w:r>
        <w:rPr>
          <w:i/>
          <w:sz w:val="24"/>
        </w:rPr>
        <w:t>Prescriber Type Analysis</w:t>
      </w:r>
    </w:p>
    <w:p w:rsidR="008C7BF1" w:rsidRDefault="00A1539A" w:rsidP="004F5A56">
      <w:r>
        <w:t>Table 1</w:t>
      </w:r>
      <w:r w:rsidR="00283481">
        <w:t>1</w:t>
      </w:r>
      <w:r>
        <w:t xml:space="preserve"> shows the distribution by prescriber major specialty of pregabalin </w:t>
      </w:r>
      <w:r w:rsidR="003B459B">
        <w:t>original pre</w:t>
      </w:r>
      <w:r>
        <w:t>script</w:t>
      </w:r>
      <w:r w:rsidR="003B459B">
        <w:t>ion</w:t>
      </w:r>
      <w:r>
        <w:t xml:space="preserve">s </w:t>
      </w:r>
      <w:r w:rsidR="003B459B">
        <w:t xml:space="preserve">(ie. does not include </w:t>
      </w:r>
      <w:r w:rsidR="00736E96">
        <w:t xml:space="preserve">supply of </w:t>
      </w:r>
      <w:r w:rsidR="003B459B">
        <w:t xml:space="preserve">repeats) </w:t>
      </w:r>
      <w:r>
        <w:t xml:space="preserve">supplied in the first two years after PBS listing (ie. March 2013 to February 2015) </w:t>
      </w:r>
    </w:p>
    <w:p w:rsidR="00BD089D" w:rsidRPr="00477ECE" w:rsidRDefault="00BD089D" w:rsidP="00BD089D">
      <w:pPr>
        <w:pStyle w:val="Tabletitle"/>
      </w:pPr>
      <w:r w:rsidRPr="00477ECE">
        <w:t xml:space="preserve">Table </w:t>
      </w:r>
      <w:r>
        <w:t>1</w:t>
      </w:r>
      <w:r w:rsidR="00283481">
        <w:t>1</w:t>
      </w:r>
      <w:r w:rsidRPr="00477ECE">
        <w:t xml:space="preserve">: </w:t>
      </w:r>
      <w:r w:rsidR="00D80C55">
        <w:t>Original p</w:t>
      </w:r>
      <w:r>
        <w:t xml:space="preserve">rescriptions by prescriber </w:t>
      </w:r>
      <w:r w:rsidR="00A1539A">
        <w:t xml:space="preserve">major </w:t>
      </w:r>
      <w:r>
        <w:t>specialty</w:t>
      </w:r>
    </w:p>
    <w:tbl>
      <w:tblPr>
        <w:tblStyle w:val="TableGrid"/>
        <w:tblW w:w="0" w:type="auto"/>
        <w:tblLook w:val="04A0" w:firstRow="1" w:lastRow="0" w:firstColumn="1" w:lastColumn="0" w:noHBand="0" w:noVBand="1"/>
      </w:tblPr>
      <w:tblGrid>
        <w:gridCol w:w="3085"/>
        <w:gridCol w:w="1107"/>
        <w:gridCol w:w="1037"/>
        <w:gridCol w:w="673"/>
      </w:tblGrid>
      <w:tr w:rsidR="00BD089D" w:rsidRPr="00BD089D" w:rsidTr="00B24BA7">
        <w:trPr>
          <w:trHeight w:val="497"/>
        </w:trPr>
        <w:tc>
          <w:tcPr>
            <w:tcW w:w="3085" w:type="dxa"/>
            <w:shd w:val="clear" w:color="auto" w:fill="BFBFBF" w:themeFill="background1" w:themeFillShade="BF"/>
            <w:noWrap/>
            <w:vAlign w:val="center"/>
            <w:hideMark/>
          </w:tcPr>
          <w:p w:rsidR="00BD089D" w:rsidRPr="00690AC1" w:rsidRDefault="00BD089D" w:rsidP="00B24BA7">
            <w:pPr>
              <w:jc w:val="center"/>
              <w:rPr>
                <w:rFonts w:ascii="Calibri" w:eastAsia="Times New Roman" w:hAnsi="Calibri" w:cs="Times New Roman"/>
                <w:b/>
                <w:bCs/>
                <w:color w:val="000000"/>
                <w:sz w:val="22"/>
                <w:szCs w:val="22"/>
              </w:rPr>
            </w:pPr>
            <w:r w:rsidRPr="00690AC1">
              <w:rPr>
                <w:rFonts w:ascii="Calibri" w:eastAsia="Times New Roman" w:hAnsi="Calibri" w:cs="Times New Roman"/>
                <w:b/>
                <w:bCs/>
                <w:color w:val="000000"/>
                <w:sz w:val="22"/>
                <w:szCs w:val="22"/>
              </w:rPr>
              <w:t>Major Specialty</w:t>
            </w:r>
          </w:p>
        </w:tc>
        <w:tc>
          <w:tcPr>
            <w:tcW w:w="1107" w:type="dxa"/>
            <w:shd w:val="clear" w:color="auto" w:fill="BFBFBF" w:themeFill="background1" w:themeFillShade="BF"/>
            <w:noWrap/>
            <w:vAlign w:val="center"/>
            <w:hideMark/>
          </w:tcPr>
          <w:p w:rsidR="00BD089D" w:rsidRPr="00690AC1" w:rsidRDefault="00BD089D" w:rsidP="00B24BA7">
            <w:pPr>
              <w:jc w:val="center"/>
              <w:rPr>
                <w:rFonts w:ascii="Calibri" w:eastAsia="Times New Roman" w:hAnsi="Calibri" w:cs="Times New Roman"/>
                <w:b/>
                <w:bCs/>
                <w:color w:val="000000"/>
                <w:sz w:val="22"/>
                <w:szCs w:val="22"/>
              </w:rPr>
            </w:pPr>
            <w:r w:rsidRPr="00690AC1">
              <w:rPr>
                <w:rFonts w:ascii="Calibri" w:eastAsia="Times New Roman" w:hAnsi="Calibri" w:cs="Times New Roman"/>
                <w:b/>
                <w:bCs/>
                <w:color w:val="000000"/>
                <w:sz w:val="22"/>
                <w:szCs w:val="22"/>
              </w:rPr>
              <w:t>Scripts</w:t>
            </w:r>
          </w:p>
        </w:tc>
        <w:tc>
          <w:tcPr>
            <w:tcW w:w="0" w:type="auto"/>
            <w:shd w:val="clear" w:color="auto" w:fill="BFBFBF" w:themeFill="background1" w:themeFillShade="BF"/>
            <w:vAlign w:val="center"/>
            <w:hideMark/>
          </w:tcPr>
          <w:p w:rsidR="00BD089D" w:rsidRPr="00690AC1" w:rsidRDefault="00BD089D" w:rsidP="00B24BA7">
            <w:pPr>
              <w:jc w:val="center"/>
              <w:rPr>
                <w:rFonts w:ascii="Calibri" w:eastAsia="Times New Roman" w:hAnsi="Calibri" w:cs="Times New Roman"/>
                <w:b/>
                <w:bCs/>
                <w:color w:val="000000"/>
                <w:sz w:val="22"/>
                <w:szCs w:val="22"/>
              </w:rPr>
            </w:pPr>
            <w:r w:rsidRPr="00690AC1">
              <w:rPr>
                <w:rFonts w:ascii="Calibri" w:eastAsia="Times New Roman" w:hAnsi="Calibri" w:cs="Times New Roman"/>
                <w:b/>
                <w:bCs/>
                <w:color w:val="000000"/>
                <w:sz w:val="22"/>
                <w:szCs w:val="22"/>
              </w:rPr>
              <w:t>% Scripts</w:t>
            </w:r>
          </w:p>
        </w:tc>
        <w:tc>
          <w:tcPr>
            <w:tcW w:w="0" w:type="auto"/>
            <w:shd w:val="clear" w:color="auto" w:fill="BFBFBF" w:themeFill="background1" w:themeFillShade="BF"/>
            <w:vAlign w:val="center"/>
            <w:hideMark/>
          </w:tcPr>
          <w:p w:rsidR="00BD089D" w:rsidRPr="00690AC1" w:rsidRDefault="00BD089D" w:rsidP="00B24BA7">
            <w:pPr>
              <w:jc w:val="center"/>
              <w:rPr>
                <w:rFonts w:ascii="Calibri" w:eastAsia="Times New Roman" w:hAnsi="Calibri" w:cs="Times New Roman"/>
                <w:b/>
                <w:bCs/>
                <w:color w:val="000000"/>
                <w:sz w:val="22"/>
                <w:szCs w:val="22"/>
              </w:rPr>
            </w:pPr>
            <w:r w:rsidRPr="00690AC1">
              <w:rPr>
                <w:rFonts w:ascii="Calibri" w:eastAsia="Times New Roman" w:hAnsi="Calibri" w:cs="Times New Roman"/>
                <w:b/>
                <w:bCs/>
                <w:color w:val="000000"/>
                <w:sz w:val="22"/>
                <w:szCs w:val="22"/>
              </w:rPr>
              <w:t>Rank</w:t>
            </w:r>
          </w:p>
        </w:tc>
      </w:tr>
      <w:tr w:rsidR="00D80C55" w:rsidRPr="00BD089D" w:rsidTr="00690AC1">
        <w:trPr>
          <w:trHeight w:val="300"/>
        </w:trPr>
        <w:tc>
          <w:tcPr>
            <w:tcW w:w="3085" w:type="dxa"/>
            <w:noWrap/>
            <w:hideMark/>
          </w:tcPr>
          <w:p w:rsidR="00D80C55" w:rsidRPr="00690AC1" w:rsidRDefault="00D80C55">
            <w:pPr>
              <w:rPr>
                <w:sz w:val="22"/>
              </w:rPr>
            </w:pPr>
            <w:r>
              <w:rPr>
                <w:sz w:val="22"/>
              </w:rPr>
              <w:t xml:space="preserve">Vocationally Registered </w:t>
            </w:r>
            <w:r w:rsidRPr="005B4D9D">
              <w:rPr>
                <w:sz w:val="22"/>
              </w:rPr>
              <w:t>GP</w:t>
            </w:r>
          </w:p>
        </w:tc>
        <w:tc>
          <w:tcPr>
            <w:tcW w:w="1107" w:type="dxa"/>
            <w:noWrap/>
            <w:vAlign w:val="bottom"/>
            <w:hideMark/>
          </w:tcPr>
          <w:p w:rsidR="00D80C55" w:rsidRPr="00690AC1" w:rsidRDefault="00D80C55" w:rsidP="00690AC1">
            <w:pPr>
              <w:jc w:val="right"/>
              <w:rPr>
                <w:sz w:val="22"/>
              </w:rPr>
            </w:pPr>
            <w:r>
              <w:rPr>
                <w:rFonts w:ascii="Calibri" w:hAnsi="Calibri"/>
                <w:sz w:val="22"/>
                <w:szCs w:val="22"/>
              </w:rPr>
              <w:t>1,017,860</w:t>
            </w:r>
          </w:p>
        </w:tc>
        <w:tc>
          <w:tcPr>
            <w:tcW w:w="0" w:type="auto"/>
            <w:noWrap/>
            <w:vAlign w:val="bottom"/>
            <w:hideMark/>
          </w:tcPr>
          <w:p w:rsidR="00D80C55" w:rsidRPr="00690AC1" w:rsidRDefault="00D80C55" w:rsidP="00690AC1">
            <w:pPr>
              <w:jc w:val="right"/>
              <w:rPr>
                <w:sz w:val="22"/>
              </w:rPr>
            </w:pPr>
            <w:r>
              <w:rPr>
                <w:rFonts w:ascii="Calibri" w:hAnsi="Calibri"/>
                <w:sz w:val="22"/>
                <w:szCs w:val="22"/>
              </w:rPr>
              <w:t>73.4%</w:t>
            </w:r>
          </w:p>
        </w:tc>
        <w:tc>
          <w:tcPr>
            <w:tcW w:w="0" w:type="auto"/>
            <w:noWrap/>
            <w:vAlign w:val="bottom"/>
            <w:hideMark/>
          </w:tcPr>
          <w:p w:rsidR="00D80C55" w:rsidRPr="00690AC1" w:rsidRDefault="00D80C55" w:rsidP="00690AC1">
            <w:pPr>
              <w:jc w:val="right"/>
              <w:rPr>
                <w:sz w:val="22"/>
              </w:rPr>
            </w:pPr>
            <w:r>
              <w:rPr>
                <w:rFonts w:ascii="Calibri" w:hAnsi="Calibri"/>
                <w:sz w:val="22"/>
                <w:szCs w:val="22"/>
              </w:rPr>
              <w:t>1</w:t>
            </w:r>
          </w:p>
        </w:tc>
      </w:tr>
      <w:tr w:rsidR="00D80C55" w:rsidRPr="00BD089D" w:rsidTr="00690AC1">
        <w:trPr>
          <w:trHeight w:val="300"/>
        </w:trPr>
        <w:tc>
          <w:tcPr>
            <w:tcW w:w="3085" w:type="dxa"/>
            <w:noWrap/>
            <w:hideMark/>
          </w:tcPr>
          <w:p w:rsidR="00D80C55" w:rsidRPr="00690AC1" w:rsidRDefault="00D80C55">
            <w:pPr>
              <w:rPr>
                <w:sz w:val="22"/>
              </w:rPr>
            </w:pPr>
            <w:r>
              <w:rPr>
                <w:sz w:val="22"/>
              </w:rPr>
              <w:t xml:space="preserve">Non-Vocationally Registered </w:t>
            </w:r>
            <w:r w:rsidRPr="005B4D9D">
              <w:rPr>
                <w:sz w:val="22"/>
              </w:rPr>
              <w:t>GP</w:t>
            </w:r>
          </w:p>
        </w:tc>
        <w:tc>
          <w:tcPr>
            <w:tcW w:w="1107" w:type="dxa"/>
            <w:noWrap/>
            <w:vAlign w:val="bottom"/>
            <w:hideMark/>
          </w:tcPr>
          <w:p w:rsidR="00D80C55" w:rsidRPr="00690AC1" w:rsidRDefault="00D80C55" w:rsidP="00690AC1">
            <w:pPr>
              <w:jc w:val="right"/>
              <w:rPr>
                <w:sz w:val="22"/>
              </w:rPr>
            </w:pPr>
            <w:r>
              <w:rPr>
                <w:rFonts w:ascii="Calibri" w:hAnsi="Calibri"/>
                <w:sz w:val="22"/>
                <w:szCs w:val="22"/>
              </w:rPr>
              <w:t>114,737</w:t>
            </w:r>
          </w:p>
        </w:tc>
        <w:tc>
          <w:tcPr>
            <w:tcW w:w="0" w:type="auto"/>
            <w:noWrap/>
            <w:vAlign w:val="bottom"/>
            <w:hideMark/>
          </w:tcPr>
          <w:p w:rsidR="00D80C55" w:rsidRPr="00690AC1" w:rsidRDefault="00D80C55" w:rsidP="00690AC1">
            <w:pPr>
              <w:jc w:val="right"/>
              <w:rPr>
                <w:sz w:val="22"/>
              </w:rPr>
            </w:pPr>
            <w:r>
              <w:rPr>
                <w:rFonts w:ascii="Calibri" w:hAnsi="Calibri"/>
                <w:sz w:val="22"/>
                <w:szCs w:val="22"/>
              </w:rPr>
              <w:t>8.3%</w:t>
            </w:r>
          </w:p>
        </w:tc>
        <w:tc>
          <w:tcPr>
            <w:tcW w:w="0" w:type="auto"/>
            <w:noWrap/>
            <w:vAlign w:val="bottom"/>
            <w:hideMark/>
          </w:tcPr>
          <w:p w:rsidR="00D80C55" w:rsidRPr="00690AC1" w:rsidRDefault="00D80C55" w:rsidP="00690AC1">
            <w:pPr>
              <w:jc w:val="right"/>
              <w:rPr>
                <w:sz w:val="22"/>
              </w:rPr>
            </w:pPr>
            <w:r>
              <w:rPr>
                <w:rFonts w:ascii="Calibri" w:hAnsi="Calibri"/>
                <w:sz w:val="22"/>
                <w:szCs w:val="22"/>
              </w:rPr>
              <w:t>2</w:t>
            </w:r>
          </w:p>
        </w:tc>
      </w:tr>
      <w:tr w:rsidR="00D80C55" w:rsidRPr="00BD089D" w:rsidTr="00690AC1">
        <w:trPr>
          <w:trHeight w:val="300"/>
        </w:trPr>
        <w:tc>
          <w:tcPr>
            <w:tcW w:w="3085" w:type="dxa"/>
            <w:noWrap/>
            <w:vAlign w:val="bottom"/>
            <w:hideMark/>
          </w:tcPr>
          <w:p w:rsidR="00D80C55" w:rsidRPr="00690AC1" w:rsidRDefault="00D80C55">
            <w:pPr>
              <w:rPr>
                <w:sz w:val="22"/>
              </w:rPr>
            </w:pPr>
            <w:r>
              <w:rPr>
                <w:rFonts w:ascii="Calibri" w:hAnsi="Calibri"/>
                <w:sz w:val="22"/>
                <w:szCs w:val="22"/>
              </w:rPr>
              <w:t>GP Trainee</w:t>
            </w:r>
          </w:p>
        </w:tc>
        <w:tc>
          <w:tcPr>
            <w:tcW w:w="1107" w:type="dxa"/>
            <w:noWrap/>
            <w:vAlign w:val="bottom"/>
            <w:hideMark/>
          </w:tcPr>
          <w:p w:rsidR="00D80C55" w:rsidRPr="00690AC1" w:rsidRDefault="00D80C55" w:rsidP="00690AC1">
            <w:pPr>
              <w:jc w:val="right"/>
              <w:rPr>
                <w:sz w:val="22"/>
              </w:rPr>
            </w:pPr>
            <w:r>
              <w:rPr>
                <w:rFonts w:ascii="Calibri" w:hAnsi="Calibri"/>
                <w:sz w:val="22"/>
                <w:szCs w:val="22"/>
              </w:rPr>
              <w:t>58,037</w:t>
            </w:r>
          </w:p>
        </w:tc>
        <w:tc>
          <w:tcPr>
            <w:tcW w:w="0" w:type="auto"/>
            <w:noWrap/>
            <w:vAlign w:val="bottom"/>
            <w:hideMark/>
          </w:tcPr>
          <w:p w:rsidR="00D80C55" w:rsidRPr="00690AC1" w:rsidRDefault="00D80C55" w:rsidP="00690AC1">
            <w:pPr>
              <w:jc w:val="right"/>
              <w:rPr>
                <w:sz w:val="22"/>
              </w:rPr>
            </w:pPr>
            <w:r>
              <w:rPr>
                <w:rFonts w:ascii="Calibri" w:hAnsi="Calibri"/>
                <w:sz w:val="22"/>
                <w:szCs w:val="22"/>
              </w:rPr>
              <w:t>4.2%</w:t>
            </w:r>
          </w:p>
        </w:tc>
        <w:tc>
          <w:tcPr>
            <w:tcW w:w="0" w:type="auto"/>
            <w:noWrap/>
            <w:vAlign w:val="bottom"/>
            <w:hideMark/>
          </w:tcPr>
          <w:p w:rsidR="00D80C55" w:rsidRPr="00690AC1" w:rsidRDefault="00D80C55" w:rsidP="00690AC1">
            <w:pPr>
              <w:jc w:val="right"/>
              <w:rPr>
                <w:sz w:val="22"/>
              </w:rPr>
            </w:pPr>
            <w:r>
              <w:rPr>
                <w:rFonts w:ascii="Calibri" w:hAnsi="Calibri"/>
                <w:sz w:val="22"/>
                <w:szCs w:val="22"/>
              </w:rPr>
              <w:t>3</w:t>
            </w:r>
          </w:p>
        </w:tc>
      </w:tr>
      <w:tr w:rsidR="00D80C55" w:rsidRPr="00BD089D" w:rsidTr="00690AC1">
        <w:trPr>
          <w:trHeight w:val="300"/>
        </w:trPr>
        <w:tc>
          <w:tcPr>
            <w:tcW w:w="3085" w:type="dxa"/>
            <w:noWrap/>
            <w:vAlign w:val="bottom"/>
            <w:hideMark/>
          </w:tcPr>
          <w:p w:rsidR="00D80C55" w:rsidRPr="00690AC1" w:rsidRDefault="00D80C55">
            <w:pPr>
              <w:rPr>
                <w:sz w:val="22"/>
              </w:rPr>
            </w:pPr>
            <w:r>
              <w:rPr>
                <w:rFonts w:ascii="Calibri" w:hAnsi="Calibri"/>
                <w:sz w:val="22"/>
                <w:szCs w:val="22"/>
              </w:rPr>
              <w:t>GP Unclassified</w:t>
            </w:r>
          </w:p>
        </w:tc>
        <w:tc>
          <w:tcPr>
            <w:tcW w:w="1107" w:type="dxa"/>
            <w:noWrap/>
            <w:vAlign w:val="bottom"/>
            <w:hideMark/>
          </w:tcPr>
          <w:p w:rsidR="00D80C55" w:rsidRPr="00690AC1" w:rsidRDefault="00D80C55" w:rsidP="00690AC1">
            <w:pPr>
              <w:jc w:val="right"/>
              <w:rPr>
                <w:sz w:val="22"/>
              </w:rPr>
            </w:pPr>
            <w:r>
              <w:rPr>
                <w:rFonts w:ascii="Calibri" w:hAnsi="Calibri"/>
                <w:sz w:val="22"/>
                <w:szCs w:val="22"/>
              </w:rPr>
              <w:t>28,235</w:t>
            </w:r>
          </w:p>
        </w:tc>
        <w:tc>
          <w:tcPr>
            <w:tcW w:w="0" w:type="auto"/>
            <w:noWrap/>
            <w:vAlign w:val="bottom"/>
            <w:hideMark/>
          </w:tcPr>
          <w:p w:rsidR="00D80C55" w:rsidRPr="00690AC1" w:rsidRDefault="00D80C55" w:rsidP="00690AC1">
            <w:pPr>
              <w:jc w:val="right"/>
              <w:rPr>
                <w:sz w:val="22"/>
              </w:rPr>
            </w:pPr>
            <w:r>
              <w:rPr>
                <w:rFonts w:ascii="Calibri" w:hAnsi="Calibri"/>
                <w:sz w:val="22"/>
                <w:szCs w:val="22"/>
              </w:rPr>
              <w:t>2.0%</w:t>
            </w:r>
          </w:p>
        </w:tc>
        <w:tc>
          <w:tcPr>
            <w:tcW w:w="0" w:type="auto"/>
            <w:noWrap/>
            <w:vAlign w:val="bottom"/>
            <w:hideMark/>
          </w:tcPr>
          <w:p w:rsidR="00D80C55" w:rsidRPr="00690AC1" w:rsidRDefault="00D80C55" w:rsidP="00690AC1">
            <w:pPr>
              <w:jc w:val="right"/>
              <w:rPr>
                <w:sz w:val="22"/>
              </w:rPr>
            </w:pPr>
            <w:r>
              <w:rPr>
                <w:rFonts w:ascii="Calibri" w:hAnsi="Calibri"/>
                <w:sz w:val="22"/>
                <w:szCs w:val="22"/>
              </w:rPr>
              <w:t>4</w:t>
            </w:r>
          </w:p>
        </w:tc>
      </w:tr>
      <w:tr w:rsidR="00D80C55" w:rsidRPr="00BD089D" w:rsidTr="00690AC1">
        <w:trPr>
          <w:trHeight w:val="300"/>
        </w:trPr>
        <w:tc>
          <w:tcPr>
            <w:tcW w:w="3085" w:type="dxa"/>
            <w:noWrap/>
            <w:vAlign w:val="bottom"/>
            <w:hideMark/>
          </w:tcPr>
          <w:p w:rsidR="00D80C55" w:rsidRPr="00690AC1" w:rsidRDefault="00D80C55">
            <w:pPr>
              <w:rPr>
                <w:sz w:val="22"/>
              </w:rPr>
            </w:pPr>
            <w:r>
              <w:rPr>
                <w:rFonts w:ascii="Calibri" w:hAnsi="Calibri"/>
                <w:sz w:val="22"/>
                <w:szCs w:val="22"/>
              </w:rPr>
              <w:t>Rheumatology</w:t>
            </w:r>
          </w:p>
        </w:tc>
        <w:tc>
          <w:tcPr>
            <w:tcW w:w="1107" w:type="dxa"/>
            <w:noWrap/>
            <w:vAlign w:val="bottom"/>
            <w:hideMark/>
          </w:tcPr>
          <w:p w:rsidR="00D80C55" w:rsidRPr="00690AC1" w:rsidRDefault="00D80C55" w:rsidP="00690AC1">
            <w:pPr>
              <w:jc w:val="right"/>
              <w:rPr>
                <w:sz w:val="22"/>
              </w:rPr>
            </w:pPr>
            <w:r>
              <w:rPr>
                <w:rFonts w:ascii="Calibri" w:hAnsi="Calibri"/>
                <w:sz w:val="22"/>
                <w:szCs w:val="22"/>
              </w:rPr>
              <w:t>22,355</w:t>
            </w:r>
          </w:p>
        </w:tc>
        <w:tc>
          <w:tcPr>
            <w:tcW w:w="0" w:type="auto"/>
            <w:noWrap/>
            <w:vAlign w:val="bottom"/>
            <w:hideMark/>
          </w:tcPr>
          <w:p w:rsidR="00D80C55" w:rsidRPr="00690AC1" w:rsidRDefault="00D80C55" w:rsidP="00690AC1">
            <w:pPr>
              <w:jc w:val="right"/>
              <w:rPr>
                <w:sz w:val="22"/>
              </w:rPr>
            </w:pPr>
            <w:r>
              <w:rPr>
                <w:rFonts w:ascii="Calibri" w:hAnsi="Calibri"/>
                <w:sz w:val="22"/>
                <w:szCs w:val="22"/>
              </w:rPr>
              <w:t>1.6%</w:t>
            </w:r>
          </w:p>
        </w:tc>
        <w:tc>
          <w:tcPr>
            <w:tcW w:w="0" w:type="auto"/>
            <w:noWrap/>
            <w:vAlign w:val="bottom"/>
            <w:hideMark/>
          </w:tcPr>
          <w:p w:rsidR="00D80C55" w:rsidRPr="00690AC1" w:rsidRDefault="00D80C55" w:rsidP="00690AC1">
            <w:pPr>
              <w:jc w:val="right"/>
              <w:rPr>
                <w:sz w:val="22"/>
              </w:rPr>
            </w:pPr>
            <w:r>
              <w:rPr>
                <w:rFonts w:ascii="Calibri" w:hAnsi="Calibri"/>
                <w:sz w:val="22"/>
                <w:szCs w:val="22"/>
              </w:rPr>
              <w:t>5</w:t>
            </w:r>
          </w:p>
        </w:tc>
      </w:tr>
      <w:tr w:rsidR="00D80C55" w:rsidRPr="00BD089D" w:rsidTr="00690AC1">
        <w:trPr>
          <w:trHeight w:val="300"/>
        </w:trPr>
        <w:tc>
          <w:tcPr>
            <w:tcW w:w="3085" w:type="dxa"/>
            <w:noWrap/>
            <w:vAlign w:val="bottom"/>
            <w:hideMark/>
          </w:tcPr>
          <w:p w:rsidR="00D80C55" w:rsidRPr="00690AC1" w:rsidRDefault="00D80C55">
            <w:pPr>
              <w:rPr>
                <w:sz w:val="22"/>
              </w:rPr>
            </w:pPr>
            <w:r>
              <w:rPr>
                <w:rFonts w:ascii="Calibri" w:hAnsi="Calibri"/>
                <w:sz w:val="22"/>
                <w:szCs w:val="22"/>
              </w:rPr>
              <w:t>Neurology</w:t>
            </w:r>
          </w:p>
        </w:tc>
        <w:tc>
          <w:tcPr>
            <w:tcW w:w="1107" w:type="dxa"/>
            <w:noWrap/>
            <w:vAlign w:val="bottom"/>
            <w:hideMark/>
          </w:tcPr>
          <w:p w:rsidR="00D80C55" w:rsidRPr="00690AC1" w:rsidRDefault="00D80C55" w:rsidP="00690AC1">
            <w:pPr>
              <w:jc w:val="right"/>
              <w:rPr>
                <w:sz w:val="22"/>
              </w:rPr>
            </w:pPr>
            <w:r>
              <w:rPr>
                <w:rFonts w:ascii="Calibri" w:hAnsi="Calibri"/>
                <w:sz w:val="22"/>
                <w:szCs w:val="22"/>
              </w:rPr>
              <w:t>18,740</w:t>
            </w:r>
          </w:p>
        </w:tc>
        <w:tc>
          <w:tcPr>
            <w:tcW w:w="0" w:type="auto"/>
            <w:noWrap/>
            <w:vAlign w:val="bottom"/>
            <w:hideMark/>
          </w:tcPr>
          <w:p w:rsidR="00D80C55" w:rsidRPr="00690AC1" w:rsidRDefault="00D80C55" w:rsidP="00690AC1">
            <w:pPr>
              <w:jc w:val="right"/>
              <w:rPr>
                <w:sz w:val="22"/>
              </w:rPr>
            </w:pPr>
            <w:r>
              <w:rPr>
                <w:rFonts w:ascii="Calibri" w:hAnsi="Calibri"/>
                <w:sz w:val="22"/>
                <w:szCs w:val="22"/>
              </w:rPr>
              <w:t>1.4%</w:t>
            </w:r>
          </w:p>
        </w:tc>
        <w:tc>
          <w:tcPr>
            <w:tcW w:w="0" w:type="auto"/>
            <w:noWrap/>
            <w:vAlign w:val="bottom"/>
            <w:hideMark/>
          </w:tcPr>
          <w:p w:rsidR="00D80C55" w:rsidRPr="00690AC1" w:rsidRDefault="00D80C55" w:rsidP="00690AC1">
            <w:pPr>
              <w:jc w:val="right"/>
              <w:rPr>
                <w:sz w:val="22"/>
              </w:rPr>
            </w:pPr>
            <w:r>
              <w:rPr>
                <w:rFonts w:ascii="Calibri" w:hAnsi="Calibri"/>
                <w:sz w:val="22"/>
                <w:szCs w:val="22"/>
              </w:rPr>
              <w:t>6</w:t>
            </w:r>
          </w:p>
        </w:tc>
      </w:tr>
      <w:tr w:rsidR="00D80C55" w:rsidRPr="00BD089D" w:rsidTr="00690AC1">
        <w:trPr>
          <w:trHeight w:val="300"/>
        </w:trPr>
        <w:tc>
          <w:tcPr>
            <w:tcW w:w="3085" w:type="dxa"/>
            <w:noWrap/>
            <w:vAlign w:val="bottom"/>
            <w:hideMark/>
          </w:tcPr>
          <w:p w:rsidR="00D80C55" w:rsidRPr="00690AC1" w:rsidRDefault="00D80C55">
            <w:pPr>
              <w:rPr>
                <w:sz w:val="22"/>
              </w:rPr>
            </w:pPr>
            <w:r>
              <w:rPr>
                <w:rFonts w:ascii="Calibri" w:hAnsi="Calibri"/>
                <w:sz w:val="22"/>
                <w:szCs w:val="22"/>
              </w:rPr>
              <w:t>Surgery</w:t>
            </w:r>
          </w:p>
        </w:tc>
        <w:tc>
          <w:tcPr>
            <w:tcW w:w="1107" w:type="dxa"/>
            <w:noWrap/>
            <w:vAlign w:val="bottom"/>
            <w:hideMark/>
          </w:tcPr>
          <w:p w:rsidR="00D80C55" w:rsidRPr="00690AC1" w:rsidRDefault="00D80C55" w:rsidP="00690AC1">
            <w:pPr>
              <w:jc w:val="right"/>
              <w:rPr>
                <w:sz w:val="22"/>
              </w:rPr>
            </w:pPr>
            <w:r>
              <w:rPr>
                <w:rFonts w:ascii="Calibri" w:hAnsi="Calibri"/>
                <w:sz w:val="22"/>
                <w:szCs w:val="22"/>
              </w:rPr>
              <w:t>18,718</w:t>
            </w:r>
          </w:p>
        </w:tc>
        <w:tc>
          <w:tcPr>
            <w:tcW w:w="0" w:type="auto"/>
            <w:noWrap/>
            <w:vAlign w:val="bottom"/>
            <w:hideMark/>
          </w:tcPr>
          <w:p w:rsidR="00D80C55" w:rsidRPr="00690AC1" w:rsidRDefault="00D80C55" w:rsidP="00690AC1">
            <w:pPr>
              <w:jc w:val="right"/>
              <w:rPr>
                <w:sz w:val="22"/>
              </w:rPr>
            </w:pPr>
            <w:r>
              <w:rPr>
                <w:rFonts w:ascii="Calibri" w:hAnsi="Calibri"/>
                <w:sz w:val="22"/>
                <w:szCs w:val="22"/>
              </w:rPr>
              <w:t>1.4%</w:t>
            </w:r>
          </w:p>
        </w:tc>
        <w:tc>
          <w:tcPr>
            <w:tcW w:w="0" w:type="auto"/>
            <w:noWrap/>
            <w:vAlign w:val="bottom"/>
            <w:hideMark/>
          </w:tcPr>
          <w:p w:rsidR="00D80C55" w:rsidRPr="00690AC1" w:rsidRDefault="00D80C55" w:rsidP="00690AC1">
            <w:pPr>
              <w:jc w:val="right"/>
              <w:rPr>
                <w:sz w:val="22"/>
              </w:rPr>
            </w:pPr>
            <w:r>
              <w:rPr>
                <w:rFonts w:ascii="Calibri" w:hAnsi="Calibri"/>
                <w:sz w:val="22"/>
                <w:szCs w:val="22"/>
              </w:rPr>
              <w:t>7</w:t>
            </w:r>
          </w:p>
        </w:tc>
      </w:tr>
      <w:tr w:rsidR="00D80C55" w:rsidRPr="00BD089D" w:rsidTr="00690AC1">
        <w:trPr>
          <w:trHeight w:val="300"/>
        </w:trPr>
        <w:tc>
          <w:tcPr>
            <w:tcW w:w="3085" w:type="dxa"/>
            <w:noWrap/>
            <w:vAlign w:val="bottom"/>
            <w:hideMark/>
          </w:tcPr>
          <w:p w:rsidR="00D80C55" w:rsidRPr="00690AC1" w:rsidRDefault="00D80C55">
            <w:pPr>
              <w:rPr>
                <w:sz w:val="22"/>
              </w:rPr>
            </w:pPr>
            <w:r>
              <w:rPr>
                <w:rFonts w:ascii="Calibri" w:hAnsi="Calibri"/>
                <w:sz w:val="22"/>
                <w:szCs w:val="22"/>
              </w:rPr>
              <w:t xml:space="preserve">Palliative Medicine </w:t>
            </w:r>
          </w:p>
        </w:tc>
        <w:tc>
          <w:tcPr>
            <w:tcW w:w="1107" w:type="dxa"/>
            <w:noWrap/>
            <w:vAlign w:val="bottom"/>
            <w:hideMark/>
          </w:tcPr>
          <w:p w:rsidR="00D80C55" w:rsidRPr="00690AC1" w:rsidRDefault="00D80C55" w:rsidP="00690AC1">
            <w:pPr>
              <w:jc w:val="right"/>
              <w:rPr>
                <w:sz w:val="22"/>
              </w:rPr>
            </w:pPr>
            <w:r>
              <w:rPr>
                <w:rFonts w:ascii="Calibri" w:hAnsi="Calibri"/>
                <w:sz w:val="22"/>
                <w:szCs w:val="22"/>
              </w:rPr>
              <w:t>16,643</w:t>
            </w:r>
          </w:p>
        </w:tc>
        <w:tc>
          <w:tcPr>
            <w:tcW w:w="0" w:type="auto"/>
            <w:noWrap/>
            <w:vAlign w:val="bottom"/>
            <w:hideMark/>
          </w:tcPr>
          <w:p w:rsidR="00D80C55" w:rsidRPr="00690AC1" w:rsidRDefault="00D80C55" w:rsidP="00690AC1">
            <w:pPr>
              <w:jc w:val="right"/>
              <w:rPr>
                <w:sz w:val="22"/>
              </w:rPr>
            </w:pPr>
            <w:r>
              <w:rPr>
                <w:rFonts w:ascii="Calibri" w:hAnsi="Calibri"/>
                <w:sz w:val="22"/>
                <w:szCs w:val="22"/>
              </w:rPr>
              <w:t>1.2%</w:t>
            </w:r>
          </w:p>
        </w:tc>
        <w:tc>
          <w:tcPr>
            <w:tcW w:w="0" w:type="auto"/>
            <w:noWrap/>
            <w:vAlign w:val="bottom"/>
            <w:hideMark/>
          </w:tcPr>
          <w:p w:rsidR="00D80C55" w:rsidRPr="00690AC1" w:rsidRDefault="00D80C55" w:rsidP="00690AC1">
            <w:pPr>
              <w:jc w:val="right"/>
              <w:rPr>
                <w:sz w:val="22"/>
              </w:rPr>
            </w:pPr>
            <w:r>
              <w:rPr>
                <w:rFonts w:ascii="Calibri" w:hAnsi="Calibri"/>
                <w:sz w:val="22"/>
                <w:szCs w:val="22"/>
              </w:rPr>
              <w:t>8</w:t>
            </w:r>
          </w:p>
        </w:tc>
      </w:tr>
      <w:tr w:rsidR="00D80C55" w:rsidRPr="00BD089D" w:rsidTr="00690AC1">
        <w:trPr>
          <w:trHeight w:val="300"/>
        </w:trPr>
        <w:tc>
          <w:tcPr>
            <w:tcW w:w="3085" w:type="dxa"/>
            <w:noWrap/>
            <w:vAlign w:val="bottom"/>
            <w:hideMark/>
          </w:tcPr>
          <w:p w:rsidR="00D80C55" w:rsidRPr="00690AC1" w:rsidRDefault="00D80C55">
            <w:pPr>
              <w:rPr>
                <w:sz w:val="22"/>
              </w:rPr>
            </w:pPr>
            <w:r>
              <w:rPr>
                <w:rFonts w:ascii="Calibri" w:hAnsi="Calibri"/>
                <w:sz w:val="22"/>
                <w:szCs w:val="22"/>
              </w:rPr>
              <w:t>Internal Medicine</w:t>
            </w:r>
          </w:p>
        </w:tc>
        <w:tc>
          <w:tcPr>
            <w:tcW w:w="1107" w:type="dxa"/>
            <w:noWrap/>
            <w:vAlign w:val="bottom"/>
            <w:hideMark/>
          </w:tcPr>
          <w:p w:rsidR="00D80C55" w:rsidRPr="00690AC1" w:rsidRDefault="00D80C55" w:rsidP="00690AC1">
            <w:pPr>
              <w:jc w:val="right"/>
              <w:rPr>
                <w:sz w:val="22"/>
              </w:rPr>
            </w:pPr>
            <w:r>
              <w:rPr>
                <w:rFonts w:ascii="Calibri" w:hAnsi="Calibri"/>
                <w:sz w:val="22"/>
                <w:szCs w:val="22"/>
              </w:rPr>
              <w:t>14,852</w:t>
            </w:r>
          </w:p>
        </w:tc>
        <w:tc>
          <w:tcPr>
            <w:tcW w:w="0" w:type="auto"/>
            <w:noWrap/>
            <w:vAlign w:val="bottom"/>
            <w:hideMark/>
          </w:tcPr>
          <w:p w:rsidR="00D80C55" w:rsidRPr="00690AC1" w:rsidRDefault="00D80C55" w:rsidP="00690AC1">
            <w:pPr>
              <w:jc w:val="right"/>
              <w:rPr>
                <w:sz w:val="22"/>
              </w:rPr>
            </w:pPr>
            <w:r>
              <w:rPr>
                <w:rFonts w:ascii="Calibri" w:hAnsi="Calibri"/>
                <w:sz w:val="22"/>
                <w:szCs w:val="22"/>
              </w:rPr>
              <w:t>1.1%</w:t>
            </w:r>
          </w:p>
        </w:tc>
        <w:tc>
          <w:tcPr>
            <w:tcW w:w="0" w:type="auto"/>
            <w:noWrap/>
            <w:vAlign w:val="bottom"/>
            <w:hideMark/>
          </w:tcPr>
          <w:p w:rsidR="00D80C55" w:rsidRPr="00690AC1" w:rsidRDefault="00D80C55" w:rsidP="00690AC1">
            <w:pPr>
              <w:jc w:val="right"/>
              <w:rPr>
                <w:sz w:val="22"/>
              </w:rPr>
            </w:pPr>
            <w:r>
              <w:rPr>
                <w:rFonts w:ascii="Calibri" w:hAnsi="Calibri"/>
                <w:sz w:val="22"/>
                <w:szCs w:val="22"/>
              </w:rPr>
              <w:t>9</w:t>
            </w:r>
          </w:p>
        </w:tc>
      </w:tr>
      <w:tr w:rsidR="00D80C55" w:rsidRPr="00BD089D" w:rsidTr="00690AC1">
        <w:trPr>
          <w:trHeight w:val="300"/>
        </w:trPr>
        <w:tc>
          <w:tcPr>
            <w:tcW w:w="3085" w:type="dxa"/>
            <w:noWrap/>
            <w:vAlign w:val="bottom"/>
            <w:hideMark/>
          </w:tcPr>
          <w:p w:rsidR="00D80C55" w:rsidRPr="00690AC1" w:rsidRDefault="00D80C55">
            <w:pPr>
              <w:rPr>
                <w:sz w:val="22"/>
              </w:rPr>
            </w:pPr>
            <w:r>
              <w:rPr>
                <w:rFonts w:ascii="Calibri" w:hAnsi="Calibri"/>
                <w:sz w:val="22"/>
                <w:szCs w:val="22"/>
              </w:rPr>
              <w:t>Rehabilitation Medicine</w:t>
            </w:r>
          </w:p>
        </w:tc>
        <w:tc>
          <w:tcPr>
            <w:tcW w:w="1107" w:type="dxa"/>
            <w:noWrap/>
            <w:vAlign w:val="bottom"/>
            <w:hideMark/>
          </w:tcPr>
          <w:p w:rsidR="00D80C55" w:rsidRPr="00690AC1" w:rsidRDefault="00D80C55" w:rsidP="00690AC1">
            <w:pPr>
              <w:jc w:val="right"/>
              <w:rPr>
                <w:sz w:val="22"/>
              </w:rPr>
            </w:pPr>
            <w:r>
              <w:rPr>
                <w:rFonts w:ascii="Calibri" w:hAnsi="Calibri"/>
                <w:sz w:val="22"/>
                <w:szCs w:val="22"/>
              </w:rPr>
              <w:t>10,595</w:t>
            </w:r>
          </w:p>
        </w:tc>
        <w:tc>
          <w:tcPr>
            <w:tcW w:w="0" w:type="auto"/>
            <w:noWrap/>
            <w:vAlign w:val="bottom"/>
            <w:hideMark/>
          </w:tcPr>
          <w:p w:rsidR="00D80C55" w:rsidRPr="00690AC1" w:rsidRDefault="00D80C55" w:rsidP="00690AC1">
            <w:pPr>
              <w:jc w:val="right"/>
              <w:rPr>
                <w:sz w:val="22"/>
              </w:rPr>
            </w:pPr>
            <w:r>
              <w:rPr>
                <w:rFonts w:ascii="Calibri" w:hAnsi="Calibri"/>
                <w:sz w:val="22"/>
                <w:szCs w:val="22"/>
              </w:rPr>
              <w:t>0.8%</w:t>
            </w:r>
          </w:p>
        </w:tc>
        <w:tc>
          <w:tcPr>
            <w:tcW w:w="0" w:type="auto"/>
            <w:noWrap/>
            <w:vAlign w:val="bottom"/>
            <w:hideMark/>
          </w:tcPr>
          <w:p w:rsidR="00D80C55" w:rsidRPr="00690AC1" w:rsidRDefault="00D80C55" w:rsidP="00690AC1">
            <w:pPr>
              <w:jc w:val="right"/>
              <w:rPr>
                <w:sz w:val="22"/>
              </w:rPr>
            </w:pPr>
            <w:r>
              <w:rPr>
                <w:rFonts w:ascii="Calibri" w:hAnsi="Calibri"/>
                <w:sz w:val="22"/>
                <w:szCs w:val="22"/>
              </w:rPr>
              <w:t>10</w:t>
            </w:r>
          </w:p>
        </w:tc>
      </w:tr>
      <w:tr w:rsidR="00D80C55" w:rsidRPr="00BD089D" w:rsidTr="00690AC1">
        <w:trPr>
          <w:trHeight w:val="300"/>
        </w:trPr>
        <w:tc>
          <w:tcPr>
            <w:tcW w:w="3085" w:type="dxa"/>
            <w:noWrap/>
            <w:hideMark/>
          </w:tcPr>
          <w:p w:rsidR="00D80C55" w:rsidRPr="00690AC1" w:rsidRDefault="00D80C55">
            <w:pPr>
              <w:rPr>
                <w:sz w:val="22"/>
              </w:rPr>
            </w:pPr>
            <w:r w:rsidRPr="00690AC1">
              <w:rPr>
                <w:sz w:val="22"/>
              </w:rPr>
              <w:t>Other</w:t>
            </w:r>
          </w:p>
        </w:tc>
        <w:tc>
          <w:tcPr>
            <w:tcW w:w="1107" w:type="dxa"/>
            <w:noWrap/>
            <w:vAlign w:val="bottom"/>
            <w:hideMark/>
          </w:tcPr>
          <w:p w:rsidR="00D80C55" w:rsidRPr="00690AC1" w:rsidRDefault="00D80C55" w:rsidP="00690AC1">
            <w:pPr>
              <w:jc w:val="right"/>
              <w:rPr>
                <w:sz w:val="22"/>
              </w:rPr>
            </w:pPr>
            <w:r>
              <w:rPr>
                <w:rFonts w:ascii="Calibri" w:hAnsi="Calibri"/>
                <w:sz w:val="22"/>
                <w:szCs w:val="22"/>
              </w:rPr>
              <w:t>65,410</w:t>
            </w:r>
          </w:p>
        </w:tc>
        <w:tc>
          <w:tcPr>
            <w:tcW w:w="0" w:type="auto"/>
            <w:noWrap/>
            <w:vAlign w:val="bottom"/>
            <w:hideMark/>
          </w:tcPr>
          <w:p w:rsidR="00D80C55" w:rsidRPr="00690AC1" w:rsidRDefault="00D80C55" w:rsidP="00690AC1">
            <w:pPr>
              <w:jc w:val="right"/>
              <w:rPr>
                <w:sz w:val="22"/>
              </w:rPr>
            </w:pPr>
            <w:r>
              <w:rPr>
                <w:rFonts w:ascii="Calibri" w:hAnsi="Calibri"/>
                <w:sz w:val="22"/>
                <w:szCs w:val="22"/>
              </w:rPr>
              <w:t>4.7%</w:t>
            </w:r>
          </w:p>
        </w:tc>
        <w:tc>
          <w:tcPr>
            <w:tcW w:w="0" w:type="auto"/>
            <w:noWrap/>
          </w:tcPr>
          <w:p w:rsidR="00D80C55" w:rsidRPr="00690AC1" w:rsidRDefault="00D80C55" w:rsidP="00690AC1">
            <w:pPr>
              <w:jc w:val="right"/>
              <w:rPr>
                <w:sz w:val="22"/>
              </w:rPr>
            </w:pPr>
          </w:p>
        </w:tc>
      </w:tr>
      <w:tr w:rsidR="00D80C55" w:rsidRPr="00BD089D" w:rsidTr="00690AC1">
        <w:trPr>
          <w:trHeight w:val="300"/>
        </w:trPr>
        <w:tc>
          <w:tcPr>
            <w:tcW w:w="3085" w:type="dxa"/>
            <w:noWrap/>
            <w:hideMark/>
          </w:tcPr>
          <w:p w:rsidR="00D80C55" w:rsidRPr="00690AC1" w:rsidRDefault="00D80C55">
            <w:pPr>
              <w:rPr>
                <w:sz w:val="22"/>
              </w:rPr>
            </w:pPr>
            <w:r w:rsidRPr="00690AC1">
              <w:rPr>
                <w:sz w:val="22"/>
              </w:rPr>
              <w:t>Total</w:t>
            </w:r>
          </w:p>
        </w:tc>
        <w:tc>
          <w:tcPr>
            <w:tcW w:w="1107" w:type="dxa"/>
            <w:noWrap/>
            <w:vAlign w:val="bottom"/>
            <w:hideMark/>
          </w:tcPr>
          <w:p w:rsidR="00D80C55" w:rsidRPr="00690AC1" w:rsidRDefault="00D80C55" w:rsidP="00690AC1">
            <w:pPr>
              <w:jc w:val="right"/>
              <w:rPr>
                <w:sz w:val="22"/>
              </w:rPr>
            </w:pPr>
            <w:r>
              <w:rPr>
                <w:rFonts w:ascii="Calibri" w:hAnsi="Calibri"/>
                <w:sz w:val="22"/>
                <w:szCs w:val="22"/>
              </w:rPr>
              <w:t>1,386,182</w:t>
            </w:r>
          </w:p>
        </w:tc>
        <w:tc>
          <w:tcPr>
            <w:tcW w:w="0" w:type="auto"/>
            <w:noWrap/>
            <w:vAlign w:val="bottom"/>
            <w:hideMark/>
          </w:tcPr>
          <w:p w:rsidR="00D80C55" w:rsidRPr="00690AC1" w:rsidRDefault="00D80C55" w:rsidP="00690AC1">
            <w:pPr>
              <w:jc w:val="right"/>
              <w:rPr>
                <w:sz w:val="22"/>
              </w:rPr>
            </w:pPr>
            <w:r>
              <w:rPr>
                <w:rFonts w:ascii="Calibri" w:hAnsi="Calibri"/>
                <w:sz w:val="22"/>
                <w:szCs w:val="22"/>
              </w:rPr>
              <w:t>100.0%</w:t>
            </w:r>
          </w:p>
        </w:tc>
        <w:tc>
          <w:tcPr>
            <w:tcW w:w="0" w:type="auto"/>
            <w:noWrap/>
          </w:tcPr>
          <w:p w:rsidR="00D80C55" w:rsidRPr="00690AC1" w:rsidRDefault="00D80C55" w:rsidP="00690AC1">
            <w:pPr>
              <w:jc w:val="right"/>
              <w:rPr>
                <w:sz w:val="22"/>
              </w:rPr>
            </w:pPr>
          </w:p>
        </w:tc>
      </w:tr>
    </w:tbl>
    <w:p w:rsidR="00BD089D" w:rsidRDefault="00BD089D" w:rsidP="004F5A56"/>
    <w:p w:rsidR="00BD089D" w:rsidRDefault="000D4A4A" w:rsidP="004F5A56">
      <w:r>
        <w:t>GPs prescribe</w:t>
      </w:r>
      <w:r w:rsidR="00736E96">
        <w:t>d</w:t>
      </w:r>
      <w:r>
        <w:t xml:space="preserve"> 87.9%, </w:t>
      </w:r>
      <w:r w:rsidR="006329D5">
        <w:t>s</w:t>
      </w:r>
      <w:r>
        <w:t xml:space="preserve">pecialists 12.0% </w:t>
      </w:r>
      <w:r w:rsidR="00BA3208">
        <w:t>and n</w:t>
      </w:r>
      <w:r>
        <w:t>urse practitioners 0.1% of original pregabalin prescriptions.</w:t>
      </w:r>
    </w:p>
    <w:p w:rsidR="002B63C3" w:rsidRDefault="002B63C3">
      <w:pPr>
        <w:spacing w:line="276" w:lineRule="auto"/>
        <w:rPr>
          <w:b/>
          <w:sz w:val="28"/>
          <w:szCs w:val="28"/>
        </w:rPr>
      </w:pPr>
      <w:r>
        <w:br w:type="page"/>
      </w:r>
    </w:p>
    <w:p w:rsidR="009B3E9D" w:rsidRDefault="009B3E9D" w:rsidP="009B3E9D">
      <w:pPr>
        <w:pStyle w:val="Heading3"/>
      </w:pPr>
      <w:r>
        <w:t>Discussion</w:t>
      </w:r>
    </w:p>
    <w:p w:rsidR="00DE7C9F" w:rsidRDefault="00DE7C9F" w:rsidP="00DE7C9F">
      <w:r>
        <w:t>In the advice provided to the March 2011 PBAC meeting the DUSC considered that t</w:t>
      </w:r>
      <w:r w:rsidRPr="006665E1">
        <w:t>he total nu</w:t>
      </w:r>
      <w:r>
        <w:t>mber of prescriptions per year wa</w:t>
      </w:r>
      <w:r w:rsidRPr="006665E1">
        <w:t>s subject to several uncer</w:t>
      </w:r>
      <w:r>
        <w:t>tainties wi</w:t>
      </w:r>
      <w:r w:rsidR="00451BF5">
        <w:t>th differing effects, including:</w:t>
      </w:r>
    </w:p>
    <w:p w:rsidR="00451BF5" w:rsidRDefault="00451BF5" w:rsidP="00DE7C9F">
      <w:pPr>
        <w:pStyle w:val="ListParagraph"/>
        <w:numPr>
          <w:ilvl w:val="0"/>
          <w:numId w:val="19"/>
        </w:numPr>
      </w:pPr>
      <w:r>
        <w:t>A large number of patients were likely to seek treatment with pregabalin initially and that the submission underestimated this uptake.</w:t>
      </w:r>
    </w:p>
    <w:p w:rsidR="00DE7C9F" w:rsidRPr="006665E1" w:rsidRDefault="00DE7C9F" w:rsidP="00DE7C9F">
      <w:pPr>
        <w:pStyle w:val="ListParagraph"/>
        <w:numPr>
          <w:ilvl w:val="0"/>
          <w:numId w:val="19"/>
        </w:numPr>
      </w:pPr>
      <w:r w:rsidRPr="006665E1">
        <w:t>The proportion who r</w:t>
      </w:r>
      <w:r>
        <w:t>espond and continue on therapy wa</w:t>
      </w:r>
      <w:r w:rsidRPr="006665E1">
        <w:t>s likely t</w:t>
      </w:r>
      <w:r w:rsidR="008E7A14">
        <w:t>o be a substantial overestimate.</w:t>
      </w:r>
    </w:p>
    <w:p w:rsidR="00DE7C9F" w:rsidRDefault="00DE7C9F" w:rsidP="00DE7C9F">
      <w:pPr>
        <w:pStyle w:val="ListParagraph"/>
        <w:numPr>
          <w:ilvl w:val="0"/>
          <w:numId w:val="19"/>
        </w:numPr>
      </w:pPr>
      <w:r w:rsidRPr="00AE1557">
        <w:t>The assumptions of substitution</w:t>
      </w:r>
      <w:r>
        <w:t xml:space="preserve"> were considered</w:t>
      </w:r>
      <w:r w:rsidRPr="00AE1557">
        <w:t xml:space="preserve"> unlikely to be realised</w:t>
      </w:r>
      <w:r>
        <w:t>, with add-on use expected to</w:t>
      </w:r>
      <w:r w:rsidRPr="00DB018B">
        <w:t xml:space="preserve"> be much higher than the switching </w:t>
      </w:r>
      <w:r w:rsidR="008E7A14">
        <w:t>proposed.</w:t>
      </w:r>
    </w:p>
    <w:p w:rsidR="00DE7C9F" w:rsidRDefault="00DE7C9F" w:rsidP="00DE7C9F">
      <w:pPr>
        <w:pStyle w:val="ListParagraph"/>
        <w:numPr>
          <w:ilvl w:val="0"/>
          <w:numId w:val="19"/>
        </w:numPr>
      </w:pPr>
      <w:r>
        <w:t>The mean total daily dose of 225 mg pregabalin was high, and the average daily dose was likely to be lower.</w:t>
      </w:r>
    </w:p>
    <w:p w:rsidR="00BD62BF" w:rsidRDefault="00DE7C9F" w:rsidP="009C7E0E">
      <w:r>
        <w:t>Th</w:t>
      </w:r>
      <w:r w:rsidR="00BD62BF">
        <w:t>e</w:t>
      </w:r>
      <w:r>
        <w:t xml:space="preserve"> analyses in th</w:t>
      </w:r>
      <w:r w:rsidR="00BD62BF">
        <w:t>is</w:t>
      </w:r>
      <w:r>
        <w:t xml:space="preserve"> report </w:t>
      </w:r>
      <w:r w:rsidR="006A3433">
        <w:t>demonstrate that</w:t>
      </w:r>
      <w:r>
        <w:t xml:space="preserve">. </w:t>
      </w:r>
    </w:p>
    <w:p w:rsidR="00451BF5" w:rsidRDefault="00451BF5" w:rsidP="00451BF5">
      <w:pPr>
        <w:pStyle w:val="ListParagraph"/>
        <w:numPr>
          <w:ilvl w:val="0"/>
          <w:numId w:val="20"/>
        </w:numPr>
      </w:pPr>
      <w:r w:rsidRPr="0058760F">
        <w:t>There were 294,</w:t>
      </w:r>
      <w:r>
        <w:t>747 and 433,324</w:t>
      </w:r>
      <w:r w:rsidRPr="0058760F">
        <w:t xml:space="preserve"> PBS/RPBS patients treated with PBS subsidised pregabalin in the first </w:t>
      </w:r>
      <w:r>
        <w:t xml:space="preserve">two </w:t>
      </w:r>
      <w:r w:rsidRPr="0058760F">
        <w:t>year</w:t>
      </w:r>
      <w:r>
        <w:t>s</w:t>
      </w:r>
      <w:r w:rsidRPr="0058760F">
        <w:t xml:space="preserve"> of listing</w:t>
      </w:r>
      <w:r>
        <w:t xml:space="preserve"> respectively</w:t>
      </w:r>
      <w:r w:rsidRPr="0058760F">
        <w:t xml:space="preserve">. This was </w:t>
      </w:r>
      <w:r w:rsidRPr="00762B10">
        <w:t>39</w:t>
      </w:r>
      <w:r>
        <w:t xml:space="preserve">% and </w:t>
      </w:r>
      <w:r w:rsidRPr="00762B10">
        <w:t>58</w:t>
      </w:r>
      <w:r>
        <w:t xml:space="preserve">% </w:t>
      </w:r>
      <w:r w:rsidRPr="0058760F">
        <w:t xml:space="preserve">higher than </w:t>
      </w:r>
      <w:r>
        <w:t>predicted. The number of actual patients in Year 2 exceed</w:t>
      </w:r>
      <w:r w:rsidR="0024495D">
        <w:t>ed</w:t>
      </w:r>
      <w:r>
        <w:t xml:space="preserve"> the number of patients predicted for Year 5.</w:t>
      </w:r>
    </w:p>
    <w:p w:rsidR="00DE7C9F" w:rsidRDefault="00DE7C9F" w:rsidP="00364BF0">
      <w:pPr>
        <w:pStyle w:val="ListParagraph"/>
        <w:numPr>
          <w:ilvl w:val="0"/>
          <w:numId w:val="20"/>
        </w:numPr>
      </w:pPr>
      <w:r>
        <w:t xml:space="preserve">The submission assumed that </w:t>
      </w:r>
      <w:r w:rsidRPr="00DE7C9F">
        <w:t>75% of the patients who receive initiation therapy will be considered responders and will receive continuation therapy</w:t>
      </w:r>
      <w:r>
        <w:t xml:space="preserve">. </w:t>
      </w:r>
      <w:r w:rsidR="00D8303B">
        <w:t>This was based on</w:t>
      </w:r>
      <w:r w:rsidR="00114F1C">
        <w:t xml:space="preserve"> </w:t>
      </w:r>
      <w:r w:rsidR="00114F1C" w:rsidRPr="00114F1C">
        <w:t>the Patient Global Impression of Change (PGIC)</w:t>
      </w:r>
      <w:r w:rsidR="00364BF0">
        <w:t>,</w:t>
      </w:r>
      <w:r w:rsidR="00364BF0" w:rsidRPr="00364BF0">
        <w:t xml:space="preserve"> a secondary outcome measure in many of the pregabalin clinical studies</w:t>
      </w:r>
      <w:r w:rsidR="00364BF0">
        <w:t xml:space="preserve"> referenced in the March 2012 submission. The</w:t>
      </w:r>
      <w:r w:rsidR="00114F1C" w:rsidRPr="00114F1C">
        <w:t xml:space="preserve"> proportion of patients who were minimally improved or better ranged from 63% to 82%.  It </w:t>
      </w:r>
      <w:r w:rsidR="00490665">
        <w:t>wa</w:t>
      </w:r>
      <w:r w:rsidR="00114F1C" w:rsidRPr="00114F1C">
        <w:t>s assumed, in practice, that 75% of the patients who receive initiation therapy will be considered responders and will receive continuation therapy.</w:t>
      </w:r>
      <w:r w:rsidR="00114F1C">
        <w:t xml:space="preserve"> </w:t>
      </w:r>
      <w:r w:rsidR="00D8303B">
        <w:t xml:space="preserve"> </w:t>
      </w:r>
      <w:r>
        <w:t>The</w:t>
      </w:r>
      <w:r w:rsidR="00D1082A">
        <w:t xml:space="preserve"> submission </w:t>
      </w:r>
      <w:r w:rsidR="00364BF0">
        <w:t xml:space="preserve">Section E spreadsheet </w:t>
      </w:r>
      <w:r w:rsidR="00D1082A">
        <w:t xml:space="preserve">estimates assumed </w:t>
      </w:r>
      <w:r>
        <w:t>that 25</w:t>
      </w:r>
      <w:r w:rsidR="00305D85">
        <w:t>% of patients discontinu</w:t>
      </w:r>
      <w:r w:rsidR="00490665">
        <w:t>e</w:t>
      </w:r>
      <w:r w:rsidR="00305D85">
        <w:t xml:space="preserve"> after the supply of one prescription</w:t>
      </w:r>
      <w:r w:rsidR="006F3130">
        <w:t xml:space="preserve">. </w:t>
      </w:r>
      <w:r w:rsidR="00305D85">
        <w:t xml:space="preserve"> Figure 7 shows that the </w:t>
      </w:r>
      <w:r w:rsidR="00D1082A">
        <w:t>dis</w:t>
      </w:r>
      <w:r w:rsidR="00305D85">
        <w:t xml:space="preserve">continuation rate after one </w:t>
      </w:r>
      <w:r w:rsidR="008E29CF">
        <w:t>prescription</w:t>
      </w:r>
      <w:r w:rsidR="00305D85">
        <w:t xml:space="preserve"> for patients who initiated onto pregabalin </w:t>
      </w:r>
      <w:r w:rsidR="007A393C">
        <w:t>(mono or combination therapy) is 43.9</w:t>
      </w:r>
      <w:r w:rsidR="00305D85">
        <w:t xml:space="preserve">%, which is substantially </w:t>
      </w:r>
      <w:r w:rsidR="00D1082A">
        <w:t>higher</w:t>
      </w:r>
      <w:r w:rsidR="00305D85">
        <w:t xml:space="preserve"> than the </w:t>
      </w:r>
      <w:r w:rsidR="00D1082A">
        <w:t>25</w:t>
      </w:r>
      <w:r w:rsidR="00305D85">
        <w:t>% assumed in the submission.</w:t>
      </w:r>
      <w:r w:rsidR="008E29CF">
        <w:t xml:space="preserve"> This statistic also helps explain why scripts per patient are less than expected (see Table </w:t>
      </w:r>
      <w:r w:rsidR="00283481">
        <w:t>4</w:t>
      </w:r>
      <w:r w:rsidR="008E29CF">
        <w:t>).</w:t>
      </w:r>
    </w:p>
    <w:p w:rsidR="00EA03B9" w:rsidRDefault="00BD62BF" w:rsidP="00EA03B9">
      <w:pPr>
        <w:pStyle w:val="ListParagraph"/>
        <w:numPr>
          <w:ilvl w:val="0"/>
          <w:numId w:val="20"/>
        </w:numPr>
      </w:pPr>
      <w:r>
        <w:t>The submission assume</w:t>
      </w:r>
      <w:r w:rsidR="00E50999">
        <w:t>d</w:t>
      </w:r>
      <w:r>
        <w:t xml:space="preserve"> that </w:t>
      </w:r>
      <w:r w:rsidR="00E50999">
        <w:t xml:space="preserve">of </w:t>
      </w:r>
      <w:r w:rsidR="008E29CF">
        <w:t xml:space="preserve">the </w:t>
      </w:r>
      <w:r>
        <w:t xml:space="preserve">patients </w:t>
      </w:r>
      <w:r w:rsidR="004D7A4A">
        <w:t>who initiate pregabalin</w:t>
      </w:r>
      <w:r w:rsidR="008E29CF">
        <w:t>,</w:t>
      </w:r>
      <w:r w:rsidR="004D7A4A">
        <w:t xml:space="preserve"> </w:t>
      </w:r>
      <w:r w:rsidR="00E50999">
        <w:t xml:space="preserve">92.5% </w:t>
      </w:r>
      <w:r w:rsidR="004D7A4A">
        <w:t xml:space="preserve">switch from </w:t>
      </w:r>
      <w:r w:rsidR="00E50999">
        <w:t xml:space="preserve">and </w:t>
      </w:r>
      <w:r w:rsidR="004D7A4A">
        <w:t>7.5%</w:t>
      </w:r>
      <w:r w:rsidR="00E50999">
        <w:t xml:space="preserve"> will add to prior</w:t>
      </w:r>
      <w:r w:rsidR="004D7A4A">
        <w:t xml:space="preserve"> </w:t>
      </w:r>
      <w:r w:rsidR="00E50999">
        <w:t xml:space="preserve">drug </w:t>
      </w:r>
      <w:r w:rsidR="004D7A4A">
        <w:t xml:space="preserve">treatment (defined as </w:t>
      </w:r>
      <w:r w:rsidR="004D7A4A" w:rsidRPr="004D7A4A">
        <w:t xml:space="preserve">amitriptyline, gabapentin </w:t>
      </w:r>
      <w:r w:rsidR="00E50999">
        <w:t xml:space="preserve">or </w:t>
      </w:r>
      <w:r w:rsidR="004D7A4A" w:rsidRPr="004D7A4A">
        <w:t>carbamazepine</w:t>
      </w:r>
      <w:r w:rsidR="004D7A4A">
        <w:t>).</w:t>
      </w:r>
      <w:r w:rsidR="00D8303B">
        <w:t xml:space="preserve"> This was based on </w:t>
      </w:r>
      <w:r w:rsidR="00F26F98">
        <w:t xml:space="preserve">the </w:t>
      </w:r>
      <w:r w:rsidR="006C1980">
        <w:t xml:space="preserve">proportion of patients taking </w:t>
      </w:r>
      <w:r w:rsidR="006C1980" w:rsidRPr="006C1980">
        <w:t xml:space="preserve">amitriptyline, gabapentin or carbamazepine </w:t>
      </w:r>
      <w:r w:rsidR="003463DB">
        <w:t>and also the proportion of these drugs which were estimated to be used in combination with pregabalin in the 2011 Drug Audit (Attachment 2 of the submission to the March 2012 PBAC).</w:t>
      </w:r>
      <w:r w:rsidR="004D7A4A">
        <w:t xml:space="preserve"> A summary of Table </w:t>
      </w:r>
      <w:r w:rsidR="00283481">
        <w:t>5</w:t>
      </w:r>
      <w:r w:rsidR="004D7A4A">
        <w:t xml:space="preserve"> shows that </w:t>
      </w:r>
      <w:r w:rsidR="006C1980">
        <w:t>45.2</w:t>
      </w:r>
      <w:r w:rsidR="004D7A4A">
        <w:t xml:space="preserve">% of patients </w:t>
      </w:r>
      <w:r w:rsidR="00E50999">
        <w:t xml:space="preserve">initiate </w:t>
      </w:r>
      <w:r w:rsidR="00172052">
        <w:t>pregabalin</w:t>
      </w:r>
      <w:r w:rsidR="004D7A4A">
        <w:t xml:space="preserve"> without being on </w:t>
      </w:r>
      <w:r w:rsidR="00E50999">
        <w:t xml:space="preserve">a </w:t>
      </w:r>
      <w:r w:rsidR="004D7A4A">
        <w:t xml:space="preserve">prior drug </w:t>
      </w:r>
      <w:r w:rsidR="00E50999">
        <w:t>regimen</w:t>
      </w:r>
      <w:r w:rsidR="004D7A4A">
        <w:t xml:space="preserve"> (excluding </w:t>
      </w:r>
      <w:r w:rsidR="00172052">
        <w:t>paracetamol</w:t>
      </w:r>
      <w:r w:rsidR="004D7A4A">
        <w:t xml:space="preserve"> and NSAIDs), </w:t>
      </w:r>
      <w:r w:rsidR="006C1980">
        <w:t>33.2</w:t>
      </w:r>
      <w:r w:rsidR="00E50999">
        <w:t xml:space="preserve">% of patients add pregabalin to an existing drug regimen and </w:t>
      </w:r>
      <w:r w:rsidR="009F3311">
        <w:t>21.6</w:t>
      </w:r>
      <w:r w:rsidR="00E50999">
        <w:t>% of patients substitute at least one drug in their regimen. Since the submission substantially over estimated the switching rate</w:t>
      </w:r>
      <w:r w:rsidR="005050C6">
        <w:t xml:space="preserve"> (ie. 92.5% predicted vs </w:t>
      </w:r>
      <w:r w:rsidR="009F3311">
        <w:t>21.6</w:t>
      </w:r>
      <w:r w:rsidR="005050C6">
        <w:t>% actual)</w:t>
      </w:r>
      <w:r w:rsidR="00E50999">
        <w:t>, the drug cost offsets would have been overestimated in the submission.</w:t>
      </w:r>
    </w:p>
    <w:p w:rsidR="00EA03B9" w:rsidRDefault="00EA03B9" w:rsidP="00EA03B9">
      <w:pPr>
        <w:pStyle w:val="ListParagraph"/>
        <w:numPr>
          <w:ilvl w:val="0"/>
          <w:numId w:val="20"/>
        </w:numPr>
      </w:pPr>
      <w:r>
        <w:t xml:space="preserve">The submission Section E </w:t>
      </w:r>
      <w:r w:rsidR="00712C5D">
        <w:t>priced</w:t>
      </w:r>
      <w:r>
        <w:t xml:space="preserve"> the mean dose of 225mg per day using the </w:t>
      </w:r>
      <w:r w:rsidR="00712C5D">
        <w:t>price</w:t>
      </w:r>
      <w:r>
        <w:t xml:space="preserve"> for the monthly supply </w:t>
      </w:r>
      <w:r w:rsidR="009F4950">
        <w:t xml:space="preserve">of </w:t>
      </w:r>
      <w:r>
        <w:t>the 75 and 150mg packs. The submission stated that “</w:t>
      </w:r>
      <w:r w:rsidRPr="00A517EE">
        <w:t>The mean total daily dose of pregabalin used in Australia in practice is 225 mg, which is the weighted average of the pregabalin doses used from all data sources</w:t>
      </w:r>
      <w:r>
        <w:t xml:space="preserve">”. Table </w:t>
      </w:r>
      <w:r w:rsidR="003F78D9">
        <w:t>9</w:t>
      </w:r>
      <w:r>
        <w:t xml:space="preserve"> shows that 225mg was a reasonable estimate of the weighted average dose for the first episode of treatment of the patients who initiated PBS therapy in the first 6 months after listing (ie. 229 mg/day). Patients who initiated after this had lower weighted average doses (eg. 165mg for the first episode of treatment for patient who initiated in the third 6 months after listing). Patients in the first cohort probably include a high proportion of patients established on pregabalin in the private market transitioning to PBS therapy and a group of patients with unmet clinical need.</w:t>
      </w:r>
    </w:p>
    <w:p w:rsidR="004F5A56" w:rsidRDefault="004F5A56" w:rsidP="00EA03B9">
      <w:r w:rsidRPr="0058760F">
        <w:t xml:space="preserve">The total number of prescriptions of pregabalin supplied in the first </w:t>
      </w:r>
      <w:r>
        <w:t>year</w:t>
      </w:r>
      <w:r w:rsidRPr="0058760F">
        <w:t xml:space="preserve"> of PBS listing </w:t>
      </w:r>
      <w:r>
        <w:t xml:space="preserve">(1,396,766) </w:t>
      </w:r>
      <w:r w:rsidRPr="0058760F">
        <w:t xml:space="preserve">was similar to predicted, however utilisation </w:t>
      </w:r>
      <w:r>
        <w:t>in the</w:t>
      </w:r>
      <w:r w:rsidRPr="00011889">
        <w:t xml:space="preserve"> </w:t>
      </w:r>
      <w:r>
        <w:t xml:space="preserve">second year of PBS listing (2,435,807 </w:t>
      </w:r>
      <w:r w:rsidR="00451BF5">
        <w:t>prescriptions</w:t>
      </w:r>
      <w:r>
        <w:t xml:space="preserve">) was </w:t>
      </w:r>
      <w:r w:rsidRPr="00762B10">
        <w:t>32</w:t>
      </w:r>
      <w:r>
        <w:t>% more than predicted.</w:t>
      </w:r>
    </w:p>
    <w:p w:rsidR="00490665" w:rsidRDefault="007B63FD" w:rsidP="00451BF5">
      <w:r>
        <w:t xml:space="preserve">The R/PBS expenditure in Year 2 was similar to that expected, despite the more than expected </w:t>
      </w:r>
      <w:r w:rsidR="009F4950">
        <w:t xml:space="preserve">number of </w:t>
      </w:r>
      <w:r>
        <w:t>patients and scripts. This is due to the</w:t>
      </w:r>
      <w:r w:rsidR="00490665">
        <w:t>;</w:t>
      </w:r>
    </w:p>
    <w:p w:rsidR="00490665" w:rsidRDefault="007B63FD" w:rsidP="00490665">
      <w:pPr>
        <w:pStyle w:val="ListParagraph"/>
        <w:numPr>
          <w:ilvl w:val="0"/>
          <w:numId w:val="34"/>
        </w:numPr>
      </w:pPr>
      <w:r>
        <w:t>higher than expected discontinuation rate (resulting in fewer than expected scripts per patient)</w:t>
      </w:r>
      <w:r w:rsidR="00490665">
        <w:t xml:space="preserve">;  </w:t>
      </w:r>
    </w:p>
    <w:p w:rsidR="00451BF5" w:rsidRDefault="007B63FD" w:rsidP="00490665">
      <w:pPr>
        <w:pStyle w:val="ListParagraph"/>
        <w:numPr>
          <w:ilvl w:val="0"/>
          <w:numId w:val="34"/>
        </w:numPr>
      </w:pPr>
      <w:r>
        <w:t>the lower than expected weighted average dose (165mg/day for 1</w:t>
      </w:r>
      <w:r w:rsidRPr="00490665">
        <w:rPr>
          <w:vertAlign w:val="superscript"/>
        </w:rPr>
        <w:t>st</w:t>
      </w:r>
      <w:r>
        <w:t xml:space="preserve"> episodes of treatment </w:t>
      </w:r>
      <w:r w:rsidR="001947E2">
        <w:t xml:space="preserve">initiated in the first 6 months of </w:t>
      </w:r>
      <w:r>
        <w:t>Year 2 compared to 225mg</w:t>
      </w:r>
      <w:r w:rsidR="00451BF5">
        <w:t>/day assumed in the submission)</w:t>
      </w:r>
      <w:r w:rsidR="00490665">
        <w:t>; and</w:t>
      </w:r>
    </w:p>
    <w:p w:rsidR="00490665" w:rsidRDefault="00490665" w:rsidP="00490665">
      <w:pPr>
        <w:pStyle w:val="ListParagraph"/>
        <w:numPr>
          <w:ilvl w:val="0"/>
          <w:numId w:val="34"/>
        </w:numPr>
      </w:pPr>
      <w:r>
        <w:t>the higher than expected average patient copayment.</w:t>
      </w:r>
    </w:p>
    <w:p w:rsidR="00C65949" w:rsidRPr="00483A4B" w:rsidRDefault="00C65949" w:rsidP="00C65949">
      <w:pPr>
        <w:pStyle w:val="Heading2"/>
      </w:pPr>
      <w:r>
        <w:t>DUSC consideration</w:t>
      </w:r>
    </w:p>
    <w:p w:rsidR="002A16DE" w:rsidRPr="002A16DE" w:rsidRDefault="002A16DE" w:rsidP="002A16DE">
      <w:pPr>
        <w:rPr>
          <w:bCs/>
        </w:rPr>
      </w:pPr>
      <w:r w:rsidRPr="002A16DE">
        <w:rPr>
          <w:bCs/>
        </w:rPr>
        <w:t>DUSC considered that the submission:</w:t>
      </w:r>
    </w:p>
    <w:p w:rsidR="002A16DE" w:rsidRPr="002A16DE" w:rsidRDefault="002A16DE" w:rsidP="002A16DE">
      <w:pPr>
        <w:pStyle w:val="ListParagraph"/>
        <w:numPr>
          <w:ilvl w:val="0"/>
          <w:numId w:val="40"/>
        </w:numPr>
        <w:spacing w:after="0"/>
        <w:rPr>
          <w:bCs/>
        </w:rPr>
      </w:pPr>
      <w:r w:rsidRPr="002A16DE">
        <w:t>Under-estimated the number of patients treated.</w:t>
      </w:r>
      <w:r w:rsidRPr="002A16DE">
        <w:br/>
        <w:t xml:space="preserve">There were 294,747 and 433,324 PBS/RPBS patients treated with PBS subsidised pregabalin in the first two years of listing respectively. This was </w:t>
      </w:r>
      <w:r w:rsidRPr="00762B10">
        <w:t>39</w:t>
      </w:r>
      <w:r w:rsidRPr="002A16DE">
        <w:t xml:space="preserve">% and </w:t>
      </w:r>
      <w:r w:rsidRPr="00762B10">
        <w:t>58</w:t>
      </w:r>
      <w:r w:rsidRPr="002A16DE">
        <w:t>% higher than predicted. The number of actual patients in Year 2 exceeded the number of patients predicted for Year 5</w:t>
      </w:r>
      <w:r w:rsidRPr="002A16DE">
        <w:rPr>
          <w:bCs/>
        </w:rPr>
        <w:t>.</w:t>
      </w:r>
    </w:p>
    <w:p w:rsidR="002A16DE" w:rsidRPr="002A16DE" w:rsidRDefault="002A16DE" w:rsidP="002A16DE">
      <w:pPr>
        <w:numPr>
          <w:ilvl w:val="0"/>
          <w:numId w:val="40"/>
        </w:numPr>
        <w:spacing w:after="0"/>
        <w:rPr>
          <w:bCs/>
        </w:rPr>
      </w:pPr>
      <w:r w:rsidRPr="002A16DE">
        <w:rPr>
          <w:bCs/>
        </w:rPr>
        <w:t>Over-estimated the proportion of patients who would respond and continue on therapy.</w:t>
      </w:r>
      <w:r w:rsidRPr="002A16DE">
        <w:rPr>
          <w:bCs/>
        </w:rPr>
        <w:br/>
      </w:r>
      <w:r w:rsidRPr="002A16DE">
        <w:t>The submission assumed that 75% of the patients who receive initiation therapy will be considered responders and will receive continuation therapy. The submission Section E spreadsheet estimates assumed that 25% of patients discontinue after the supply of one prescription.  Figure 7 shows that the discontinuation rate after one prescription for patients who initiated onto pregabalin (mono or combination therapy) is 43.9%, which is substantially higher than the 25% assumed in the submission. This statistic also helps explain why prescriptions per patient are less than expected (see Table 4).</w:t>
      </w:r>
    </w:p>
    <w:p w:rsidR="002A16DE" w:rsidRPr="002A16DE" w:rsidRDefault="002A16DE" w:rsidP="002A16DE">
      <w:pPr>
        <w:numPr>
          <w:ilvl w:val="0"/>
          <w:numId w:val="40"/>
        </w:numPr>
        <w:spacing w:after="0"/>
        <w:rPr>
          <w:bCs/>
        </w:rPr>
      </w:pPr>
      <w:r w:rsidRPr="002A16DE">
        <w:rPr>
          <w:bCs/>
        </w:rPr>
        <w:t>Over-estimated the proportion of patients that would switch from amitriptyline, gabapentin or carbamazepine to pregabalin.</w:t>
      </w:r>
      <w:r w:rsidRPr="002A16DE">
        <w:rPr>
          <w:bCs/>
        </w:rPr>
        <w:br/>
      </w:r>
      <w:r w:rsidRPr="002A16DE">
        <w:t>The submission assumed that of the patients who initiate pregabalin, 92.5% switch from and 7.5% will add to prior drug treatment (defined as amitriptyline, gabapentin or carbamazepine). A summary of Table 5 shows that 45.2% of patients initiate pregabalin without being on a prior drug regimen (excluding paracetamol and NSAIDs), 33.2% of patients add pregabalin to an existing drug regimen and 21.6% of patients substitute at least one drug in their regimen. Since the submission substantially over estimated the switching rate (ie. 92.5% predicted vs 21.6% actual), the drug cost offsets would have been overestimated in the submission.</w:t>
      </w:r>
    </w:p>
    <w:p w:rsidR="002A16DE" w:rsidRPr="002A16DE" w:rsidRDefault="002A16DE" w:rsidP="002A16DE">
      <w:pPr>
        <w:numPr>
          <w:ilvl w:val="0"/>
          <w:numId w:val="40"/>
        </w:numPr>
        <w:spacing w:after="0"/>
        <w:rPr>
          <w:bCs/>
        </w:rPr>
      </w:pPr>
      <w:r w:rsidRPr="002A16DE">
        <w:rPr>
          <w:bCs/>
        </w:rPr>
        <w:t>Over-</w:t>
      </w:r>
      <w:r w:rsidRPr="002A16DE">
        <w:t>estimated the mean daily dose of pregabalin</w:t>
      </w:r>
      <w:r w:rsidRPr="002A16DE">
        <w:br/>
      </w:r>
      <w:r w:rsidRPr="002A16DE">
        <w:rPr>
          <w:bCs/>
        </w:rPr>
        <w:t>The submission Section E priced the mean dose of 225mg per day using the price for the monthly supply of the 75 and 150mg packs. The submission stated that “The mean total daily dose of pregabalin used in Australia in practice is 225 mg, which is the weighted average of the pregabalin doses used from all data sources”. Table 9 shows that 225mg was a reasonable estimate of the weighted average dose for the first episode of treatment of the patients who initiated PBS therapy in the first 6 months after listing (ie. 229 mg/day). Patients who initiated after this had lower weighted average doses (eg. 165mg for the first episode of treatment for patient who initiated in the third 6 months after listing). Patients in the first cohort probably include a high proportion of patients established on pregabalin in the private market transitioning to PBS therapy and a group of patients with unmet clinical need.</w:t>
      </w:r>
    </w:p>
    <w:p w:rsidR="002A16DE" w:rsidRDefault="002A16DE" w:rsidP="002A16DE">
      <w:pPr>
        <w:numPr>
          <w:ilvl w:val="0"/>
          <w:numId w:val="40"/>
        </w:numPr>
        <w:spacing w:after="0"/>
        <w:rPr>
          <w:bCs/>
        </w:rPr>
      </w:pPr>
      <w:r w:rsidRPr="002A16DE">
        <w:rPr>
          <w:bCs/>
        </w:rPr>
        <w:t>Under-estimated the average patient copayment</w:t>
      </w:r>
      <w:r w:rsidRPr="002A16DE">
        <w:rPr>
          <w:bCs/>
        </w:rPr>
        <w:br/>
        <w:t>This was due to higher than expected proportion of non-concessional patients</w:t>
      </w:r>
    </w:p>
    <w:p w:rsidR="00DB5C23" w:rsidRPr="002A16DE" w:rsidRDefault="00DB5C23" w:rsidP="00DB5C23">
      <w:pPr>
        <w:spacing w:after="0"/>
        <w:rPr>
          <w:bCs/>
        </w:rPr>
      </w:pPr>
    </w:p>
    <w:p w:rsidR="002A16DE" w:rsidRPr="002A16DE" w:rsidRDefault="002A16DE" w:rsidP="002A16DE">
      <w:pPr>
        <w:rPr>
          <w:bCs/>
        </w:rPr>
      </w:pPr>
      <w:r w:rsidRPr="002A16DE">
        <w:rPr>
          <w:bCs/>
        </w:rPr>
        <w:t>DUSC noted that:</w:t>
      </w:r>
    </w:p>
    <w:p w:rsidR="002A16DE" w:rsidRPr="002A16DE" w:rsidRDefault="002A16DE" w:rsidP="002A16DE">
      <w:pPr>
        <w:pStyle w:val="ListParagraph"/>
        <w:numPr>
          <w:ilvl w:val="0"/>
          <w:numId w:val="39"/>
        </w:numPr>
        <w:spacing w:after="0"/>
        <w:rPr>
          <w:bCs/>
        </w:rPr>
      </w:pPr>
      <w:r w:rsidRPr="002A16DE">
        <w:rPr>
          <w:bCs/>
        </w:rPr>
        <w:t>The first four of the above five points were identified in the DUSC advice provided to the March 2011 PBAC meeting.</w:t>
      </w:r>
    </w:p>
    <w:p w:rsidR="002A16DE" w:rsidRPr="002A16DE" w:rsidRDefault="002A16DE" w:rsidP="002A16DE">
      <w:pPr>
        <w:pStyle w:val="ListParagraph"/>
        <w:numPr>
          <w:ilvl w:val="0"/>
          <w:numId w:val="39"/>
        </w:numPr>
        <w:spacing w:after="0"/>
        <w:rPr>
          <w:bCs/>
        </w:rPr>
      </w:pPr>
      <w:r w:rsidRPr="002A16DE">
        <w:rPr>
          <w:bCs/>
        </w:rPr>
        <w:t xml:space="preserve">The combination of the under and over-estimates mentioned above led to an under-estimate of the number of prescriptions supplied in Year 2 of listing (ie. </w:t>
      </w:r>
      <w:r w:rsidRPr="00762B10">
        <w:rPr>
          <w:bCs/>
        </w:rPr>
        <w:t>32</w:t>
      </w:r>
      <w:r w:rsidRPr="002A16DE">
        <w:rPr>
          <w:bCs/>
        </w:rPr>
        <w:t xml:space="preserve">% more than predicted), </w:t>
      </w:r>
      <w:r w:rsidR="009E7B38">
        <w:rPr>
          <w:bCs/>
          <w:noProof/>
          <w:color w:val="000000"/>
          <w:highlight w:val="black"/>
        </w:rPr>
        <w:t>'''''''''''''''' '''''' '''''''''''' ''''''''''''''''''''''''' ''''''' ''''''''''''''''''''''''''''' '''''' '''''''''' ''''' '''''''''''''''''</w:t>
      </w:r>
      <w:r w:rsidRPr="002A16DE">
        <w:rPr>
          <w:bCs/>
        </w:rPr>
        <w:t xml:space="preserve"> (ie.</w:t>
      </w:r>
      <w:r w:rsidR="009E7B38">
        <w:rPr>
          <w:bCs/>
          <w:noProof/>
          <w:color w:val="000000"/>
          <w:highlight w:val="black"/>
        </w:rPr>
        <w:t xml:space="preserve"> '''''' '''''''''' ''''''''' '''''''''''''''''</w:t>
      </w:r>
      <w:r w:rsidRPr="002A16DE">
        <w:rPr>
          <w:bCs/>
        </w:rPr>
        <w:t>)</w:t>
      </w:r>
    </w:p>
    <w:p w:rsidR="002A16DE" w:rsidRPr="002A16DE" w:rsidRDefault="002A16DE" w:rsidP="002A16DE">
      <w:pPr>
        <w:pStyle w:val="ListParagraph"/>
        <w:numPr>
          <w:ilvl w:val="0"/>
          <w:numId w:val="39"/>
        </w:numPr>
        <w:spacing w:after="0"/>
        <w:rPr>
          <w:bCs/>
        </w:rPr>
      </w:pPr>
      <w:r w:rsidRPr="002A16DE">
        <w:rPr>
          <w:bCs/>
        </w:rPr>
        <w:t>Utilisation is continuing to trend upwards</w:t>
      </w:r>
    </w:p>
    <w:p w:rsidR="002A16DE" w:rsidRPr="002A16DE" w:rsidRDefault="002A16DE" w:rsidP="002A16DE">
      <w:pPr>
        <w:pStyle w:val="ListParagraph"/>
        <w:numPr>
          <w:ilvl w:val="0"/>
          <w:numId w:val="39"/>
        </w:numPr>
        <w:spacing w:after="0"/>
        <w:rPr>
          <w:bCs/>
        </w:rPr>
      </w:pPr>
      <w:r w:rsidRPr="002A16DE">
        <w:rPr>
          <w:bCs/>
        </w:rPr>
        <w:t xml:space="preserve">DUSC noted that the Sponsor’s Pre-Subcommittee Response (PSCR) included updated information on the prevalence of neuropathic pain. This estimated the prevalence of </w:t>
      </w:r>
      <w:r w:rsidRPr="002A16DE">
        <w:rPr>
          <w:b/>
          <w:bCs/>
        </w:rPr>
        <w:t>neuropathic pain</w:t>
      </w:r>
      <w:r w:rsidRPr="002A16DE">
        <w:rPr>
          <w:bCs/>
        </w:rPr>
        <w:t xml:space="preserve"> to be 8.5%, which is higher than the 3.7% for </w:t>
      </w:r>
      <w:r w:rsidRPr="002A16DE">
        <w:rPr>
          <w:b/>
          <w:bCs/>
        </w:rPr>
        <w:t>chronic neuropathic pain</w:t>
      </w:r>
      <w:r w:rsidRPr="002A16DE">
        <w:rPr>
          <w:bCs/>
        </w:rPr>
        <w:t xml:space="preserve"> used in the 2011 submission. </w:t>
      </w:r>
    </w:p>
    <w:p w:rsidR="002A16DE" w:rsidRPr="002A16DE" w:rsidRDefault="002A16DE" w:rsidP="002A16DE">
      <w:pPr>
        <w:rPr>
          <w:bCs/>
        </w:rPr>
      </w:pPr>
    </w:p>
    <w:p w:rsidR="002A16DE" w:rsidRPr="002A16DE" w:rsidRDefault="002A16DE" w:rsidP="002A16DE">
      <w:pPr>
        <w:rPr>
          <w:bCs/>
        </w:rPr>
      </w:pPr>
      <w:r w:rsidRPr="002A16DE">
        <w:rPr>
          <w:bCs/>
        </w:rPr>
        <w:t>DUSC considered that the results of the analysis raised some Quality Use of Medicine (QUM) questions.  These were:</w:t>
      </w:r>
    </w:p>
    <w:p w:rsidR="009D4F50" w:rsidRPr="009D4F50" w:rsidRDefault="002A16DE" w:rsidP="009D4F50">
      <w:pPr>
        <w:pStyle w:val="ListParagraph"/>
        <w:numPr>
          <w:ilvl w:val="0"/>
          <w:numId w:val="41"/>
        </w:numPr>
        <w:rPr>
          <w:bCs/>
        </w:rPr>
      </w:pPr>
      <w:r w:rsidRPr="009D4F50">
        <w:rPr>
          <w:bCs/>
        </w:rPr>
        <w:t xml:space="preserve">Is </w:t>
      </w:r>
      <w:r w:rsidR="0038403A" w:rsidRPr="009D4F50">
        <w:rPr>
          <w:bCs/>
        </w:rPr>
        <w:t>pregabalin</w:t>
      </w:r>
      <w:r w:rsidRPr="009D4F50">
        <w:rPr>
          <w:bCs/>
        </w:rPr>
        <w:t xml:space="preserve"> being used for other conditions?</w:t>
      </w:r>
      <w:r w:rsidRPr="009D4F50">
        <w:rPr>
          <w:bCs/>
        </w:rPr>
        <w:br/>
        <w:t>The PBAC had anticipated huge potential for use outside of the proposed restriction. From the results of the current analysis, DUSC was concerned that the higher than expected number of patients might indicate pregabalin use for conditions other than neuropathic pain. Table 11 shows that pregabalin is most frequently prescribed by GPs but rheumatologists were the highest prescribers of all specialists.  DUSC considered that this may indicate treatment of fibromyalgia, which is outside the PBS restriction. Based on the high discontinuation rate after one script, DUSC also considered that pregabalin may be being prescribed for acute pain.</w:t>
      </w:r>
      <w:r w:rsidR="00762B10" w:rsidRPr="009D4F50">
        <w:rPr>
          <w:bCs/>
        </w:rPr>
        <w:t xml:space="preserve"> The sponsor noted that these were </w:t>
      </w:r>
      <w:r w:rsidR="00F4690B" w:rsidRPr="009D4F50">
        <w:rPr>
          <w:bCs/>
        </w:rPr>
        <w:t>the DUSC’s interpretation</w:t>
      </w:r>
      <w:r w:rsidR="00023AE4" w:rsidRPr="009D4F50">
        <w:rPr>
          <w:bCs/>
        </w:rPr>
        <w:t>s</w:t>
      </w:r>
      <w:r w:rsidR="00F4690B" w:rsidRPr="009D4F50">
        <w:rPr>
          <w:bCs/>
        </w:rPr>
        <w:t xml:space="preserve"> of the data and the sponsor does not a</w:t>
      </w:r>
      <w:r w:rsidR="00ED033B" w:rsidRPr="009D4F50">
        <w:rPr>
          <w:bCs/>
        </w:rPr>
        <w:t xml:space="preserve">gree with these interpretations as </w:t>
      </w:r>
      <w:r w:rsidR="009D4F50" w:rsidRPr="009D4F50">
        <w:rPr>
          <w:bCs/>
        </w:rPr>
        <w:t>they consider there is no evidence to support these conclusions.</w:t>
      </w:r>
    </w:p>
    <w:p w:rsidR="002A16DE" w:rsidRPr="002A16DE" w:rsidRDefault="002A16DE" w:rsidP="002A16DE">
      <w:pPr>
        <w:pStyle w:val="ListParagraph"/>
        <w:numPr>
          <w:ilvl w:val="0"/>
          <w:numId w:val="41"/>
        </w:numPr>
        <w:spacing w:after="0"/>
        <w:rPr>
          <w:bCs/>
        </w:rPr>
      </w:pPr>
      <w:r w:rsidRPr="002A16DE">
        <w:rPr>
          <w:bCs/>
        </w:rPr>
        <w:t xml:space="preserve">Is </w:t>
      </w:r>
      <w:r w:rsidR="00C032F7">
        <w:rPr>
          <w:bCs/>
        </w:rPr>
        <w:t>pregabalin</w:t>
      </w:r>
      <w:r w:rsidRPr="002A16DE">
        <w:rPr>
          <w:bCs/>
        </w:rPr>
        <w:t xml:space="preserve"> being used without the trial of other agents? </w:t>
      </w:r>
      <w:r w:rsidRPr="002A16DE">
        <w:rPr>
          <w:bCs/>
        </w:rPr>
        <w:br/>
        <w:t>The PBS restriction states that the condition must be refractory to treatment with other drugs. The analysis indicated that 45.2% of patients initiated pregabalin without being on a prior drug regimen (excluding paracetamol and NSAIDs). DUSC noted that the PSCR stated that these patients may have been refractory to OTC or PBS paracetamol or NSAIDs and so have fulfilled the restriction criteria. However the submission assumed that all new pregabalin patients would switch from the treatment with</w:t>
      </w:r>
      <w:r w:rsidRPr="002A16DE">
        <w:t xml:space="preserve"> amitriptyline, gabapentin or carbamazepine and this was the basis of the PBAC recommendation. Thus if the 45.2% of patients were all on a regimen containing </w:t>
      </w:r>
      <w:r w:rsidRPr="002A16DE">
        <w:rPr>
          <w:bCs/>
        </w:rPr>
        <w:t>paracetamol or an NSAIDs prior to initiation to pregabalin, this is a significantly different scenario to that envisaged in the submission.</w:t>
      </w:r>
    </w:p>
    <w:p w:rsidR="002A16DE" w:rsidRPr="002A16DE" w:rsidRDefault="002A16DE" w:rsidP="002A16DE">
      <w:pPr>
        <w:pStyle w:val="ListParagraph"/>
        <w:numPr>
          <w:ilvl w:val="0"/>
          <w:numId w:val="41"/>
        </w:numPr>
        <w:spacing w:after="0"/>
        <w:rPr>
          <w:bCs/>
        </w:rPr>
      </w:pPr>
      <w:r w:rsidRPr="002A16DE">
        <w:rPr>
          <w:bCs/>
        </w:rPr>
        <w:t xml:space="preserve"> Are people discontinuing due to adverse effects?</w:t>
      </w:r>
      <w:r w:rsidRPr="002A16DE">
        <w:rPr>
          <w:bCs/>
        </w:rPr>
        <w:br/>
        <w:t>The analysis estimated the discontinuation rate after one script to be 43.9% which is higher than the 25% assumed in the submission. One possible explanation for this is that the adverse effects (the four most common listed in the PI being dizziness, somnolence, vision blurred and fatigue) were greater than expected.</w:t>
      </w:r>
    </w:p>
    <w:p w:rsidR="002A16DE" w:rsidRPr="002A16DE" w:rsidRDefault="002A16DE" w:rsidP="002A16DE">
      <w:pPr>
        <w:pStyle w:val="ListParagraph"/>
        <w:numPr>
          <w:ilvl w:val="0"/>
          <w:numId w:val="41"/>
        </w:numPr>
        <w:spacing w:after="0"/>
        <w:rPr>
          <w:bCs/>
        </w:rPr>
      </w:pPr>
      <w:r w:rsidRPr="002A16DE">
        <w:rPr>
          <w:bCs/>
        </w:rPr>
        <w:t>Are people obtaining adequate benefit from the dose prescribed?</w:t>
      </w:r>
      <w:r w:rsidRPr="002A16DE">
        <w:rPr>
          <w:bCs/>
        </w:rPr>
        <w:br/>
        <w:t>An alternative explanation for the high discontinuation rate is that the dose prescribed may not be adequate and so the patient discontinues due to lack of effect. The analysis found a lower than predicted average dose and related to this was a low percentage of patients showing evidence of up-titrating from 75mg to 150mg capsules. DUSC considered that the lack of up-titration could be related to the postulated greater than expected adverse effects.  DUSC noted that the PSCR stated that “patients who are receiving adequate benefit from, and are tolerating the 75 mg twice daily dose do not necessarily need to be up-titrated despite the recommendation in the product information. 150 mg/day is a therapeutic dose and if a patient remains on this dose it suggests they are receiving the optimal dose to manage their pain. Further to this, the sponsor provides ongoing education and support materials to prescribers including information on appropriate dosing and up-titrating to achieve the optimal tolerated dose.” DUSC noted that while both explanations may have some plausibility, the data are insufficient to determine the reason.</w:t>
      </w:r>
    </w:p>
    <w:p w:rsidR="002A16DE" w:rsidRPr="002A16DE" w:rsidRDefault="002A16DE" w:rsidP="002A16DE">
      <w:pPr>
        <w:pStyle w:val="ListParagraph"/>
        <w:numPr>
          <w:ilvl w:val="0"/>
          <w:numId w:val="41"/>
        </w:numPr>
        <w:spacing w:after="0"/>
        <w:rPr>
          <w:bCs/>
        </w:rPr>
      </w:pPr>
      <w:r w:rsidRPr="002A16DE">
        <w:rPr>
          <w:bCs/>
        </w:rPr>
        <w:t>Is there a knowledge gap around reaching optimal effective dose that needs to be addressed?</w:t>
      </w:r>
    </w:p>
    <w:p w:rsidR="002A16DE" w:rsidRPr="002A16DE" w:rsidRDefault="002A16DE" w:rsidP="002A16DE">
      <w:pPr>
        <w:pStyle w:val="ListParagraph"/>
        <w:ind w:left="360"/>
        <w:rPr>
          <w:bCs/>
        </w:rPr>
      </w:pPr>
      <w:r w:rsidRPr="002A16DE">
        <w:rPr>
          <w:bCs/>
        </w:rPr>
        <w:t>DUSC considered that such a knowledge gap may exist and decided to refer the report to NPS MedicineWise. DUSC also noted that there has been recent literature regarding the possible abuse of pregabalin that may also be appropriate to include in a prescriber education campaign.</w:t>
      </w:r>
    </w:p>
    <w:p w:rsidR="002A16DE" w:rsidRPr="002A16DE" w:rsidRDefault="002A16DE" w:rsidP="002A16DE">
      <w:pPr>
        <w:pStyle w:val="ListParagraph"/>
        <w:numPr>
          <w:ilvl w:val="0"/>
          <w:numId w:val="41"/>
        </w:numPr>
        <w:spacing w:after="0"/>
        <w:rPr>
          <w:bCs/>
        </w:rPr>
      </w:pPr>
      <w:r w:rsidRPr="002A16DE">
        <w:rPr>
          <w:bCs/>
        </w:rPr>
        <w:t xml:space="preserve">DUSC noted that the “regimen transition at initiation” analysis (see Table 5) indicated that the listing of pregabalin had not resulted in a significant reduction of strong opioid use (S8) or reduction in use of other neuropathic pain medicines. The DUSC therefore considered that pregabalin may not be reaching the populations with the most need for alternatives to current treatments. </w:t>
      </w:r>
    </w:p>
    <w:p w:rsidR="002A16DE" w:rsidRPr="002A16DE" w:rsidRDefault="002A16DE" w:rsidP="002A16DE">
      <w:pPr>
        <w:rPr>
          <w:bCs/>
        </w:rPr>
      </w:pPr>
    </w:p>
    <w:p w:rsidR="002A16DE" w:rsidRPr="002A16DE" w:rsidRDefault="002A16DE" w:rsidP="002A16DE">
      <w:pPr>
        <w:rPr>
          <w:bCs/>
        </w:rPr>
      </w:pPr>
      <w:r w:rsidRPr="002A16DE">
        <w:rPr>
          <w:bCs/>
        </w:rPr>
        <w:t xml:space="preserve">DUSC commended the Secretariat for the quality of the analyses and considered that the assessment of the accuracy of submission cost offsets via the “regimen transition at initiation” analysis to be novel to DUSC analyses. </w:t>
      </w:r>
    </w:p>
    <w:p w:rsidR="007346C7" w:rsidRPr="00483A4B" w:rsidRDefault="00C65949" w:rsidP="00A35800">
      <w:pPr>
        <w:pStyle w:val="Heading2"/>
      </w:pPr>
      <w:r>
        <w:t>Actions undertaken by the Secretariat</w:t>
      </w:r>
    </w:p>
    <w:p w:rsidR="00F9101A" w:rsidRPr="00730B86" w:rsidRDefault="00F9101A" w:rsidP="00F9101A">
      <w:r w:rsidRPr="003772D7">
        <w:t>This report</w:t>
      </w:r>
      <w:r>
        <w:t xml:space="preserve"> was provided to the Sponsor of pregabalin (Pfizer Australia) for comment</w:t>
      </w:r>
      <w:r w:rsidR="007D77A7">
        <w:t xml:space="preserve">, including the </w:t>
      </w:r>
      <w:r w:rsidR="00B378CB">
        <w:t xml:space="preserve">opportunity to comment on the </w:t>
      </w:r>
      <w:r w:rsidR="007D77A7">
        <w:t>report prior to consideration by the DUSC</w:t>
      </w:r>
      <w:r>
        <w:t>.</w:t>
      </w:r>
    </w:p>
    <w:p w:rsidR="00C65949" w:rsidRPr="00483A4B" w:rsidRDefault="00C65949" w:rsidP="00C65949">
      <w:pPr>
        <w:pStyle w:val="Heading2"/>
      </w:pPr>
      <w:r>
        <w:t>DUSC actions</w:t>
      </w:r>
    </w:p>
    <w:p w:rsidR="00F9101A" w:rsidRPr="001359EE" w:rsidRDefault="00F9101A" w:rsidP="008605F0">
      <w:pPr>
        <w:rPr>
          <w:bCs/>
        </w:rPr>
      </w:pPr>
      <w:r w:rsidRPr="001359EE">
        <w:rPr>
          <w:bCs/>
        </w:rPr>
        <w:t xml:space="preserve">The DUSC requested that the report be provided to the PBAC and to NPS MedicineWise. </w:t>
      </w:r>
    </w:p>
    <w:p w:rsidR="00C65949" w:rsidRDefault="00C65949" w:rsidP="00C65949">
      <w:pPr>
        <w:pStyle w:val="Heading2"/>
      </w:pPr>
      <w:r w:rsidRPr="0092516A">
        <w:t>Context for analysis</w:t>
      </w:r>
    </w:p>
    <w:p w:rsidR="00C65949" w:rsidRDefault="00C65949" w:rsidP="00C65949">
      <w:r>
        <w:t>The DUSC is a Sub Committee of the Pharmaceutical Benefits Advisory Committee (PBAC). The DUSC assesses estimates on projected usage and financial cost of medicines.</w:t>
      </w:r>
    </w:p>
    <w:p w:rsidR="00C65949" w:rsidRDefault="00C65949" w:rsidP="00C6594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C65949" w:rsidRDefault="00C65949" w:rsidP="00C65949">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65949" w:rsidRDefault="00C65949" w:rsidP="00C65949">
      <w:r>
        <w:t>The utilisation analysis report was provided to the pharmaceutical sponsors of each drug and comments on the report were provided to DUSC prior to its consideration of the analysis.</w:t>
      </w:r>
    </w:p>
    <w:p w:rsidR="00C65949" w:rsidRDefault="00C65949" w:rsidP="00C65949">
      <w:pPr>
        <w:pStyle w:val="Heading2"/>
      </w:pPr>
      <w:r>
        <w:t>Sponsor</w:t>
      </w:r>
      <w:r w:rsidRPr="0092516A">
        <w:t>s</w:t>
      </w:r>
      <w:r>
        <w:t>’</w:t>
      </w:r>
      <w:r w:rsidRPr="0092516A">
        <w:t xml:space="preserve"> comments</w:t>
      </w:r>
    </w:p>
    <w:p w:rsidR="00A84934" w:rsidRDefault="00A84934" w:rsidP="00A84934">
      <w:pPr>
        <w:pStyle w:val="ListParagraph"/>
        <w:numPr>
          <w:ilvl w:val="0"/>
          <w:numId w:val="38"/>
        </w:numPr>
      </w:pPr>
      <w:r>
        <w:t>Pfizer Australia Pty Ltd</w:t>
      </w:r>
    </w:p>
    <w:p w:rsidR="005077B2" w:rsidRPr="00B45B29" w:rsidRDefault="005077B2" w:rsidP="00B45B29">
      <w:r w:rsidRPr="00B45B29">
        <w:t>Pfizer acknowledges that the DUSC Review provides a comprehensive assessment of the current use of pregabablin in neuropathic pain. Pfizer also welcomes the PBAC’s request that NPS MedicineWise provide education on the appropriate use of pregabalin and the PBS subsidised indication.</w:t>
      </w:r>
    </w:p>
    <w:p w:rsidR="00C65949" w:rsidRDefault="00C65949" w:rsidP="00C65949">
      <w:pPr>
        <w:pStyle w:val="Heading2"/>
      </w:pPr>
      <w:r w:rsidRPr="00A4020E">
        <w:t>Disclaimer</w:t>
      </w:r>
    </w:p>
    <w:p w:rsidR="00C65949" w:rsidRDefault="00C65949" w:rsidP="00C65949">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C65949" w:rsidRDefault="00C65949" w:rsidP="00C65949">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C65949" w:rsidRDefault="00C65949" w:rsidP="00C65949">
      <w:r>
        <w:t xml:space="preserve">To the extent provided by law, DoH makes no warranties or representations as to accuracy or completeness of information contained in this report. </w:t>
      </w:r>
    </w:p>
    <w:p w:rsidR="00C65949" w:rsidRDefault="00C65949" w:rsidP="00C65949">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C65949" w:rsidRDefault="00C65949" w:rsidP="00C65949"/>
    <w:p w:rsidR="0063171B" w:rsidRPr="00EA03B9" w:rsidRDefault="0063171B" w:rsidP="00EA03B9">
      <w:r>
        <w:rPr>
          <w:b/>
        </w:rPr>
        <w:br w:type="page"/>
      </w:r>
    </w:p>
    <w:p w:rsidR="0014166D" w:rsidRDefault="0014166D" w:rsidP="0014166D">
      <w:pPr>
        <w:pStyle w:val="Heading3"/>
      </w:pPr>
      <w:r>
        <w:t>Appendices</w:t>
      </w:r>
    </w:p>
    <w:p w:rsidR="0063171B" w:rsidRPr="0014166D" w:rsidRDefault="0063171B" w:rsidP="0063171B">
      <w:pPr>
        <w:rPr>
          <w:b/>
          <w:i/>
        </w:rPr>
      </w:pPr>
      <w:r w:rsidRPr="0014166D">
        <w:rPr>
          <w:b/>
          <w:i/>
        </w:rPr>
        <w:t>Appendix A: DVA patient analysis</w:t>
      </w:r>
    </w:p>
    <w:p w:rsidR="0063171B" w:rsidRDefault="0063171B" w:rsidP="0063171B">
      <w:pPr>
        <w:pStyle w:val="Tabletitle"/>
      </w:pPr>
      <w:r>
        <w:t xml:space="preserve">Table </w:t>
      </w:r>
      <w:r w:rsidR="00AA49EF">
        <w:t>A.1</w:t>
      </w:r>
      <w:r>
        <w:t>: E</w:t>
      </w:r>
      <w:r w:rsidRPr="00530EFE">
        <w:t>stimated drug regimen transitions at initiation</w:t>
      </w:r>
      <w:r>
        <w:t xml:space="preserve"> to pregabalin</w:t>
      </w:r>
    </w:p>
    <w:tbl>
      <w:tblPr>
        <w:tblW w:w="9270" w:type="dxa"/>
        <w:tblInd w:w="93" w:type="dxa"/>
        <w:tblLayout w:type="fixed"/>
        <w:tblLook w:val="04A0" w:firstRow="1" w:lastRow="0" w:firstColumn="1" w:lastColumn="0" w:noHBand="0" w:noVBand="1"/>
      </w:tblPr>
      <w:tblGrid>
        <w:gridCol w:w="2551"/>
        <w:gridCol w:w="3458"/>
        <w:gridCol w:w="709"/>
        <w:gridCol w:w="992"/>
        <w:gridCol w:w="851"/>
        <w:gridCol w:w="709"/>
      </w:tblGrid>
      <w:tr w:rsidR="0063171B" w:rsidRPr="00284A4F" w:rsidTr="00284A4F">
        <w:trPr>
          <w:trHeight w:val="510"/>
        </w:trPr>
        <w:tc>
          <w:tcPr>
            <w:tcW w:w="2551" w:type="dxa"/>
            <w:tcBorders>
              <w:top w:val="single" w:sz="4" w:space="0" w:color="000000"/>
              <w:left w:val="single" w:sz="4" w:space="0" w:color="000000"/>
              <w:bottom w:val="nil"/>
              <w:right w:val="nil"/>
            </w:tcBorders>
            <w:shd w:val="clear" w:color="auto" w:fill="BFBFBF" w:themeFill="background1" w:themeFillShade="BF"/>
            <w:vAlign w:val="bottom"/>
            <w:hideMark/>
          </w:tcPr>
          <w:p w:rsidR="0063171B" w:rsidRPr="00284A4F" w:rsidRDefault="0063171B" w:rsidP="0063171B">
            <w:pPr>
              <w:spacing w:after="0"/>
              <w:jc w:val="center"/>
              <w:rPr>
                <w:rFonts w:eastAsia="Times New Roman" w:cs="Times New Roman"/>
                <w:b/>
                <w:sz w:val="16"/>
                <w:szCs w:val="16"/>
              </w:rPr>
            </w:pPr>
            <w:r w:rsidRPr="00284A4F">
              <w:rPr>
                <w:rFonts w:eastAsia="Times New Roman" w:cs="Times New Roman"/>
                <w:b/>
                <w:sz w:val="16"/>
                <w:szCs w:val="16"/>
              </w:rPr>
              <w:t>Pre-initiation (week=-1)</w:t>
            </w:r>
          </w:p>
        </w:tc>
        <w:tc>
          <w:tcPr>
            <w:tcW w:w="3458" w:type="dxa"/>
            <w:tcBorders>
              <w:top w:val="single" w:sz="4" w:space="0" w:color="000000"/>
              <w:left w:val="single" w:sz="4" w:space="0" w:color="000000"/>
              <w:bottom w:val="nil"/>
              <w:right w:val="nil"/>
            </w:tcBorders>
            <w:shd w:val="clear" w:color="auto" w:fill="BFBFBF" w:themeFill="background1" w:themeFillShade="BF"/>
            <w:vAlign w:val="bottom"/>
            <w:hideMark/>
          </w:tcPr>
          <w:p w:rsidR="0063171B" w:rsidRPr="00284A4F" w:rsidRDefault="0063171B" w:rsidP="0063171B">
            <w:pPr>
              <w:spacing w:after="0"/>
              <w:jc w:val="center"/>
              <w:rPr>
                <w:rFonts w:eastAsia="Times New Roman" w:cs="Times New Roman"/>
                <w:b/>
                <w:sz w:val="16"/>
                <w:szCs w:val="16"/>
              </w:rPr>
            </w:pPr>
            <w:r w:rsidRPr="00284A4F">
              <w:rPr>
                <w:rFonts w:eastAsia="Times New Roman" w:cs="Times New Roman"/>
                <w:b/>
                <w:sz w:val="16"/>
                <w:szCs w:val="16"/>
              </w:rPr>
              <w:t>Post-initiation (week=0)</w:t>
            </w:r>
          </w:p>
        </w:tc>
        <w:tc>
          <w:tcPr>
            <w:tcW w:w="709" w:type="dxa"/>
            <w:tcBorders>
              <w:top w:val="single" w:sz="4" w:space="0" w:color="000000"/>
              <w:left w:val="single" w:sz="4" w:space="0" w:color="000000"/>
              <w:bottom w:val="nil"/>
              <w:right w:val="single" w:sz="4" w:space="0" w:color="auto"/>
            </w:tcBorders>
            <w:shd w:val="clear" w:color="auto" w:fill="BFBFBF" w:themeFill="background1" w:themeFillShade="BF"/>
            <w:vAlign w:val="bottom"/>
            <w:hideMark/>
          </w:tcPr>
          <w:p w:rsidR="0063171B" w:rsidRPr="00284A4F" w:rsidRDefault="0063171B" w:rsidP="0063171B">
            <w:pPr>
              <w:spacing w:after="0"/>
              <w:jc w:val="center"/>
              <w:rPr>
                <w:rFonts w:eastAsia="Times New Roman" w:cs="Times New Roman"/>
                <w:b/>
                <w:sz w:val="16"/>
                <w:szCs w:val="16"/>
              </w:rPr>
            </w:pPr>
            <w:r w:rsidRPr="00284A4F">
              <w:rPr>
                <w:rFonts w:eastAsia="Times New Roman" w:cs="Times New Roman"/>
                <w:b/>
                <w:sz w:val="16"/>
                <w:szCs w:val="16"/>
              </w:rPr>
              <w:t>Switch or Add?</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3171B" w:rsidRPr="00284A4F" w:rsidRDefault="0063171B" w:rsidP="0063171B">
            <w:pPr>
              <w:spacing w:after="0"/>
              <w:jc w:val="center"/>
              <w:rPr>
                <w:rFonts w:eastAsia="Times New Roman" w:cs="Times New Roman"/>
                <w:b/>
                <w:sz w:val="16"/>
                <w:szCs w:val="16"/>
              </w:rPr>
            </w:pPr>
            <w:r w:rsidRPr="00284A4F">
              <w:rPr>
                <w:rFonts w:eastAsia="Times New Roman" w:cs="Times New Roman"/>
                <w:b/>
                <w:sz w:val="16"/>
                <w:szCs w:val="16"/>
              </w:rPr>
              <w:t>Patients</w:t>
            </w:r>
          </w:p>
        </w:tc>
        <w:tc>
          <w:tcPr>
            <w:tcW w:w="851" w:type="dxa"/>
            <w:tcBorders>
              <w:top w:val="single" w:sz="4" w:space="0" w:color="000000"/>
              <w:left w:val="single" w:sz="4" w:space="0" w:color="auto"/>
              <w:bottom w:val="nil"/>
              <w:right w:val="single" w:sz="4" w:space="0" w:color="000000"/>
            </w:tcBorders>
            <w:shd w:val="clear" w:color="auto" w:fill="BFBFBF" w:themeFill="background1" w:themeFillShade="BF"/>
            <w:vAlign w:val="bottom"/>
            <w:hideMark/>
          </w:tcPr>
          <w:p w:rsidR="0063171B" w:rsidRPr="00284A4F" w:rsidRDefault="0063171B" w:rsidP="0063171B">
            <w:pPr>
              <w:spacing w:after="0"/>
              <w:jc w:val="center"/>
              <w:rPr>
                <w:rFonts w:eastAsia="Times New Roman" w:cs="Times New Roman"/>
                <w:b/>
                <w:sz w:val="16"/>
                <w:szCs w:val="16"/>
              </w:rPr>
            </w:pPr>
            <w:r w:rsidRPr="00284A4F">
              <w:rPr>
                <w:rFonts w:eastAsia="Times New Roman" w:cs="Times New Roman"/>
                <w:b/>
                <w:sz w:val="16"/>
                <w:szCs w:val="16"/>
              </w:rPr>
              <w:t>% patients</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3171B" w:rsidRPr="00284A4F" w:rsidRDefault="0063171B" w:rsidP="0063171B">
            <w:pPr>
              <w:spacing w:after="0"/>
              <w:jc w:val="center"/>
              <w:rPr>
                <w:rFonts w:eastAsia="Times New Roman" w:cs="Times New Roman"/>
                <w:b/>
                <w:sz w:val="16"/>
                <w:szCs w:val="16"/>
              </w:rPr>
            </w:pPr>
            <w:r w:rsidRPr="00284A4F">
              <w:rPr>
                <w:rFonts w:eastAsia="Times New Roman" w:cs="Times New Roman"/>
                <w:b/>
                <w:sz w:val="16"/>
                <w:szCs w:val="16"/>
              </w:rPr>
              <w:t>Rank</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None</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1,222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31.3%</w:t>
            </w:r>
          </w:p>
        </w:tc>
        <w:tc>
          <w:tcPr>
            <w:tcW w:w="709" w:type="dxa"/>
            <w:tcBorders>
              <w:top w:val="nil"/>
              <w:left w:val="nil"/>
              <w:bottom w:val="single" w:sz="4" w:space="0" w:color="auto"/>
              <w:right w:val="single" w:sz="4" w:space="0" w:color="auto"/>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347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8.9%</w:t>
            </w:r>
          </w:p>
        </w:tc>
        <w:tc>
          <w:tcPr>
            <w:tcW w:w="709" w:type="dxa"/>
            <w:tcBorders>
              <w:top w:val="nil"/>
              <w:left w:val="nil"/>
              <w:bottom w:val="single" w:sz="4" w:space="0" w:color="auto"/>
              <w:right w:val="single" w:sz="4" w:space="0" w:color="auto"/>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252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6.5%</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3</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119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3.0%</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4</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Opioid_S8+Other_antidepressant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Opioid_S8+Other_antidepressant+Pregabalin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111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2.8%</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5</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None</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104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2.7%</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6</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99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2.5%</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7</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TCA</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Pregabalin+TCA</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76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1.9%</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8</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SNRI</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Pregabalin+SNRI</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72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1.8%</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9</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Tramadol</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Pregabalin+Tramadol</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59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1.5%</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10</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58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1.5%</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11</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TCA</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48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1.2%</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12</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Opioid_S8+TCA</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Opioid_S8+Pregabalin+TCA</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41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1.0%</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13</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33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0.8%</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14</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Opioid_S4+Other_antidepressant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Opioid_S4+Other_antidepressant+Pregabalin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29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0.7%</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15</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None</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26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0.7%</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16</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Tramadol</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26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0.7%</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17</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Opioid_S8+SNRI</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Opioid_S8+Pregabalin+SNRI</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23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0.6%</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18</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Opioid_S4+Other_antidepressant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21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0.5%</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19</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D37534" w:rsidP="0063171B">
            <w:pPr>
              <w:spacing w:after="0"/>
              <w:rPr>
                <w:rFonts w:eastAsia="Times New Roman" w:cs="Times New Roman"/>
                <w:sz w:val="16"/>
                <w:szCs w:val="16"/>
              </w:rPr>
            </w:pPr>
            <w:r w:rsidRPr="00284A4F">
              <w:rPr>
                <w:rFonts w:eastAsia="Times New Roman" w:cs="Times New Roman"/>
                <w:sz w:val="16"/>
                <w:szCs w:val="16"/>
              </w:rPr>
              <w:t>Anticonvulsant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D37534" w:rsidP="0063171B">
            <w:pPr>
              <w:spacing w:after="0"/>
              <w:rPr>
                <w:rFonts w:eastAsia="Times New Roman" w:cs="Times New Roman"/>
                <w:sz w:val="16"/>
                <w:szCs w:val="16"/>
              </w:rPr>
            </w:pPr>
            <w:r w:rsidRPr="00284A4F">
              <w:rPr>
                <w:rFonts w:eastAsia="Times New Roman" w:cs="Times New Roman"/>
                <w:sz w:val="16"/>
                <w:szCs w:val="16"/>
              </w:rPr>
              <w:t>Anticonvulsant</w:t>
            </w:r>
            <w:r w:rsidR="0065295B" w:rsidRPr="00284A4F">
              <w:rPr>
                <w:rFonts w:eastAsia="Times New Roman" w:cs="Times New Roman"/>
                <w:sz w:val="16"/>
                <w:szCs w:val="16"/>
              </w:rPr>
              <w: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20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0.5%</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20</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None</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Pregabalin+Tramadol</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18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0.5%</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21</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Opioid_S8+Tramadol</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Opioid_S8+Pregabalin+Tramadol</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17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22</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Opioid_S8+Other_antidepressant+Pregabalin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17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23</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Opioid_S8+Other_antidepressant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15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0.4%</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24</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Opioid_S4+Opioid_S8</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Opioid_S4+Opioid_S8+Pregabalin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25</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Opioid_S8+Tramadol</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26</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D37534" w:rsidP="0063171B">
            <w:pPr>
              <w:spacing w:after="0"/>
              <w:rPr>
                <w:rFonts w:eastAsia="Times New Roman" w:cs="Times New Roman"/>
                <w:sz w:val="16"/>
                <w:szCs w:val="16"/>
              </w:rPr>
            </w:pPr>
            <w:r w:rsidRPr="00284A4F">
              <w:rPr>
                <w:rFonts w:eastAsia="Times New Roman" w:cs="Times New Roman"/>
                <w:sz w:val="16"/>
                <w:szCs w:val="16"/>
              </w:rPr>
              <w:t>Anticonvulsant</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13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27</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TCA</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Opioid_S8+Pregabalin+TCA</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12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28</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Opioid_S4+Opioid_S8</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12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29</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D37534" w:rsidP="0063171B">
            <w:pPr>
              <w:spacing w:after="0"/>
              <w:rPr>
                <w:rFonts w:eastAsia="Times New Roman" w:cs="Times New Roman"/>
                <w:sz w:val="16"/>
                <w:szCs w:val="16"/>
              </w:rPr>
            </w:pPr>
            <w:r w:rsidRPr="00284A4F">
              <w:rPr>
                <w:rFonts w:eastAsia="Times New Roman" w:cs="Times New Roman"/>
                <w:sz w:val="16"/>
                <w:szCs w:val="16"/>
              </w:rPr>
              <w:t>Anticonvulsant</w:t>
            </w:r>
            <w:r w:rsidR="0065295B" w:rsidRPr="00284A4F">
              <w:rPr>
                <w:rFonts w:eastAsia="Times New Roman" w:cs="Times New Roman"/>
                <w:sz w:val="16"/>
                <w:szCs w:val="16"/>
              </w:rPr>
              <w:t>+Opioid_S8</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D37534" w:rsidP="0063171B">
            <w:pPr>
              <w:spacing w:after="0"/>
              <w:rPr>
                <w:rFonts w:eastAsia="Times New Roman" w:cs="Times New Roman"/>
                <w:sz w:val="16"/>
                <w:szCs w:val="16"/>
              </w:rPr>
            </w:pPr>
            <w:r w:rsidRPr="00284A4F">
              <w:rPr>
                <w:rFonts w:eastAsia="Times New Roman" w:cs="Times New Roman"/>
                <w:sz w:val="16"/>
                <w:szCs w:val="16"/>
              </w:rPr>
              <w:t>Anticonvulsant</w:t>
            </w:r>
            <w:r w:rsidR="0065295B" w:rsidRPr="00284A4F">
              <w:rPr>
                <w:rFonts w:eastAsia="Times New Roman" w:cs="Times New Roman"/>
                <w:sz w:val="16"/>
                <w:szCs w:val="16"/>
              </w:rPr>
              <w:t>+Opioid_S8+Pregabalin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11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30</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Other_antidepressant+Tramadol</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Other_antidepressant+Pregabalin+Tramadol</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11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31</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Opioid_S8+TCA</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Opioid_S8+Pregabalin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Switch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11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32</w:t>
            </w:r>
          </w:p>
        </w:tc>
      </w:tr>
      <w:tr w:rsidR="0065295B" w:rsidRPr="00284A4F" w:rsidTr="0063171B">
        <w:trPr>
          <w:trHeight w:val="255"/>
        </w:trPr>
        <w:tc>
          <w:tcPr>
            <w:tcW w:w="2551"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w:t>
            </w:r>
          </w:p>
        </w:tc>
        <w:tc>
          <w:tcPr>
            <w:tcW w:w="3458" w:type="dxa"/>
            <w:tcBorders>
              <w:top w:val="single" w:sz="4" w:space="0" w:color="000000"/>
              <w:left w:val="single" w:sz="4" w:space="0" w:color="000000"/>
              <w:bottom w:val="nil"/>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Opioid_S4+Opioid_S8+Pregabalin</w:t>
            </w:r>
          </w:p>
        </w:tc>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10 </w:t>
            </w:r>
          </w:p>
        </w:tc>
        <w:tc>
          <w:tcPr>
            <w:tcW w:w="851" w:type="dxa"/>
            <w:tcBorders>
              <w:top w:val="single" w:sz="4" w:space="0" w:color="000000"/>
              <w:left w:val="single" w:sz="4" w:space="0" w:color="auto"/>
              <w:bottom w:val="nil"/>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33</w:t>
            </w:r>
          </w:p>
        </w:tc>
      </w:tr>
      <w:tr w:rsidR="0065295B" w:rsidRPr="00284A4F" w:rsidTr="0063171B">
        <w:trPr>
          <w:trHeight w:val="255"/>
        </w:trPr>
        <w:tc>
          <w:tcPr>
            <w:tcW w:w="2551" w:type="dxa"/>
            <w:tcBorders>
              <w:top w:val="single" w:sz="4" w:space="0" w:color="000000"/>
              <w:left w:val="single" w:sz="4" w:space="0" w:color="000000"/>
              <w:bottom w:val="single" w:sz="4" w:space="0" w:color="auto"/>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None</w:t>
            </w:r>
          </w:p>
        </w:tc>
        <w:tc>
          <w:tcPr>
            <w:tcW w:w="3458" w:type="dxa"/>
            <w:tcBorders>
              <w:top w:val="single" w:sz="4" w:space="0" w:color="000000"/>
              <w:left w:val="single" w:sz="4" w:space="0" w:color="000000"/>
              <w:bottom w:val="single" w:sz="4" w:space="0" w:color="auto"/>
              <w:right w:val="nil"/>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Other_antidepressant+Pregabalin</w:t>
            </w:r>
          </w:p>
        </w:tc>
        <w:tc>
          <w:tcPr>
            <w:tcW w:w="709" w:type="dxa"/>
            <w:tcBorders>
              <w:top w:val="single" w:sz="4" w:space="0" w:color="000000"/>
              <w:left w:val="single" w:sz="4" w:space="0" w:color="000000"/>
              <w:bottom w:val="single" w:sz="4" w:space="0" w:color="auto"/>
              <w:right w:val="single" w:sz="4" w:space="0" w:color="auto"/>
            </w:tcBorders>
            <w:shd w:val="clear" w:color="auto" w:fill="auto"/>
            <w:noWrap/>
            <w:vAlign w:val="bottom"/>
            <w:hideMark/>
          </w:tcPr>
          <w:p w:rsidR="0065295B" w:rsidRPr="00284A4F" w:rsidRDefault="0065295B" w:rsidP="0063171B">
            <w:pPr>
              <w:spacing w:after="0"/>
              <w:jc w:val="center"/>
              <w:rPr>
                <w:rFonts w:eastAsia="Times New Roman" w:cs="Times New Roman"/>
                <w:sz w:val="16"/>
                <w:szCs w:val="16"/>
              </w:rPr>
            </w:pPr>
            <w:r w:rsidRPr="00284A4F">
              <w:rPr>
                <w:rFonts w:eastAsia="Times New Roman" w:cs="Times New Roman"/>
                <w:sz w:val="16"/>
                <w:szCs w:val="16"/>
              </w:rPr>
              <w:t>Add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95B" w:rsidRPr="00284A4F" w:rsidRDefault="0065295B" w:rsidP="0063171B">
            <w:pPr>
              <w:spacing w:after="0"/>
              <w:rPr>
                <w:rFonts w:eastAsia="Times New Roman" w:cs="Times New Roman"/>
                <w:sz w:val="16"/>
                <w:szCs w:val="16"/>
              </w:rPr>
            </w:pPr>
            <w:r w:rsidRPr="00284A4F">
              <w:rPr>
                <w:rFonts w:eastAsia="Times New Roman" w:cs="Times New Roman"/>
                <w:sz w:val="16"/>
                <w:szCs w:val="16"/>
              </w:rPr>
              <w:t xml:space="preserve">            10 </w:t>
            </w:r>
          </w:p>
        </w:tc>
        <w:tc>
          <w:tcPr>
            <w:tcW w:w="851" w:type="dxa"/>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noWrap/>
            <w:vAlign w:val="bottom"/>
          </w:tcPr>
          <w:p w:rsidR="0065295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34</w:t>
            </w:r>
          </w:p>
        </w:tc>
      </w:tr>
      <w:tr w:rsidR="0063171B" w:rsidRPr="00284A4F" w:rsidTr="0063171B">
        <w:trPr>
          <w:trHeight w:val="24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rPr>
                <w:rFonts w:eastAsia="Times New Roman" w:cs="Times New Roman"/>
                <w:sz w:val="16"/>
                <w:szCs w:val="16"/>
              </w:rPr>
            </w:pPr>
            <w:r w:rsidRPr="00284A4F">
              <w:rPr>
                <w:rFonts w:eastAsia="Times New Roman" w:cs="Times New Roman"/>
                <w:sz w:val="16"/>
                <w:szCs w:val="16"/>
              </w:rPr>
              <w:t>Other</w:t>
            </w:r>
          </w:p>
        </w:tc>
        <w:tc>
          <w:tcPr>
            <w:tcW w:w="3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rPr>
                <w:rFonts w:eastAsia="Times New Roman" w:cs="Times New Roman"/>
                <w:sz w:val="16"/>
                <w:szCs w:val="16"/>
              </w:rPr>
            </w:pPr>
            <w:r w:rsidRPr="00284A4F">
              <w:rPr>
                <w:rFonts w:eastAsia="Times New Roman" w:cs="Times New Roman"/>
                <w:sz w:val="16"/>
                <w:szCs w:val="16"/>
              </w:rPr>
              <w:t>Other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jc w:val="center"/>
              <w:rPr>
                <w:rFonts w:eastAsia="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5295B">
            <w:pPr>
              <w:spacing w:after="0"/>
              <w:rPr>
                <w:rFonts w:eastAsia="Times New Roman" w:cs="Times New Roman"/>
                <w:sz w:val="16"/>
                <w:szCs w:val="16"/>
              </w:rPr>
            </w:pPr>
            <w:r w:rsidRPr="00284A4F">
              <w:rPr>
                <w:rFonts w:eastAsia="Times New Roman" w:cs="Times New Roman"/>
                <w:sz w:val="16"/>
                <w:szCs w:val="16"/>
              </w:rPr>
              <w:t xml:space="preserve">      </w:t>
            </w:r>
            <w:r w:rsidR="0065295B" w:rsidRPr="00284A4F">
              <w:rPr>
                <w:rFonts w:eastAsia="Times New Roman" w:cs="Times New Roman"/>
                <w:sz w:val="16"/>
                <w:szCs w:val="16"/>
              </w:rPr>
              <w:t xml:space="preserve">     936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5295B" w:rsidP="0063171B">
            <w:pPr>
              <w:spacing w:after="0"/>
              <w:jc w:val="right"/>
              <w:rPr>
                <w:rFonts w:eastAsia="Times New Roman" w:cs="Times New Roman"/>
                <w:sz w:val="16"/>
                <w:szCs w:val="16"/>
              </w:rPr>
            </w:pPr>
            <w:r w:rsidRPr="00284A4F">
              <w:rPr>
                <w:rFonts w:eastAsia="Times New Roman" w:cs="Times New Roman"/>
                <w:sz w:val="16"/>
                <w:szCs w:val="16"/>
              </w:rPr>
              <w:t>24.0</w:t>
            </w:r>
            <w:r w:rsidR="0063171B" w:rsidRPr="00284A4F">
              <w:rPr>
                <w:rFonts w:eastAsia="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jc w:val="right"/>
              <w:rPr>
                <w:rFonts w:eastAsia="Times New Roman" w:cs="Times New Roman"/>
                <w:sz w:val="16"/>
                <w:szCs w:val="16"/>
              </w:rPr>
            </w:pPr>
          </w:p>
        </w:tc>
      </w:tr>
      <w:tr w:rsidR="0063171B" w:rsidRPr="00284A4F" w:rsidTr="0063171B">
        <w:trPr>
          <w:trHeight w:val="24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rPr>
                <w:rFonts w:eastAsia="Times New Roman" w:cs="Times New Roman"/>
                <w:sz w:val="16"/>
                <w:szCs w:val="16"/>
              </w:rPr>
            </w:pPr>
            <w:r w:rsidRPr="00284A4F">
              <w:rPr>
                <w:rFonts w:eastAsia="Times New Roman" w:cs="Times New Roman"/>
                <w:sz w:val="16"/>
                <w:szCs w:val="16"/>
              </w:rPr>
              <w:t>Total</w:t>
            </w:r>
          </w:p>
        </w:tc>
        <w:tc>
          <w:tcPr>
            <w:tcW w:w="34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rPr>
                <w:rFonts w:eastAsia="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jc w:val="center"/>
              <w:rPr>
                <w:rFonts w:eastAsia="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5295B">
            <w:pPr>
              <w:spacing w:after="0"/>
              <w:rPr>
                <w:rFonts w:eastAsia="Times New Roman" w:cs="Times New Roman"/>
                <w:sz w:val="16"/>
                <w:szCs w:val="16"/>
              </w:rPr>
            </w:pPr>
            <w:r w:rsidRPr="00284A4F">
              <w:rPr>
                <w:rFonts w:eastAsia="Times New Roman" w:cs="Times New Roman"/>
                <w:sz w:val="16"/>
                <w:szCs w:val="16"/>
              </w:rPr>
              <w:t xml:space="preserve">    </w:t>
            </w:r>
            <w:r w:rsidR="0065295B" w:rsidRPr="00284A4F">
              <w:rPr>
                <w:rFonts w:eastAsia="Times New Roman" w:cs="Times New Roman"/>
                <w:sz w:val="16"/>
                <w:szCs w:val="16"/>
              </w:rPr>
              <w:t xml:space="preserve">    3,905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jc w:val="right"/>
              <w:rPr>
                <w:rFonts w:eastAsia="Times New Roman" w:cs="Times New Roman"/>
                <w:sz w:val="16"/>
                <w:szCs w:val="16"/>
              </w:rPr>
            </w:pPr>
            <w:r w:rsidRPr="00284A4F">
              <w:rPr>
                <w:rFonts w:eastAsia="Times New Roman" w:cs="Times New Roman"/>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71B" w:rsidRPr="00284A4F" w:rsidRDefault="0063171B" w:rsidP="0063171B">
            <w:pPr>
              <w:spacing w:after="0"/>
              <w:jc w:val="right"/>
              <w:rPr>
                <w:rFonts w:eastAsia="Times New Roman" w:cs="Times New Roman"/>
                <w:sz w:val="16"/>
                <w:szCs w:val="16"/>
              </w:rPr>
            </w:pPr>
          </w:p>
        </w:tc>
      </w:tr>
    </w:tbl>
    <w:p w:rsidR="0063171B" w:rsidRDefault="0063171B" w:rsidP="0063171B"/>
    <w:p w:rsidR="0063171B" w:rsidRDefault="0063171B" w:rsidP="0063171B">
      <w:r w:rsidRPr="00A4115A">
        <w:rPr>
          <w:noProof/>
          <w:bdr w:val="single" w:sz="4" w:space="0" w:color="auto"/>
        </w:rPr>
        <w:drawing>
          <wp:inline distT="0" distB="0" distL="0" distR="0" wp14:anchorId="7AAAD7C5" wp14:editId="0CCA5A14">
            <wp:extent cx="5873857" cy="3890074"/>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1A34" w:rsidRDefault="002B1A34" w:rsidP="002B1A34">
      <w:r w:rsidRPr="00072D2F">
        <w:rPr>
          <w:b/>
        </w:rPr>
        <w:t xml:space="preserve">Figure </w:t>
      </w:r>
      <w:r w:rsidR="00AA49EF">
        <w:rPr>
          <w:b/>
        </w:rPr>
        <w:t>A.1</w:t>
      </w:r>
      <w:r w:rsidRPr="00072D2F">
        <w:rPr>
          <w:b/>
        </w:rPr>
        <w:t xml:space="preserve">: </w:t>
      </w:r>
      <w:r>
        <w:rPr>
          <w:b/>
        </w:rPr>
        <w:t>Estimate drug regimens pre and post initiation to pregabalin</w:t>
      </w:r>
    </w:p>
    <w:p w:rsidR="0014166D" w:rsidRDefault="0014166D">
      <w:pPr>
        <w:spacing w:line="276" w:lineRule="auto"/>
        <w:rPr>
          <w:b/>
        </w:rPr>
      </w:pPr>
      <w:r>
        <w:rPr>
          <w:b/>
        </w:rPr>
        <w:br w:type="page"/>
      </w:r>
    </w:p>
    <w:p w:rsidR="0014166D" w:rsidRDefault="0014166D" w:rsidP="0014166D">
      <w:pPr>
        <w:pStyle w:val="Heading4"/>
      </w:pPr>
      <w:r>
        <w:t xml:space="preserve">Appendix B: </w:t>
      </w:r>
      <w:r>
        <w:br/>
        <w:t xml:space="preserve">Detailed methodology to </w:t>
      </w:r>
      <w:r w:rsidRPr="003C6919">
        <w:t>estimate drug regimens and regimen transitions</w:t>
      </w:r>
    </w:p>
    <w:p w:rsidR="0014166D" w:rsidRPr="003C6919" w:rsidRDefault="0014166D" w:rsidP="0014166D">
      <w:pPr>
        <w:rPr>
          <w:rFonts w:cstheme="minorHAnsi"/>
          <w:u w:val="single"/>
          <w:lang w:val="en-US"/>
        </w:rPr>
      </w:pPr>
      <w:r w:rsidRPr="003C6919">
        <w:rPr>
          <w:rFonts w:cstheme="minorHAnsi"/>
          <w:u w:val="single"/>
          <w:lang w:val="en-US"/>
        </w:rPr>
        <w:t>Drug treatment regimens are estimated</w:t>
      </w:r>
      <w:r>
        <w:rPr>
          <w:rFonts w:cstheme="minorHAnsi"/>
          <w:u w:val="single"/>
          <w:lang w:val="en-US"/>
        </w:rPr>
        <w:t xml:space="preserve"> from prescription supply dates</w:t>
      </w:r>
    </w:p>
    <w:p w:rsidR="0014166D" w:rsidRPr="003C6919" w:rsidRDefault="0014166D" w:rsidP="0014166D">
      <w:pPr>
        <w:rPr>
          <w:rFonts w:cstheme="minorHAnsi"/>
        </w:rPr>
      </w:pPr>
      <w:r w:rsidRPr="003C6919">
        <w:rPr>
          <w:rFonts w:cstheme="minorHAnsi"/>
        </w:rPr>
        <w:t xml:space="preserve">The prescription data contains date of supply of each prescription, but no information on whether or not medicines should be </w:t>
      </w:r>
      <w:r>
        <w:rPr>
          <w:rFonts w:cstheme="minorHAnsi"/>
        </w:rPr>
        <w:t>(</w:t>
      </w:r>
      <w:r w:rsidRPr="003C6919">
        <w:rPr>
          <w:rFonts w:cstheme="minorHAnsi"/>
        </w:rPr>
        <w:t>or were</w:t>
      </w:r>
      <w:r>
        <w:rPr>
          <w:rFonts w:cstheme="minorHAnsi"/>
        </w:rPr>
        <w:t>)</w:t>
      </w:r>
      <w:r w:rsidRPr="003C6919">
        <w:rPr>
          <w:rFonts w:cstheme="minorHAnsi"/>
        </w:rPr>
        <w:t xml:space="preserve"> co-administered. Thus co-administration was estimated from the data in the following way;</w:t>
      </w:r>
    </w:p>
    <w:p w:rsidR="0014166D" w:rsidRPr="003C6919" w:rsidRDefault="0014166D" w:rsidP="0014166D">
      <w:pPr>
        <w:rPr>
          <w:rFonts w:cstheme="minorHAnsi"/>
          <w:lang w:val="en-US"/>
        </w:rPr>
      </w:pPr>
      <w:r w:rsidRPr="003C6919">
        <w:rPr>
          <w:rFonts w:cstheme="minorHAnsi"/>
          <w:lang w:val="en-US"/>
        </w:rPr>
        <w:t xml:space="preserve">Step 1: </w:t>
      </w:r>
    </w:p>
    <w:p w:rsidR="0014166D" w:rsidRPr="003C6919" w:rsidRDefault="0014166D" w:rsidP="0014166D">
      <w:pPr>
        <w:rPr>
          <w:rFonts w:cstheme="minorHAnsi"/>
          <w:lang w:val="en-US"/>
        </w:rPr>
      </w:pPr>
      <w:r w:rsidRPr="003C6919">
        <w:rPr>
          <w:rFonts w:cstheme="minorHAnsi"/>
          <w:lang w:val="en-US"/>
        </w:rPr>
        <w:t xml:space="preserve">Determine the estimated medication coverage days for </w:t>
      </w:r>
      <w:r w:rsidRPr="003C6919">
        <w:rPr>
          <w:rFonts w:cstheme="minorHAnsi"/>
          <w:b/>
          <w:lang w:val="en-US"/>
        </w:rPr>
        <w:t>each</w:t>
      </w:r>
      <w:r w:rsidRPr="003C6919">
        <w:rPr>
          <w:rFonts w:cstheme="minorHAnsi"/>
          <w:lang w:val="en-US"/>
        </w:rPr>
        <w:t xml:space="preserve"> drug or drug group. </w:t>
      </w:r>
    </w:p>
    <w:p w:rsidR="0014166D" w:rsidRPr="003C6919" w:rsidRDefault="0014166D" w:rsidP="0014166D">
      <w:pPr>
        <w:rPr>
          <w:rFonts w:cstheme="minorHAnsi"/>
          <w:lang w:val="en-US"/>
        </w:rPr>
      </w:pPr>
      <w:r w:rsidRPr="003C6919">
        <w:rPr>
          <w:rFonts w:cstheme="minorHAnsi"/>
          <w:lang w:val="en-US"/>
        </w:rPr>
        <w:t>This mainly involves detecting breaks in treatment</w:t>
      </w:r>
      <w:r>
        <w:rPr>
          <w:rFonts w:cstheme="minorHAnsi"/>
          <w:lang w:val="en-US"/>
        </w:rPr>
        <w:t>. T</w:t>
      </w:r>
      <w:r w:rsidRPr="003C6919">
        <w:rPr>
          <w:rFonts w:cstheme="minorHAnsi"/>
          <w:lang w:val="en-US"/>
        </w:rPr>
        <w:t xml:space="preserve">he outcome is the start and estimated end date for each episode of treatment for each drug or drug group. </w:t>
      </w:r>
    </w:p>
    <w:p w:rsidR="0014166D" w:rsidRPr="003C6919" w:rsidRDefault="0014166D" w:rsidP="0014166D">
      <w:pPr>
        <w:rPr>
          <w:rFonts w:cstheme="minorHAnsi"/>
          <w:lang w:val="en-US"/>
        </w:rPr>
      </w:pPr>
      <w:r w:rsidRPr="003C6919">
        <w:rPr>
          <w:rFonts w:cstheme="minorHAnsi"/>
          <w:lang w:val="en-US"/>
        </w:rPr>
        <w:t xml:space="preserve">Step 2: </w:t>
      </w:r>
    </w:p>
    <w:p w:rsidR="0014166D" w:rsidRPr="003C6919" w:rsidRDefault="0014166D" w:rsidP="0014166D">
      <w:pPr>
        <w:rPr>
          <w:rFonts w:cstheme="minorHAnsi"/>
          <w:lang w:val="en-US"/>
        </w:rPr>
      </w:pPr>
      <w:r w:rsidRPr="003C6919">
        <w:rPr>
          <w:rFonts w:cstheme="minorHAnsi"/>
          <w:lang w:val="en-US"/>
        </w:rPr>
        <w:t xml:space="preserve">Determine the estimated medication coverage days </w:t>
      </w:r>
      <w:r w:rsidRPr="003C6919">
        <w:rPr>
          <w:rFonts w:cstheme="minorHAnsi"/>
          <w:b/>
          <w:lang w:val="en-US"/>
        </w:rPr>
        <w:t>across all</w:t>
      </w:r>
      <w:r w:rsidRPr="003C6919">
        <w:rPr>
          <w:rFonts w:cstheme="minorHAnsi"/>
          <w:lang w:val="en-US"/>
        </w:rPr>
        <w:t xml:space="preserve"> drug and drug group episodes defined in Step 1. The outcome is an estimated treatment regimen for each patient for every day in the data period. </w:t>
      </w:r>
    </w:p>
    <w:p w:rsidR="0014166D" w:rsidRPr="003C6919" w:rsidRDefault="0014166D" w:rsidP="0014166D">
      <w:pPr>
        <w:rPr>
          <w:rFonts w:cstheme="minorHAnsi"/>
          <w:lang w:val="en-US"/>
        </w:rPr>
      </w:pPr>
      <w:r w:rsidRPr="003C6919">
        <w:rPr>
          <w:rFonts w:cstheme="minorHAnsi"/>
          <w:lang w:val="en-US"/>
        </w:rPr>
        <w:t>Similar methods have been used for assessing medicine use in Australian populations.</w:t>
      </w:r>
      <w:r w:rsidRPr="003C6919">
        <w:rPr>
          <w:rStyle w:val="FootnoteReference"/>
          <w:rFonts w:cstheme="minorHAnsi"/>
          <w:lang w:val="en-US"/>
        </w:rPr>
        <w:footnoteReference w:id="10"/>
      </w:r>
      <w:r w:rsidRPr="003C6919">
        <w:rPr>
          <w:rFonts w:cstheme="minorHAnsi"/>
          <w:vertAlign w:val="superscript"/>
          <w:lang w:val="en-US"/>
        </w:rPr>
        <w:t>,</w:t>
      </w:r>
      <w:r w:rsidRPr="003C6919">
        <w:rPr>
          <w:rStyle w:val="FootnoteReference"/>
          <w:rFonts w:cstheme="minorHAnsi"/>
          <w:lang w:val="en-US"/>
        </w:rPr>
        <w:footnoteReference w:id="11"/>
      </w:r>
      <w:r w:rsidRPr="003C6919">
        <w:rPr>
          <w:rFonts w:cstheme="minorHAnsi"/>
          <w:lang w:val="en-US"/>
        </w:rPr>
        <w:t xml:space="preserve"> Hallas</w:t>
      </w:r>
      <w:r w:rsidRPr="003C6919">
        <w:rPr>
          <w:rStyle w:val="FootnoteReference"/>
          <w:rFonts w:cstheme="minorHAnsi"/>
          <w:lang w:val="en-US"/>
        </w:rPr>
        <w:footnoteReference w:id="12"/>
      </w:r>
      <w:r w:rsidRPr="003C6919">
        <w:rPr>
          <w:rFonts w:cstheme="minorHAnsi"/>
          <w:lang w:val="en-US"/>
        </w:rPr>
        <w:t xml:space="preserve"> describes the method and provides references to early variants. </w:t>
      </w:r>
    </w:p>
    <w:p w:rsidR="0014166D" w:rsidRPr="003C6919" w:rsidRDefault="00210897" w:rsidP="0014166D">
      <w:pPr>
        <w:rPr>
          <w:rFonts w:cstheme="minorHAnsi"/>
        </w:rPr>
      </w:pPr>
      <w:r>
        <w:rPr>
          <w:rFonts w:cstheme="minorHAnsi"/>
        </w:rPr>
        <w:t>Figure B.</w:t>
      </w:r>
      <w:r w:rsidR="0014166D" w:rsidRPr="003C6919">
        <w:rPr>
          <w:rFonts w:cstheme="minorHAnsi"/>
        </w:rPr>
        <w:t>1 illustrates the method specified above.</w:t>
      </w:r>
      <w:r w:rsidR="0014166D">
        <w:rPr>
          <w:rFonts w:cstheme="minorHAnsi"/>
        </w:rPr>
        <w:t xml:space="preserve"> </w:t>
      </w:r>
      <w:r w:rsidR="0014166D" w:rsidRPr="003C6919">
        <w:rPr>
          <w:rFonts w:cstheme="minorHAnsi"/>
        </w:rPr>
        <w:t xml:space="preserve">The standard coverage days (SCD) for each drug A, B &amp; C have been shortened to 5 days to enable the figure to fit on one page. The Step 1 process results in the production of the episodes (pink bars) and the Step 2 process results in the production of the treatment regimen (blue bar). The days in this illustration are days from initiation (applicable to an incident patient analysis) but they can also be calendar days (applicable to a prevalent patient analysis). </w:t>
      </w:r>
    </w:p>
    <w:p w:rsidR="0014166D" w:rsidRPr="003C6919" w:rsidRDefault="0014166D" w:rsidP="0014166D">
      <w:pPr>
        <w:rPr>
          <w:rFonts w:cstheme="minorHAnsi"/>
        </w:rPr>
      </w:pPr>
      <w:r w:rsidRPr="003C6919">
        <w:rPr>
          <w:rFonts w:cstheme="minorHAnsi"/>
        </w:rPr>
        <w:t>In this illustration, a break in treatment is defined as a coverage gap of 2 or more SCDs (i.e. the patient has not received re-supply at two consecutive expected refill dates.  The first gap in drug A coverage (from days -39 to -35) is not deemed to be a break in the drug A Episode 1 as the estimated gap in coverage is only 1 x SCD. The 2</w:t>
      </w:r>
      <w:r w:rsidRPr="003C6919">
        <w:rPr>
          <w:rFonts w:cstheme="minorHAnsi"/>
          <w:vertAlign w:val="superscript"/>
        </w:rPr>
        <w:t>nd</w:t>
      </w:r>
      <w:r w:rsidRPr="003C6919">
        <w:rPr>
          <w:rFonts w:cstheme="minorHAnsi"/>
        </w:rPr>
        <w:t xml:space="preserve"> gap in drug A coverage from days -29 to -20 is deemed to be a break in treatment and the end of Episode 1 because the gap in estimated coverage is 2 x SCD.</w:t>
      </w:r>
    </w:p>
    <w:p w:rsidR="0014166D" w:rsidRPr="003C6919" w:rsidRDefault="0014166D" w:rsidP="0014166D">
      <w:pPr>
        <w:rPr>
          <w:rFonts w:cstheme="minorHAnsi"/>
        </w:rPr>
      </w:pPr>
      <w:r w:rsidRPr="003C6919">
        <w:rPr>
          <w:rFonts w:cstheme="minorHAnsi"/>
        </w:rPr>
        <w:t>The two prescriptions for drug B supplied on day -9 are interpreted as dose escalation of drug B, if each prescription is for a different strength. The two prescriptions are deemed to be necessary to supply one SCD period and not used to extend the drug coverage period. If each prescription of drug B were for the same strength then this would be interpreted as “stockpiling” and assumed to extend the drug coverage period (see Details of Methodology below for details)</w:t>
      </w:r>
    </w:p>
    <w:p w:rsidR="0014166D" w:rsidRPr="003C6919" w:rsidRDefault="0014166D" w:rsidP="0014166D">
      <w:pPr>
        <w:rPr>
          <w:rFonts w:cstheme="minorHAnsi"/>
        </w:rPr>
      </w:pPr>
      <w:r w:rsidRPr="003C6919">
        <w:rPr>
          <w:rFonts w:cstheme="minorHAnsi"/>
        </w:rPr>
        <w:t>Drug C is a 3</w:t>
      </w:r>
      <w:r w:rsidRPr="003C6919">
        <w:rPr>
          <w:rFonts w:cstheme="minorHAnsi"/>
          <w:vertAlign w:val="superscript"/>
        </w:rPr>
        <w:t>rd</w:t>
      </w:r>
      <w:r w:rsidRPr="003C6919">
        <w:rPr>
          <w:rFonts w:cstheme="minorHAnsi"/>
        </w:rPr>
        <w:t xml:space="preserve"> line agent and initiated on day 0 (by definition).  The basic method imputes a short period of B+C, but a refinement of the method includes the calculation of an adjusted treatment regimen which removes short periods of overlap when it is likely that a switch has occurred before prior medicine is deemed to be fully used.</w:t>
      </w:r>
    </w:p>
    <w:p w:rsidR="0014166D" w:rsidRPr="005E6C3B" w:rsidRDefault="0014166D" w:rsidP="0014166D">
      <w:pPr>
        <w:rPr>
          <w:rFonts w:cstheme="minorHAnsi"/>
        </w:rPr>
      </w:pPr>
      <w:r w:rsidRPr="003C6919">
        <w:rPr>
          <w:rFonts w:cstheme="minorHAnsi"/>
        </w:rPr>
        <w:t xml:space="preserve">The final method for estimating the drug treatment regimen includes several refinements which are </w:t>
      </w:r>
      <w:r w:rsidRPr="005E6C3B">
        <w:rPr>
          <w:rFonts w:cstheme="minorHAnsi"/>
        </w:rPr>
        <w:t>explained in below.  Briefly they are:</w:t>
      </w:r>
    </w:p>
    <w:p w:rsidR="0014166D" w:rsidRPr="005E6C3B" w:rsidRDefault="0014166D" w:rsidP="0014166D">
      <w:pPr>
        <w:pStyle w:val="ListParagraph"/>
        <w:numPr>
          <w:ilvl w:val="0"/>
          <w:numId w:val="9"/>
        </w:numPr>
        <w:spacing w:after="0"/>
        <w:ind w:left="567" w:hanging="567"/>
        <w:rPr>
          <w:rFonts w:cstheme="minorHAnsi"/>
        </w:rPr>
      </w:pPr>
      <w:r w:rsidRPr="005E6C3B">
        <w:rPr>
          <w:rFonts w:cstheme="minorHAnsi"/>
        </w:rPr>
        <w:t>Calculation of the treatment regimen on a weekly rather than daily basis.</w:t>
      </w:r>
    </w:p>
    <w:p w:rsidR="0014166D" w:rsidRPr="005E6C3B" w:rsidRDefault="0014166D" w:rsidP="0014166D">
      <w:pPr>
        <w:pStyle w:val="ListParagraph"/>
        <w:numPr>
          <w:ilvl w:val="0"/>
          <w:numId w:val="9"/>
        </w:numPr>
        <w:spacing w:after="0"/>
        <w:ind w:left="567" w:hanging="567"/>
        <w:rPr>
          <w:rFonts w:cstheme="minorHAnsi"/>
        </w:rPr>
      </w:pPr>
      <w:r w:rsidRPr="005E6C3B">
        <w:rPr>
          <w:rFonts w:cstheme="minorHAnsi"/>
        </w:rPr>
        <w:t>Calculation of drug treatment regimen transitions – including an adjustment to allow for switching when the prior medication is not fully used.</w:t>
      </w:r>
    </w:p>
    <w:p w:rsidR="0014166D" w:rsidRPr="005E6C3B" w:rsidRDefault="0014166D" w:rsidP="0014166D">
      <w:pPr>
        <w:pStyle w:val="ListParagraph"/>
        <w:numPr>
          <w:ilvl w:val="0"/>
          <w:numId w:val="9"/>
        </w:numPr>
        <w:spacing w:after="0"/>
        <w:ind w:left="567" w:hanging="567"/>
        <w:rPr>
          <w:rFonts w:cstheme="minorHAnsi"/>
        </w:rPr>
      </w:pPr>
      <w:r w:rsidRPr="005E6C3B">
        <w:rPr>
          <w:rFonts w:cstheme="minorHAnsi"/>
        </w:rPr>
        <w:t>Adjustment to allow for stockpiling of medication, both same-day supply and supplies on different days.</w:t>
      </w:r>
    </w:p>
    <w:p w:rsidR="0014166D" w:rsidRDefault="0014166D" w:rsidP="0014166D">
      <w:pPr>
        <w:pStyle w:val="ListParagraph"/>
        <w:numPr>
          <w:ilvl w:val="0"/>
          <w:numId w:val="9"/>
        </w:numPr>
        <w:spacing w:after="0"/>
        <w:ind w:left="567" w:hanging="567"/>
        <w:rPr>
          <w:rFonts w:cstheme="minorHAnsi"/>
        </w:rPr>
      </w:pPr>
      <w:r w:rsidRPr="005E6C3B">
        <w:rPr>
          <w:rFonts w:cstheme="minorHAnsi"/>
        </w:rPr>
        <w:t xml:space="preserve">Change in the rules for </w:t>
      </w:r>
      <w:r>
        <w:rPr>
          <w:rFonts w:cstheme="minorHAnsi"/>
        </w:rPr>
        <w:t>prescriptions</w:t>
      </w:r>
      <w:r w:rsidRPr="005E6C3B">
        <w:rPr>
          <w:rFonts w:cstheme="minorHAnsi"/>
        </w:rPr>
        <w:t xml:space="preserve"> whose coverage spans the initiation data</w:t>
      </w:r>
      <w:r>
        <w:rPr>
          <w:rFonts w:cstheme="minorHAnsi"/>
        </w:rPr>
        <w:t>;</w:t>
      </w:r>
      <w:r>
        <w:rPr>
          <w:rFonts w:cstheme="minorHAnsi"/>
        </w:rPr>
        <w:br/>
        <w:t>- removal of stockpiling rule</w:t>
      </w:r>
    </w:p>
    <w:p w:rsidR="0014166D" w:rsidRDefault="0014166D" w:rsidP="0014166D">
      <w:pPr>
        <w:pStyle w:val="ListParagraph"/>
        <w:numPr>
          <w:ilvl w:val="0"/>
          <w:numId w:val="9"/>
        </w:numPr>
        <w:spacing w:after="0"/>
        <w:ind w:left="567" w:hanging="567"/>
        <w:rPr>
          <w:rFonts w:cstheme="minorHAnsi"/>
        </w:rPr>
      </w:pPr>
      <w:r w:rsidRPr="004E05E6">
        <w:rPr>
          <w:rFonts w:cstheme="minorHAnsi"/>
        </w:rPr>
        <w:t>Estimating if a patient is continuing or stopping after their last script</w:t>
      </w:r>
    </w:p>
    <w:p w:rsidR="0014166D" w:rsidRDefault="0014166D" w:rsidP="0014166D">
      <w:pPr>
        <w:spacing w:after="0"/>
        <w:rPr>
          <w:rFonts w:cstheme="minorHAnsi"/>
        </w:rPr>
        <w:sectPr w:rsidR="0014166D" w:rsidSect="00AA663D">
          <w:headerReference w:type="even" r:id="rId22"/>
          <w:headerReference w:type="default" r:id="rId23"/>
          <w:footerReference w:type="even" r:id="rId24"/>
          <w:footerReference w:type="default" r:id="rId25"/>
          <w:headerReference w:type="first" r:id="rId26"/>
          <w:footerReference w:type="first" r:id="rId27"/>
          <w:pgSz w:w="11906" w:h="16838"/>
          <w:pgMar w:top="1644" w:right="1361" w:bottom="1644" w:left="1588" w:header="709" w:footer="709" w:gutter="0"/>
          <w:cols w:space="708"/>
          <w:docGrid w:linePitch="360"/>
        </w:sectPr>
      </w:pPr>
    </w:p>
    <w:p w:rsidR="0014166D" w:rsidRPr="003C6919" w:rsidRDefault="0014166D" w:rsidP="0014166D">
      <w:pPr>
        <w:rPr>
          <w:rFonts w:cstheme="minorHAnsi"/>
        </w:rPr>
      </w:pPr>
      <w:r w:rsidRPr="003C6919">
        <w:rPr>
          <w:rFonts w:cstheme="minorHAnsi"/>
          <w:noProof/>
        </w:rPr>
        <w:drawing>
          <wp:inline distT="0" distB="0" distL="0" distR="0" wp14:anchorId="773D68FD" wp14:editId="09F1BBB5">
            <wp:extent cx="8800077" cy="2937314"/>
            <wp:effectExtent l="0" t="0" r="1270" b="0"/>
            <wp:docPr id="8" name="Picture 8" title="Figure A1 is a diagrammatic representation of the methodlogy that was used to determine treatment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25023" cy="2945641"/>
                    </a:xfrm>
                    <a:prstGeom prst="rect">
                      <a:avLst/>
                    </a:prstGeom>
                    <a:noFill/>
                    <a:ln>
                      <a:noFill/>
                    </a:ln>
                  </pic:spPr>
                </pic:pic>
              </a:graphicData>
            </a:graphic>
          </wp:inline>
        </w:drawing>
      </w:r>
    </w:p>
    <w:p w:rsidR="0014166D" w:rsidRDefault="0014166D" w:rsidP="0014166D">
      <w:pPr>
        <w:pStyle w:val="Tabletitle"/>
        <w:rPr>
          <w:lang w:val="en-US"/>
        </w:rPr>
        <w:sectPr w:rsidR="0014166D" w:rsidSect="00DA5CBC">
          <w:headerReference w:type="default" r:id="rId29"/>
          <w:footerReference w:type="default" r:id="rId30"/>
          <w:pgSz w:w="16838" w:h="11906" w:orient="landscape" w:code="9"/>
          <w:pgMar w:top="1644" w:right="1361" w:bottom="1644" w:left="1588" w:header="708" w:footer="708" w:gutter="0"/>
          <w:cols w:space="708"/>
          <w:docGrid w:linePitch="360"/>
        </w:sectPr>
      </w:pPr>
      <w:r w:rsidRPr="003C6919">
        <w:rPr>
          <w:lang w:val="en-US"/>
        </w:rPr>
        <w:t xml:space="preserve">Figure </w:t>
      </w:r>
      <w:r w:rsidR="00210897">
        <w:rPr>
          <w:lang w:val="en-US"/>
        </w:rPr>
        <w:t>B.1</w:t>
      </w:r>
      <w:r w:rsidRPr="003C6919">
        <w:rPr>
          <w:lang w:val="en-US"/>
        </w:rPr>
        <w:t xml:space="preserve"> Diagrammatic representation of the methodology used to determine treatment regimen</w:t>
      </w:r>
    </w:p>
    <w:p w:rsidR="0014166D" w:rsidRPr="00F518B8" w:rsidRDefault="0014166D" w:rsidP="0014166D">
      <w:pPr>
        <w:pStyle w:val="Heading5"/>
      </w:pPr>
      <w:r w:rsidRPr="00F518B8">
        <w:t>Details of Methodology</w:t>
      </w:r>
    </w:p>
    <w:p w:rsidR="0014166D" w:rsidRDefault="0014166D" w:rsidP="0014166D">
      <w:pPr>
        <w:spacing w:after="0"/>
        <w:rPr>
          <w:rFonts w:cstheme="minorHAnsi"/>
        </w:rPr>
      </w:pPr>
    </w:p>
    <w:p w:rsidR="0014166D" w:rsidRPr="00C52D77" w:rsidRDefault="0014166D" w:rsidP="0014166D">
      <w:pPr>
        <w:rPr>
          <w:rFonts w:cstheme="minorHAnsi"/>
          <w:b/>
        </w:rPr>
      </w:pPr>
      <w:r w:rsidRPr="00C52D77">
        <w:rPr>
          <w:rFonts w:cstheme="minorHAnsi"/>
          <w:b/>
        </w:rPr>
        <w:t>1.</w:t>
      </w:r>
      <w:r w:rsidRPr="00C52D77">
        <w:rPr>
          <w:rFonts w:cstheme="minorHAnsi"/>
          <w:b/>
        </w:rPr>
        <w:tab/>
        <w:t>Calcu</w:t>
      </w:r>
      <w:r>
        <w:rPr>
          <w:rFonts w:cstheme="minorHAnsi"/>
          <w:b/>
        </w:rPr>
        <w:t>lation of the treatment regimen</w:t>
      </w:r>
    </w:p>
    <w:p w:rsidR="0014166D" w:rsidRPr="00C52D77" w:rsidRDefault="0014166D" w:rsidP="0014166D">
      <w:r w:rsidRPr="00C52D77">
        <w:t>Drug treatment regimens are estimated from prescription supply dates in the following way;</w:t>
      </w:r>
    </w:p>
    <w:p w:rsidR="0014166D" w:rsidRPr="00C52D77" w:rsidRDefault="0014166D" w:rsidP="0014166D">
      <w:r w:rsidRPr="00C52D77">
        <w:t xml:space="preserve">Step 1: </w:t>
      </w:r>
    </w:p>
    <w:p w:rsidR="0014166D" w:rsidRPr="00C52D77" w:rsidRDefault="0014166D" w:rsidP="0014166D">
      <w:r w:rsidRPr="00C52D77">
        <w:t xml:space="preserve">Determine the estimated medication coverage days for </w:t>
      </w:r>
      <w:r w:rsidRPr="002717D1">
        <w:rPr>
          <w:b/>
        </w:rPr>
        <w:t>each</w:t>
      </w:r>
      <w:r w:rsidRPr="00C52D77">
        <w:t xml:space="preserve"> drug or drug group. </w:t>
      </w:r>
    </w:p>
    <w:p w:rsidR="0014166D" w:rsidRPr="00C52D77" w:rsidRDefault="0014166D" w:rsidP="0014166D">
      <w:r w:rsidRPr="00C52D77">
        <w:t xml:space="preserve">This mainly involves detecting breaks in treatment. The outcome is the start and estimated end date for each episode for each drug or drug group. </w:t>
      </w:r>
    </w:p>
    <w:p w:rsidR="0014166D" w:rsidRPr="00C52D77" w:rsidRDefault="0014166D" w:rsidP="0014166D">
      <w:r w:rsidRPr="00C52D77">
        <w:t xml:space="preserve">Step 2: </w:t>
      </w:r>
    </w:p>
    <w:p w:rsidR="0014166D" w:rsidRPr="00C52D77" w:rsidRDefault="0014166D" w:rsidP="0014166D">
      <w:r w:rsidRPr="00C52D77">
        <w:t xml:space="preserve">Determine the estimated medication coverage days </w:t>
      </w:r>
      <w:r w:rsidRPr="002717D1">
        <w:rPr>
          <w:b/>
        </w:rPr>
        <w:t>across</w:t>
      </w:r>
      <w:r w:rsidRPr="00700670">
        <w:rPr>
          <w:b/>
        </w:rPr>
        <w:t xml:space="preserve"> all</w:t>
      </w:r>
      <w:r w:rsidRPr="00C52D77">
        <w:t xml:space="preserve"> drug and drug group episodes defined in Step 1. The outcome is an estimated treatment regimen for each patient for every day in the data period. </w:t>
      </w:r>
    </w:p>
    <w:p w:rsidR="0014166D" w:rsidRDefault="0014166D" w:rsidP="0014166D">
      <w:r w:rsidRPr="00C52D77">
        <w:t>Step 2 above was modified so that the treatment regimen was estimated on a weekly rather than daily basis. This modification was deemed necessary to keep the data volume at a manageable level. This modification means that if the a medication coverage start date falls in a particular calendar week (for prevalent patient analysis)  or week since initiation (for initiation analysis) then the medication is deemed to cover that week. The same rule was applied to the medication coverage end date.</w:t>
      </w:r>
    </w:p>
    <w:p w:rsidR="0014166D" w:rsidRPr="003251AF" w:rsidRDefault="0014166D" w:rsidP="0014166D">
      <w:pPr>
        <w:rPr>
          <w:b/>
        </w:rPr>
      </w:pPr>
      <w:r w:rsidRPr="003251AF">
        <w:rPr>
          <w:b/>
        </w:rPr>
        <w:t>2.</w:t>
      </w:r>
      <w:r w:rsidRPr="003251AF">
        <w:rPr>
          <w:b/>
        </w:rPr>
        <w:tab/>
        <w:t>Drug regimen transitions - including an adjustment to allow for switching when the prior medication is not fully used</w:t>
      </w:r>
    </w:p>
    <w:p w:rsidR="0014166D" w:rsidRDefault="0014166D" w:rsidP="0014166D">
      <w:r>
        <w:t>Once estimated drug regimens have been determined for every week, then transitions can be computed.</w:t>
      </w:r>
    </w:p>
    <w:p w:rsidR="0014166D" w:rsidRDefault="0014166D" w:rsidP="0014166D">
      <w:r>
        <w:t>These are useful for determining patient behaviour up</w:t>
      </w:r>
      <w:r w:rsidR="00E42223">
        <w:t>on initiation of a drug; e.g. A</w:t>
      </w:r>
      <w:r w:rsidR="00E42223" w:rsidRPr="005E6C3B">
        <w:rPr>
          <w:rFonts w:cstheme="minorHAnsi"/>
          <w:lang w:val="en-US"/>
        </w:rPr>
        <w:sym w:font="Wingdings" w:char="F0E0"/>
      </w:r>
      <w:r>
        <w:t>A+B (adding to existing therapy), A</w:t>
      </w:r>
      <w:r w:rsidRPr="005E6C3B">
        <w:rPr>
          <w:rFonts w:cstheme="minorHAnsi"/>
          <w:lang w:val="en-US"/>
        </w:rPr>
        <w:sym w:font="Wingdings" w:char="F0E0"/>
      </w:r>
      <w:r>
        <w:t>B (switching) or None</w:t>
      </w:r>
      <w:r w:rsidRPr="005E6C3B">
        <w:rPr>
          <w:rFonts w:cstheme="minorHAnsi"/>
          <w:lang w:val="en-US"/>
        </w:rPr>
        <w:sym w:font="Wingdings" w:char="F0E0"/>
      </w:r>
      <w:r>
        <w:t>A (starting therapy).</w:t>
      </w:r>
    </w:p>
    <w:p w:rsidR="0014166D" w:rsidRPr="005E6C3B" w:rsidRDefault="0014166D" w:rsidP="0014166D">
      <w:pPr>
        <w:rPr>
          <w:rFonts w:cstheme="minorHAnsi"/>
          <w:lang w:val="en-US"/>
        </w:rPr>
      </w:pPr>
      <w:r w:rsidRPr="005E6C3B">
        <w:rPr>
          <w:rFonts w:cstheme="minorHAnsi"/>
          <w:lang w:val="en-US"/>
        </w:rPr>
        <w:t>The transitions can be;</w:t>
      </w:r>
    </w:p>
    <w:p w:rsidR="0014166D" w:rsidRPr="005E6C3B" w:rsidRDefault="0014166D" w:rsidP="0014166D">
      <w:pPr>
        <w:pStyle w:val="ListParagraph"/>
        <w:numPr>
          <w:ilvl w:val="0"/>
          <w:numId w:val="10"/>
        </w:numPr>
        <w:spacing w:after="0"/>
        <w:rPr>
          <w:rFonts w:cstheme="minorHAnsi"/>
          <w:lang w:val="en-US"/>
        </w:rPr>
      </w:pPr>
      <w:r w:rsidRPr="005E6C3B">
        <w:rPr>
          <w:rFonts w:cstheme="minorHAnsi"/>
          <w:lang w:val="en-US"/>
        </w:rPr>
        <w:t xml:space="preserve">previous drug regimen </w:t>
      </w:r>
      <w:r w:rsidRPr="005E6C3B">
        <w:rPr>
          <w:rFonts w:cstheme="minorHAnsi"/>
          <w:lang w:val="en-US"/>
        </w:rPr>
        <w:sym w:font="Wingdings" w:char="F0E0"/>
      </w:r>
      <w:r w:rsidRPr="005E6C3B">
        <w:rPr>
          <w:rFonts w:cstheme="minorHAnsi"/>
          <w:lang w:val="en-US"/>
        </w:rPr>
        <w:t>drug regimen at week x, or</w:t>
      </w:r>
    </w:p>
    <w:p w:rsidR="0014166D" w:rsidRPr="00CC7E61" w:rsidRDefault="0014166D" w:rsidP="0014166D">
      <w:pPr>
        <w:pStyle w:val="ListParagraph"/>
        <w:numPr>
          <w:ilvl w:val="0"/>
          <w:numId w:val="10"/>
        </w:numPr>
        <w:rPr>
          <w:rFonts w:cstheme="minorHAnsi"/>
          <w:lang w:val="en-US"/>
        </w:rPr>
      </w:pPr>
      <w:r w:rsidRPr="00CC7E61">
        <w:rPr>
          <w:rFonts w:cstheme="minorHAnsi"/>
          <w:lang w:val="en-US"/>
        </w:rPr>
        <w:t>drug regimen at w</w:t>
      </w:r>
      <w:r>
        <w:rPr>
          <w:rFonts w:cstheme="minorHAnsi"/>
          <w:lang w:val="en-US"/>
        </w:rPr>
        <w:t xml:space="preserve">eek -1 </w:t>
      </w:r>
      <w:r w:rsidRPr="005E6C3B">
        <w:rPr>
          <w:rFonts w:cstheme="minorHAnsi"/>
          <w:lang w:val="en-US"/>
        </w:rPr>
        <w:sym w:font="Wingdings" w:char="F0E0"/>
      </w:r>
      <w:r w:rsidRPr="00CC7E61">
        <w:rPr>
          <w:rFonts w:cstheme="minorHAnsi"/>
          <w:lang w:val="en-US"/>
        </w:rPr>
        <w:t>drug regimen at week x</w:t>
      </w:r>
    </w:p>
    <w:p w:rsidR="0014166D" w:rsidRPr="005E6C3B" w:rsidRDefault="0014166D" w:rsidP="0014166D">
      <w:pPr>
        <w:rPr>
          <w:rFonts w:cstheme="minorHAnsi"/>
          <w:lang w:val="en-US"/>
        </w:rPr>
      </w:pPr>
      <w:r w:rsidRPr="005E6C3B">
        <w:rPr>
          <w:rFonts w:cstheme="minorHAnsi"/>
          <w:lang w:val="en-US"/>
        </w:rPr>
        <w:t xml:space="preserve">Option A has the advantage that it can be calculated at any week, whereas Option B can only be calculated after initiation (i.e. from week 0). The main advantages of Option B are that it can easily be used to adjust the drug regimen in the first few weeks after initiation to allow for switching when the prior medication is not fully used. That is, if a patient switches from A to B, in the first few weeks after initiation to drug B the drug regimen may be incorrectly estimated to be A+B if the patient still has drug A “on hand” (i.e. some is unused) when drug B is initiated. </w:t>
      </w:r>
    </w:p>
    <w:p w:rsidR="0014166D" w:rsidRPr="005E6C3B" w:rsidRDefault="0014166D" w:rsidP="0014166D">
      <w:pPr>
        <w:rPr>
          <w:rFonts w:cstheme="minorHAnsi"/>
          <w:lang w:val="en-US"/>
        </w:rPr>
      </w:pPr>
      <w:r w:rsidRPr="005E6C3B">
        <w:rPr>
          <w:rFonts w:cstheme="minorHAnsi"/>
          <w:lang w:val="en-US"/>
        </w:rPr>
        <w:t>The regimen transitions are adjusted so that if a regimen transition corresponding to a switch (e.g. A</w:t>
      </w:r>
      <w:r w:rsidRPr="005E6C3B">
        <w:rPr>
          <w:rFonts w:cstheme="minorHAnsi"/>
          <w:lang w:val="en-US"/>
        </w:rPr>
        <w:sym w:font="Wingdings" w:char="F0E0"/>
      </w:r>
      <w:r w:rsidRPr="005E6C3B">
        <w:rPr>
          <w:rFonts w:cstheme="minorHAnsi"/>
          <w:lang w:val="en-US"/>
        </w:rPr>
        <w:t xml:space="preserve">B) is detected within the first </w:t>
      </w:r>
      <w:r>
        <w:rPr>
          <w:rFonts w:cstheme="minorHAnsi"/>
          <w:lang w:val="en-US"/>
        </w:rPr>
        <w:t>X</w:t>
      </w:r>
      <w:r w:rsidRPr="005E6C3B">
        <w:rPr>
          <w:rFonts w:cstheme="minorHAnsi"/>
          <w:lang w:val="en-US"/>
        </w:rPr>
        <w:t xml:space="preserve"> weeks after initiation (e.g. at week </w:t>
      </w:r>
      <w:r>
        <w:rPr>
          <w:rFonts w:cstheme="minorHAnsi"/>
          <w:lang w:val="en-US"/>
        </w:rPr>
        <w:t>Y</w:t>
      </w:r>
      <w:r w:rsidRPr="005E6C3B">
        <w:rPr>
          <w:rFonts w:cstheme="minorHAnsi"/>
          <w:lang w:val="en-US"/>
        </w:rPr>
        <w:t xml:space="preserve">), then all weeks between the initiation (i.e. week 0) and week </w:t>
      </w:r>
      <w:r>
        <w:rPr>
          <w:rFonts w:cstheme="minorHAnsi"/>
          <w:lang w:val="en-US"/>
        </w:rPr>
        <w:t>Y</w:t>
      </w:r>
      <w:r w:rsidRPr="005E6C3B">
        <w:rPr>
          <w:rFonts w:cstheme="minorHAnsi"/>
          <w:lang w:val="en-US"/>
        </w:rPr>
        <w:t xml:space="preserve"> are modified to the switch transition (i.e. A-B). This means some instances of "A</w:t>
      </w:r>
      <w:r w:rsidRPr="005E6C3B">
        <w:rPr>
          <w:rFonts w:cstheme="minorHAnsi"/>
          <w:lang w:val="en-US"/>
        </w:rPr>
        <w:sym w:font="Wingdings" w:char="F0E0"/>
      </w:r>
      <w:r w:rsidRPr="005E6C3B">
        <w:rPr>
          <w:rFonts w:cstheme="minorHAnsi"/>
          <w:lang w:val="en-US"/>
        </w:rPr>
        <w:t>A+B" (apparent co-administration after a switch) are modified to "A</w:t>
      </w:r>
      <w:r w:rsidRPr="005E6C3B">
        <w:rPr>
          <w:rFonts w:cstheme="minorHAnsi"/>
          <w:lang w:val="en-US"/>
        </w:rPr>
        <w:sym w:font="Wingdings" w:char="F0E0"/>
      </w:r>
      <w:r w:rsidRPr="005E6C3B">
        <w:rPr>
          <w:rFonts w:cstheme="minorHAnsi"/>
          <w:lang w:val="en-US"/>
        </w:rPr>
        <w:t xml:space="preserve">B" from week 0 to week </w:t>
      </w:r>
      <w:r>
        <w:rPr>
          <w:rFonts w:cstheme="minorHAnsi"/>
          <w:lang w:val="en-US"/>
        </w:rPr>
        <w:t>Y</w:t>
      </w:r>
      <w:r w:rsidRPr="005E6C3B">
        <w:rPr>
          <w:rFonts w:cstheme="minorHAnsi"/>
          <w:lang w:val="en-US"/>
        </w:rPr>
        <w:t xml:space="preserve"> (where </w:t>
      </w:r>
      <w:r>
        <w:rPr>
          <w:rFonts w:cstheme="minorHAnsi"/>
          <w:lang w:val="en-US"/>
        </w:rPr>
        <w:t>Y</w:t>
      </w:r>
      <w:r w:rsidRPr="005E6C3B">
        <w:rPr>
          <w:rFonts w:cstheme="minorHAnsi"/>
          <w:lang w:val="en-US"/>
        </w:rPr>
        <w:t xml:space="preserve"> ≤</w:t>
      </w:r>
      <w:r>
        <w:rPr>
          <w:rFonts w:cstheme="minorHAnsi"/>
          <w:lang w:val="en-US"/>
        </w:rPr>
        <w:t xml:space="preserve"> X</w:t>
      </w:r>
      <w:r w:rsidRPr="005E6C3B">
        <w:rPr>
          <w:rFonts w:cstheme="minorHAnsi"/>
          <w:lang w:val="en-US"/>
        </w:rPr>
        <w:t>).</w:t>
      </w:r>
      <w:r>
        <w:rPr>
          <w:rFonts w:cstheme="minorHAnsi"/>
          <w:lang w:val="en-US"/>
        </w:rPr>
        <w:t xml:space="preserve"> The value of X is the 1 week + SCD (expressed in weeks) for the drug or drug group that is being substituted.</w:t>
      </w:r>
    </w:p>
    <w:p w:rsidR="0014166D" w:rsidRPr="005E6C3B" w:rsidRDefault="0014166D" w:rsidP="0014166D">
      <w:pPr>
        <w:rPr>
          <w:rFonts w:cstheme="minorHAnsi"/>
          <w:lang w:val="en-US"/>
        </w:rPr>
      </w:pPr>
      <w:r w:rsidRPr="005E6C3B">
        <w:rPr>
          <w:rFonts w:cstheme="minorHAnsi"/>
          <w:lang w:val="en-US"/>
        </w:rPr>
        <w:t xml:space="preserve">This means that if </w:t>
      </w:r>
      <w:r>
        <w:rPr>
          <w:rFonts w:cstheme="minorHAnsi"/>
          <w:lang w:val="en-US"/>
        </w:rPr>
        <w:t xml:space="preserve">a drug A </w:t>
      </w:r>
      <w:r w:rsidRPr="005E6C3B">
        <w:rPr>
          <w:rFonts w:cstheme="minorHAnsi"/>
          <w:lang w:val="en-US"/>
        </w:rPr>
        <w:t xml:space="preserve">was supplied 1 day before an initiation to </w:t>
      </w:r>
      <w:r>
        <w:rPr>
          <w:rFonts w:cstheme="minorHAnsi"/>
          <w:lang w:val="en-US"/>
        </w:rPr>
        <w:t>drug B</w:t>
      </w:r>
      <w:r w:rsidRPr="005E6C3B">
        <w:rPr>
          <w:rFonts w:cstheme="minorHAnsi"/>
          <w:lang w:val="en-US"/>
        </w:rPr>
        <w:t xml:space="preserve"> and then there were no further supplies of </w:t>
      </w:r>
      <w:r>
        <w:rPr>
          <w:rFonts w:cstheme="minorHAnsi"/>
          <w:lang w:val="en-US"/>
        </w:rPr>
        <w:t>drug A</w:t>
      </w:r>
      <w:r w:rsidRPr="005E6C3B">
        <w:rPr>
          <w:rFonts w:cstheme="minorHAnsi"/>
          <w:lang w:val="en-US"/>
        </w:rPr>
        <w:t xml:space="preserve">, then there would be apparent co-administration of </w:t>
      </w:r>
      <w:r>
        <w:rPr>
          <w:rFonts w:cstheme="minorHAnsi"/>
          <w:lang w:val="en-US"/>
        </w:rPr>
        <w:t>A</w:t>
      </w:r>
      <w:r w:rsidRPr="005E6C3B">
        <w:rPr>
          <w:rFonts w:cstheme="minorHAnsi"/>
          <w:lang w:val="en-US"/>
        </w:rPr>
        <w:t xml:space="preserve"> and </w:t>
      </w:r>
      <w:r>
        <w:rPr>
          <w:rFonts w:cstheme="minorHAnsi"/>
          <w:lang w:val="en-US"/>
        </w:rPr>
        <w:t>B</w:t>
      </w:r>
      <w:r w:rsidRPr="005E6C3B">
        <w:rPr>
          <w:rFonts w:cstheme="minorHAnsi"/>
          <w:lang w:val="en-US"/>
        </w:rPr>
        <w:t xml:space="preserve"> from week 0 to week </w:t>
      </w:r>
      <w:r>
        <w:rPr>
          <w:rFonts w:cstheme="minorHAnsi"/>
          <w:lang w:val="en-US"/>
        </w:rPr>
        <w:t xml:space="preserve">X-1 and </w:t>
      </w:r>
      <w:r w:rsidRPr="005E6C3B">
        <w:rPr>
          <w:rFonts w:cstheme="minorHAnsi"/>
          <w:lang w:val="en-US"/>
        </w:rPr>
        <w:t xml:space="preserve">in week </w:t>
      </w:r>
      <w:r>
        <w:rPr>
          <w:rFonts w:cstheme="minorHAnsi"/>
          <w:lang w:val="en-US"/>
        </w:rPr>
        <w:t>X</w:t>
      </w:r>
      <w:r w:rsidRPr="005E6C3B">
        <w:rPr>
          <w:rFonts w:cstheme="minorHAnsi"/>
          <w:lang w:val="en-US"/>
        </w:rPr>
        <w:t xml:space="preserve"> the drug regimen would be </w:t>
      </w:r>
      <w:r>
        <w:rPr>
          <w:rFonts w:cstheme="minorHAnsi"/>
          <w:lang w:val="en-US"/>
        </w:rPr>
        <w:t>drug B</w:t>
      </w:r>
      <w:r w:rsidRPr="005E6C3B">
        <w:rPr>
          <w:rFonts w:cstheme="minorHAnsi"/>
          <w:lang w:val="en-US"/>
        </w:rPr>
        <w:t xml:space="preserve"> only and considered a switch</w:t>
      </w:r>
      <w:r>
        <w:rPr>
          <w:rFonts w:cstheme="minorHAnsi"/>
          <w:lang w:val="en-US"/>
        </w:rPr>
        <w:t>. Thus the regimens from weeks 0 to X-1 would be modified to be dug B only</w:t>
      </w:r>
      <w:r w:rsidRPr="005E6C3B">
        <w:rPr>
          <w:rFonts w:cstheme="minorHAnsi"/>
          <w:lang w:val="en-US"/>
        </w:rPr>
        <w:t xml:space="preserve">. If a switch is first detected in week </w:t>
      </w:r>
      <w:r>
        <w:rPr>
          <w:rFonts w:cstheme="minorHAnsi"/>
          <w:lang w:val="en-US"/>
        </w:rPr>
        <w:t xml:space="preserve">X +1 </w:t>
      </w:r>
      <w:r w:rsidRPr="005E6C3B">
        <w:rPr>
          <w:rFonts w:cstheme="minorHAnsi"/>
          <w:lang w:val="en-US"/>
        </w:rPr>
        <w:t xml:space="preserve">then the </w:t>
      </w:r>
      <w:r>
        <w:rPr>
          <w:rFonts w:cstheme="minorHAnsi"/>
          <w:lang w:val="en-US"/>
        </w:rPr>
        <w:t xml:space="preserve">A </w:t>
      </w:r>
      <w:r w:rsidRPr="005E6C3B">
        <w:rPr>
          <w:rFonts w:cstheme="minorHAnsi"/>
          <w:lang w:val="en-US"/>
        </w:rPr>
        <w:t xml:space="preserve">script would have been supplied in week 0 (i.e. at or after initiation to </w:t>
      </w:r>
      <w:r>
        <w:rPr>
          <w:rFonts w:cstheme="minorHAnsi"/>
          <w:lang w:val="en-US"/>
        </w:rPr>
        <w:t>drug B</w:t>
      </w:r>
      <w:r w:rsidRPr="005E6C3B">
        <w:rPr>
          <w:rFonts w:cstheme="minorHAnsi"/>
          <w:lang w:val="en-US"/>
        </w:rPr>
        <w:t xml:space="preserve">) and this would mean that the transition was not a switch, but an add. Thus the logic is only applied to weeks 0 to </w:t>
      </w:r>
      <w:r>
        <w:rPr>
          <w:rFonts w:cstheme="minorHAnsi"/>
          <w:lang w:val="en-US"/>
        </w:rPr>
        <w:t>X</w:t>
      </w:r>
      <w:r w:rsidRPr="005E6C3B">
        <w:rPr>
          <w:rFonts w:cstheme="minorHAnsi"/>
          <w:lang w:val="en-US"/>
        </w:rPr>
        <w:t xml:space="preserve">. </w:t>
      </w:r>
    </w:p>
    <w:p w:rsidR="0014166D" w:rsidRPr="005E6C3B" w:rsidRDefault="0014166D" w:rsidP="0014166D">
      <w:pPr>
        <w:rPr>
          <w:rFonts w:cstheme="minorHAnsi"/>
          <w:lang w:val="en-US"/>
        </w:rPr>
      </w:pPr>
      <w:r w:rsidRPr="005E6C3B">
        <w:rPr>
          <w:rFonts w:cstheme="minorHAnsi"/>
          <w:lang w:val="en-US"/>
        </w:rPr>
        <w:t>A transition is considered a switch if a drug in the regimen prior to initiation (the week=-1 regimen) is not in the regimen post initiation (i.e. the week=0 regimen).</w:t>
      </w:r>
      <w:r w:rsidRPr="005E6C3B">
        <w:rPr>
          <w:rFonts w:cstheme="minorHAnsi"/>
          <w:lang w:val="en-US"/>
        </w:rPr>
        <w:tab/>
      </w:r>
    </w:p>
    <w:p w:rsidR="0014166D" w:rsidRPr="005E6C3B" w:rsidRDefault="0014166D" w:rsidP="0014166D">
      <w:pPr>
        <w:rPr>
          <w:rFonts w:cstheme="minorHAnsi"/>
          <w:lang w:val="en-US"/>
        </w:rPr>
      </w:pPr>
      <w:r w:rsidRPr="005E6C3B">
        <w:rPr>
          <w:rFonts w:cstheme="minorHAnsi"/>
          <w:lang w:val="en-US"/>
        </w:rPr>
        <w:t>After this transition adjustment, the drug regimens can also be adjusted by using the regimen after the arrow in the adjusted regimen transition. That is, if a transition gets adjusted from A</w:t>
      </w:r>
      <w:r w:rsidRPr="005E6C3B">
        <w:rPr>
          <w:rFonts w:cstheme="minorHAnsi"/>
          <w:lang w:val="en-US"/>
        </w:rPr>
        <w:sym w:font="Wingdings" w:char="F0E0"/>
      </w:r>
      <w:r w:rsidRPr="005E6C3B">
        <w:rPr>
          <w:rFonts w:cstheme="minorHAnsi"/>
          <w:lang w:val="en-US"/>
        </w:rPr>
        <w:t>A+B to A</w:t>
      </w:r>
      <w:r w:rsidRPr="005E6C3B">
        <w:rPr>
          <w:rFonts w:cstheme="minorHAnsi"/>
          <w:lang w:val="en-US"/>
        </w:rPr>
        <w:sym w:font="Wingdings" w:char="F0E0"/>
      </w:r>
      <w:r w:rsidRPr="005E6C3B">
        <w:rPr>
          <w:rFonts w:cstheme="minorHAnsi"/>
          <w:lang w:val="en-US"/>
        </w:rPr>
        <w:t xml:space="preserve">B in week </w:t>
      </w:r>
      <w:r>
        <w:rPr>
          <w:rFonts w:cstheme="minorHAnsi"/>
          <w:lang w:val="en-US"/>
        </w:rPr>
        <w:t>Y</w:t>
      </w:r>
      <w:r w:rsidRPr="005E6C3B">
        <w:rPr>
          <w:rFonts w:cstheme="minorHAnsi"/>
          <w:lang w:val="en-US"/>
        </w:rPr>
        <w:t xml:space="preserve"> then the adjusted drug regimen for week </w:t>
      </w:r>
      <w:r>
        <w:rPr>
          <w:rFonts w:cstheme="minorHAnsi"/>
          <w:lang w:val="en-US"/>
        </w:rPr>
        <w:t>Y</w:t>
      </w:r>
      <w:r w:rsidRPr="005E6C3B">
        <w:rPr>
          <w:rFonts w:cstheme="minorHAnsi"/>
          <w:lang w:val="en-US"/>
        </w:rPr>
        <w:t xml:space="preserve"> changes from A+B to B. Thus even though the drug regimen is calculated first, its adjustment is dependent on both the regimen transition and adjusted regimen transition. Thus the sequence of calculations is;</w:t>
      </w:r>
    </w:p>
    <w:p w:rsidR="0014166D" w:rsidRPr="005E6C3B" w:rsidRDefault="0014166D" w:rsidP="0014166D">
      <w:pPr>
        <w:pStyle w:val="ListParagraph"/>
        <w:numPr>
          <w:ilvl w:val="0"/>
          <w:numId w:val="11"/>
        </w:numPr>
        <w:spacing w:after="0"/>
        <w:rPr>
          <w:rFonts w:cstheme="minorHAnsi"/>
          <w:lang w:val="en-US"/>
        </w:rPr>
      </w:pPr>
      <w:r w:rsidRPr="005E6C3B">
        <w:rPr>
          <w:rFonts w:cstheme="minorHAnsi"/>
          <w:lang w:val="en-US"/>
        </w:rPr>
        <w:t>drug regimens</w:t>
      </w:r>
    </w:p>
    <w:p w:rsidR="0014166D" w:rsidRPr="005E6C3B" w:rsidRDefault="0014166D" w:rsidP="0014166D">
      <w:pPr>
        <w:pStyle w:val="ListParagraph"/>
        <w:numPr>
          <w:ilvl w:val="0"/>
          <w:numId w:val="11"/>
        </w:numPr>
        <w:spacing w:after="0"/>
        <w:rPr>
          <w:rFonts w:cstheme="minorHAnsi"/>
          <w:lang w:val="en-US"/>
        </w:rPr>
      </w:pPr>
      <w:r w:rsidRPr="005E6C3B">
        <w:rPr>
          <w:rFonts w:cstheme="minorHAnsi"/>
          <w:lang w:val="en-US"/>
        </w:rPr>
        <w:t>drug regimen transitions around initiation</w:t>
      </w:r>
    </w:p>
    <w:p w:rsidR="0014166D" w:rsidRPr="005E6C3B" w:rsidRDefault="0014166D" w:rsidP="0014166D">
      <w:pPr>
        <w:pStyle w:val="ListParagraph"/>
        <w:numPr>
          <w:ilvl w:val="0"/>
          <w:numId w:val="11"/>
        </w:numPr>
        <w:spacing w:after="0"/>
        <w:rPr>
          <w:rFonts w:cstheme="minorHAnsi"/>
          <w:lang w:val="en-US"/>
        </w:rPr>
      </w:pPr>
      <w:r w:rsidRPr="005E6C3B">
        <w:rPr>
          <w:rFonts w:cstheme="minorHAnsi"/>
          <w:lang w:val="en-US"/>
        </w:rPr>
        <w:t>adjusted drug regimen transitions</w:t>
      </w:r>
    </w:p>
    <w:p w:rsidR="0014166D" w:rsidRDefault="0014166D" w:rsidP="0014166D">
      <w:pPr>
        <w:pStyle w:val="ListParagraph"/>
        <w:numPr>
          <w:ilvl w:val="0"/>
          <w:numId w:val="11"/>
        </w:numPr>
        <w:rPr>
          <w:rFonts w:cstheme="minorHAnsi"/>
          <w:lang w:val="en-US"/>
        </w:rPr>
      </w:pPr>
      <w:r w:rsidRPr="005E6C3B">
        <w:rPr>
          <w:rFonts w:cstheme="minorHAnsi"/>
          <w:lang w:val="en-US"/>
        </w:rPr>
        <w:t>adjusted drug regimens</w:t>
      </w:r>
    </w:p>
    <w:p w:rsidR="0014166D" w:rsidRDefault="0014166D" w:rsidP="0014166D">
      <w:pPr>
        <w:rPr>
          <w:rFonts w:cstheme="minorHAnsi"/>
        </w:rPr>
      </w:pPr>
      <w:r w:rsidRPr="004649AB">
        <w:rPr>
          <w:rFonts w:cstheme="minorHAnsi"/>
        </w:rPr>
        <w:t>The above adjustment process is reliant on having regard to drug initiations. If the analysis is for prevalent drug regimens only (i.e. regimens by calendar week and not relative to an initiation date) then the above adjustment is not possible. This is not a major problem as the overestimation of co-administration (e.g. A</w:t>
      </w:r>
      <w:r w:rsidRPr="005E6C3B">
        <w:sym w:font="Wingdings" w:char="F0E0"/>
      </w:r>
      <w:r w:rsidRPr="004649AB">
        <w:rPr>
          <w:rFonts w:cstheme="minorHAnsi"/>
        </w:rPr>
        <w:t>A+B instead of A</w:t>
      </w:r>
      <w:r w:rsidRPr="005E6C3B">
        <w:sym w:font="Wingdings" w:char="F0E0"/>
      </w:r>
      <w:r w:rsidRPr="004649AB">
        <w:rPr>
          <w:rFonts w:cstheme="minorHAnsi"/>
        </w:rPr>
        <w:t>B) is greatest in the month after initiation. In a prevalent patient analysis, patient initiations (to any and all drugs) are spread out in time (i.e. all patients do not generally initiate in the same week), and so the overestimation is also spread out over time and so minimised. In an initiating patient analysis, all over-estimations occur at the same time (as time is relative to the initiation week) and so the overestimation is significant and so needs to be adjusted for.  In theory in a prevalent patient analysis, it is possible to do an initiation analysis for every drug and so find adjusted drug regimens that can then be re-expressed in calendar weeks. In practice this is too resource intensive and is unlikely to be make a significant difference to the prevalent patient drug regimens.</w:t>
      </w:r>
    </w:p>
    <w:p w:rsidR="0014166D" w:rsidRPr="00344683" w:rsidRDefault="0014166D" w:rsidP="0014166D">
      <w:pPr>
        <w:rPr>
          <w:rFonts w:cstheme="minorHAnsi"/>
          <w:b/>
        </w:rPr>
      </w:pPr>
      <w:r w:rsidRPr="00344683">
        <w:rPr>
          <w:rFonts w:cstheme="minorHAnsi"/>
          <w:b/>
        </w:rPr>
        <w:t>3.</w:t>
      </w:r>
      <w:r w:rsidRPr="00344683">
        <w:rPr>
          <w:rFonts w:cstheme="minorHAnsi"/>
          <w:b/>
        </w:rPr>
        <w:tab/>
        <w:t>Adjustment to allow for stockpiling of medication, both same-day supply and supplies on different days</w:t>
      </w:r>
    </w:p>
    <w:p w:rsidR="0014166D" w:rsidRPr="00344683" w:rsidRDefault="0014166D" w:rsidP="0014166D">
      <w:pPr>
        <w:rPr>
          <w:rFonts w:cstheme="minorHAnsi"/>
        </w:rPr>
      </w:pPr>
      <w:r w:rsidRPr="00344683">
        <w:rPr>
          <w:rFonts w:cstheme="minorHAnsi"/>
        </w:rPr>
        <w:t>The two step methodology outlined in point 1 and refined by logic in point 2 above did not take into account the phenomenon of stockpiling. This often occurs towards the end of the calendar year when a Safety Net card holder fills prescriptions more frequently than expected, so as to stockpile the medicine and avoid a higher co-payment in the next calendar year when they lose Safety Net eligibility. Stockpiling can also occur at other times of the year. Step 1 can impute higher rates of breaks in episodes around February. This is likely to be due to the stockpiling effect and not due to genuine breaks in treatment. Thus the rule to estimate the prescription coverage end date was modified to be the greater of;</w:t>
      </w:r>
    </w:p>
    <w:p w:rsidR="0014166D" w:rsidRDefault="0014166D" w:rsidP="0014166D">
      <w:pPr>
        <w:pStyle w:val="ListParagraph"/>
        <w:numPr>
          <w:ilvl w:val="0"/>
          <w:numId w:val="12"/>
        </w:numPr>
        <w:ind w:left="360"/>
      </w:pPr>
      <w:r w:rsidRPr="00344683">
        <w:t>the predicted coverage end date of the previous prescription plus the standard coverage days (SCD); and,</w:t>
      </w:r>
    </w:p>
    <w:p w:rsidR="0014166D" w:rsidRDefault="0014166D" w:rsidP="0014166D">
      <w:pPr>
        <w:pStyle w:val="ListParagraph"/>
        <w:numPr>
          <w:ilvl w:val="0"/>
          <w:numId w:val="12"/>
        </w:numPr>
        <w:ind w:left="360"/>
      </w:pPr>
      <w:r w:rsidRPr="00344683">
        <w:t>the actual refill date of the previous prescription plus the SCD.</w:t>
      </w:r>
    </w:p>
    <w:p w:rsidR="0014166D" w:rsidRDefault="0014166D" w:rsidP="0014166D">
      <w:r>
        <w:t>This way of calculating the prescription coverage end date takes into account medication stockpiling (i.e. early supply). The logic of the break rule remained unchanged, that is;</w:t>
      </w:r>
    </w:p>
    <w:p w:rsidR="0014166D" w:rsidRDefault="0014166D" w:rsidP="0014166D">
      <w:pPr>
        <w:pStyle w:val="ListParagraph"/>
        <w:numPr>
          <w:ilvl w:val="0"/>
          <w:numId w:val="13"/>
        </w:numPr>
        <w:ind w:left="360"/>
      </w:pPr>
      <w:r>
        <w:t>a break was where a prescription was supplied 2 x SCD or more after the coverage end date of the previous prescription for the same drug or drug group.</w:t>
      </w:r>
    </w:p>
    <w:p w:rsidR="0014166D" w:rsidRDefault="0014166D" w:rsidP="0014166D">
      <w:r>
        <w:t>Application of this refinement results in the reduction of the extent of seasonality in the number of breaks in episodes.</w:t>
      </w:r>
    </w:p>
    <w:p w:rsidR="0014166D" w:rsidRDefault="0014166D" w:rsidP="0014166D">
      <w:r>
        <w:t>If multiple prescriptions of the same drug (but not the same strength) or drug group are supplied on the same day, it was assumed that these were necessary for the prescribed dose for the SCD and not for an extension of coverage.</w:t>
      </w:r>
    </w:p>
    <w:p w:rsidR="0014166D" w:rsidRDefault="0014166D" w:rsidP="0014166D">
      <w:r>
        <w:t>If multiple prescriptions of the same drug are supplied it is generally for two different strengths to enable the prescribed dose to be administered. If two prescriptions for the same strength (as opposed to increased quantity for a single script) are supplied, the method assumes this is similar to stockpiling (i.e. same day stockpiling) and the predicted coverage end date is extended to be the greater of;</w:t>
      </w:r>
    </w:p>
    <w:p w:rsidR="0014166D" w:rsidRDefault="0014166D" w:rsidP="0014166D">
      <w:pPr>
        <w:pStyle w:val="ListParagraph"/>
        <w:numPr>
          <w:ilvl w:val="0"/>
          <w:numId w:val="13"/>
        </w:numPr>
        <w:ind w:left="360"/>
      </w:pPr>
      <w:r>
        <w:t>the predicted coverage end date of the previous prescription plus n x SCD; and,</w:t>
      </w:r>
    </w:p>
    <w:p w:rsidR="0014166D" w:rsidRDefault="0014166D" w:rsidP="0014166D">
      <w:pPr>
        <w:pStyle w:val="ListParagraph"/>
        <w:numPr>
          <w:ilvl w:val="0"/>
          <w:numId w:val="13"/>
        </w:numPr>
        <w:spacing w:after="0"/>
        <w:ind w:left="360"/>
      </w:pPr>
      <w:r>
        <w:t>the actual refill date of the previous prescription plus n x SCD</w:t>
      </w:r>
    </w:p>
    <w:p w:rsidR="0014166D" w:rsidRDefault="0014166D" w:rsidP="0014166D">
      <w:r>
        <w:t>where n = number of prescriptions on the same day.</w:t>
      </w:r>
    </w:p>
    <w:p w:rsidR="0014166D" w:rsidRDefault="0014166D" w:rsidP="0014166D">
      <w:r>
        <w:t>A special case of multiple prescriptions being supplied on the same day is Regulation 24 prescriptions.</w:t>
      </w:r>
    </w:p>
    <w:p w:rsidR="0014166D" w:rsidRDefault="0014166D" w:rsidP="0014166D">
      <w:r>
        <w:t>If the original and repeat prescriptions were supplied under Regulation 24 on the same day, then this was assumed to extend the coverage period (i.e. coverage period = prescriptions x SCD).</w:t>
      </w:r>
    </w:p>
    <w:p w:rsidR="0014166D" w:rsidRDefault="0014166D" w:rsidP="0014166D">
      <w:r w:rsidRPr="00B36160">
        <w:rPr>
          <w:b/>
        </w:rPr>
        <w:t>4.</w:t>
      </w:r>
      <w:r w:rsidRPr="00B36160">
        <w:rPr>
          <w:b/>
        </w:rPr>
        <w:tab/>
        <w:t>Change in the rules for prescriptions whose coverage spans the initiation data; - removal of stockpiling rule</w:t>
      </w:r>
    </w:p>
    <w:p w:rsidR="0014166D" w:rsidRDefault="0014166D" w:rsidP="0014166D">
      <w:r>
        <w:t>It was found that the stockpiling rule could result in the script coverage end date getting considerably ahead of the script supply date. This is the intent of the rule, however when a new drug B was initiated the stockpiling rules was resulting in the imputation that the new drug B was being added to an existing drug A, when in all probability it was substituting drug A. To correct for this, the script coverage rule was changed so that if the script coverage period for a drug A script included the initiation date for drug B, then the stockpiling rule would not apply to the drug A script (i.e. its coverage would be from its supply date to the supply date + SCD). The rationale for this change is that even if patient has a lot of drug A on hand, the decision by the prescriber to initiate a new drug means that a switch could have occurred.</w:t>
      </w:r>
    </w:p>
    <w:p w:rsidR="0014166D" w:rsidRPr="00DB0EA9" w:rsidRDefault="0014166D" w:rsidP="0014166D">
      <w:pPr>
        <w:rPr>
          <w:b/>
        </w:rPr>
      </w:pPr>
      <w:r w:rsidRPr="00DB0EA9">
        <w:rPr>
          <w:b/>
        </w:rPr>
        <w:t>5.</w:t>
      </w:r>
      <w:r w:rsidRPr="00DB0EA9">
        <w:rPr>
          <w:b/>
        </w:rPr>
        <w:tab/>
        <w:t>Estimating if a patient is continuing or stopping after their last script</w:t>
      </w:r>
    </w:p>
    <w:p w:rsidR="0014166D" w:rsidRDefault="0014166D" w:rsidP="0014166D">
      <w:r>
        <w:t>If the last script in a patients script history is supplied within 2 x SCD of the end of the data period then the treatment is estimated to be continuing at the end of the data period (i.e. the episode coverage end date is set to the end date of the data period). Otherwise the treatment episode is estimated to have stopped and the episode coverage end date is equal to If the last script in a patients script history plus 1 x SCD.</w:t>
      </w:r>
    </w:p>
    <w:p w:rsidR="0014166D" w:rsidRPr="0091074E" w:rsidRDefault="00210897" w:rsidP="0014166D">
      <w:pPr>
        <w:pStyle w:val="Tableheading"/>
        <w:jc w:val="left"/>
      </w:pPr>
      <w:r>
        <w:t>Table B.</w:t>
      </w:r>
      <w:r w:rsidR="0014166D">
        <w:t xml:space="preserve">1: </w:t>
      </w:r>
      <w:r w:rsidR="0014166D" w:rsidRPr="0091074E">
        <w:t>Standard Coverage Days used in this analysis</w:t>
      </w:r>
    </w:p>
    <w:tbl>
      <w:tblPr>
        <w:tblStyle w:val="TableGrid"/>
        <w:tblW w:w="3477" w:type="pct"/>
        <w:tblInd w:w="108" w:type="dxa"/>
        <w:tblLook w:val="04A0" w:firstRow="1" w:lastRow="0" w:firstColumn="1" w:lastColumn="0" w:noHBand="0" w:noVBand="1"/>
        <w:tblCaption w:val="Table A1 describes the standard coverage days used in the analysis"/>
        <w:tblDescription w:val="It lists the drug or drug group and the median time to re-supply by any item of the same drug or drug group"/>
      </w:tblPr>
      <w:tblGrid>
        <w:gridCol w:w="2367"/>
        <w:gridCol w:w="4012"/>
      </w:tblGrid>
      <w:tr w:rsidR="0014166D" w:rsidRPr="00284A4F" w:rsidTr="00284A4F">
        <w:trPr>
          <w:trHeight w:val="744"/>
          <w:tblHeader/>
        </w:trPr>
        <w:tc>
          <w:tcPr>
            <w:tcW w:w="1855" w:type="pct"/>
            <w:shd w:val="clear" w:color="auto" w:fill="BFBFBF" w:themeFill="background1" w:themeFillShade="BF"/>
          </w:tcPr>
          <w:p w:rsidR="0014166D" w:rsidRPr="00284A4F" w:rsidRDefault="0014166D" w:rsidP="00284A4F">
            <w:pPr>
              <w:jc w:val="center"/>
              <w:rPr>
                <w:rFonts w:cstheme="minorHAnsi"/>
                <w:b/>
                <w:sz w:val="20"/>
                <w:szCs w:val="20"/>
              </w:rPr>
            </w:pPr>
            <w:r w:rsidRPr="00284A4F">
              <w:rPr>
                <w:rFonts w:cstheme="minorHAnsi"/>
                <w:b/>
                <w:sz w:val="20"/>
                <w:szCs w:val="20"/>
              </w:rPr>
              <w:t>Drug or Drug Group</w:t>
            </w:r>
          </w:p>
        </w:tc>
        <w:tc>
          <w:tcPr>
            <w:tcW w:w="3145" w:type="pct"/>
            <w:shd w:val="clear" w:color="auto" w:fill="BFBFBF" w:themeFill="background1" w:themeFillShade="BF"/>
          </w:tcPr>
          <w:p w:rsidR="0014166D" w:rsidRPr="00284A4F" w:rsidRDefault="0014166D" w:rsidP="00284A4F">
            <w:pPr>
              <w:jc w:val="center"/>
              <w:rPr>
                <w:rFonts w:cstheme="minorHAnsi"/>
                <w:b/>
                <w:sz w:val="20"/>
                <w:szCs w:val="20"/>
              </w:rPr>
            </w:pPr>
            <w:r w:rsidRPr="00284A4F">
              <w:rPr>
                <w:rFonts w:cstheme="minorHAnsi"/>
                <w:b/>
                <w:sz w:val="20"/>
                <w:szCs w:val="20"/>
              </w:rPr>
              <w:t>Standard Coverage Days</w:t>
            </w:r>
            <w:r w:rsidRPr="00284A4F">
              <w:rPr>
                <w:rFonts w:cstheme="minorHAnsi"/>
                <w:b/>
                <w:sz w:val="20"/>
                <w:szCs w:val="20"/>
              </w:rPr>
              <w:br/>
              <w:t>(i.e. Median time to re-supply by any item of the same drug or drug group)</w:t>
            </w:r>
          </w:p>
        </w:tc>
      </w:tr>
      <w:tr w:rsidR="008F6439" w:rsidTr="008F6439">
        <w:trPr>
          <w:trHeight w:val="277"/>
        </w:trPr>
        <w:tc>
          <w:tcPr>
            <w:tcW w:w="1855" w:type="pct"/>
          </w:tcPr>
          <w:p w:rsidR="008F6439" w:rsidRPr="00284A4F" w:rsidRDefault="00D37534" w:rsidP="00DA5CBC">
            <w:pPr>
              <w:rPr>
                <w:sz w:val="20"/>
                <w:szCs w:val="20"/>
              </w:rPr>
            </w:pPr>
            <w:r w:rsidRPr="00284A4F">
              <w:rPr>
                <w:sz w:val="20"/>
                <w:szCs w:val="20"/>
              </w:rPr>
              <w:t>Anticonvulsant</w:t>
            </w:r>
          </w:p>
        </w:tc>
        <w:tc>
          <w:tcPr>
            <w:tcW w:w="3145" w:type="pct"/>
          </w:tcPr>
          <w:p w:rsidR="008F6439" w:rsidRPr="00284A4F" w:rsidRDefault="008F6439" w:rsidP="008F6439">
            <w:pPr>
              <w:jc w:val="center"/>
              <w:rPr>
                <w:sz w:val="20"/>
                <w:szCs w:val="20"/>
              </w:rPr>
            </w:pPr>
            <w:r w:rsidRPr="00284A4F">
              <w:rPr>
                <w:sz w:val="20"/>
                <w:szCs w:val="20"/>
              </w:rPr>
              <w:t>34</w:t>
            </w:r>
          </w:p>
        </w:tc>
      </w:tr>
      <w:tr w:rsidR="008F6439" w:rsidTr="008F6439">
        <w:trPr>
          <w:trHeight w:val="277"/>
        </w:trPr>
        <w:tc>
          <w:tcPr>
            <w:tcW w:w="1855" w:type="pct"/>
          </w:tcPr>
          <w:p w:rsidR="008F6439" w:rsidRPr="00284A4F" w:rsidRDefault="008F6439" w:rsidP="00DA5CBC">
            <w:pPr>
              <w:rPr>
                <w:sz w:val="20"/>
                <w:szCs w:val="20"/>
              </w:rPr>
            </w:pPr>
            <w:r w:rsidRPr="00284A4F">
              <w:rPr>
                <w:sz w:val="20"/>
                <w:szCs w:val="20"/>
              </w:rPr>
              <w:t>Clonidine</w:t>
            </w:r>
          </w:p>
        </w:tc>
        <w:tc>
          <w:tcPr>
            <w:tcW w:w="3145" w:type="pct"/>
          </w:tcPr>
          <w:p w:rsidR="008F6439" w:rsidRPr="00284A4F" w:rsidRDefault="008F6439" w:rsidP="008F6439">
            <w:pPr>
              <w:jc w:val="center"/>
              <w:rPr>
                <w:sz w:val="20"/>
                <w:szCs w:val="20"/>
              </w:rPr>
            </w:pPr>
            <w:r w:rsidRPr="00284A4F">
              <w:rPr>
                <w:sz w:val="20"/>
                <w:szCs w:val="20"/>
              </w:rPr>
              <w:t>37</w:t>
            </w:r>
          </w:p>
        </w:tc>
      </w:tr>
      <w:tr w:rsidR="008F6439" w:rsidTr="008F6439">
        <w:trPr>
          <w:trHeight w:val="277"/>
        </w:trPr>
        <w:tc>
          <w:tcPr>
            <w:tcW w:w="1855" w:type="pct"/>
          </w:tcPr>
          <w:p w:rsidR="008F6439" w:rsidRPr="00284A4F" w:rsidRDefault="008F6439" w:rsidP="00DA5CBC">
            <w:pPr>
              <w:rPr>
                <w:sz w:val="20"/>
                <w:szCs w:val="20"/>
              </w:rPr>
            </w:pPr>
            <w:r w:rsidRPr="00284A4F">
              <w:rPr>
                <w:sz w:val="20"/>
                <w:szCs w:val="20"/>
              </w:rPr>
              <w:t>Opioid_S4</w:t>
            </w:r>
          </w:p>
        </w:tc>
        <w:tc>
          <w:tcPr>
            <w:tcW w:w="3145" w:type="pct"/>
          </w:tcPr>
          <w:p w:rsidR="008F6439" w:rsidRPr="00284A4F" w:rsidRDefault="008F6439" w:rsidP="008F6439">
            <w:pPr>
              <w:jc w:val="center"/>
              <w:rPr>
                <w:sz w:val="20"/>
                <w:szCs w:val="20"/>
              </w:rPr>
            </w:pPr>
            <w:r w:rsidRPr="00284A4F">
              <w:rPr>
                <w:sz w:val="20"/>
                <w:szCs w:val="20"/>
              </w:rPr>
              <w:t>27</w:t>
            </w:r>
          </w:p>
        </w:tc>
      </w:tr>
      <w:tr w:rsidR="008F6439" w:rsidTr="008F6439">
        <w:trPr>
          <w:trHeight w:val="277"/>
        </w:trPr>
        <w:tc>
          <w:tcPr>
            <w:tcW w:w="1855" w:type="pct"/>
          </w:tcPr>
          <w:p w:rsidR="008F6439" w:rsidRPr="00284A4F" w:rsidRDefault="008F6439" w:rsidP="00DA5CBC">
            <w:pPr>
              <w:rPr>
                <w:sz w:val="20"/>
                <w:szCs w:val="20"/>
              </w:rPr>
            </w:pPr>
            <w:r w:rsidRPr="00284A4F">
              <w:rPr>
                <w:sz w:val="20"/>
                <w:szCs w:val="20"/>
              </w:rPr>
              <w:t>Opioid_S8</w:t>
            </w:r>
          </w:p>
        </w:tc>
        <w:tc>
          <w:tcPr>
            <w:tcW w:w="3145" w:type="pct"/>
          </w:tcPr>
          <w:p w:rsidR="008F6439" w:rsidRPr="00284A4F" w:rsidRDefault="008F6439" w:rsidP="008F6439">
            <w:pPr>
              <w:jc w:val="center"/>
              <w:rPr>
                <w:sz w:val="20"/>
                <w:szCs w:val="20"/>
              </w:rPr>
            </w:pPr>
            <w:r w:rsidRPr="00284A4F">
              <w:rPr>
                <w:sz w:val="20"/>
                <w:szCs w:val="20"/>
              </w:rPr>
              <w:t>14</w:t>
            </w:r>
          </w:p>
        </w:tc>
      </w:tr>
      <w:tr w:rsidR="008F6439" w:rsidTr="008F6439">
        <w:trPr>
          <w:trHeight w:val="295"/>
        </w:trPr>
        <w:tc>
          <w:tcPr>
            <w:tcW w:w="1855" w:type="pct"/>
          </w:tcPr>
          <w:p w:rsidR="008F6439" w:rsidRPr="00284A4F" w:rsidRDefault="008F6439" w:rsidP="00DA5CBC">
            <w:pPr>
              <w:rPr>
                <w:sz w:val="20"/>
                <w:szCs w:val="20"/>
              </w:rPr>
            </w:pPr>
            <w:r w:rsidRPr="00284A4F">
              <w:rPr>
                <w:sz w:val="20"/>
                <w:szCs w:val="20"/>
              </w:rPr>
              <w:t>Other_antidepressant</w:t>
            </w:r>
          </w:p>
        </w:tc>
        <w:tc>
          <w:tcPr>
            <w:tcW w:w="3145" w:type="pct"/>
          </w:tcPr>
          <w:p w:rsidR="008F6439" w:rsidRPr="00284A4F" w:rsidRDefault="008F6439" w:rsidP="008F6439">
            <w:pPr>
              <w:jc w:val="center"/>
              <w:rPr>
                <w:sz w:val="20"/>
                <w:szCs w:val="20"/>
              </w:rPr>
            </w:pPr>
            <w:r w:rsidRPr="00284A4F">
              <w:rPr>
                <w:sz w:val="20"/>
                <w:szCs w:val="20"/>
              </w:rPr>
              <w:t>29</w:t>
            </w:r>
          </w:p>
        </w:tc>
      </w:tr>
      <w:tr w:rsidR="008F6439" w:rsidTr="008F6439">
        <w:trPr>
          <w:trHeight w:val="277"/>
        </w:trPr>
        <w:tc>
          <w:tcPr>
            <w:tcW w:w="1855" w:type="pct"/>
          </w:tcPr>
          <w:p w:rsidR="008F6439" w:rsidRPr="00284A4F" w:rsidRDefault="008F6439" w:rsidP="00DA5CBC">
            <w:pPr>
              <w:rPr>
                <w:sz w:val="20"/>
                <w:szCs w:val="20"/>
              </w:rPr>
            </w:pPr>
            <w:r w:rsidRPr="00284A4F">
              <w:rPr>
                <w:sz w:val="20"/>
                <w:szCs w:val="20"/>
              </w:rPr>
              <w:t>Pregabalin</w:t>
            </w:r>
          </w:p>
        </w:tc>
        <w:tc>
          <w:tcPr>
            <w:tcW w:w="3145" w:type="pct"/>
          </w:tcPr>
          <w:p w:rsidR="008F6439" w:rsidRPr="00284A4F" w:rsidRDefault="008F6439" w:rsidP="008F6439">
            <w:pPr>
              <w:jc w:val="center"/>
              <w:rPr>
                <w:sz w:val="20"/>
                <w:szCs w:val="20"/>
              </w:rPr>
            </w:pPr>
            <w:r w:rsidRPr="00284A4F">
              <w:rPr>
                <w:sz w:val="20"/>
                <w:szCs w:val="20"/>
              </w:rPr>
              <w:t>27</w:t>
            </w:r>
          </w:p>
        </w:tc>
      </w:tr>
      <w:tr w:rsidR="008F6439" w:rsidTr="008F6439">
        <w:trPr>
          <w:trHeight w:val="277"/>
        </w:trPr>
        <w:tc>
          <w:tcPr>
            <w:tcW w:w="1855" w:type="pct"/>
          </w:tcPr>
          <w:p w:rsidR="008F6439" w:rsidRPr="00284A4F" w:rsidRDefault="008F6439" w:rsidP="00DA5CBC">
            <w:pPr>
              <w:rPr>
                <w:sz w:val="20"/>
                <w:szCs w:val="20"/>
              </w:rPr>
            </w:pPr>
            <w:r w:rsidRPr="00284A4F">
              <w:rPr>
                <w:sz w:val="20"/>
                <w:szCs w:val="20"/>
              </w:rPr>
              <w:t>SNRI</w:t>
            </w:r>
          </w:p>
        </w:tc>
        <w:tc>
          <w:tcPr>
            <w:tcW w:w="3145" w:type="pct"/>
          </w:tcPr>
          <w:p w:rsidR="008F6439" w:rsidRPr="00284A4F" w:rsidRDefault="008F6439" w:rsidP="008F6439">
            <w:pPr>
              <w:jc w:val="center"/>
              <w:rPr>
                <w:sz w:val="20"/>
                <w:szCs w:val="20"/>
              </w:rPr>
            </w:pPr>
            <w:r w:rsidRPr="00284A4F">
              <w:rPr>
                <w:sz w:val="20"/>
                <w:szCs w:val="20"/>
              </w:rPr>
              <w:t>28</w:t>
            </w:r>
          </w:p>
        </w:tc>
      </w:tr>
      <w:tr w:rsidR="008F6439" w:rsidTr="008F6439">
        <w:trPr>
          <w:trHeight w:val="277"/>
        </w:trPr>
        <w:tc>
          <w:tcPr>
            <w:tcW w:w="1855" w:type="pct"/>
          </w:tcPr>
          <w:p w:rsidR="008F6439" w:rsidRPr="00284A4F" w:rsidRDefault="008F6439" w:rsidP="00DA5CBC">
            <w:pPr>
              <w:rPr>
                <w:sz w:val="20"/>
                <w:szCs w:val="20"/>
              </w:rPr>
            </w:pPr>
            <w:r w:rsidRPr="00284A4F">
              <w:rPr>
                <w:sz w:val="20"/>
                <w:szCs w:val="20"/>
              </w:rPr>
              <w:t>TCA</w:t>
            </w:r>
          </w:p>
        </w:tc>
        <w:tc>
          <w:tcPr>
            <w:tcW w:w="3145" w:type="pct"/>
          </w:tcPr>
          <w:p w:rsidR="008F6439" w:rsidRPr="00284A4F" w:rsidRDefault="008F6439" w:rsidP="008F6439">
            <w:pPr>
              <w:jc w:val="center"/>
              <w:rPr>
                <w:sz w:val="20"/>
                <w:szCs w:val="20"/>
              </w:rPr>
            </w:pPr>
            <w:r w:rsidRPr="00284A4F">
              <w:rPr>
                <w:sz w:val="20"/>
                <w:szCs w:val="20"/>
              </w:rPr>
              <w:t>32</w:t>
            </w:r>
          </w:p>
        </w:tc>
      </w:tr>
      <w:tr w:rsidR="008F6439" w:rsidTr="008F6439">
        <w:trPr>
          <w:trHeight w:val="277"/>
        </w:trPr>
        <w:tc>
          <w:tcPr>
            <w:tcW w:w="1855" w:type="pct"/>
          </w:tcPr>
          <w:p w:rsidR="008F6439" w:rsidRPr="00284A4F" w:rsidRDefault="008F6439" w:rsidP="00DA5CBC">
            <w:pPr>
              <w:rPr>
                <w:sz w:val="20"/>
                <w:szCs w:val="20"/>
              </w:rPr>
            </w:pPr>
            <w:r w:rsidRPr="00284A4F">
              <w:rPr>
                <w:sz w:val="20"/>
                <w:szCs w:val="20"/>
              </w:rPr>
              <w:t>Tramadol</w:t>
            </w:r>
          </w:p>
        </w:tc>
        <w:tc>
          <w:tcPr>
            <w:tcW w:w="3145" w:type="pct"/>
          </w:tcPr>
          <w:p w:rsidR="008F6439" w:rsidRPr="00284A4F" w:rsidRDefault="008F6439" w:rsidP="008F6439">
            <w:pPr>
              <w:jc w:val="center"/>
              <w:rPr>
                <w:sz w:val="20"/>
                <w:szCs w:val="20"/>
              </w:rPr>
            </w:pPr>
            <w:r w:rsidRPr="00284A4F">
              <w:rPr>
                <w:sz w:val="20"/>
                <w:szCs w:val="20"/>
              </w:rPr>
              <w:t>17</w:t>
            </w:r>
          </w:p>
        </w:tc>
      </w:tr>
    </w:tbl>
    <w:p w:rsidR="0063171B" w:rsidRPr="0063171B" w:rsidRDefault="0063171B" w:rsidP="0063171B">
      <w:pPr>
        <w:rPr>
          <w:b/>
        </w:rPr>
      </w:pPr>
    </w:p>
    <w:sectPr w:rsidR="0063171B" w:rsidRPr="0063171B" w:rsidSect="00705DAD">
      <w:footerReference w:type="even" r:id="rId31"/>
      <w:pgSz w:w="11906" w:h="16838"/>
      <w:pgMar w:top="1644" w:right="1361" w:bottom="164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38" w:rsidRDefault="009E7B38" w:rsidP="00A35800">
      <w:r>
        <w:separator/>
      </w:r>
    </w:p>
  </w:endnote>
  <w:endnote w:type="continuationSeparator" w:id="0">
    <w:p w:rsidR="009E7B38" w:rsidRDefault="009E7B3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38" w:rsidRDefault="009E7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3C25CD" w:rsidRPr="000E72C6" w:rsidRDefault="003C25CD" w:rsidP="00A4115A">
            <w:pPr>
              <w:pStyle w:val="Footer"/>
              <w:jc w:val="center"/>
              <w:rPr>
                <w:i/>
                <w:sz w:val="20"/>
              </w:rPr>
            </w:pPr>
            <w:r w:rsidRPr="00F90FE6">
              <w:rPr>
                <w:i/>
                <w:sz w:val="20"/>
              </w:rPr>
              <w:t xml:space="preserve">Public Release Document, </w:t>
            </w:r>
            <w:r>
              <w:rPr>
                <w:i/>
                <w:sz w:val="20"/>
              </w:rPr>
              <w:t>October</w:t>
            </w:r>
            <w:r w:rsidRPr="00F90FE6">
              <w:rPr>
                <w:i/>
                <w:sz w:val="20"/>
              </w:rPr>
              <w:t xml:space="preserve"> </w:t>
            </w:r>
            <w:r>
              <w:rPr>
                <w:i/>
                <w:sz w:val="20"/>
              </w:rPr>
              <w:t xml:space="preserve">2015 </w:t>
            </w:r>
            <w:r w:rsidRPr="00F90FE6">
              <w:rPr>
                <w:i/>
                <w:sz w:val="20"/>
              </w:rPr>
              <w:t>DUSC Meeting</w:t>
            </w:r>
          </w:p>
          <w:p w:rsidR="003C25CD" w:rsidRPr="00A4115A" w:rsidRDefault="003C25CD" w:rsidP="00A4115A">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9E7B38">
              <w:rPr>
                <w:bCs/>
                <w:i/>
                <w:noProof/>
                <w:sz w:val="20"/>
              </w:rPr>
              <w:t>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9E7B38">
              <w:rPr>
                <w:bCs/>
                <w:i/>
                <w:noProof/>
                <w:sz w:val="20"/>
              </w:rPr>
              <w:t>49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60941"/>
      <w:docPartObj>
        <w:docPartGallery w:val="Page Numbers (Bottom of Page)"/>
        <w:docPartUnique/>
      </w:docPartObj>
    </w:sdtPr>
    <w:sdtEndPr/>
    <w:sdtContent>
      <w:sdt>
        <w:sdtPr>
          <w:id w:val="1013494574"/>
          <w:docPartObj>
            <w:docPartGallery w:val="Page Numbers (Top of Page)"/>
            <w:docPartUnique/>
          </w:docPartObj>
        </w:sdtPr>
        <w:sdtEndPr/>
        <w:sdtContent>
          <w:p w:rsidR="003C25CD" w:rsidRPr="000E72C6" w:rsidRDefault="003C25CD" w:rsidP="008F51E2">
            <w:pPr>
              <w:pStyle w:val="Footer"/>
              <w:jc w:val="center"/>
              <w:rPr>
                <w:i/>
                <w:sz w:val="20"/>
              </w:rPr>
            </w:pPr>
            <w:r>
              <w:rPr>
                <w:i/>
                <w:sz w:val="20"/>
              </w:rPr>
              <w:t>Committee in Confidence</w:t>
            </w:r>
          </w:p>
          <w:p w:rsidR="003C25CD" w:rsidRPr="00A4115A" w:rsidRDefault="003C25CD" w:rsidP="008F51E2">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9E7B38">
              <w:rPr>
                <w:bCs/>
                <w:i/>
                <w:noProof/>
                <w:sz w:val="20"/>
              </w:rPr>
              <w:t>46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9E7B38">
              <w:rPr>
                <w:bCs/>
                <w:i/>
                <w:noProof/>
                <w:sz w:val="20"/>
              </w:rPr>
              <w:t>46</w:t>
            </w:r>
            <w:r w:rsidRPr="00DD188C">
              <w:rPr>
                <w:bCs/>
                <w:i/>
                <w:sz w:val="20"/>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17848"/>
      <w:docPartObj>
        <w:docPartGallery w:val="Page Numbers (Bottom of Page)"/>
        <w:docPartUnique/>
      </w:docPartObj>
    </w:sdtPr>
    <w:sdtEndPr/>
    <w:sdtContent>
      <w:sdt>
        <w:sdtPr>
          <w:id w:val="1034852787"/>
          <w:docPartObj>
            <w:docPartGallery w:val="Page Numbers (Top of Page)"/>
            <w:docPartUnique/>
          </w:docPartObj>
        </w:sdtPr>
        <w:sdtEndPr/>
        <w:sdtContent>
          <w:p w:rsidR="003C25CD" w:rsidRPr="000E72C6" w:rsidRDefault="003C25CD" w:rsidP="008F51E2">
            <w:pPr>
              <w:pStyle w:val="Footer"/>
              <w:jc w:val="center"/>
              <w:rPr>
                <w:i/>
                <w:sz w:val="20"/>
              </w:rPr>
            </w:pPr>
            <w:r>
              <w:rPr>
                <w:i/>
                <w:sz w:val="20"/>
              </w:rPr>
              <w:t>Committee in Confidence</w:t>
            </w:r>
          </w:p>
          <w:p w:rsidR="003C25CD" w:rsidRPr="008F51E2" w:rsidRDefault="003C25CD" w:rsidP="008F51E2">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9E7B38">
              <w:rPr>
                <w:bCs/>
                <w:i/>
                <w:noProof/>
                <w:sz w:val="20"/>
              </w:rPr>
              <w:t>49</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9E7B38">
              <w:rPr>
                <w:bCs/>
                <w:i/>
                <w:noProof/>
                <w:sz w:val="20"/>
              </w:rPr>
              <w:t>49</w:t>
            </w:r>
            <w:r w:rsidRPr="00DD188C">
              <w:rPr>
                <w:bCs/>
                <w:i/>
                <w:sz w:val="20"/>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CD" w:rsidRDefault="003C25CD"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C25CD" w:rsidRDefault="003C25CD" w:rsidP="00A35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38" w:rsidRDefault="009E7B38" w:rsidP="00A35800">
      <w:r>
        <w:separator/>
      </w:r>
    </w:p>
  </w:footnote>
  <w:footnote w:type="continuationSeparator" w:id="0">
    <w:p w:rsidR="009E7B38" w:rsidRDefault="009E7B38" w:rsidP="00A35800">
      <w:r>
        <w:continuationSeparator/>
      </w:r>
    </w:p>
  </w:footnote>
  <w:footnote w:id="1">
    <w:p w:rsidR="003C25CD" w:rsidRDefault="003C25CD">
      <w:pPr>
        <w:pStyle w:val="FootnoteText"/>
      </w:pPr>
      <w:r>
        <w:rPr>
          <w:rStyle w:val="FootnoteReference"/>
        </w:rPr>
        <w:footnoteRef/>
      </w:r>
      <w:r>
        <w:t xml:space="preserve"> Lyrica (Pregabalin) Australian Consumer Medicine Information. Sydney: Pfizer Australia. February 2014. Available from &lt;</w:t>
      </w:r>
      <w:r w:rsidRPr="006D6729">
        <w:t xml:space="preserve"> </w:t>
      </w:r>
      <w:hyperlink r:id="rId1" w:history="1">
        <w:r>
          <w:rPr>
            <w:rStyle w:val="Hyperlink"/>
          </w:rPr>
          <w:t>https://www.ebs.tga.gov.au/</w:t>
        </w:r>
      </w:hyperlink>
      <w:r>
        <w:t>&gt;. Accessed 17 August 2015.</w:t>
      </w:r>
    </w:p>
  </w:footnote>
  <w:footnote w:id="2">
    <w:p w:rsidR="003C25CD" w:rsidRDefault="003C25CD">
      <w:pPr>
        <w:pStyle w:val="FootnoteText"/>
      </w:pPr>
      <w:r>
        <w:rPr>
          <w:rStyle w:val="FootnoteReference"/>
        </w:rPr>
        <w:footnoteRef/>
      </w:r>
      <w:r>
        <w:t xml:space="preserve"> Lyrica (Pregabalin) Australian Approved Product Information. Sydney: Pfizer Australia. April 2014. Available from &lt;</w:t>
      </w:r>
      <w:hyperlink r:id="rId2" w:history="1">
        <w:r>
          <w:rPr>
            <w:rStyle w:val="Hyperlink"/>
          </w:rPr>
          <w:t>https://www.ebs.tga.gov.au/</w:t>
        </w:r>
      </w:hyperlink>
      <w:r w:rsidRPr="00386560">
        <w:rPr>
          <w:rStyle w:val="Hyperlink"/>
          <w:color w:val="auto"/>
          <w:u w:val="none"/>
        </w:rPr>
        <w:t>&gt;</w:t>
      </w:r>
      <w:r>
        <w:t>. Accessed 17 August 2015.</w:t>
      </w:r>
    </w:p>
  </w:footnote>
  <w:footnote w:id="3">
    <w:p w:rsidR="003C25CD" w:rsidRPr="00451BF5" w:rsidRDefault="003C25CD" w:rsidP="00DA0B92">
      <w:pPr>
        <w:rPr>
          <w:sz w:val="18"/>
          <w:szCs w:val="20"/>
        </w:rPr>
      </w:pPr>
      <w:r w:rsidRPr="00451BF5">
        <w:rPr>
          <w:sz w:val="18"/>
          <w:szCs w:val="20"/>
        </w:rPr>
        <w:footnoteRef/>
      </w:r>
      <w:r w:rsidRPr="00451BF5">
        <w:rPr>
          <w:sz w:val="18"/>
          <w:szCs w:val="20"/>
        </w:rPr>
        <w:t xml:space="preserve"> Neuropathic Pain</w:t>
      </w:r>
      <w:r w:rsidRPr="00BF5EEE">
        <w:rPr>
          <w:sz w:val="18"/>
          <w:szCs w:val="20"/>
        </w:rPr>
        <w:t xml:space="preserve"> [revised 201</w:t>
      </w:r>
      <w:r>
        <w:rPr>
          <w:sz w:val="18"/>
          <w:szCs w:val="20"/>
        </w:rPr>
        <w:t>1</w:t>
      </w:r>
      <w:r w:rsidRPr="00BF5EEE">
        <w:rPr>
          <w:sz w:val="18"/>
          <w:szCs w:val="20"/>
        </w:rPr>
        <w:t xml:space="preserve"> </w:t>
      </w:r>
      <w:r>
        <w:rPr>
          <w:sz w:val="18"/>
          <w:szCs w:val="20"/>
        </w:rPr>
        <w:t>June</w:t>
      </w:r>
      <w:r w:rsidRPr="00BF5EEE">
        <w:rPr>
          <w:sz w:val="18"/>
          <w:szCs w:val="20"/>
        </w:rPr>
        <w:t>]. In: eTG complete [Internet]. Melbourne: Thera</w:t>
      </w:r>
      <w:r>
        <w:rPr>
          <w:sz w:val="18"/>
          <w:szCs w:val="20"/>
        </w:rPr>
        <w:t xml:space="preserve">peutic Guidelines Limited; Accessed </w:t>
      </w:r>
      <w:r w:rsidRPr="00451BF5">
        <w:rPr>
          <w:sz w:val="18"/>
          <w:szCs w:val="20"/>
        </w:rPr>
        <w:t xml:space="preserve">July </w:t>
      </w:r>
      <w:r>
        <w:rPr>
          <w:sz w:val="18"/>
          <w:szCs w:val="20"/>
        </w:rPr>
        <w:t>201</w:t>
      </w:r>
      <w:r w:rsidRPr="00451BF5">
        <w:rPr>
          <w:sz w:val="18"/>
          <w:szCs w:val="20"/>
        </w:rPr>
        <w:t>5</w:t>
      </w:r>
      <w:r>
        <w:rPr>
          <w:sz w:val="18"/>
          <w:szCs w:val="20"/>
        </w:rPr>
        <w:t xml:space="preserve"> &lt;</w:t>
      </w:r>
      <w:r w:rsidRPr="001A2393">
        <w:rPr>
          <w:sz w:val="18"/>
          <w:szCs w:val="20"/>
        </w:rPr>
        <w:t>http://online.tg.org.au/complete/desktop/index.htm</w:t>
      </w:r>
      <w:r>
        <w:rPr>
          <w:sz w:val="18"/>
          <w:szCs w:val="20"/>
        </w:rPr>
        <w:t>&gt;.</w:t>
      </w:r>
    </w:p>
  </w:footnote>
  <w:footnote w:id="4">
    <w:p w:rsidR="003C25CD" w:rsidRDefault="003C25CD">
      <w:pPr>
        <w:pStyle w:val="FootnoteText"/>
      </w:pPr>
      <w:r>
        <w:rPr>
          <w:rStyle w:val="FootnoteReference"/>
        </w:rPr>
        <w:footnoteRef/>
      </w:r>
      <w:r>
        <w:t xml:space="preserve"> </w:t>
      </w:r>
      <w:r w:rsidRPr="00932A40">
        <w:t>DUSC Utilisation Analysis Public Release Documents</w:t>
      </w:r>
      <w:r>
        <w:t xml:space="preserve">, </w:t>
      </w:r>
      <w:r w:rsidRPr="00932A40">
        <w:t>Pregabalin: 12 month predicted versus actual analysis</w:t>
      </w:r>
      <w:r>
        <w:t>, October 2014, &lt;</w:t>
      </w:r>
      <w:r w:rsidRPr="00B804E0">
        <w:t>http://www.pbs.gov.au/info/industry/listing/participants/public-release-docs/pregabalin-10-2014/</w:t>
      </w:r>
      <w:r>
        <w:t>&gt;</w:t>
      </w:r>
    </w:p>
  </w:footnote>
  <w:footnote w:id="5">
    <w:p w:rsidR="003C25CD" w:rsidRPr="00BC5AE2" w:rsidRDefault="003C25CD">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3" w:history="1">
        <w:r>
          <w:rPr>
            <w:rStyle w:val="Hyperlink"/>
            <w:sz w:val="20"/>
          </w:rPr>
          <w:t>http://www.medicareaustralia.gov.au/provider/pbs/stats.jsp</w:t>
        </w:r>
      </w:hyperlink>
      <w:r>
        <w:rPr>
          <w:sz w:val="20"/>
        </w:rPr>
        <w:t>&gt;.</w:t>
      </w:r>
    </w:p>
  </w:footnote>
  <w:footnote w:id="6">
    <w:p w:rsidR="003C25CD" w:rsidRDefault="003C25CD">
      <w:pPr>
        <w:pStyle w:val="FootnoteText"/>
      </w:pPr>
      <w:r>
        <w:rPr>
          <w:rStyle w:val="FootnoteReference"/>
        </w:rPr>
        <w:footnoteRef/>
      </w:r>
      <w:r>
        <w:t xml:space="preserve"> </w:t>
      </w:r>
      <w:r w:rsidRPr="00451BF5">
        <w:t>Neuropathic Pain</w:t>
      </w:r>
      <w:r w:rsidRPr="00BF5EEE">
        <w:t xml:space="preserve"> [revised 201</w:t>
      </w:r>
      <w:r>
        <w:t>1</w:t>
      </w:r>
      <w:r w:rsidRPr="00BF5EEE">
        <w:t xml:space="preserve"> </w:t>
      </w:r>
      <w:r>
        <w:t>June</w:t>
      </w:r>
      <w:r w:rsidRPr="00BF5EEE">
        <w:t>]. In: eTG complete [Internet]. Melbourne: Thera</w:t>
      </w:r>
      <w:r>
        <w:t>peutic Guidelines Limited; Accessed July 2015 &lt;</w:t>
      </w:r>
      <w:r w:rsidRPr="001A2393">
        <w:t>http://online.tg.org.au/complete/desktop/index.htm</w:t>
      </w:r>
      <w:r>
        <w:t>&gt;.</w:t>
      </w:r>
    </w:p>
  </w:footnote>
  <w:footnote w:id="7">
    <w:p w:rsidR="003C25CD" w:rsidRDefault="003C25CD">
      <w:pPr>
        <w:pStyle w:val="FootnoteText"/>
      </w:pPr>
      <w:r>
        <w:rPr>
          <w:rStyle w:val="FootnoteReference"/>
        </w:rPr>
        <w:footnoteRef/>
      </w:r>
      <w:r>
        <w:t xml:space="preserve"> </w:t>
      </w:r>
      <w:r>
        <w:rPr>
          <w:color w:val="000000"/>
          <w:shd w:val="clear" w:color="auto" w:fill="FFFFFF"/>
        </w:rPr>
        <w:t>Votrubec M, Thong I. Neuropathic pain—a management update.</w:t>
      </w:r>
      <w:r>
        <w:rPr>
          <w:rStyle w:val="apple-converted-space"/>
          <w:color w:val="000000"/>
          <w:shd w:val="clear" w:color="auto" w:fill="FFFFFF"/>
        </w:rPr>
        <w:t> </w:t>
      </w:r>
      <w:r>
        <w:rPr>
          <w:rStyle w:val="ref-journal"/>
          <w:color w:val="000000"/>
          <w:shd w:val="clear" w:color="auto" w:fill="FFFFFF"/>
        </w:rPr>
        <w:t xml:space="preserve">Aust Fam Physician. </w:t>
      </w:r>
      <w:r>
        <w:rPr>
          <w:rStyle w:val="ref-journal"/>
          <w:color w:val="000000"/>
          <w:shd w:val="clear" w:color="auto" w:fill="FFFFFF"/>
        </w:rPr>
        <w:br/>
      </w:r>
      <w:r>
        <w:rPr>
          <w:color w:val="000000"/>
          <w:shd w:val="clear" w:color="auto" w:fill="FFFFFF"/>
        </w:rPr>
        <w:t>2013;</w:t>
      </w:r>
      <w:r>
        <w:rPr>
          <w:rStyle w:val="ref-vol"/>
          <w:color w:val="000000"/>
          <w:shd w:val="clear" w:color="auto" w:fill="FFFFFF"/>
        </w:rPr>
        <w:t>42</w:t>
      </w:r>
      <w:r>
        <w:rPr>
          <w:color w:val="000000"/>
          <w:shd w:val="clear" w:color="auto" w:fill="FFFFFF"/>
        </w:rPr>
        <w:t>:92–7</w:t>
      </w:r>
      <w:r>
        <w:rPr>
          <w:rStyle w:val="apple-converted-space"/>
          <w:color w:val="000000"/>
          <w:shd w:val="clear" w:color="auto" w:fill="FFFFFF"/>
        </w:rPr>
        <w:t> &lt;</w:t>
      </w:r>
      <w:hyperlink r:id="rId4" w:history="1">
        <w:r w:rsidRPr="00825059">
          <w:rPr>
            <w:rStyle w:val="Hyperlink"/>
            <w:shd w:val="clear" w:color="auto" w:fill="FFFFFF"/>
          </w:rPr>
          <w:t>http://www.racgp.org.au/download/Documents/AFP/2013/March/201303votrubec.pdf</w:t>
        </w:r>
      </w:hyperlink>
      <w:r>
        <w:rPr>
          <w:rStyle w:val="Hyperlink"/>
          <w:shd w:val="clear" w:color="auto" w:fill="FFFFFF"/>
        </w:rPr>
        <w:t>&gt;</w:t>
      </w:r>
    </w:p>
  </w:footnote>
  <w:footnote w:id="8">
    <w:p w:rsidR="003C25CD" w:rsidRDefault="003C25CD">
      <w:pPr>
        <w:pStyle w:val="FootnoteText"/>
      </w:pPr>
      <w:r>
        <w:rPr>
          <w:rStyle w:val="FootnoteReference"/>
        </w:rPr>
        <w:footnoteRef/>
      </w:r>
      <w:r>
        <w:t xml:space="preserve"> </w:t>
      </w:r>
      <w:r w:rsidRPr="00B603D6">
        <w:rPr>
          <w:i/>
          <w:iCs/>
        </w:rPr>
        <w:t>Australian Medicines Handbook</w:t>
      </w:r>
      <w:r w:rsidRPr="00B603D6">
        <w:t>. Adelaide: Australian Medicines Handbook Pty Ltd; 2015</w:t>
      </w:r>
      <w:r>
        <w:t>, p692.</w:t>
      </w:r>
    </w:p>
  </w:footnote>
  <w:footnote w:id="9">
    <w:p w:rsidR="003C25CD" w:rsidRDefault="003C25CD">
      <w:pPr>
        <w:pStyle w:val="FootnoteText"/>
      </w:pPr>
      <w:r>
        <w:rPr>
          <w:rStyle w:val="FootnoteReference"/>
        </w:rPr>
        <w:footnoteRef/>
      </w:r>
      <w:r>
        <w:t xml:space="preserve"> </w:t>
      </w:r>
      <w:r w:rsidRPr="00451BF5">
        <w:t>Neuropathic Pain</w:t>
      </w:r>
      <w:r w:rsidRPr="00BF5EEE">
        <w:t xml:space="preserve"> [revised 201</w:t>
      </w:r>
      <w:r>
        <w:t>1</w:t>
      </w:r>
      <w:r w:rsidRPr="00BF5EEE">
        <w:t xml:space="preserve"> </w:t>
      </w:r>
      <w:r>
        <w:t>June</w:t>
      </w:r>
      <w:r w:rsidRPr="00BF5EEE">
        <w:t>]. In: eTG complete [Internet]. Melbourne: Thera</w:t>
      </w:r>
      <w:r>
        <w:t xml:space="preserve">peutic Guidelines Limited; Accessed </w:t>
      </w:r>
      <w:r w:rsidRPr="00451BF5">
        <w:t xml:space="preserve">July </w:t>
      </w:r>
      <w:r>
        <w:t>201</w:t>
      </w:r>
      <w:r w:rsidRPr="00451BF5">
        <w:t>5</w:t>
      </w:r>
      <w:r>
        <w:t xml:space="preserve"> &lt;</w:t>
      </w:r>
      <w:r w:rsidRPr="001A2393">
        <w:t>http://online.tg.org.au/complete/desktop/index.htm</w:t>
      </w:r>
      <w:r>
        <w:t>&gt;.</w:t>
      </w:r>
    </w:p>
  </w:footnote>
  <w:footnote w:id="10">
    <w:p w:rsidR="003C25CD" w:rsidRPr="003C6919" w:rsidRDefault="003C25CD" w:rsidP="0014166D">
      <w:pPr>
        <w:pStyle w:val="FootnoteText"/>
        <w:rPr>
          <w:rFonts w:cstheme="minorHAnsi"/>
          <w:szCs w:val="18"/>
        </w:rPr>
      </w:pPr>
      <w:r w:rsidRPr="003C6919">
        <w:rPr>
          <w:rStyle w:val="FootnoteReference"/>
          <w:rFonts w:cstheme="minorHAnsi"/>
          <w:szCs w:val="18"/>
        </w:rPr>
        <w:footnoteRef/>
      </w:r>
      <w:r w:rsidRPr="003C6919">
        <w:rPr>
          <w:rFonts w:cstheme="minorHAnsi"/>
          <w:szCs w:val="18"/>
        </w:rPr>
        <w:t xml:space="preserve"> Pratt N, Roughead EE, Ramsay E, Salter A, Ryan P 2011 “Risk of hospitalization for hip fracture and pneumonia associated with antipsychotic prescribing in the elderly: a self-controlled case-series analysis in an Australian health care claims database” Drug Saf. 34(7):567-75. doi: 10.2165/11588470-000000000-00000</w:t>
      </w:r>
      <w:r>
        <w:rPr>
          <w:rFonts w:cstheme="minorHAnsi"/>
          <w:szCs w:val="18"/>
        </w:rPr>
        <w:t>.</w:t>
      </w:r>
    </w:p>
  </w:footnote>
  <w:footnote w:id="11">
    <w:p w:rsidR="003C25CD" w:rsidRPr="003C6919" w:rsidRDefault="003C25CD" w:rsidP="0014166D">
      <w:pPr>
        <w:spacing w:after="0"/>
        <w:rPr>
          <w:rFonts w:cstheme="minorHAnsi"/>
          <w:sz w:val="18"/>
          <w:szCs w:val="18"/>
        </w:rPr>
      </w:pPr>
      <w:r w:rsidRPr="003C6919">
        <w:rPr>
          <w:rStyle w:val="FootnoteReference"/>
          <w:rFonts w:cstheme="minorHAnsi"/>
          <w:sz w:val="18"/>
          <w:szCs w:val="18"/>
        </w:rPr>
        <w:footnoteRef/>
      </w:r>
      <w:r w:rsidRPr="003C6919">
        <w:rPr>
          <w:rFonts w:cstheme="minorHAnsi"/>
          <w:sz w:val="18"/>
          <w:szCs w:val="18"/>
        </w:rPr>
        <w:t xml:space="preserve"> Vitry AI, Roughead EE, Preiss AK, Ryan P, Ramsay EN, Gilbert AL, Caughey GE, Shakib S, Esterman A, Zhang Y, McDermott RA 2010 “Influence of comorbidities on therapeutic progression of diabetes treatment in Australian veterans: a cohort study” PLoS One. 5(11):e14024. do</w:t>
      </w:r>
      <w:r>
        <w:rPr>
          <w:rFonts w:cstheme="minorHAnsi"/>
          <w:sz w:val="18"/>
          <w:szCs w:val="18"/>
        </w:rPr>
        <w:t>i: 10.1371/journal.pone.0014024.</w:t>
      </w:r>
    </w:p>
  </w:footnote>
  <w:footnote w:id="12">
    <w:p w:rsidR="003C25CD" w:rsidRPr="00063231" w:rsidRDefault="003C25CD" w:rsidP="0014166D">
      <w:pPr>
        <w:rPr>
          <w:rFonts w:cstheme="minorHAnsi"/>
          <w:b/>
          <w:sz w:val="18"/>
          <w:szCs w:val="18"/>
          <w:lang w:val="en-US"/>
        </w:rPr>
      </w:pPr>
      <w:r w:rsidRPr="003C6919">
        <w:rPr>
          <w:rStyle w:val="FootnoteReference"/>
          <w:rFonts w:cstheme="minorHAnsi"/>
          <w:sz w:val="18"/>
          <w:szCs w:val="18"/>
        </w:rPr>
        <w:footnoteRef/>
      </w:r>
      <w:r w:rsidRPr="003C6919">
        <w:rPr>
          <w:rFonts w:cstheme="minorHAnsi"/>
          <w:sz w:val="18"/>
          <w:szCs w:val="18"/>
        </w:rPr>
        <w:t xml:space="preserve"> Hallas J. 2005 “Drug utilization statistics for individual-level pharmacy dispensing data” Pharmacoepidemiol Drug Saf. 14:455–463. doi: 10.1002/pds.1063</w:t>
      </w:r>
      <w:r>
        <w:rPr>
          <w:rFonts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38" w:rsidRDefault="009E7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38" w:rsidRDefault="009E7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CD" w:rsidRDefault="003C25CD" w:rsidP="00B20628">
    <w:pPr>
      <w:pStyle w:val="Header"/>
    </w:pPr>
    <w:r w:rsidRPr="005D4768">
      <w:t>Item 7.</w:t>
    </w:r>
    <w:r>
      <w:t>1</w:t>
    </w:r>
    <w:r w:rsidRPr="005D4768">
      <w:t xml:space="preserve"> DUSC </w:t>
    </w:r>
    <w:r>
      <w:t>October</w:t>
    </w:r>
    <w:r w:rsidRPr="005D4768">
      <w:t xml:space="preserve"> 2015</w:t>
    </w:r>
  </w:p>
  <w:p w:rsidR="003C25CD" w:rsidRDefault="003C25CD" w:rsidP="00B206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CD" w:rsidRDefault="003C25CD" w:rsidP="00977485">
    <w:pPr>
      <w:pStyle w:val="Header"/>
    </w:pPr>
    <w:r w:rsidRPr="005D4768">
      <w:t>Item 7.</w:t>
    </w:r>
    <w:r>
      <w:t>x</w:t>
    </w:r>
    <w:r w:rsidRPr="005D4768">
      <w:t xml:space="preserve"> DUSC </w:t>
    </w:r>
    <w:r>
      <w:t>October</w:t>
    </w:r>
    <w:r w:rsidRPr="005D4768">
      <w:t xml:space="preserve"> 2015</w:t>
    </w:r>
  </w:p>
  <w:p w:rsidR="003C25CD" w:rsidRDefault="003C25CD" w:rsidP="0097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73F"/>
    <w:multiLevelType w:val="hybridMultilevel"/>
    <w:tmpl w:val="AFC21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4E124B"/>
    <w:multiLevelType w:val="hybridMultilevel"/>
    <w:tmpl w:val="FBC8E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DA2B85"/>
    <w:multiLevelType w:val="hybridMultilevel"/>
    <w:tmpl w:val="B442E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790B4F"/>
    <w:multiLevelType w:val="hybridMultilevel"/>
    <w:tmpl w:val="EEA850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8501FB3"/>
    <w:multiLevelType w:val="hybridMultilevel"/>
    <w:tmpl w:val="7C12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F85039B"/>
    <w:multiLevelType w:val="hybridMultilevel"/>
    <w:tmpl w:val="17F09F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3850BEE"/>
    <w:multiLevelType w:val="hybridMultilevel"/>
    <w:tmpl w:val="D2D25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4CA505F"/>
    <w:multiLevelType w:val="hybridMultilevel"/>
    <w:tmpl w:val="395C09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D82321D"/>
    <w:multiLevelType w:val="hybridMultilevel"/>
    <w:tmpl w:val="65B8A2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1FE26BB1"/>
    <w:multiLevelType w:val="hybridMultilevel"/>
    <w:tmpl w:val="4A8A2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F3065D"/>
    <w:multiLevelType w:val="hybridMultilevel"/>
    <w:tmpl w:val="A70E3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6024175"/>
    <w:multiLevelType w:val="hybridMultilevel"/>
    <w:tmpl w:val="CEB80D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F34078"/>
    <w:multiLevelType w:val="hybridMultilevel"/>
    <w:tmpl w:val="D9985B8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4026937"/>
    <w:multiLevelType w:val="hybridMultilevel"/>
    <w:tmpl w:val="84AC2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417274E"/>
    <w:multiLevelType w:val="hybridMultilevel"/>
    <w:tmpl w:val="1B3072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DD512E"/>
    <w:multiLevelType w:val="hybridMultilevel"/>
    <w:tmpl w:val="32CE8B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9B2020C"/>
    <w:multiLevelType w:val="hybridMultilevel"/>
    <w:tmpl w:val="59E668A8"/>
    <w:lvl w:ilvl="0" w:tplc="BF163786">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CE251C7"/>
    <w:multiLevelType w:val="hybridMultilevel"/>
    <w:tmpl w:val="FCD64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21622D"/>
    <w:multiLevelType w:val="hybridMultilevel"/>
    <w:tmpl w:val="5E765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3831B90"/>
    <w:multiLevelType w:val="hybridMultilevel"/>
    <w:tmpl w:val="3BEA09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3E70A7B"/>
    <w:multiLevelType w:val="hybridMultilevel"/>
    <w:tmpl w:val="726AB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8126D5D"/>
    <w:multiLevelType w:val="hybridMultilevel"/>
    <w:tmpl w:val="D2605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127C47"/>
    <w:multiLevelType w:val="hybridMultilevel"/>
    <w:tmpl w:val="EBC6A04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B615ABE"/>
    <w:multiLevelType w:val="hybridMultilevel"/>
    <w:tmpl w:val="E7D0A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F700DF6"/>
    <w:multiLevelType w:val="hybridMultilevel"/>
    <w:tmpl w:val="680AB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DA411A"/>
    <w:multiLevelType w:val="hybridMultilevel"/>
    <w:tmpl w:val="A25638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C309C4"/>
    <w:multiLevelType w:val="hybridMultilevel"/>
    <w:tmpl w:val="C004F0D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CD338D"/>
    <w:multiLevelType w:val="hybridMultilevel"/>
    <w:tmpl w:val="AA145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E4C21EC"/>
    <w:multiLevelType w:val="hybridMultilevel"/>
    <w:tmpl w:val="7012D1D0"/>
    <w:lvl w:ilvl="0" w:tplc="6D1E95F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3B07620"/>
    <w:multiLevelType w:val="hybridMultilevel"/>
    <w:tmpl w:val="DC22C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273633"/>
    <w:multiLevelType w:val="hybridMultilevel"/>
    <w:tmpl w:val="F886DB4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64C17D2"/>
    <w:multiLevelType w:val="hybridMultilevel"/>
    <w:tmpl w:val="19E612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92E2846"/>
    <w:multiLevelType w:val="hybridMultilevel"/>
    <w:tmpl w:val="7A660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6712BE"/>
    <w:multiLevelType w:val="hybridMultilevel"/>
    <w:tmpl w:val="873EC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23"/>
  </w:num>
  <w:num w:numId="3">
    <w:abstractNumId w:val="24"/>
  </w:num>
  <w:num w:numId="4">
    <w:abstractNumId w:val="37"/>
  </w:num>
  <w:num w:numId="5">
    <w:abstractNumId w:val="19"/>
  </w:num>
  <w:num w:numId="6">
    <w:abstractNumId w:val="40"/>
  </w:num>
  <w:num w:numId="7">
    <w:abstractNumId w:val="27"/>
  </w:num>
  <w:num w:numId="8">
    <w:abstractNumId w:val="1"/>
  </w:num>
  <w:num w:numId="9">
    <w:abstractNumId w:val="12"/>
  </w:num>
  <w:num w:numId="10">
    <w:abstractNumId w:val="21"/>
  </w:num>
  <w:num w:numId="11">
    <w:abstractNumId w:val="5"/>
  </w:num>
  <w:num w:numId="12">
    <w:abstractNumId w:val="33"/>
  </w:num>
  <w:num w:numId="13">
    <w:abstractNumId w:val="14"/>
  </w:num>
  <w:num w:numId="14">
    <w:abstractNumId w:val="9"/>
  </w:num>
  <w:num w:numId="15">
    <w:abstractNumId w:val="29"/>
  </w:num>
  <w:num w:numId="16">
    <w:abstractNumId w:val="28"/>
  </w:num>
  <w:num w:numId="17">
    <w:abstractNumId w:val="8"/>
  </w:num>
  <w:num w:numId="18">
    <w:abstractNumId w:val="17"/>
  </w:num>
  <w:num w:numId="19">
    <w:abstractNumId w:val="20"/>
  </w:num>
  <w:num w:numId="20">
    <w:abstractNumId w:val="25"/>
  </w:num>
  <w:num w:numId="21">
    <w:abstractNumId w:val="10"/>
  </w:num>
  <w:num w:numId="22">
    <w:abstractNumId w:val="31"/>
  </w:num>
  <w:num w:numId="23">
    <w:abstractNumId w:val="39"/>
  </w:num>
  <w:num w:numId="24">
    <w:abstractNumId w:val="7"/>
  </w:num>
  <w:num w:numId="25">
    <w:abstractNumId w:val="35"/>
  </w:num>
  <w:num w:numId="26">
    <w:abstractNumId w:val="13"/>
  </w:num>
  <w:num w:numId="27">
    <w:abstractNumId w:val="30"/>
  </w:num>
  <w:num w:numId="28">
    <w:abstractNumId w:val="34"/>
  </w:num>
  <w:num w:numId="29">
    <w:abstractNumId w:val="26"/>
  </w:num>
  <w:num w:numId="30">
    <w:abstractNumId w:val="38"/>
  </w:num>
  <w:num w:numId="31">
    <w:abstractNumId w:val="22"/>
  </w:num>
  <w:num w:numId="32">
    <w:abstractNumId w:val="18"/>
  </w:num>
  <w:num w:numId="33">
    <w:abstractNumId w:val="6"/>
  </w:num>
  <w:num w:numId="34">
    <w:abstractNumId w:val="41"/>
  </w:num>
  <w:num w:numId="35">
    <w:abstractNumId w:val="3"/>
  </w:num>
  <w:num w:numId="36">
    <w:abstractNumId w:val="32"/>
  </w:num>
  <w:num w:numId="37">
    <w:abstractNumId w:val="4"/>
  </w:num>
  <w:num w:numId="38">
    <w:abstractNumId w:val="2"/>
  </w:num>
  <w:num w:numId="39">
    <w:abstractNumId w:val="11"/>
  </w:num>
  <w:num w:numId="40">
    <w:abstractNumId w:val="15"/>
  </w:num>
  <w:num w:numId="41">
    <w:abstractNumId w:val="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230A"/>
    <w:rsid w:val="00006B70"/>
    <w:rsid w:val="00007FBF"/>
    <w:rsid w:val="00011889"/>
    <w:rsid w:val="00012A43"/>
    <w:rsid w:val="00013EC1"/>
    <w:rsid w:val="0001649A"/>
    <w:rsid w:val="00017899"/>
    <w:rsid w:val="00023AE4"/>
    <w:rsid w:val="00024C28"/>
    <w:rsid w:val="00025CD7"/>
    <w:rsid w:val="00027495"/>
    <w:rsid w:val="00027C84"/>
    <w:rsid w:val="00030EEB"/>
    <w:rsid w:val="00031751"/>
    <w:rsid w:val="00031B39"/>
    <w:rsid w:val="0003412D"/>
    <w:rsid w:val="000353DC"/>
    <w:rsid w:val="000367A5"/>
    <w:rsid w:val="000407D2"/>
    <w:rsid w:val="00045697"/>
    <w:rsid w:val="00047884"/>
    <w:rsid w:val="000524AA"/>
    <w:rsid w:val="00053B14"/>
    <w:rsid w:val="00054461"/>
    <w:rsid w:val="000552B1"/>
    <w:rsid w:val="00056B64"/>
    <w:rsid w:val="000631B9"/>
    <w:rsid w:val="0006432B"/>
    <w:rsid w:val="00064D29"/>
    <w:rsid w:val="00065E59"/>
    <w:rsid w:val="000711B3"/>
    <w:rsid w:val="000712FA"/>
    <w:rsid w:val="0007174B"/>
    <w:rsid w:val="0007391C"/>
    <w:rsid w:val="000739E7"/>
    <w:rsid w:val="00073A95"/>
    <w:rsid w:val="00074403"/>
    <w:rsid w:val="000744B0"/>
    <w:rsid w:val="000804AA"/>
    <w:rsid w:val="00090339"/>
    <w:rsid w:val="0009424C"/>
    <w:rsid w:val="00094DCF"/>
    <w:rsid w:val="0009569D"/>
    <w:rsid w:val="00096634"/>
    <w:rsid w:val="000975CC"/>
    <w:rsid w:val="000A2477"/>
    <w:rsid w:val="000A5CFF"/>
    <w:rsid w:val="000A7DA2"/>
    <w:rsid w:val="000B0680"/>
    <w:rsid w:val="000B1E17"/>
    <w:rsid w:val="000B2396"/>
    <w:rsid w:val="000B67FD"/>
    <w:rsid w:val="000B71AD"/>
    <w:rsid w:val="000B796C"/>
    <w:rsid w:val="000B7BD3"/>
    <w:rsid w:val="000C00F7"/>
    <w:rsid w:val="000C2659"/>
    <w:rsid w:val="000C3A18"/>
    <w:rsid w:val="000C7D8B"/>
    <w:rsid w:val="000D156C"/>
    <w:rsid w:val="000D4784"/>
    <w:rsid w:val="000D4A4A"/>
    <w:rsid w:val="000D5728"/>
    <w:rsid w:val="000D58E4"/>
    <w:rsid w:val="000D6023"/>
    <w:rsid w:val="000E1B4A"/>
    <w:rsid w:val="000E272F"/>
    <w:rsid w:val="000E485D"/>
    <w:rsid w:val="000E4E52"/>
    <w:rsid w:val="000E523B"/>
    <w:rsid w:val="000F2F51"/>
    <w:rsid w:val="000F5DA3"/>
    <w:rsid w:val="000F7174"/>
    <w:rsid w:val="001021D5"/>
    <w:rsid w:val="00104A48"/>
    <w:rsid w:val="0010556B"/>
    <w:rsid w:val="00112537"/>
    <w:rsid w:val="001132CF"/>
    <w:rsid w:val="00113D74"/>
    <w:rsid w:val="00114F1C"/>
    <w:rsid w:val="00115252"/>
    <w:rsid w:val="0011525A"/>
    <w:rsid w:val="0011700C"/>
    <w:rsid w:val="001175F0"/>
    <w:rsid w:val="00117600"/>
    <w:rsid w:val="0011792B"/>
    <w:rsid w:val="00117C5C"/>
    <w:rsid w:val="0012197A"/>
    <w:rsid w:val="001304CC"/>
    <w:rsid w:val="00131258"/>
    <w:rsid w:val="001359EE"/>
    <w:rsid w:val="001369D7"/>
    <w:rsid w:val="0014166D"/>
    <w:rsid w:val="00141799"/>
    <w:rsid w:val="001420B3"/>
    <w:rsid w:val="00142994"/>
    <w:rsid w:val="00143B01"/>
    <w:rsid w:val="00147704"/>
    <w:rsid w:val="00147FA3"/>
    <w:rsid w:val="0015349E"/>
    <w:rsid w:val="00154093"/>
    <w:rsid w:val="0015439B"/>
    <w:rsid w:val="00154C76"/>
    <w:rsid w:val="00155844"/>
    <w:rsid w:val="0015691C"/>
    <w:rsid w:val="00165703"/>
    <w:rsid w:val="00165ADF"/>
    <w:rsid w:val="00166864"/>
    <w:rsid w:val="00167032"/>
    <w:rsid w:val="00167E10"/>
    <w:rsid w:val="00170236"/>
    <w:rsid w:val="00171566"/>
    <w:rsid w:val="00172052"/>
    <w:rsid w:val="00172159"/>
    <w:rsid w:val="001722B5"/>
    <w:rsid w:val="0017257B"/>
    <w:rsid w:val="001817B5"/>
    <w:rsid w:val="0018318F"/>
    <w:rsid w:val="001842A5"/>
    <w:rsid w:val="00184D3B"/>
    <w:rsid w:val="0018525A"/>
    <w:rsid w:val="0018677E"/>
    <w:rsid w:val="00186CB4"/>
    <w:rsid w:val="001911B1"/>
    <w:rsid w:val="001914A0"/>
    <w:rsid w:val="00191C9B"/>
    <w:rsid w:val="00192378"/>
    <w:rsid w:val="00192B32"/>
    <w:rsid w:val="00192CCA"/>
    <w:rsid w:val="00193BED"/>
    <w:rsid w:val="001940AE"/>
    <w:rsid w:val="001947E2"/>
    <w:rsid w:val="00194F13"/>
    <w:rsid w:val="001A14E5"/>
    <w:rsid w:val="001A2393"/>
    <w:rsid w:val="001A2674"/>
    <w:rsid w:val="001A7745"/>
    <w:rsid w:val="001B08B3"/>
    <w:rsid w:val="001B2E5E"/>
    <w:rsid w:val="001B401C"/>
    <w:rsid w:val="001B5041"/>
    <w:rsid w:val="001B5D37"/>
    <w:rsid w:val="001C3838"/>
    <w:rsid w:val="001C4016"/>
    <w:rsid w:val="001C67F2"/>
    <w:rsid w:val="001C7C10"/>
    <w:rsid w:val="001D30A1"/>
    <w:rsid w:val="001E153B"/>
    <w:rsid w:val="001E31A6"/>
    <w:rsid w:val="001E6191"/>
    <w:rsid w:val="001F26B4"/>
    <w:rsid w:val="001F2F3E"/>
    <w:rsid w:val="001F3166"/>
    <w:rsid w:val="001F446F"/>
    <w:rsid w:val="00200703"/>
    <w:rsid w:val="00202769"/>
    <w:rsid w:val="00204450"/>
    <w:rsid w:val="002066C7"/>
    <w:rsid w:val="00210897"/>
    <w:rsid w:val="00212973"/>
    <w:rsid w:val="00214013"/>
    <w:rsid w:val="00214953"/>
    <w:rsid w:val="002152C7"/>
    <w:rsid w:val="0021687C"/>
    <w:rsid w:val="002203D0"/>
    <w:rsid w:val="0022110C"/>
    <w:rsid w:val="0022165D"/>
    <w:rsid w:val="00221733"/>
    <w:rsid w:val="00223E6D"/>
    <w:rsid w:val="0022664E"/>
    <w:rsid w:val="00231FBA"/>
    <w:rsid w:val="0023265E"/>
    <w:rsid w:val="00232931"/>
    <w:rsid w:val="00233BAC"/>
    <w:rsid w:val="00234ED0"/>
    <w:rsid w:val="00237967"/>
    <w:rsid w:val="00237AB2"/>
    <w:rsid w:val="002402A6"/>
    <w:rsid w:val="00240E50"/>
    <w:rsid w:val="00242833"/>
    <w:rsid w:val="00244241"/>
    <w:rsid w:val="0024495D"/>
    <w:rsid w:val="00245E45"/>
    <w:rsid w:val="0024705C"/>
    <w:rsid w:val="002472D7"/>
    <w:rsid w:val="00252E2E"/>
    <w:rsid w:val="002542C3"/>
    <w:rsid w:val="00255557"/>
    <w:rsid w:val="00256C30"/>
    <w:rsid w:val="00257096"/>
    <w:rsid w:val="00261BB3"/>
    <w:rsid w:val="00263798"/>
    <w:rsid w:val="00264D58"/>
    <w:rsid w:val="002651C0"/>
    <w:rsid w:val="00265B2F"/>
    <w:rsid w:val="00265E19"/>
    <w:rsid w:val="002703FF"/>
    <w:rsid w:val="002727D2"/>
    <w:rsid w:val="00272C99"/>
    <w:rsid w:val="002734E4"/>
    <w:rsid w:val="00273874"/>
    <w:rsid w:val="00274413"/>
    <w:rsid w:val="002759DC"/>
    <w:rsid w:val="00280004"/>
    <w:rsid w:val="00282BBC"/>
    <w:rsid w:val="00283481"/>
    <w:rsid w:val="00284A4F"/>
    <w:rsid w:val="00284CF8"/>
    <w:rsid w:val="00284FC4"/>
    <w:rsid w:val="002865F2"/>
    <w:rsid w:val="0028701F"/>
    <w:rsid w:val="0029066A"/>
    <w:rsid w:val="00290EEB"/>
    <w:rsid w:val="002912F4"/>
    <w:rsid w:val="00292421"/>
    <w:rsid w:val="002925BE"/>
    <w:rsid w:val="00292894"/>
    <w:rsid w:val="002956FE"/>
    <w:rsid w:val="0029662C"/>
    <w:rsid w:val="002A006C"/>
    <w:rsid w:val="002A16DE"/>
    <w:rsid w:val="002A1C67"/>
    <w:rsid w:val="002A59DD"/>
    <w:rsid w:val="002A6BD1"/>
    <w:rsid w:val="002B04BE"/>
    <w:rsid w:val="002B0E37"/>
    <w:rsid w:val="002B154B"/>
    <w:rsid w:val="002B1A34"/>
    <w:rsid w:val="002B20EB"/>
    <w:rsid w:val="002B4770"/>
    <w:rsid w:val="002B53CE"/>
    <w:rsid w:val="002B63C3"/>
    <w:rsid w:val="002B76D6"/>
    <w:rsid w:val="002C3156"/>
    <w:rsid w:val="002C316C"/>
    <w:rsid w:val="002C46CD"/>
    <w:rsid w:val="002C5897"/>
    <w:rsid w:val="002C5DC3"/>
    <w:rsid w:val="002C6980"/>
    <w:rsid w:val="002C6E0C"/>
    <w:rsid w:val="002D20DC"/>
    <w:rsid w:val="002D26A5"/>
    <w:rsid w:val="002D35FC"/>
    <w:rsid w:val="002D4F03"/>
    <w:rsid w:val="002D6612"/>
    <w:rsid w:val="002E1A0C"/>
    <w:rsid w:val="002E1B9B"/>
    <w:rsid w:val="002E2942"/>
    <w:rsid w:val="002E3337"/>
    <w:rsid w:val="002E37E0"/>
    <w:rsid w:val="002E4CC3"/>
    <w:rsid w:val="002E63AC"/>
    <w:rsid w:val="002E672F"/>
    <w:rsid w:val="002E7878"/>
    <w:rsid w:val="002E7A18"/>
    <w:rsid w:val="002F24D6"/>
    <w:rsid w:val="002F258F"/>
    <w:rsid w:val="002F25BB"/>
    <w:rsid w:val="002F2C13"/>
    <w:rsid w:val="002F31E8"/>
    <w:rsid w:val="002F38F5"/>
    <w:rsid w:val="002F3B87"/>
    <w:rsid w:val="002F3D6B"/>
    <w:rsid w:val="002F49A8"/>
    <w:rsid w:val="002F540C"/>
    <w:rsid w:val="002F5768"/>
    <w:rsid w:val="002F61CA"/>
    <w:rsid w:val="002F73E8"/>
    <w:rsid w:val="00300985"/>
    <w:rsid w:val="003027E6"/>
    <w:rsid w:val="00305D85"/>
    <w:rsid w:val="00305F8E"/>
    <w:rsid w:val="0030683B"/>
    <w:rsid w:val="00306A68"/>
    <w:rsid w:val="00307D00"/>
    <w:rsid w:val="00310F01"/>
    <w:rsid w:val="0031302F"/>
    <w:rsid w:val="003157A8"/>
    <w:rsid w:val="00315CA1"/>
    <w:rsid w:val="00322413"/>
    <w:rsid w:val="0032304B"/>
    <w:rsid w:val="00325D9E"/>
    <w:rsid w:val="00326881"/>
    <w:rsid w:val="00326EFF"/>
    <w:rsid w:val="00326FF9"/>
    <w:rsid w:val="00327622"/>
    <w:rsid w:val="00327A99"/>
    <w:rsid w:val="0033107F"/>
    <w:rsid w:val="00331C8E"/>
    <w:rsid w:val="003326CF"/>
    <w:rsid w:val="00333FE3"/>
    <w:rsid w:val="00334FD5"/>
    <w:rsid w:val="00335C47"/>
    <w:rsid w:val="003370D0"/>
    <w:rsid w:val="00340F43"/>
    <w:rsid w:val="00340F95"/>
    <w:rsid w:val="00341CB9"/>
    <w:rsid w:val="00342BD7"/>
    <w:rsid w:val="003433BF"/>
    <w:rsid w:val="003463DB"/>
    <w:rsid w:val="00347D76"/>
    <w:rsid w:val="00350120"/>
    <w:rsid w:val="00351902"/>
    <w:rsid w:val="00351DDB"/>
    <w:rsid w:val="0035217C"/>
    <w:rsid w:val="003531ED"/>
    <w:rsid w:val="00355C2B"/>
    <w:rsid w:val="00355E3A"/>
    <w:rsid w:val="00360FB2"/>
    <w:rsid w:val="00361367"/>
    <w:rsid w:val="00364BF0"/>
    <w:rsid w:val="00365ABA"/>
    <w:rsid w:val="00367400"/>
    <w:rsid w:val="00370B4B"/>
    <w:rsid w:val="003716CC"/>
    <w:rsid w:val="003717A1"/>
    <w:rsid w:val="00375D37"/>
    <w:rsid w:val="00377980"/>
    <w:rsid w:val="00381169"/>
    <w:rsid w:val="0038403A"/>
    <w:rsid w:val="00386221"/>
    <w:rsid w:val="00386560"/>
    <w:rsid w:val="0039017F"/>
    <w:rsid w:val="003919DA"/>
    <w:rsid w:val="00392F2E"/>
    <w:rsid w:val="00393C19"/>
    <w:rsid w:val="00393F82"/>
    <w:rsid w:val="0039746D"/>
    <w:rsid w:val="0039786B"/>
    <w:rsid w:val="003A2AA2"/>
    <w:rsid w:val="003A3B05"/>
    <w:rsid w:val="003A4AAC"/>
    <w:rsid w:val="003A674B"/>
    <w:rsid w:val="003A6CC6"/>
    <w:rsid w:val="003B2BE1"/>
    <w:rsid w:val="003B3559"/>
    <w:rsid w:val="003B459B"/>
    <w:rsid w:val="003C10AF"/>
    <w:rsid w:val="003C224C"/>
    <w:rsid w:val="003C25CD"/>
    <w:rsid w:val="003C2D63"/>
    <w:rsid w:val="003C3778"/>
    <w:rsid w:val="003C3D74"/>
    <w:rsid w:val="003C3D7B"/>
    <w:rsid w:val="003C4DA9"/>
    <w:rsid w:val="003C4F51"/>
    <w:rsid w:val="003C53D9"/>
    <w:rsid w:val="003C58DF"/>
    <w:rsid w:val="003C66CC"/>
    <w:rsid w:val="003C6ECF"/>
    <w:rsid w:val="003D05A4"/>
    <w:rsid w:val="003D34FE"/>
    <w:rsid w:val="003E655B"/>
    <w:rsid w:val="003E6C41"/>
    <w:rsid w:val="003F1689"/>
    <w:rsid w:val="003F1EF7"/>
    <w:rsid w:val="003F40E9"/>
    <w:rsid w:val="003F78D9"/>
    <w:rsid w:val="0040218D"/>
    <w:rsid w:val="004026C9"/>
    <w:rsid w:val="00405D18"/>
    <w:rsid w:val="004066A9"/>
    <w:rsid w:val="00415046"/>
    <w:rsid w:val="00416FB5"/>
    <w:rsid w:val="00424AE5"/>
    <w:rsid w:val="00425B20"/>
    <w:rsid w:val="004311AC"/>
    <w:rsid w:val="004321B1"/>
    <w:rsid w:val="00434117"/>
    <w:rsid w:val="00434254"/>
    <w:rsid w:val="00434463"/>
    <w:rsid w:val="00442A13"/>
    <w:rsid w:val="004473B8"/>
    <w:rsid w:val="0044740F"/>
    <w:rsid w:val="004476E3"/>
    <w:rsid w:val="00447F26"/>
    <w:rsid w:val="00451BF5"/>
    <w:rsid w:val="004525BA"/>
    <w:rsid w:val="00454BEB"/>
    <w:rsid w:val="0045526D"/>
    <w:rsid w:val="00460745"/>
    <w:rsid w:val="004607EE"/>
    <w:rsid w:val="0046322F"/>
    <w:rsid w:val="004638BD"/>
    <w:rsid w:val="0046545B"/>
    <w:rsid w:val="00466AC8"/>
    <w:rsid w:val="004677DA"/>
    <w:rsid w:val="00467BAC"/>
    <w:rsid w:val="00470B18"/>
    <w:rsid w:val="00470E81"/>
    <w:rsid w:val="00471291"/>
    <w:rsid w:val="00472310"/>
    <w:rsid w:val="00472969"/>
    <w:rsid w:val="00473079"/>
    <w:rsid w:val="00475066"/>
    <w:rsid w:val="00475B98"/>
    <w:rsid w:val="00477ECE"/>
    <w:rsid w:val="00480CBD"/>
    <w:rsid w:val="00481108"/>
    <w:rsid w:val="00482A26"/>
    <w:rsid w:val="00482B5C"/>
    <w:rsid w:val="00483A4B"/>
    <w:rsid w:val="00483F0B"/>
    <w:rsid w:val="00483F4D"/>
    <w:rsid w:val="00484BEB"/>
    <w:rsid w:val="0048575C"/>
    <w:rsid w:val="004857CC"/>
    <w:rsid w:val="0049042B"/>
    <w:rsid w:val="00490665"/>
    <w:rsid w:val="004910C1"/>
    <w:rsid w:val="004918DE"/>
    <w:rsid w:val="00492A40"/>
    <w:rsid w:val="004930EA"/>
    <w:rsid w:val="00493D23"/>
    <w:rsid w:val="00495309"/>
    <w:rsid w:val="0049614A"/>
    <w:rsid w:val="00497660"/>
    <w:rsid w:val="004A192A"/>
    <w:rsid w:val="004A24EA"/>
    <w:rsid w:val="004A3FAD"/>
    <w:rsid w:val="004A458E"/>
    <w:rsid w:val="004A5A94"/>
    <w:rsid w:val="004A5ED9"/>
    <w:rsid w:val="004A70FF"/>
    <w:rsid w:val="004A73EB"/>
    <w:rsid w:val="004B1D1E"/>
    <w:rsid w:val="004B23E7"/>
    <w:rsid w:val="004B306F"/>
    <w:rsid w:val="004B4977"/>
    <w:rsid w:val="004B5D01"/>
    <w:rsid w:val="004B62E0"/>
    <w:rsid w:val="004B7277"/>
    <w:rsid w:val="004B754F"/>
    <w:rsid w:val="004B7F01"/>
    <w:rsid w:val="004C09A7"/>
    <w:rsid w:val="004C3186"/>
    <w:rsid w:val="004C4A77"/>
    <w:rsid w:val="004C5042"/>
    <w:rsid w:val="004C5789"/>
    <w:rsid w:val="004C6BBB"/>
    <w:rsid w:val="004D0B54"/>
    <w:rsid w:val="004D2175"/>
    <w:rsid w:val="004D2F0A"/>
    <w:rsid w:val="004D3AD0"/>
    <w:rsid w:val="004D3DD3"/>
    <w:rsid w:val="004D75C5"/>
    <w:rsid w:val="004D7A4A"/>
    <w:rsid w:val="004E1A4C"/>
    <w:rsid w:val="004E1DD5"/>
    <w:rsid w:val="004E6627"/>
    <w:rsid w:val="004E76BA"/>
    <w:rsid w:val="004E7E7F"/>
    <w:rsid w:val="004F2400"/>
    <w:rsid w:val="004F2893"/>
    <w:rsid w:val="004F3501"/>
    <w:rsid w:val="004F5A56"/>
    <w:rsid w:val="004F657A"/>
    <w:rsid w:val="004F78CB"/>
    <w:rsid w:val="004F7A49"/>
    <w:rsid w:val="00500573"/>
    <w:rsid w:val="0050237C"/>
    <w:rsid w:val="00503998"/>
    <w:rsid w:val="005050C6"/>
    <w:rsid w:val="0050623B"/>
    <w:rsid w:val="005077B2"/>
    <w:rsid w:val="00513026"/>
    <w:rsid w:val="00513460"/>
    <w:rsid w:val="00516020"/>
    <w:rsid w:val="00517F88"/>
    <w:rsid w:val="005202DC"/>
    <w:rsid w:val="00520EA9"/>
    <w:rsid w:val="005212D3"/>
    <w:rsid w:val="0052288D"/>
    <w:rsid w:val="00523495"/>
    <w:rsid w:val="005246A0"/>
    <w:rsid w:val="00524A52"/>
    <w:rsid w:val="00524DA2"/>
    <w:rsid w:val="0052526F"/>
    <w:rsid w:val="00530C3D"/>
    <w:rsid w:val="00530EFE"/>
    <w:rsid w:val="005311C5"/>
    <w:rsid w:val="00532098"/>
    <w:rsid w:val="005339F6"/>
    <w:rsid w:val="00540373"/>
    <w:rsid w:val="00540952"/>
    <w:rsid w:val="005414AC"/>
    <w:rsid w:val="005445BB"/>
    <w:rsid w:val="00544E1D"/>
    <w:rsid w:val="0055556B"/>
    <w:rsid w:val="00555A14"/>
    <w:rsid w:val="00557CEF"/>
    <w:rsid w:val="005607AA"/>
    <w:rsid w:val="00561D42"/>
    <w:rsid w:val="005624F1"/>
    <w:rsid w:val="00562B8D"/>
    <w:rsid w:val="00563E54"/>
    <w:rsid w:val="005704AD"/>
    <w:rsid w:val="005718BC"/>
    <w:rsid w:val="00573C12"/>
    <w:rsid w:val="00576BEE"/>
    <w:rsid w:val="005770FA"/>
    <w:rsid w:val="005806CC"/>
    <w:rsid w:val="00580F52"/>
    <w:rsid w:val="00582117"/>
    <w:rsid w:val="00584031"/>
    <w:rsid w:val="00586B7C"/>
    <w:rsid w:val="0058760F"/>
    <w:rsid w:val="00591512"/>
    <w:rsid w:val="00594285"/>
    <w:rsid w:val="00595335"/>
    <w:rsid w:val="0059786E"/>
    <w:rsid w:val="005A1031"/>
    <w:rsid w:val="005A152A"/>
    <w:rsid w:val="005A55A3"/>
    <w:rsid w:val="005A7579"/>
    <w:rsid w:val="005B027A"/>
    <w:rsid w:val="005C05D2"/>
    <w:rsid w:val="005C2B7F"/>
    <w:rsid w:val="005C3704"/>
    <w:rsid w:val="005C5E1B"/>
    <w:rsid w:val="005D08D1"/>
    <w:rsid w:val="005D2850"/>
    <w:rsid w:val="005D3FAE"/>
    <w:rsid w:val="005D5F38"/>
    <w:rsid w:val="005D6F41"/>
    <w:rsid w:val="005D73C3"/>
    <w:rsid w:val="005E147D"/>
    <w:rsid w:val="005E22C2"/>
    <w:rsid w:val="005E3759"/>
    <w:rsid w:val="005E5593"/>
    <w:rsid w:val="005E59E9"/>
    <w:rsid w:val="005E6BB7"/>
    <w:rsid w:val="005E748F"/>
    <w:rsid w:val="005E771E"/>
    <w:rsid w:val="005F3839"/>
    <w:rsid w:val="005F5FEC"/>
    <w:rsid w:val="005F6166"/>
    <w:rsid w:val="005F6923"/>
    <w:rsid w:val="005F6DC9"/>
    <w:rsid w:val="005F7B78"/>
    <w:rsid w:val="005F7DC5"/>
    <w:rsid w:val="0060531F"/>
    <w:rsid w:val="00611A55"/>
    <w:rsid w:val="006136D5"/>
    <w:rsid w:val="0061515C"/>
    <w:rsid w:val="0061654C"/>
    <w:rsid w:val="006201EB"/>
    <w:rsid w:val="00620D01"/>
    <w:rsid w:val="00622533"/>
    <w:rsid w:val="006238C7"/>
    <w:rsid w:val="0063171B"/>
    <w:rsid w:val="00632711"/>
    <w:rsid w:val="006329D5"/>
    <w:rsid w:val="0063468D"/>
    <w:rsid w:val="0063631C"/>
    <w:rsid w:val="00637247"/>
    <w:rsid w:val="0064187B"/>
    <w:rsid w:val="006423EB"/>
    <w:rsid w:val="0064423B"/>
    <w:rsid w:val="00645B49"/>
    <w:rsid w:val="00647298"/>
    <w:rsid w:val="0065120C"/>
    <w:rsid w:val="006524CC"/>
    <w:rsid w:val="0065295B"/>
    <w:rsid w:val="006531D5"/>
    <w:rsid w:val="006537D9"/>
    <w:rsid w:val="0065557E"/>
    <w:rsid w:val="0065722C"/>
    <w:rsid w:val="00657591"/>
    <w:rsid w:val="0066034F"/>
    <w:rsid w:val="00660E03"/>
    <w:rsid w:val="00661F2A"/>
    <w:rsid w:val="00662273"/>
    <w:rsid w:val="00665DEF"/>
    <w:rsid w:val="006665E1"/>
    <w:rsid w:val="00666EFC"/>
    <w:rsid w:val="00670873"/>
    <w:rsid w:val="00670FDD"/>
    <w:rsid w:val="0067246D"/>
    <w:rsid w:val="00672DA9"/>
    <w:rsid w:val="00672EB4"/>
    <w:rsid w:val="006740AB"/>
    <w:rsid w:val="0067599E"/>
    <w:rsid w:val="00675BB1"/>
    <w:rsid w:val="00681F7B"/>
    <w:rsid w:val="006854E2"/>
    <w:rsid w:val="00687565"/>
    <w:rsid w:val="00690AC1"/>
    <w:rsid w:val="00690B1F"/>
    <w:rsid w:val="00690F5E"/>
    <w:rsid w:val="00693451"/>
    <w:rsid w:val="00693AD5"/>
    <w:rsid w:val="00696F36"/>
    <w:rsid w:val="006A2EBA"/>
    <w:rsid w:val="006A2EFB"/>
    <w:rsid w:val="006A3433"/>
    <w:rsid w:val="006A44F5"/>
    <w:rsid w:val="006A4571"/>
    <w:rsid w:val="006A5FC4"/>
    <w:rsid w:val="006A73D0"/>
    <w:rsid w:val="006A7E93"/>
    <w:rsid w:val="006B0325"/>
    <w:rsid w:val="006B0BDF"/>
    <w:rsid w:val="006B0ED0"/>
    <w:rsid w:val="006B10E8"/>
    <w:rsid w:val="006B121E"/>
    <w:rsid w:val="006B25D0"/>
    <w:rsid w:val="006B4537"/>
    <w:rsid w:val="006B4ADA"/>
    <w:rsid w:val="006B5B37"/>
    <w:rsid w:val="006B6AEB"/>
    <w:rsid w:val="006B709B"/>
    <w:rsid w:val="006C0A30"/>
    <w:rsid w:val="006C1953"/>
    <w:rsid w:val="006C1980"/>
    <w:rsid w:val="006C2441"/>
    <w:rsid w:val="006C559B"/>
    <w:rsid w:val="006C6A2A"/>
    <w:rsid w:val="006D1328"/>
    <w:rsid w:val="006D17C6"/>
    <w:rsid w:val="006D49C9"/>
    <w:rsid w:val="006D6729"/>
    <w:rsid w:val="006D7BC3"/>
    <w:rsid w:val="006E0181"/>
    <w:rsid w:val="006E0AF2"/>
    <w:rsid w:val="006E2636"/>
    <w:rsid w:val="006E3A0A"/>
    <w:rsid w:val="006F1E2F"/>
    <w:rsid w:val="006F2349"/>
    <w:rsid w:val="006F2E72"/>
    <w:rsid w:val="006F3130"/>
    <w:rsid w:val="006F4096"/>
    <w:rsid w:val="006F5270"/>
    <w:rsid w:val="006F5DE1"/>
    <w:rsid w:val="007010BF"/>
    <w:rsid w:val="0070203C"/>
    <w:rsid w:val="00703AFA"/>
    <w:rsid w:val="00703CAE"/>
    <w:rsid w:val="00705DAD"/>
    <w:rsid w:val="007070FC"/>
    <w:rsid w:val="007111B0"/>
    <w:rsid w:val="00711555"/>
    <w:rsid w:val="007120DF"/>
    <w:rsid w:val="00712C5D"/>
    <w:rsid w:val="007132E7"/>
    <w:rsid w:val="007135C6"/>
    <w:rsid w:val="00713881"/>
    <w:rsid w:val="00713F8B"/>
    <w:rsid w:val="00714EC3"/>
    <w:rsid w:val="007158B3"/>
    <w:rsid w:val="00716087"/>
    <w:rsid w:val="00716E61"/>
    <w:rsid w:val="00722C2E"/>
    <w:rsid w:val="0072443D"/>
    <w:rsid w:val="007247B9"/>
    <w:rsid w:val="00725CBF"/>
    <w:rsid w:val="00726B20"/>
    <w:rsid w:val="00727D85"/>
    <w:rsid w:val="00733433"/>
    <w:rsid w:val="00733F81"/>
    <w:rsid w:val="007346C7"/>
    <w:rsid w:val="00735BA3"/>
    <w:rsid w:val="00736041"/>
    <w:rsid w:val="00736E96"/>
    <w:rsid w:val="007408C7"/>
    <w:rsid w:val="00741E50"/>
    <w:rsid w:val="007423F9"/>
    <w:rsid w:val="00744257"/>
    <w:rsid w:val="007442E8"/>
    <w:rsid w:val="00750CC6"/>
    <w:rsid w:val="007514CD"/>
    <w:rsid w:val="00752B78"/>
    <w:rsid w:val="00752C7F"/>
    <w:rsid w:val="00756871"/>
    <w:rsid w:val="007609BD"/>
    <w:rsid w:val="00762062"/>
    <w:rsid w:val="00762B10"/>
    <w:rsid w:val="00765D2B"/>
    <w:rsid w:val="00766309"/>
    <w:rsid w:val="00767918"/>
    <w:rsid w:val="00770744"/>
    <w:rsid w:val="00776598"/>
    <w:rsid w:val="00776ACE"/>
    <w:rsid w:val="00777208"/>
    <w:rsid w:val="0077789B"/>
    <w:rsid w:val="00780C80"/>
    <w:rsid w:val="00782FC4"/>
    <w:rsid w:val="0078341B"/>
    <w:rsid w:val="00785D95"/>
    <w:rsid w:val="00792533"/>
    <w:rsid w:val="00792B32"/>
    <w:rsid w:val="00792D8B"/>
    <w:rsid w:val="00796198"/>
    <w:rsid w:val="00796E84"/>
    <w:rsid w:val="007A2B65"/>
    <w:rsid w:val="007A393C"/>
    <w:rsid w:val="007A539A"/>
    <w:rsid w:val="007B434C"/>
    <w:rsid w:val="007B63FD"/>
    <w:rsid w:val="007C0DE1"/>
    <w:rsid w:val="007C4949"/>
    <w:rsid w:val="007C6C08"/>
    <w:rsid w:val="007D0A5A"/>
    <w:rsid w:val="007D1653"/>
    <w:rsid w:val="007D2027"/>
    <w:rsid w:val="007D30C1"/>
    <w:rsid w:val="007D39BA"/>
    <w:rsid w:val="007D3A94"/>
    <w:rsid w:val="007D494B"/>
    <w:rsid w:val="007D77A7"/>
    <w:rsid w:val="007D7F2F"/>
    <w:rsid w:val="007E077D"/>
    <w:rsid w:val="007E27AC"/>
    <w:rsid w:val="007E332E"/>
    <w:rsid w:val="007E556E"/>
    <w:rsid w:val="007E7351"/>
    <w:rsid w:val="007E7451"/>
    <w:rsid w:val="007E74C4"/>
    <w:rsid w:val="007E7897"/>
    <w:rsid w:val="007F099B"/>
    <w:rsid w:val="007F20A8"/>
    <w:rsid w:val="007F3641"/>
    <w:rsid w:val="007F3F0F"/>
    <w:rsid w:val="007F48EA"/>
    <w:rsid w:val="007F4D5D"/>
    <w:rsid w:val="007F624E"/>
    <w:rsid w:val="007F647C"/>
    <w:rsid w:val="007F7142"/>
    <w:rsid w:val="00805B51"/>
    <w:rsid w:val="00810B32"/>
    <w:rsid w:val="00811F08"/>
    <w:rsid w:val="00812C03"/>
    <w:rsid w:val="008142B4"/>
    <w:rsid w:val="0081753B"/>
    <w:rsid w:val="0082053D"/>
    <w:rsid w:val="00820C66"/>
    <w:rsid w:val="008248E3"/>
    <w:rsid w:val="00827AE8"/>
    <w:rsid w:val="00832324"/>
    <w:rsid w:val="00832C05"/>
    <w:rsid w:val="008363CD"/>
    <w:rsid w:val="0084280F"/>
    <w:rsid w:val="00845C1B"/>
    <w:rsid w:val="008475A6"/>
    <w:rsid w:val="00847AC2"/>
    <w:rsid w:val="00856F84"/>
    <w:rsid w:val="008605F0"/>
    <w:rsid w:val="00861955"/>
    <w:rsid w:val="00865BAA"/>
    <w:rsid w:val="00867BA8"/>
    <w:rsid w:val="00872657"/>
    <w:rsid w:val="008728E5"/>
    <w:rsid w:val="00872D3D"/>
    <w:rsid w:val="00873F01"/>
    <w:rsid w:val="00874034"/>
    <w:rsid w:val="0087516D"/>
    <w:rsid w:val="00876167"/>
    <w:rsid w:val="008763C3"/>
    <w:rsid w:val="00876C5F"/>
    <w:rsid w:val="00880A4C"/>
    <w:rsid w:val="00881403"/>
    <w:rsid w:val="00884241"/>
    <w:rsid w:val="00884263"/>
    <w:rsid w:val="00887B81"/>
    <w:rsid w:val="00890133"/>
    <w:rsid w:val="0089107E"/>
    <w:rsid w:val="00891358"/>
    <w:rsid w:val="00893A32"/>
    <w:rsid w:val="00897C62"/>
    <w:rsid w:val="008A3D7B"/>
    <w:rsid w:val="008A583B"/>
    <w:rsid w:val="008B02F6"/>
    <w:rsid w:val="008B4219"/>
    <w:rsid w:val="008B78AD"/>
    <w:rsid w:val="008C0F75"/>
    <w:rsid w:val="008C2364"/>
    <w:rsid w:val="008C2E51"/>
    <w:rsid w:val="008C328E"/>
    <w:rsid w:val="008C48F9"/>
    <w:rsid w:val="008C556F"/>
    <w:rsid w:val="008C6F16"/>
    <w:rsid w:val="008C708B"/>
    <w:rsid w:val="008C7BF1"/>
    <w:rsid w:val="008D0FD6"/>
    <w:rsid w:val="008D29EF"/>
    <w:rsid w:val="008D339F"/>
    <w:rsid w:val="008D340E"/>
    <w:rsid w:val="008D4444"/>
    <w:rsid w:val="008D65BA"/>
    <w:rsid w:val="008E29CF"/>
    <w:rsid w:val="008E4413"/>
    <w:rsid w:val="008E76E7"/>
    <w:rsid w:val="008E7A14"/>
    <w:rsid w:val="008F24D1"/>
    <w:rsid w:val="008F252C"/>
    <w:rsid w:val="008F28D9"/>
    <w:rsid w:val="008F4ED3"/>
    <w:rsid w:val="008F51E2"/>
    <w:rsid w:val="008F6439"/>
    <w:rsid w:val="00900B0D"/>
    <w:rsid w:val="00901058"/>
    <w:rsid w:val="00902FD0"/>
    <w:rsid w:val="009050C0"/>
    <w:rsid w:val="009053D3"/>
    <w:rsid w:val="009053FD"/>
    <w:rsid w:val="00905B29"/>
    <w:rsid w:val="00905EC9"/>
    <w:rsid w:val="0090602C"/>
    <w:rsid w:val="009063EA"/>
    <w:rsid w:val="009130D3"/>
    <w:rsid w:val="00913A3D"/>
    <w:rsid w:val="00913C67"/>
    <w:rsid w:val="00914B95"/>
    <w:rsid w:val="00921FE3"/>
    <w:rsid w:val="009228C5"/>
    <w:rsid w:val="009236C7"/>
    <w:rsid w:val="00924AB3"/>
    <w:rsid w:val="00926EA5"/>
    <w:rsid w:val="0093111F"/>
    <w:rsid w:val="00931988"/>
    <w:rsid w:val="00932A40"/>
    <w:rsid w:val="00935689"/>
    <w:rsid w:val="00936777"/>
    <w:rsid w:val="00941013"/>
    <w:rsid w:val="009411DD"/>
    <w:rsid w:val="00946FCB"/>
    <w:rsid w:val="00947419"/>
    <w:rsid w:val="00950DD5"/>
    <w:rsid w:val="00950F72"/>
    <w:rsid w:val="00953230"/>
    <w:rsid w:val="0095432B"/>
    <w:rsid w:val="0095489E"/>
    <w:rsid w:val="00955085"/>
    <w:rsid w:val="009556F9"/>
    <w:rsid w:val="00955D02"/>
    <w:rsid w:val="00960BD2"/>
    <w:rsid w:val="00960C19"/>
    <w:rsid w:val="00962E61"/>
    <w:rsid w:val="009663B6"/>
    <w:rsid w:val="00967121"/>
    <w:rsid w:val="0096760F"/>
    <w:rsid w:val="009679D9"/>
    <w:rsid w:val="00972672"/>
    <w:rsid w:val="00975D1D"/>
    <w:rsid w:val="00977485"/>
    <w:rsid w:val="00980286"/>
    <w:rsid w:val="00982B1F"/>
    <w:rsid w:val="00982DDC"/>
    <w:rsid w:val="00982FBF"/>
    <w:rsid w:val="00984B12"/>
    <w:rsid w:val="00987BF7"/>
    <w:rsid w:val="00990218"/>
    <w:rsid w:val="0099306A"/>
    <w:rsid w:val="009948C3"/>
    <w:rsid w:val="0099736E"/>
    <w:rsid w:val="009A4CD6"/>
    <w:rsid w:val="009A4E84"/>
    <w:rsid w:val="009A558E"/>
    <w:rsid w:val="009A5ECD"/>
    <w:rsid w:val="009A6BAD"/>
    <w:rsid w:val="009B12A1"/>
    <w:rsid w:val="009B1B43"/>
    <w:rsid w:val="009B2218"/>
    <w:rsid w:val="009B3765"/>
    <w:rsid w:val="009B3E9D"/>
    <w:rsid w:val="009B6872"/>
    <w:rsid w:val="009B7D58"/>
    <w:rsid w:val="009C0886"/>
    <w:rsid w:val="009C0FD2"/>
    <w:rsid w:val="009C16ED"/>
    <w:rsid w:val="009C35F2"/>
    <w:rsid w:val="009C4F32"/>
    <w:rsid w:val="009C5663"/>
    <w:rsid w:val="009C608B"/>
    <w:rsid w:val="009C7E0E"/>
    <w:rsid w:val="009D4B00"/>
    <w:rsid w:val="009D4F50"/>
    <w:rsid w:val="009D555C"/>
    <w:rsid w:val="009D5D72"/>
    <w:rsid w:val="009D5F50"/>
    <w:rsid w:val="009E0381"/>
    <w:rsid w:val="009E0485"/>
    <w:rsid w:val="009E18E4"/>
    <w:rsid w:val="009E1D96"/>
    <w:rsid w:val="009E21A7"/>
    <w:rsid w:val="009E26CD"/>
    <w:rsid w:val="009E3A54"/>
    <w:rsid w:val="009E4876"/>
    <w:rsid w:val="009E5688"/>
    <w:rsid w:val="009E75BE"/>
    <w:rsid w:val="009E7B38"/>
    <w:rsid w:val="009F3311"/>
    <w:rsid w:val="009F368C"/>
    <w:rsid w:val="009F4498"/>
    <w:rsid w:val="009F4950"/>
    <w:rsid w:val="009F6253"/>
    <w:rsid w:val="009F68E3"/>
    <w:rsid w:val="009F6FB2"/>
    <w:rsid w:val="00A00B51"/>
    <w:rsid w:val="00A01855"/>
    <w:rsid w:val="00A038F2"/>
    <w:rsid w:val="00A0599C"/>
    <w:rsid w:val="00A06BF4"/>
    <w:rsid w:val="00A07323"/>
    <w:rsid w:val="00A07F7A"/>
    <w:rsid w:val="00A103ED"/>
    <w:rsid w:val="00A13C60"/>
    <w:rsid w:val="00A13E0C"/>
    <w:rsid w:val="00A14902"/>
    <w:rsid w:val="00A14939"/>
    <w:rsid w:val="00A1539A"/>
    <w:rsid w:val="00A2110F"/>
    <w:rsid w:val="00A25843"/>
    <w:rsid w:val="00A2722F"/>
    <w:rsid w:val="00A27D93"/>
    <w:rsid w:val="00A330E8"/>
    <w:rsid w:val="00A35323"/>
    <w:rsid w:val="00A35800"/>
    <w:rsid w:val="00A37926"/>
    <w:rsid w:val="00A4115A"/>
    <w:rsid w:val="00A421A1"/>
    <w:rsid w:val="00A43121"/>
    <w:rsid w:val="00A44C0D"/>
    <w:rsid w:val="00A4729E"/>
    <w:rsid w:val="00A509F7"/>
    <w:rsid w:val="00A517EE"/>
    <w:rsid w:val="00A51A22"/>
    <w:rsid w:val="00A51C01"/>
    <w:rsid w:val="00A543D9"/>
    <w:rsid w:val="00A5622A"/>
    <w:rsid w:val="00A579E2"/>
    <w:rsid w:val="00A57FDA"/>
    <w:rsid w:val="00A60468"/>
    <w:rsid w:val="00A6237A"/>
    <w:rsid w:val="00A62A82"/>
    <w:rsid w:val="00A632E2"/>
    <w:rsid w:val="00A650E4"/>
    <w:rsid w:val="00A65174"/>
    <w:rsid w:val="00A65574"/>
    <w:rsid w:val="00A658D6"/>
    <w:rsid w:val="00A667EE"/>
    <w:rsid w:val="00A67539"/>
    <w:rsid w:val="00A719AD"/>
    <w:rsid w:val="00A721F5"/>
    <w:rsid w:val="00A72870"/>
    <w:rsid w:val="00A72F6E"/>
    <w:rsid w:val="00A75635"/>
    <w:rsid w:val="00A76356"/>
    <w:rsid w:val="00A76DF0"/>
    <w:rsid w:val="00A76EB3"/>
    <w:rsid w:val="00A77DA8"/>
    <w:rsid w:val="00A8476A"/>
    <w:rsid w:val="00A848EF"/>
    <w:rsid w:val="00A84934"/>
    <w:rsid w:val="00A84CAD"/>
    <w:rsid w:val="00A8532F"/>
    <w:rsid w:val="00A9313E"/>
    <w:rsid w:val="00A9423B"/>
    <w:rsid w:val="00A94D1F"/>
    <w:rsid w:val="00AA243B"/>
    <w:rsid w:val="00AA49EF"/>
    <w:rsid w:val="00AA663D"/>
    <w:rsid w:val="00AA75B5"/>
    <w:rsid w:val="00AA76D9"/>
    <w:rsid w:val="00AA7950"/>
    <w:rsid w:val="00AB05BA"/>
    <w:rsid w:val="00AB07BB"/>
    <w:rsid w:val="00AB0F4A"/>
    <w:rsid w:val="00AB1613"/>
    <w:rsid w:val="00AB1842"/>
    <w:rsid w:val="00AB3733"/>
    <w:rsid w:val="00AB62DA"/>
    <w:rsid w:val="00AC1FAF"/>
    <w:rsid w:val="00AC276F"/>
    <w:rsid w:val="00AC3A9E"/>
    <w:rsid w:val="00AC4BC4"/>
    <w:rsid w:val="00AC4C9D"/>
    <w:rsid w:val="00AC6A39"/>
    <w:rsid w:val="00AC6F05"/>
    <w:rsid w:val="00AC7E15"/>
    <w:rsid w:val="00AD2C43"/>
    <w:rsid w:val="00AD2E3C"/>
    <w:rsid w:val="00AD3459"/>
    <w:rsid w:val="00AE0EF9"/>
    <w:rsid w:val="00AE1557"/>
    <w:rsid w:val="00AE6B21"/>
    <w:rsid w:val="00AE7968"/>
    <w:rsid w:val="00AF04DC"/>
    <w:rsid w:val="00AF4CFB"/>
    <w:rsid w:val="00AF54A0"/>
    <w:rsid w:val="00AF636A"/>
    <w:rsid w:val="00B012E7"/>
    <w:rsid w:val="00B03CC4"/>
    <w:rsid w:val="00B05310"/>
    <w:rsid w:val="00B07965"/>
    <w:rsid w:val="00B10F5F"/>
    <w:rsid w:val="00B12AAB"/>
    <w:rsid w:val="00B14C36"/>
    <w:rsid w:val="00B1559A"/>
    <w:rsid w:val="00B15CCE"/>
    <w:rsid w:val="00B179EE"/>
    <w:rsid w:val="00B20628"/>
    <w:rsid w:val="00B23B6D"/>
    <w:rsid w:val="00B24BA7"/>
    <w:rsid w:val="00B2562F"/>
    <w:rsid w:val="00B310C2"/>
    <w:rsid w:val="00B32BAA"/>
    <w:rsid w:val="00B336AC"/>
    <w:rsid w:val="00B34E29"/>
    <w:rsid w:val="00B36F67"/>
    <w:rsid w:val="00B3701C"/>
    <w:rsid w:val="00B378CB"/>
    <w:rsid w:val="00B44BDF"/>
    <w:rsid w:val="00B45B29"/>
    <w:rsid w:val="00B47C10"/>
    <w:rsid w:val="00B51924"/>
    <w:rsid w:val="00B51C8C"/>
    <w:rsid w:val="00B52027"/>
    <w:rsid w:val="00B53486"/>
    <w:rsid w:val="00B603D6"/>
    <w:rsid w:val="00B60DDB"/>
    <w:rsid w:val="00B63F2D"/>
    <w:rsid w:val="00B6483F"/>
    <w:rsid w:val="00B6549D"/>
    <w:rsid w:val="00B66B24"/>
    <w:rsid w:val="00B67AB4"/>
    <w:rsid w:val="00B67C00"/>
    <w:rsid w:val="00B70BA8"/>
    <w:rsid w:val="00B73358"/>
    <w:rsid w:val="00B74586"/>
    <w:rsid w:val="00B750B4"/>
    <w:rsid w:val="00B804E0"/>
    <w:rsid w:val="00B804E8"/>
    <w:rsid w:val="00B8690A"/>
    <w:rsid w:val="00B86FB2"/>
    <w:rsid w:val="00B87711"/>
    <w:rsid w:val="00B9000C"/>
    <w:rsid w:val="00B9120F"/>
    <w:rsid w:val="00B924A4"/>
    <w:rsid w:val="00B93DFF"/>
    <w:rsid w:val="00B94B8A"/>
    <w:rsid w:val="00B94ECF"/>
    <w:rsid w:val="00B964FB"/>
    <w:rsid w:val="00B97D59"/>
    <w:rsid w:val="00BA3208"/>
    <w:rsid w:val="00BB0D1A"/>
    <w:rsid w:val="00BB1D3B"/>
    <w:rsid w:val="00BB2A5E"/>
    <w:rsid w:val="00BB6777"/>
    <w:rsid w:val="00BB705B"/>
    <w:rsid w:val="00BC0F46"/>
    <w:rsid w:val="00BC1250"/>
    <w:rsid w:val="00BC18C7"/>
    <w:rsid w:val="00BC2DF9"/>
    <w:rsid w:val="00BC35ED"/>
    <w:rsid w:val="00BC5500"/>
    <w:rsid w:val="00BC5AE2"/>
    <w:rsid w:val="00BC6401"/>
    <w:rsid w:val="00BC69EE"/>
    <w:rsid w:val="00BC6A62"/>
    <w:rsid w:val="00BC78BC"/>
    <w:rsid w:val="00BD0120"/>
    <w:rsid w:val="00BD089D"/>
    <w:rsid w:val="00BD3847"/>
    <w:rsid w:val="00BD4B3E"/>
    <w:rsid w:val="00BD4C87"/>
    <w:rsid w:val="00BD4DCF"/>
    <w:rsid w:val="00BD62BF"/>
    <w:rsid w:val="00BD6E4D"/>
    <w:rsid w:val="00BD7569"/>
    <w:rsid w:val="00BD7705"/>
    <w:rsid w:val="00BE07A6"/>
    <w:rsid w:val="00BE1172"/>
    <w:rsid w:val="00BE1945"/>
    <w:rsid w:val="00BE1B6D"/>
    <w:rsid w:val="00BE2D7D"/>
    <w:rsid w:val="00BE5FC3"/>
    <w:rsid w:val="00BE6A59"/>
    <w:rsid w:val="00BE76BF"/>
    <w:rsid w:val="00BE787A"/>
    <w:rsid w:val="00BF238E"/>
    <w:rsid w:val="00BF2B5D"/>
    <w:rsid w:val="00BF2CB9"/>
    <w:rsid w:val="00BF4776"/>
    <w:rsid w:val="00BF5EEE"/>
    <w:rsid w:val="00C00573"/>
    <w:rsid w:val="00C0076F"/>
    <w:rsid w:val="00C010D3"/>
    <w:rsid w:val="00C031DB"/>
    <w:rsid w:val="00C032F7"/>
    <w:rsid w:val="00C0357A"/>
    <w:rsid w:val="00C05B77"/>
    <w:rsid w:val="00C07896"/>
    <w:rsid w:val="00C07E42"/>
    <w:rsid w:val="00C11A30"/>
    <w:rsid w:val="00C12CF2"/>
    <w:rsid w:val="00C16C0C"/>
    <w:rsid w:val="00C173A0"/>
    <w:rsid w:val="00C20066"/>
    <w:rsid w:val="00C20654"/>
    <w:rsid w:val="00C22BBA"/>
    <w:rsid w:val="00C2381B"/>
    <w:rsid w:val="00C25E23"/>
    <w:rsid w:val="00C2722D"/>
    <w:rsid w:val="00C31AEE"/>
    <w:rsid w:val="00C32E1D"/>
    <w:rsid w:val="00C36271"/>
    <w:rsid w:val="00C3753B"/>
    <w:rsid w:val="00C401C0"/>
    <w:rsid w:val="00C41246"/>
    <w:rsid w:val="00C45E5F"/>
    <w:rsid w:val="00C461EC"/>
    <w:rsid w:val="00C46D2A"/>
    <w:rsid w:val="00C5069C"/>
    <w:rsid w:val="00C52E97"/>
    <w:rsid w:val="00C53443"/>
    <w:rsid w:val="00C55D1A"/>
    <w:rsid w:val="00C61F40"/>
    <w:rsid w:val="00C6519E"/>
    <w:rsid w:val="00C65949"/>
    <w:rsid w:val="00C665CE"/>
    <w:rsid w:val="00C714D0"/>
    <w:rsid w:val="00C71A8F"/>
    <w:rsid w:val="00C7249C"/>
    <w:rsid w:val="00C73824"/>
    <w:rsid w:val="00C73851"/>
    <w:rsid w:val="00C739AC"/>
    <w:rsid w:val="00C75FC5"/>
    <w:rsid w:val="00C77ABE"/>
    <w:rsid w:val="00C81E73"/>
    <w:rsid w:val="00C83669"/>
    <w:rsid w:val="00C837CF"/>
    <w:rsid w:val="00C83E5F"/>
    <w:rsid w:val="00C858E3"/>
    <w:rsid w:val="00C86C84"/>
    <w:rsid w:val="00C9081D"/>
    <w:rsid w:val="00C90D74"/>
    <w:rsid w:val="00C91B88"/>
    <w:rsid w:val="00C91CBB"/>
    <w:rsid w:val="00C937D8"/>
    <w:rsid w:val="00CA1C8E"/>
    <w:rsid w:val="00CA5267"/>
    <w:rsid w:val="00CA758D"/>
    <w:rsid w:val="00CB0E96"/>
    <w:rsid w:val="00CB11D3"/>
    <w:rsid w:val="00CB27E5"/>
    <w:rsid w:val="00CB2CEB"/>
    <w:rsid w:val="00CB4B44"/>
    <w:rsid w:val="00CB5DBE"/>
    <w:rsid w:val="00CB678E"/>
    <w:rsid w:val="00CC1419"/>
    <w:rsid w:val="00CC3990"/>
    <w:rsid w:val="00CC663C"/>
    <w:rsid w:val="00CD0968"/>
    <w:rsid w:val="00CD2E06"/>
    <w:rsid w:val="00CD42F0"/>
    <w:rsid w:val="00CD5BD7"/>
    <w:rsid w:val="00CD5DA7"/>
    <w:rsid w:val="00CE112F"/>
    <w:rsid w:val="00CE2CAE"/>
    <w:rsid w:val="00CE53C1"/>
    <w:rsid w:val="00CE7A3E"/>
    <w:rsid w:val="00CF02E1"/>
    <w:rsid w:val="00CF3ACD"/>
    <w:rsid w:val="00CF493E"/>
    <w:rsid w:val="00CF6322"/>
    <w:rsid w:val="00CF7365"/>
    <w:rsid w:val="00D00FD9"/>
    <w:rsid w:val="00D01915"/>
    <w:rsid w:val="00D0271A"/>
    <w:rsid w:val="00D03531"/>
    <w:rsid w:val="00D035A9"/>
    <w:rsid w:val="00D03F2F"/>
    <w:rsid w:val="00D0457C"/>
    <w:rsid w:val="00D06252"/>
    <w:rsid w:val="00D07E11"/>
    <w:rsid w:val="00D1082A"/>
    <w:rsid w:val="00D151EB"/>
    <w:rsid w:val="00D266CF"/>
    <w:rsid w:val="00D314AA"/>
    <w:rsid w:val="00D3401C"/>
    <w:rsid w:val="00D354FD"/>
    <w:rsid w:val="00D37534"/>
    <w:rsid w:val="00D44D25"/>
    <w:rsid w:val="00D474F3"/>
    <w:rsid w:val="00D5112B"/>
    <w:rsid w:val="00D53D96"/>
    <w:rsid w:val="00D540BB"/>
    <w:rsid w:val="00D54CD3"/>
    <w:rsid w:val="00D6131E"/>
    <w:rsid w:val="00D63D71"/>
    <w:rsid w:val="00D650CE"/>
    <w:rsid w:val="00D6641F"/>
    <w:rsid w:val="00D66561"/>
    <w:rsid w:val="00D66A7D"/>
    <w:rsid w:val="00D738A6"/>
    <w:rsid w:val="00D74425"/>
    <w:rsid w:val="00D76E1A"/>
    <w:rsid w:val="00D77049"/>
    <w:rsid w:val="00D80C55"/>
    <w:rsid w:val="00D8303B"/>
    <w:rsid w:val="00D83580"/>
    <w:rsid w:val="00D844F8"/>
    <w:rsid w:val="00D85C72"/>
    <w:rsid w:val="00D86BCB"/>
    <w:rsid w:val="00D8758B"/>
    <w:rsid w:val="00D9270E"/>
    <w:rsid w:val="00D94346"/>
    <w:rsid w:val="00D96CF8"/>
    <w:rsid w:val="00DA0B61"/>
    <w:rsid w:val="00DA0B92"/>
    <w:rsid w:val="00DA0EDA"/>
    <w:rsid w:val="00DA1B47"/>
    <w:rsid w:val="00DA299A"/>
    <w:rsid w:val="00DA29A6"/>
    <w:rsid w:val="00DA2D13"/>
    <w:rsid w:val="00DA3687"/>
    <w:rsid w:val="00DA37C7"/>
    <w:rsid w:val="00DA4D89"/>
    <w:rsid w:val="00DA5CBC"/>
    <w:rsid w:val="00DA7641"/>
    <w:rsid w:val="00DA7D09"/>
    <w:rsid w:val="00DA7FD6"/>
    <w:rsid w:val="00DB018B"/>
    <w:rsid w:val="00DB1361"/>
    <w:rsid w:val="00DB3C69"/>
    <w:rsid w:val="00DB5C23"/>
    <w:rsid w:val="00DB641D"/>
    <w:rsid w:val="00DB7D3E"/>
    <w:rsid w:val="00DC16C3"/>
    <w:rsid w:val="00DC30C5"/>
    <w:rsid w:val="00DC49E9"/>
    <w:rsid w:val="00DC6E14"/>
    <w:rsid w:val="00DC758C"/>
    <w:rsid w:val="00DD14E2"/>
    <w:rsid w:val="00DD2CB8"/>
    <w:rsid w:val="00DD3454"/>
    <w:rsid w:val="00DD49AB"/>
    <w:rsid w:val="00DD64C9"/>
    <w:rsid w:val="00DD7D7C"/>
    <w:rsid w:val="00DE004A"/>
    <w:rsid w:val="00DE0B96"/>
    <w:rsid w:val="00DE1D33"/>
    <w:rsid w:val="00DE3E39"/>
    <w:rsid w:val="00DE5386"/>
    <w:rsid w:val="00DE57B6"/>
    <w:rsid w:val="00DE5A28"/>
    <w:rsid w:val="00DE5F92"/>
    <w:rsid w:val="00DE730B"/>
    <w:rsid w:val="00DE7C9F"/>
    <w:rsid w:val="00DF0B13"/>
    <w:rsid w:val="00DF1318"/>
    <w:rsid w:val="00DF21AC"/>
    <w:rsid w:val="00DF4A94"/>
    <w:rsid w:val="00DF54DF"/>
    <w:rsid w:val="00DF5CB7"/>
    <w:rsid w:val="00DF7146"/>
    <w:rsid w:val="00E007A0"/>
    <w:rsid w:val="00E00AFF"/>
    <w:rsid w:val="00E025D0"/>
    <w:rsid w:val="00E03A42"/>
    <w:rsid w:val="00E052CA"/>
    <w:rsid w:val="00E065DA"/>
    <w:rsid w:val="00E066B7"/>
    <w:rsid w:val="00E066C3"/>
    <w:rsid w:val="00E1353A"/>
    <w:rsid w:val="00E13A8C"/>
    <w:rsid w:val="00E1564B"/>
    <w:rsid w:val="00E178AC"/>
    <w:rsid w:val="00E2035C"/>
    <w:rsid w:val="00E208A0"/>
    <w:rsid w:val="00E22EC0"/>
    <w:rsid w:val="00E233F0"/>
    <w:rsid w:val="00E27886"/>
    <w:rsid w:val="00E30A35"/>
    <w:rsid w:val="00E31540"/>
    <w:rsid w:val="00E33405"/>
    <w:rsid w:val="00E34FA1"/>
    <w:rsid w:val="00E35621"/>
    <w:rsid w:val="00E3620F"/>
    <w:rsid w:val="00E36693"/>
    <w:rsid w:val="00E42223"/>
    <w:rsid w:val="00E46241"/>
    <w:rsid w:val="00E4670D"/>
    <w:rsid w:val="00E472F9"/>
    <w:rsid w:val="00E4769A"/>
    <w:rsid w:val="00E50999"/>
    <w:rsid w:val="00E520B4"/>
    <w:rsid w:val="00E52BA6"/>
    <w:rsid w:val="00E533D7"/>
    <w:rsid w:val="00E53759"/>
    <w:rsid w:val="00E5534D"/>
    <w:rsid w:val="00E57675"/>
    <w:rsid w:val="00E6008E"/>
    <w:rsid w:val="00E6090F"/>
    <w:rsid w:val="00E63DD5"/>
    <w:rsid w:val="00E6595D"/>
    <w:rsid w:val="00E66666"/>
    <w:rsid w:val="00E66851"/>
    <w:rsid w:val="00E677DD"/>
    <w:rsid w:val="00E71D10"/>
    <w:rsid w:val="00E76DF2"/>
    <w:rsid w:val="00E824C0"/>
    <w:rsid w:val="00E82939"/>
    <w:rsid w:val="00E837B8"/>
    <w:rsid w:val="00E860B2"/>
    <w:rsid w:val="00E8628B"/>
    <w:rsid w:val="00E91F68"/>
    <w:rsid w:val="00E923B8"/>
    <w:rsid w:val="00E92404"/>
    <w:rsid w:val="00E93EBF"/>
    <w:rsid w:val="00E94A68"/>
    <w:rsid w:val="00E959BD"/>
    <w:rsid w:val="00EA03B9"/>
    <w:rsid w:val="00EA35CA"/>
    <w:rsid w:val="00EB1313"/>
    <w:rsid w:val="00EB2212"/>
    <w:rsid w:val="00EB266C"/>
    <w:rsid w:val="00EB288F"/>
    <w:rsid w:val="00EB2D87"/>
    <w:rsid w:val="00EB351C"/>
    <w:rsid w:val="00EB548C"/>
    <w:rsid w:val="00EB6911"/>
    <w:rsid w:val="00EB6C07"/>
    <w:rsid w:val="00EC028D"/>
    <w:rsid w:val="00EC2E07"/>
    <w:rsid w:val="00EC4B9A"/>
    <w:rsid w:val="00EC586C"/>
    <w:rsid w:val="00EC71C3"/>
    <w:rsid w:val="00EC7543"/>
    <w:rsid w:val="00ED033B"/>
    <w:rsid w:val="00ED0920"/>
    <w:rsid w:val="00ED3CDC"/>
    <w:rsid w:val="00ED4379"/>
    <w:rsid w:val="00ED51A4"/>
    <w:rsid w:val="00ED5C62"/>
    <w:rsid w:val="00ED5DDB"/>
    <w:rsid w:val="00ED633B"/>
    <w:rsid w:val="00ED7561"/>
    <w:rsid w:val="00EE0040"/>
    <w:rsid w:val="00EE01BC"/>
    <w:rsid w:val="00EE0A6F"/>
    <w:rsid w:val="00EE1CB4"/>
    <w:rsid w:val="00EE34C2"/>
    <w:rsid w:val="00EE383E"/>
    <w:rsid w:val="00EE478C"/>
    <w:rsid w:val="00EE6E8D"/>
    <w:rsid w:val="00EE76E1"/>
    <w:rsid w:val="00EF1613"/>
    <w:rsid w:val="00EF1A3D"/>
    <w:rsid w:val="00EF2ED3"/>
    <w:rsid w:val="00EF3004"/>
    <w:rsid w:val="00EF41CA"/>
    <w:rsid w:val="00EF4756"/>
    <w:rsid w:val="00F01107"/>
    <w:rsid w:val="00F038BD"/>
    <w:rsid w:val="00F067B2"/>
    <w:rsid w:val="00F118EF"/>
    <w:rsid w:val="00F130F3"/>
    <w:rsid w:val="00F137BD"/>
    <w:rsid w:val="00F152E9"/>
    <w:rsid w:val="00F15BFB"/>
    <w:rsid w:val="00F16C74"/>
    <w:rsid w:val="00F17419"/>
    <w:rsid w:val="00F20422"/>
    <w:rsid w:val="00F21481"/>
    <w:rsid w:val="00F2444A"/>
    <w:rsid w:val="00F24986"/>
    <w:rsid w:val="00F26F98"/>
    <w:rsid w:val="00F27D29"/>
    <w:rsid w:val="00F30440"/>
    <w:rsid w:val="00F31E3A"/>
    <w:rsid w:val="00F32822"/>
    <w:rsid w:val="00F32BB7"/>
    <w:rsid w:val="00F35018"/>
    <w:rsid w:val="00F3722C"/>
    <w:rsid w:val="00F4269B"/>
    <w:rsid w:val="00F4690B"/>
    <w:rsid w:val="00F46CA8"/>
    <w:rsid w:val="00F47FAD"/>
    <w:rsid w:val="00F50668"/>
    <w:rsid w:val="00F5172C"/>
    <w:rsid w:val="00F52001"/>
    <w:rsid w:val="00F560B8"/>
    <w:rsid w:val="00F5624C"/>
    <w:rsid w:val="00F577BA"/>
    <w:rsid w:val="00F615E6"/>
    <w:rsid w:val="00F62128"/>
    <w:rsid w:val="00F652EE"/>
    <w:rsid w:val="00F66351"/>
    <w:rsid w:val="00F663CB"/>
    <w:rsid w:val="00F66B3E"/>
    <w:rsid w:val="00F71351"/>
    <w:rsid w:val="00F714F5"/>
    <w:rsid w:val="00F719A3"/>
    <w:rsid w:val="00F72F65"/>
    <w:rsid w:val="00F73D10"/>
    <w:rsid w:val="00F758F4"/>
    <w:rsid w:val="00F76E94"/>
    <w:rsid w:val="00F8127D"/>
    <w:rsid w:val="00F90FE6"/>
    <w:rsid w:val="00F9101A"/>
    <w:rsid w:val="00F9157F"/>
    <w:rsid w:val="00F93390"/>
    <w:rsid w:val="00F957CE"/>
    <w:rsid w:val="00FA0D17"/>
    <w:rsid w:val="00FA0DAE"/>
    <w:rsid w:val="00FA1399"/>
    <w:rsid w:val="00FA175B"/>
    <w:rsid w:val="00FA3887"/>
    <w:rsid w:val="00FA3C47"/>
    <w:rsid w:val="00FA4E7C"/>
    <w:rsid w:val="00FA5981"/>
    <w:rsid w:val="00FB2EF8"/>
    <w:rsid w:val="00FB5E7D"/>
    <w:rsid w:val="00FB7243"/>
    <w:rsid w:val="00FB7268"/>
    <w:rsid w:val="00FC07CF"/>
    <w:rsid w:val="00FC141A"/>
    <w:rsid w:val="00FC449E"/>
    <w:rsid w:val="00FC4A73"/>
    <w:rsid w:val="00FC5DC6"/>
    <w:rsid w:val="00FD0C16"/>
    <w:rsid w:val="00FD12B4"/>
    <w:rsid w:val="00FE1035"/>
    <w:rsid w:val="00FE23E4"/>
    <w:rsid w:val="00FE2CFC"/>
    <w:rsid w:val="00FE39BB"/>
    <w:rsid w:val="00FE5860"/>
    <w:rsid w:val="00FE5FC8"/>
    <w:rsid w:val="00FE645A"/>
    <w:rsid w:val="00FE749C"/>
    <w:rsid w:val="00FE787A"/>
    <w:rsid w:val="00FF4F02"/>
    <w:rsid w:val="00FF5026"/>
    <w:rsid w:val="00FF53CF"/>
    <w:rsid w:val="00FF7B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63631C"/>
    <w:pPr>
      <w:keepNext/>
      <w:keepLines/>
      <w:spacing w:before="360" w:after="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Normal"/>
    <w:next w:val="Normal"/>
    <w:link w:val="Heading4Char"/>
    <w:uiPriority w:val="9"/>
    <w:unhideWhenUsed/>
    <w:qFormat/>
    <w:rsid w:val="0063631C"/>
    <w:pPr>
      <w:keepNext/>
      <w:keepLines/>
      <w:spacing w:before="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63631C"/>
    <w:rPr>
      <w:rFonts w:ascii="Lucida Bright" w:eastAsiaTheme="majorEastAsia" w:hAnsi="Lucida Bright" w:cstheme="majorBidi"/>
      <w:b/>
      <w:bCs/>
      <w:sz w:val="32"/>
      <w:szCs w:val="26"/>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63631C"/>
    <w:rPr>
      <w:rFonts w:ascii="Lucida Bright" w:eastAsiaTheme="majorEastAsia" w:hAnsi="Lucida Bright" w:cstheme="majorBidi"/>
      <w:b/>
      <w:bCs/>
      <w:i/>
      <w:iCs/>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A35800"/>
    <w:pPr>
      <w:spacing w:after="20"/>
    </w:pPr>
    <w:rPr>
      <w:i w:val="0"/>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FE645A"/>
    <w:rPr>
      <w:rFonts w:ascii="Lucida Bright" w:eastAsiaTheme="majorEastAsia" w:hAnsi="Lucida Bright" w:cstheme="majorBidi"/>
      <w:b/>
      <w:bCs/>
      <w:i w:val="0"/>
      <w:iCs/>
      <w:sz w:val="24"/>
      <w:szCs w:val="24"/>
    </w:rPr>
  </w:style>
  <w:style w:type="paragraph" w:customStyle="1" w:styleId="Figuretitle">
    <w:name w:val="Figure title"/>
    <w:basedOn w:val="Tabletitle"/>
    <w:link w:val="FiguretitleChar"/>
    <w:qFormat/>
    <w:rsid w:val="0018677E"/>
    <w:pPr>
      <w:spacing w:before="60" w:after="60"/>
    </w:pPr>
    <w:rPr>
      <w:lang w:val="en-US"/>
    </w:rPr>
  </w:style>
  <w:style w:type="character" w:customStyle="1" w:styleId="FiguretitleChar">
    <w:name w:val="Figure title Char"/>
    <w:basedOn w:val="TabletitleChar"/>
    <w:link w:val="Figuretitle"/>
    <w:rsid w:val="0018677E"/>
    <w:rPr>
      <w:rFonts w:ascii="Lucida Bright" w:eastAsiaTheme="majorEastAsia" w:hAnsi="Lucida Bright" w:cstheme="majorBidi"/>
      <w:b/>
      <w:bCs/>
      <w:i w:val="0"/>
      <w:iCs/>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07174B"/>
    <w:rPr>
      <w:color w:val="0000FF" w:themeColor="hyperlink"/>
      <w:u w:val="single"/>
    </w:rPr>
  </w:style>
  <w:style w:type="paragraph" w:customStyle="1" w:styleId="Text">
    <w:name w:val="Text"/>
    <w:basedOn w:val="Normal"/>
    <w:link w:val="TextChar"/>
    <w:rsid w:val="00582117"/>
    <w:pPr>
      <w:spacing w:after="0" w:line="360" w:lineRule="auto"/>
      <w:jc w:val="both"/>
    </w:pPr>
    <w:rPr>
      <w:rFonts w:ascii="Arial" w:eastAsia="Times New Roman" w:hAnsi="Arial" w:cs="Times New Roman"/>
      <w:sz w:val="22"/>
      <w:szCs w:val="22"/>
    </w:rPr>
  </w:style>
  <w:style w:type="character" w:customStyle="1" w:styleId="TextChar">
    <w:name w:val="Text Char"/>
    <w:basedOn w:val="DefaultParagraphFont"/>
    <w:link w:val="Text"/>
    <w:rsid w:val="00582117"/>
    <w:rPr>
      <w:rFonts w:ascii="Arial" w:eastAsia="Times New Roman" w:hAnsi="Arial" w:cs="Times New Roman"/>
    </w:rPr>
  </w:style>
  <w:style w:type="paragraph" w:styleId="Caption">
    <w:name w:val="caption"/>
    <w:basedOn w:val="Normal"/>
    <w:next w:val="Normal"/>
    <w:qFormat/>
    <w:rsid w:val="00EE1CB4"/>
    <w:pPr>
      <w:spacing w:after="0"/>
    </w:pPr>
    <w:rPr>
      <w:rFonts w:ascii="Arial" w:eastAsia="Times New Roman" w:hAnsi="Arial" w:cs="Times New Roman"/>
      <w:b/>
      <w:bCs/>
      <w:sz w:val="20"/>
      <w:szCs w:val="20"/>
    </w:rPr>
  </w:style>
  <w:style w:type="table" w:styleId="LightList">
    <w:name w:val="Light List"/>
    <w:basedOn w:val="TableNormal"/>
    <w:uiPriority w:val="61"/>
    <w:rsid w:val="009550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9550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550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1">
    <w:name w:val="Medium Grid 1"/>
    <w:basedOn w:val="TableNormal"/>
    <w:uiPriority w:val="67"/>
    <w:rsid w:val="009550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Accent6">
    <w:name w:val="Medium List 1 Accent 6"/>
    <w:basedOn w:val="TableNormal"/>
    <w:uiPriority w:val="65"/>
    <w:rsid w:val="00E3669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ListParagraph">
    <w:name w:val="List Paragraph"/>
    <w:basedOn w:val="Normal"/>
    <w:uiPriority w:val="34"/>
    <w:qFormat/>
    <w:rsid w:val="00CF6322"/>
    <w:pPr>
      <w:ind w:left="720"/>
      <w:contextualSpacing/>
    </w:pPr>
  </w:style>
  <w:style w:type="character" w:styleId="FollowedHyperlink">
    <w:name w:val="FollowedHyperlink"/>
    <w:basedOn w:val="DefaultParagraphFont"/>
    <w:uiPriority w:val="99"/>
    <w:semiHidden/>
    <w:unhideWhenUsed/>
    <w:rsid w:val="00386560"/>
    <w:rPr>
      <w:color w:val="800080" w:themeColor="followedHyperlink"/>
      <w:u w:val="single"/>
    </w:rPr>
  </w:style>
  <w:style w:type="paragraph" w:styleId="Revision">
    <w:name w:val="Revision"/>
    <w:hidden/>
    <w:uiPriority w:val="99"/>
    <w:semiHidden/>
    <w:rsid w:val="00670FDD"/>
    <w:pPr>
      <w:spacing w:after="0" w:line="240" w:lineRule="auto"/>
    </w:pPr>
    <w:rPr>
      <w:sz w:val="24"/>
      <w:szCs w:val="24"/>
    </w:rPr>
  </w:style>
  <w:style w:type="paragraph" w:styleId="NormalWeb">
    <w:name w:val="Normal (Web)"/>
    <w:basedOn w:val="Normal"/>
    <w:uiPriority w:val="99"/>
    <w:semiHidden/>
    <w:unhideWhenUsed/>
    <w:rsid w:val="0094741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F7DC5"/>
  </w:style>
  <w:style w:type="character" w:customStyle="1" w:styleId="ref-journal">
    <w:name w:val="ref-journal"/>
    <w:basedOn w:val="DefaultParagraphFont"/>
    <w:rsid w:val="005F7DC5"/>
  </w:style>
  <w:style w:type="character" w:customStyle="1" w:styleId="ref-vol">
    <w:name w:val="ref-vol"/>
    <w:basedOn w:val="DefaultParagraphFont"/>
    <w:rsid w:val="005F7DC5"/>
  </w:style>
  <w:style w:type="character" w:customStyle="1" w:styleId="nowrap">
    <w:name w:val="nowrap"/>
    <w:basedOn w:val="DefaultParagraphFont"/>
    <w:rsid w:val="005F7DC5"/>
  </w:style>
  <w:style w:type="character" w:styleId="Emphasis">
    <w:name w:val="Emphasis"/>
    <w:basedOn w:val="DefaultParagraphFont"/>
    <w:uiPriority w:val="20"/>
    <w:qFormat/>
    <w:rsid w:val="00B603D6"/>
    <w:rPr>
      <w:i/>
      <w:iCs/>
    </w:rPr>
  </w:style>
  <w:style w:type="paragraph" w:customStyle="1" w:styleId="PBACBullets">
    <w:name w:val="PBAC Bullets"/>
    <w:basedOn w:val="Normal"/>
    <w:qFormat/>
    <w:rsid w:val="00F9101A"/>
    <w:pPr>
      <w:numPr>
        <w:numId w:val="42"/>
      </w:numPr>
      <w:spacing w:before="240" w:after="60"/>
      <w:ind w:left="357" w:hanging="357"/>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63631C"/>
    <w:pPr>
      <w:keepNext/>
      <w:keepLines/>
      <w:spacing w:before="360" w:after="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Normal"/>
    <w:next w:val="Normal"/>
    <w:link w:val="Heading4Char"/>
    <w:uiPriority w:val="9"/>
    <w:unhideWhenUsed/>
    <w:qFormat/>
    <w:rsid w:val="0063631C"/>
    <w:pPr>
      <w:keepNext/>
      <w:keepLines/>
      <w:spacing w:before="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63631C"/>
    <w:rPr>
      <w:rFonts w:ascii="Lucida Bright" w:eastAsiaTheme="majorEastAsia" w:hAnsi="Lucida Bright" w:cstheme="majorBidi"/>
      <w:b/>
      <w:bCs/>
      <w:sz w:val="32"/>
      <w:szCs w:val="26"/>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63631C"/>
    <w:rPr>
      <w:rFonts w:ascii="Lucida Bright" w:eastAsiaTheme="majorEastAsia" w:hAnsi="Lucida Bright" w:cstheme="majorBidi"/>
      <w:b/>
      <w:bCs/>
      <w:i/>
      <w:iCs/>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A35800"/>
    <w:pPr>
      <w:spacing w:after="20"/>
    </w:pPr>
    <w:rPr>
      <w:i w:val="0"/>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FE645A"/>
    <w:rPr>
      <w:rFonts w:ascii="Lucida Bright" w:eastAsiaTheme="majorEastAsia" w:hAnsi="Lucida Bright" w:cstheme="majorBidi"/>
      <w:b/>
      <w:bCs/>
      <w:i w:val="0"/>
      <w:iCs/>
      <w:sz w:val="24"/>
      <w:szCs w:val="24"/>
    </w:rPr>
  </w:style>
  <w:style w:type="paragraph" w:customStyle="1" w:styleId="Figuretitle">
    <w:name w:val="Figure title"/>
    <w:basedOn w:val="Tabletitle"/>
    <w:link w:val="FiguretitleChar"/>
    <w:qFormat/>
    <w:rsid w:val="0018677E"/>
    <w:pPr>
      <w:spacing w:before="60" w:after="60"/>
    </w:pPr>
    <w:rPr>
      <w:lang w:val="en-US"/>
    </w:rPr>
  </w:style>
  <w:style w:type="character" w:customStyle="1" w:styleId="FiguretitleChar">
    <w:name w:val="Figure title Char"/>
    <w:basedOn w:val="TabletitleChar"/>
    <w:link w:val="Figuretitle"/>
    <w:rsid w:val="0018677E"/>
    <w:rPr>
      <w:rFonts w:ascii="Lucida Bright" w:eastAsiaTheme="majorEastAsia" w:hAnsi="Lucida Bright" w:cstheme="majorBidi"/>
      <w:b/>
      <w:bCs/>
      <w:i w:val="0"/>
      <w:iCs/>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07174B"/>
    <w:rPr>
      <w:color w:val="0000FF" w:themeColor="hyperlink"/>
      <w:u w:val="single"/>
    </w:rPr>
  </w:style>
  <w:style w:type="paragraph" w:customStyle="1" w:styleId="Text">
    <w:name w:val="Text"/>
    <w:basedOn w:val="Normal"/>
    <w:link w:val="TextChar"/>
    <w:rsid w:val="00582117"/>
    <w:pPr>
      <w:spacing w:after="0" w:line="360" w:lineRule="auto"/>
      <w:jc w:val="both"/>
    </w:pPr>
    <w:rPr>
      <w:rFonts w:ascii="Arial" w:eastAsia="Times New Roman" w:hAnsi="Arial" w:cs="Times New Roman"/>
      <w:sz w:val="22"/>
      <w:szCs w:val="22"/>
    </w:rPr>
  </w:style>
  <w:style w:type="character" w:customStyle="1" w:styleId="TextChar">
    <w:name w:val="Text Char"/>
    <w:basedOn w:val="DefaultParagraphFont"/>
    <w:link w:val="Text"/>
    <w:rsid w:val="00582117"/>
    <w:rPr>
      <w:rFonts w:ascii="Arial" w:eastAsia="Times New Roman" w:hAnsi="Arial" w:cs="Times New Roman"/>
    </w:rPr>
  </w:style>
  <w:style w:type="paragraph" w:styleId="Caption">
    <w:name w:val="caption"/>
    <w:basedOn w:val="Normal"/>
    <w:next w:val="Normal"/>
    <w:qFormat/>
    <w:rsid w:val="00EE1CB4"/>
    <w:pPr>
      <w:spacing w:after="0"/>
    </w:pPr>
    <w:rPr>
      <w:rFonts w:ascii="Arial" w:eastAsia="Times New Roman" w:hAnsi="Arial" w:cs="Times New Roman"/>
      <w:b/>
      <w:bCs/>
      <w:sz w:val="20"/>
      <w:szCs w:val="20"/>
    </w:rPr>
  </w:style>
  <w:style w:type="table" w:styleId="LightList">
    <w:name w:val="Light List"/>
    <w:basedOn w:val="TableNormal"/>
    <w:uiPriority w:val="61"/>
    <w:rsid w:val="009550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9550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550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1">
    <w:name w:val="Medium Grid 1"/>
    <w:basedOn w:val="TableNormal"/>
    <w:uiPriority w:val="67"/>
    <w:rsid w:val="009550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Accent6">
    <w:name w:val="Medium List 1 Accent 6"/>
    <w:basedOn w:val="TableNormal"/>
    <w:uiPriority w:val="65"/>
    <w:rsid w:val="00E3669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ListParagraph">
    <w:name w:val="List Paragraph"/>
    <w:basedOn w:val="Normal"/>
    <w:uiPriority w:val="34"/>
    <w:qFormat/>
    <w:rsid w:val="00CF6322"/>
    <w:pPr>
      <w:ind w:left="720"/>
      <w:contextualSpacing/>
    </w:pPr>
  </w:style>
  <w:style w:type="character" w:styleId="FollowedHyperlink">
    <w:name w:val="FollowedHyperlink"/>
    <w:basedOn w:val="DefaultParagraphFont"/>
    <w:uiPriority w:val="99"/>
    <w:semiHidden/>
    <w:unhideWhenUsed/>
    <w:rsid w:val="00386560"/>
    <w:rPr>
      <w:color w:val="800080" w:themeColor="followedHyperlink"/>
      <w:u w:val="single"/>
    </w:rPr>
  </w:style>
  <w:style w:type="paragraph" w:styleId="Revision">
    <w:name w:val="Revision"/>
    <w:hidden/>
    <w:uiPriority w:val="99"/>
    <w:semiHidden/>
    <w:rsid w:val="00670FDD"/>
    <w:pPr>
      <w:spacing w:after="0" w:line="240" w:lineRule="auto"/>
    </w:pPr>
    <w:rPr>
      <w:sz w:val="24"/>
      <w:szCs w:val="24"/>
    </w:rPr>
  </w:style>
  <w:style w:type="paragraph" w:styleId="NormalWeb">
    <w:name w:val="Normal (Web)"/>
    <w:basedOn w:val="Normal"/>
    <w:uiPriority w:val="99"/>
    <w:semiHidden/>
    <w:unhideWhenUsed/>
    <w:rsid w:val="0094741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F7DC5"/>
  </w:style>
  <w:style w:type="character" w:customStyle="1" w:styleId="ref-journal">
    <w:name w:val="ref-journal"/>
    <w:basedOn w:val="DefaultParagraphFont"/>
    <w:rsid w:val="005F7DC5"/>
  </w:style>
  <w:style w:type="character" w:customStyle="1" w:styleId="ref-vol">
    <w:name w:val="ref-vol"/>
    <w:basedOn w:val="DefaultParagraphFont"/>
    <w:rsid w:val="005F7DC5"/>
  </w:style>
  <w:style w:type="character" w:customStyle="1" w:styleId="nowrap">
    <w:name w:val="nowrap"/>
    <w:basedOn w:val="DefaultParagraphFont"/>
    <w:rsid w:val="005F7DC5"/>
  </w:style>
  <w:style w:type="character" w:styleId="Emphasis">
    <w:name w:val="Emphasis"/>
    <w:basedOn w:val="DefaultParagraphFont"/>
    <w:uiPriority w:val="20"/>
    <w:qFormat/>
    <w:rsid w:val="00B603D6"/>
    <w:rPr>
      <w:i/>
      <w:iCs/>
    </w:rPr>
  </w:style>
  <w:style w:type="paragraph" w:customStyle="1" w:styleId="PBACBullets">
    <w:name w:val="PBAC Bullets"/>
    <w:basedOn w:val="Normal"/>
    <w:qFormat/>
    <w:rsid w:val="00F9101A"/>
    <w:pPr>
      <w:numPr>
        <w:numId w:val="42"/>
      </w:numPr>
      <w:spacing w:before="240" w:after="60"/>
      <w:ind w:left="357" w:hanging="357"/>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0184">
      <w:bodyDiv w:val="1"/>
      <w:marLeft w:val="0"/>
      <w:marRight w:val="0"/>
      <w:marTop w:val="0"/>
      <w:marBottom w:val="0"/>
      <w:divBdr>
        <w:top w:val="none" w:sz="0" w:space="0" w:color="auto"/>
        <w:left w:val="none" w:sz="0" w:space="0" w:color="auto"/>
        <w:bottom w:val="none" w:sz="0" w:space="0" w:color="auto"/>
        <w:right w:val="none" w:sz="0" w:space="0" w:color="auto"/>
      </w:divBdr>
    </w:div>
    <w:div w:id="187187572">
      <w:bodyDiv w:val="1"/>
      <w:marLeft w:val="0"/>
      <w:marRight w:val="0"/>
      <w:marTop w:val="0"/>
      <w:marBottom w:val="0"/>
      <w:divBdr>
        <w:top w:val="none" w:sz="0" w:space="0" w:color="auto"/>
        <w:left w:val="none" w:sz="0" w:space="0" w:color="auto"/>
        <w:bottom w:val="none" w:sz="0" w:space="0" w:color="auto"/>
        <w:right w:val="none" w:sz="0" w:space="0" w:color="auto"/>
      </w:divBdr>
    </w:div>
    <w:div w:id="210309364">
      <w:bodyDiv w:val="1"/>
      <w:marLeft w:val="0"/>
      <w:marRight w:val="0"/>
      <w:marTop w:val="0"/>
      <w:marBottom w:val="0"/>
      <w:divBdr>
        <w:top w:val="none" w:sz="0" w:space="0" w:color="auto"/>
        <w:left w:val="none" w:sz="0" w:space="0" w:color="auto"/>
        <w:bottom w:val="none" w:sz="0" w:space="0" w:color="auto"/>
        <w:right w:val="none" w:sz="0" w:space="0" w:color="auto"/>
      </w:divBdr>
    </w:div>
    <w:div w:id="272639891">
      <w:bodyDiv w:val="1"/>
      <w:marLeft w:val="0"/>
      <w:marRight w:val="0"/>
      <w:marTop w:val="0"/>
      <w:marBottom w:val="0"/>
      <w:divBdr>
        <w:top w:val="none" w:sz="0" w:space="0" w:color="auto"/>
        <w:left w:val="none" w:sz="0" w:space="0" w:color="auto"/>
        <w:bottom w:val="none" w:sz="0" w:space="0" w:color="auto"/>
        <w:right w:val="none" w:sz="0" w:space="0" w:color="auto"/>
      </w:divBdr>
    </w:div>
    <w:div w:id="299766830">
      <w:bodyDiv w:val="1"/>
      <w:marLeft w:val="0"/>
      <w:marRight w:val="0"/>
      <w:marTop w:val="0"/>
      <w:marBottom w:val="0"/>
      <w:divBdr>
        <w:top w:val="none" w:sz="0" w:space="0" w:color="auto"/>
        <w:left w:val="none" w:sz="0" w:space="0" w:color="auto"/>
        <w:bottom w:val="none" w:sz="0" w:space="0" w:color="auto"/>
        <w:right w:val="none" w:sz="0" w:space="0" w:color="auto"/>
      </w:divBdr>
    </w:div>
    <w:div w:id="320083398">
      <w:bodyDiv w:val="1"/>
      <w:marLeft w:val="0"/>
      <w:marRight w:val="0"/>
      <w:marTop w:val="0"/>
      <w:marBottom w:val="0"/>
      <w:divBdr>
        <w:top w:val="none" w:sz="0" w:space="0" w:color="auto"/>
        <w:left w:val="none" w:sz="0" w:space="0" w:color="auto"/>
        <w:bottom w:val="none" w:sz="0" w:space="0" w:color="auto"/>
        <w:right w:val="none" w:sz="0" w:space="0" w:color="auto"/>
      </w:divBdr>
    </w:div>
    <w:div w:id="39100307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23710516">
      <w:bodyDiv w:val="1"/>
      <w:marLeft w:val="0"/>
      <w:marRight w:val="0"/>
      <w:marTop w:val="0"/>
      <w:marBottom w:val="0"/>
      <w:divBdr>
        <w:top w:val="none" w:sz="0" w:space="0" w:color="auto"/>
        <w:left w:val="none" w:sz="0" w:space="0" w:color="auto"/>
        <w:bottom w:val="none" w:sz="0" w:space="0" w:color="auto"/>
        <w:right w:val="none" w:sz="0" w:space="0" w:color="auto"/>
      </w:divBdr>
    </w:div>
    <w:div w:id="527256681">
      <w:bodyDiv w:val="1"/>
      <w:marLeft w:val="0"/>
      <w:marRight w:val="0"/>
      <w:marTop w:val="0"/>
      <w:marBottom w:val="0"/>
      <w:divBdr>
        <w:top w:val="none" w:sz="0" w:space="0" w:color="auto"/>
        <w:left w:val="none" w:sz="0" w:space="0" w:color="auto"/>
        <w:bottom w:val="none" w:sz="0" w:space="0" w:color="auto"/>
        <w:right w:val="none" w:sz="0" w:space="0" w:color="auto"/>
      </w:divBdr>
    </w:div>
    <w:div w:id="571047333">
      <w:bodyDiv w:val="1"/>
      <w:marLeft w:val="0"/>
      <w:marRight w:val="0"/>
      <w:marTop w:val="0"/>
      <w:marBottom w:val="0"/>
      <w:divBdr>
        <w:top w:val="none" w:sz="0" w:space="0" w:color="auto"/>
        <w:left w:val="none" w:sz="0" w:space="0" w:color="auto"/>
        <w:bottom w:val="none" w:sz="0" w:space="0" w:color="auto"/>
        <w:right w:val="none" w:sz="0" w:space="0" w:color="auto"/>
      </w:divBdr>
    </w:div>
    <w:div w:id="622273518">
      <w:bodyDiv w:val="1"/>
      <w:marLeft w:val="0"/>
      <w:marRight w:val="0"/>
      <w:marTop w:val="0"/>
      <w:marBottom w:val="0"/>
      <w:divBdr>
        <w:top w:val="none" w:sz="0" w:space="0" w:color="auto"/>
        <w:left w:val="none" w:sz="0" w:space="0" w:color="auto"/>
        <w:bottom w:val="none" w:sz="0" w:space="0" w:color="auto"/>
        <w:right w:val="none" w:sz="0" w:space="0" w:color="auto"/>
      </w:divBdr>
    </w:div>
    <w:div w:id="731123003">
      <w:bodyDiv w:val="1"/>
      <w:marLeft w:val="0"/>
      <w:marRight w:val="0"/>
      <w:marTop w:val="0"/>
      <w:marBottom w:val="0"/>
      <w:divBdr>
        <w:top w:val="none" w:sz="0" w:space="0" w:color="auto"/>
        <w:left w:val="none" w:sz="0" w:space="0" w:color="auto"/>
        <w:bottom w:val="none" w:sz="0" w:space="0" w:color="auto"/>
        <w:right w:val="none" w:sz="0" w:space="0" w:color="auto"/>
      </w:divBdr>
    </w:div>
    <w:div w:id="862087326">
      <w:bodyDiv w:val="1"/>
      <w:marLeft w:val="0"/>
      <w:marRight w:val="0"/>
      <w:marTop w:val="0"/>
      <w:marBottom w:val="0"/>
      <w:divBdr>
        <w:top w:val="none" w:sz="0" w:space="0" w:color="auto"/>
        <w:left w:val="none" w:sz="0" w:space="0" w:color="auto"/>
        <w:bottom w:val="none" w:sz="0" w:space="0" w:color="auto"/>
        <w:right w:val="none" w:sz="0" w:space="0" w:color="auto"/>
      </w:divBdr>
    </w:div>
    <w:div w:id="876697439">
      <w:bodyDiv w:val="1"/>
      <w:marLeft w:val="0"/>
      <w:marRight w:val="0"/>
      <w:marTop w:val="0"/>
      <w:marBottom w:val="0"/>
      <w:divBdr>
        <w:top w:val="none" w:sz="0" w:space="0" w:color="auto"/>
        <w:left w:val="none" w:sz="0" w:space="0" w:color="auto"/>
        <w:bottom w:val="none" w:sz="0" w:space="0" w:color="auto"/>
        <w:right w:val="none" w:sz="0" w:space="0" w:color="auto"/>
      </w:divBdr>
    </w:div>
    <w:div w:id="905148916">
      <w:bodyDiv w:val="1"/>
      <w:marLeft w:val="0"/>
      <w:marRight w:val="0"/>
      <w:marTop w:val="0"/>
      <w:marBottom w:val="0"/>
      <w:divBdr>
        <w:top w:val="none" w:sz="0" w:space="0" w:color="auto"/>
        <w:left w:val="none" w:sz="0" w:space="0" w:color="auto"/>
        <w:bottom w:val="none" w:sz="0" w:space="0" w:color="auto"/>
        <w:right w:val="none" w:sz="0" w:space="0" w:color="auto"/>
      </w:divBdr>
    </w:div>
    <w:div w:id="994651745">
      <w:bodyDiv w:val="1"/>
      <w:marLeft w:val="0"/>
      <w:marRight w:val="0"/>
      <w:marTop w:val="0"/>
      <w:marBottom w:val="0"/>
      <w:divBdr>
        <w:top w:val="none" w:sz="0" w:space="0" w:color="auto"/>
        <w:left w:val="none" w:sz="0" w:space="0" w:color="auto"/>
        <w:bottom w:val="none" w:sz="0" w:space="0" w:color="auto"/>
        <w:right w:val="none" w:sz="0" w:space="0" w:color="auto"/>
      </w:divBdr>
    </w:div>
    <w:div w:id="1002125622">
      <w:bodyDiv w:val="1"/>
      <w:marLeft w:val="0"/>
      <w:marRight w:val="0"/>
      <w:marTop w:val="0"/>
      <w:marBottom w:val="0"/>
      <w:divBdr>
        <w:top w:val="none" w:sz="0" w:space="0" w:color="auto"/>
        <w:left w:val="none" w:sz="0" w:space="0" w:color="auto"/>
        <w:bottom w:val="none" w:sz="0" w:space="0" w:color="auto"/>
        <w:right w:val="none" w:sz="0" w:space="0" w:color="auto"/>
      </w:divBdr>
    </w:div>
    <w:div w:id="1087917822">
      <w:bodyDiv w:val="1"/>
      <w:marLeft w:val="0"/>
      <w:marRight w:val="0"/>
      <w:marTop w:val="0"/>
      <w:marBottom w:val="0"/>
      <w:divBdr>
        <w:top w:val="none" w:sz="0" w:space="0" w:color="auto"/>
        <w:left w:val="none" w:sz="0" w:space="0" w:color="auto"/>
        <w:bottom w:val="none" w:sz="0" w:space="0" w:color="auto"/>
        <w:right w:val="none" w:sz="0" w:space="0" w:color="auto"/>
      </w:divBdr>
    </w:div>
    <w:div w:id="1093088019">
      <w:bodyDiv w:val="1"/>
      <w:marLeft w:val="0"/>
      <w:marRight w:val="0"/>
      <w:marTop w:val="0"/>
      <w:marBottom w:val="0"/>
      <w:divBdr>
        <w:top w:val="none" w:sz="0" w:space="0" w:color="auto"/>
        <w:left w:val="none" w:sz="0" w:space="0" w:color="auto"/>
        <w:bottom w:val="none" w:sz="0" w:space="0" w:color="auto"/>
        <w:right w:val="none" w:sz="0" w:space="0" w:color="auto"/>
      </w:divBdr>
    </w:div>
    <w:div w:id="1096899815">
      <w:bodyDiv w:val="1"/>
      <w:marLeft w:val="0"/>
      <w:marRight w:val="0"/>
      <w:marTop w:val="0"/>
      <w:marBottom w:val="0"/>
      <w:divBdr>
        <w:top w:val="none" w:sz="0" w:space="0" w:color="auto"/>
        <w:left w:val="none" w:sz="0" w:space="0" w:color="auto"/>
        <w:bottom w:val="none" w:sz="0" w:space="0" w:color="auto"/>
        <w:right w:val="none" w:sz="0" w:space="0" w:color="auto"/>
      </w:divBdr>
    </w:div>
    <w:div w:id="1115565262">
      <w:bodyDiv w:val="1"/>
      <w:marLeft w:val="0"/>
      <w:marRight w:val="0"/>
      <w:marTop w:val="0"/>
      <w:marBottom w:val="0"/>
      <w:divBdr>
        <w:top w:val="none" w:sz="0" w:space="0" w:color="auto"/>
        <w:left w:val="none" w:sz="0" w:space="0" w:color="auto"/>
        <w:bottom w:val="none" w:sz="0" w:space="0" w:color="auto"/>
        <w:right w:val="none" w:sz="0" w:space="0" w:color="auto"/>
      </w:divBdr>
    </w:div>
    <w:div w:id="1204293927">
      <w:bodyDiv w:val="1"/>
      <w:marLeft w:val="0"/>
      <w:marRight w:val="0"/>
      <w:marTop w:val="0"/>
      <w:marBottom w:val="0"/>
      <w:divBdr>
        <w:top w:val="none" w:sz="0" w:space="0" w:color="auto"/>
        <w:left w:val="none" w:sz="0" w:space="0" w:color="auto"/>
        <w:bottom w:val="none" w:sz="0" w:space="0" w:color="auto"/>
        <w:right w:val="none" w:sz="0" w:space="0" w:color="auto"/>
      </w:divBdr>
    </w:div>
    <w:div w:id="1217471383">
      <w:bodyDiv w:val="1"/>
      <w:marLeft w:val="0"/>
      <w:marRight w:val="0"/>
      <w:marTop w:val="0"/>
      <w:marBottom w:val="0"/>
      <w:divBdr>
        <w:top w:val="none" w:sz="0" w:space="0" w:color="auto"/>
        <w:left w:val="none" w:sz="0" w:space="0" w:color="auto"/>
        <w:bottom w:val="none" w:sz="0" w:space="0" w:color="auto"/>
        <w:right w:val="none" w:sz="0" w:space="0" w:color="auto"/>
      </w:divBdr>
    </w:div>
    <w:div w:id="1299532662">
      <w:bodyDiv w:val="1"/>
      <w:marLeft w:val="0"/>
      <w:marRight w:val="0"/>
      <w:marTop w:val="0"/>
      <w:marBottom w:val="0"/>
      <w:divBdr>
        <w:top w:val="none" w:sz="0" w:space="0" w:color="auto"/>
        <w:left w:val="none" w:sz="0" w:space="0" w:color="auto"/>
        <w:bottom w:val="none" w:sz="0" w:space="0" w:color="auto"/>
        <w:right w:val="none" w:sz="0" w:space="0" w:color="auto"/>
      </w:divBdr>
    </w:div>
    <w:div w:id="1518929651">
      <w:bodyDiv w:val="1"/>
      <w:marLeft w:val="0"/>
      <w:marRight w:val="0"/>
      <w:marTop w:val="0"/>
      <w:marBottom w:val="0"/>
      <w:divBdr>
        <w:top w:val="none" w:sz="0" w:space="0" w:color="auto"/>
        <w:left w:val="none" w:sz="0" w:space="0" w:color="auto"/>
        <w:bottom w:val="none" w:sz="0" w:space="0" w:color="auto"/>
        <w:right w:val="none" w:sz="0" w:space="0" w:color="auto"/>
      </w:divBdr>
    </w:div>
    <w:div w:id="1741560324">
      <w:bodyDiv w:val="1"/>
      <w:marLeft w:val="0"/>
      <w:marRight w:val="0"/>
      <w:marTop w:val="0"/>
      <w:marBottom w:val="0"/>
      <w:divBdr>
        <w:top w:val="none" w:sz="0" w:space="0" w:color="auto"/>
        <w:left w:val="none" w:sz="0" w:space="0" w:color="auto"/>
        <w:bottom w:val="none" w:sz="0" w:space="0" w:color="auto"/>
        <w:right w:val="none" w:sz="0" w:space="0" w:color="auto"/>
      </w:divBdr>
    </w:div>
    <w:div w:id="1770004998">
      <w:bodyDiv w:val="1"/>
      <w:marLeft w:val="0"/>
      <w:marRight w:val="0"/>
      <w:marTop w:val="0"/>
      <w:marBottom w:val="0"/>
      <w:divBdr>
        <w:top w:val="none" w:sz="0" w:space="0" w:color="auto"/>
        <w:left w:val="none" w:sz="0" w:space="0" w:color="auto"/>
        <w:bottom w:val="none" w:sz="0" w:space="0" w:color="auto"/>
        <w:right w:val="none" w:sz="0" w:space="0" w:color="auto"/>
      </w:divBdr>
    </w:div>
    <w:div w:id="1953398587">
      <w:bodyDiv w:val="1"/>
      <w:marLeft w:val="0"/>
      <w:marRight w:val="0"/>
      <w:marTop w:val="0"/>
      <w:marBottom w:val="0"/>
      <w:divBdr>
        <w:top w:val="none" w:sz="0" w:space="0" w:color="auto"/>
        <w:left w:val="none" w:sz="0" w:space="0" w:color="auto"/>
        <w:bottom w:val="none" w:sz="0" w:space="0" w:color="auto"/>
        <w:right w:val="none" w:sz="0" w:space="0" w:color="auto"/>
      </w:divBdr>
    </w:div>
    <w:div w:id="2137528347">
      <w:bodyDiv w:val="1"/>
      <w:marLeft w:val="0"/>
      <w:marRight w:val="0"/>
      <w:marTop w:val="0"/>
      <w:marBottom w:val="0"/>
      <w:divBdr>
        <w:top w:val="none" w:sz="0" w:space="0" w:color="auto"/>
        <w:left w:val="none" w:sz="0" w:space="0" w:color="auto"/>
        <w:bottom w:val="none" w:sz="0" w:space="0" w:color="auto"/>
        <w:right w:val="none" w:sz="0" w:space="0" w:color="auto"/>
      </w:divBdr>
    </w:div>
    <w:div w:id="21432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eader" Target="header2.xml"/><Relationship Id="rId28" Type="http://schemas.openxmlformats.org/officeDocument/2006/relationships/image" Target="media/image1.emf"/><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medicareaustralia.gov.au/provider/pbs/stats.jsp" TargetMode="External"/><Relationship Id="rId2" Type="http://schemas.openxmlformats.org/officeDocument/2006/relationships/hyperlink" Target="https://www.ebs.tga.gov.au/" TargetMode="External"/><Relationship Id="rId1" Type="http://schemas.openxmlformats.org/officeDocument/2006/relationships/hyperlink" Target="https://www.ebs.tga.gov.au/" TargetMode="External"/><Relationship Id="rId4" Type="http://schemas.openxmlformats.org/officeDocument/2006/relationships/hyperlink" Target="http://www.racgp.org.au/download/Documents/AFP/2013/March/201303votrubec.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66%20-%20Pregabalin%2024%20month%20PvA%20-%20Oct%202015%20DUSC\D866%20-%20pregabalin%20+%20related%20drgs%20scrpts,%20ben%20&amp;%20DDDs%20(plain%20only)%20by%20month.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groupdata\sites\CO1\CO\PBD\PEB\EVAL\DUSC\DUSC%20Database%20and%20other%20utilisation%20data\Data%20Requests\Requests%202015\D866%20-%20Pregabalin%2024%20month%20PvA%20-%20Oct%202015%20DUSC\D866%20-%20pregabalin%20+%20related%20drgs%20scrpts,%20ben%20&amp;%20DDDs%20(plain%20only)%20by%20month.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entral.health\dfsgroupdata\sites\CO1\CO\PBD\PEB\EVAL\DUSC\DUSC%20Database%20and%20other%20utilisation%20data\Data%20Requests\Requests%202015\D866%20-%20Pregabalin%2024%20month%20PvA%20-%20Oct%202015%20DUSC\D866%20-%20pregabalin%20+%20related%20drgs%20scrpts,%20ben%20&amp;%20DDDs%20(plain%20only)%20by%20mont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66%20-%20Pregabalin%2024%20month%20PvA%20-%20Oct%202015%20DUSC\D866%20-%20pregabalin%20+%20related%20drgs%20scrpts,%20ben%20&amp;%20DDDs%20(plain%20only)%20by%20month.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PAT_CNT_BY_DRUG_N_SUPP_Q_SUM.xlsx]Sheet1 (2)!PivotTable3</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s>
    <c:plotArea>
      <c:layout>
        <c:manualLayout>
          <c:layoutTarget val="inner"/>
          <c:xMode val="edge"/>
          <c:yMode val="edge"/>
          <c:x val="0.14391783941580166"/>
          <c:y val="3.7606837606837605E-2"/>
          <c:w val="0.83151487973551041"/>
          <c:h val="0.69092331979253852"/>
        </c:manualLayout>
      </c:layout>
      <c:lineChart>
        <c:grouping val="standard"/>
        <c:varyColors val="0"/>
        <c:ser>
          <c:idx val="0"/>
          <c:order val="0"/>
          <c:tx>
            <c:strRef>
              <c:f>'Sheet1 (2)'!$B$4:$B$6</c:f>
              <c:strCache>
                <c:ptCount val="1"/>
                <c:pt idx="0">
                  <c:v>prevalent patients - PBS item</c:v>
                </c:pt>
              </c:strCache>
            </c:strRef>
          </c:tx>
          <c:cat>
            <c:strRef>
              <c:f>'Sheet1 (2)'!$A$7:$A$35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(2)'!$B$7:$B$35</c:f>
              <c:numCache>
                <c:formatCode>General</c:formatCode>
                <c:ptCount val="28"/>
                <c:pt idx="3">
                  <c:v>34115</c:v>
                </c:pt>
                <c:pt idx="4">
                  <c:v>51078</c:v>
                </c:pt>
                <c:pt idx="5">
                  <c:v>66460</c:v>
                </c:pt>
                <c:pt idx="6">
                  <c:v>70069</c:v>
                </c:pt>
                <c:pt idx="7">
                  <c:v>81904</c:v>
                </c:pt>
                <c:pt idx="8">
                  <c:v>89831</c:v>
                </c:pt>
                <c:pt idx="9">
                  <c:v>93684</c:v>
                </c:pt>
                <c:pt idx="10">
                  <c:v>104833</c:v>
                </c:pt>
                <c:pt idx="11">
                  <c:v>112085</c:v>
                </c:pt>
                <c:pt idx="12">
                  <c:v>121990</c:v>
                </c:pt>
                <c:pt idx="13">
                  <c:v>103297</c:v>
                </c:pt>
                <c:pt idx="14">
                  <c:v>110992</c:v>
                </c:pt>
                <c:pt idx="15">
                  <c:v>124517</c:v>
                </c:pt>
                <c:pt idx="16">
                  <c:v>127373</c:v>
                </c:pt>
                <c:pt idx="17">
                  <c:v>138813</c:v>
                </c:pt>
                <c:pt idx="18">
                  <c:v>138559</c:v>
                </c:pt>
                <c:pt idx="19">
                  <c:v>148720</c:v>
                </c:pt>
                <c:pt idx="20">
                  <c:v>150697</c:v>
                </c:pt>
                <c:pt idx="21">
                  <c:v>157378</c:v>
                </c:pt>
                <c:pt idx="22">
                  <c:v>166498</c:v>
                </c:pt>
                <c:pt idx="23">
                  <c:v>165259</c:v>
                </c:pt>
                <c:pt idx="24">
                  <c:v>184058</c:v>
                </c:pt>
                <c:pt idx="25">
                  <c:v>146423</c:v>
                </c:pt>
                <c:pt idx="26">
                  <c:v>156926</c:v>
                </c:pt>
                <c:pt idx="27">
                  <c:v>172479</c:v>
                </c:pt>
              </c:numCache>
            </c:numRef>
          </c:val>
          <c:smooth val="0"/>
        </c:ser>
        <c:ser>
          <c:idx val="1"/>
          <c:order val="1"/>
          <c:tx>
            <c:strRef>
              <c:f>'Sheet1 (2)'!$C$4:$C$6</c:f>
              <c:strCache>
                <c:ptCount val="1"/>
                <c:pt idx="0">
                  <c:v>prevalent patients - RPBS item</c:v>
                </c:pt>
              </c:strCache>
            </c:strRef>
          </c:tx>
          <c:cat>
            <c:strRef>
              <c:f>'Sheet1 (2)'!$A$7:$A$35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(2)'!$C$7:$C$35</c:f>
              <c:numCache>
                <c:formatCode>General</c:formatCode>
                <c:ptCount val="28"/>
                <c:pt idx="0">
                  <c:v>2959</c:v>
                </c:pt>
                <c:pt idx="1">
                  <c:v>2560</c:v>
                </c:pt>
                <c:pt idx="2">
                  <c:v>2722</c:v>
                </c:pt>
                <c:pt idx="3">
                  <c:v>2603</c:v>
                </c:pt>
                <c:pt idx="4">
                  <c:v>2271</c:v>
                </c:pt>
                <c:pt idx="5">
                  <c:v>1961</c:v>
                </c:pt>
                <c:pt idx="6">
                  <c:v>1602</c:v>
                </c:pt>
                <c:pt idx="7">
                  <c:v>1506</c:v>
                </c:pt>
                <c:pt idx="8">
                  <c:v>1346</c:v>
                </c:pt>
                <c:pt idx="9">
                  <c:v>1192</c:v>
                </c:pt>
                <c:pt idx="10">
                  <c:v>1160</c:v>
                </c:pt>
              </c:numCache>
            </c:numRef>
          </c:val>
          <c:smooth val="0"/>
        </c:ser>
        <c:ser>
          <c:idx val="2"/>
          <c:order val="2"/>
          <c:tx>
            <c:strRef>
              <c:f>'Sheet1 (2)'!$D$4:$D$6</c:f>
              <c:strCache>
                <c:ptCount val="1"/>
                <c:pt idx="0">
                  <c:v>initiating patients - PBS item</c:v>
                </c:pt>
              </c:strCache>
            </c:strRef>
          </c:tx>
          <c:cat>
            <c:strRef>
              <c:f>'Sheet1 (2)'!$A$7:$A$35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(2)'!$D$7:$D$35</c:f>
              <c:numCache>
                <c:formatCode>General</c:formatCode>
                <c:ptCount val="28"/>
                <c:pt idx="3">
                  <c:v>34115</c:v>
                </c:pt>
                <c:pt idx="4">
                  <c:v>31662</c:v>
                </c:pt>
                <c:pt idx="5">
                  <c:v>29260</c:v>
                </c:pt>
                <c:pt idx="6">
                  <c:v>22086</c:v>
                </c:pt>
                <c:pt idx="7">
                  <c:v>23190</c:v>
                </c:pt>
                <c:pt idx="8">
                  <c:v>23568</c:v>
                </c:pt>
                <c:pt idx="9">
                  <c:v>21589</c:v>
                </c:pt>
                <c:pt idx="10">
                  <c:v>23703</c:v>
                </c:pt>
                <c:pt idx="11">
                  <c:v>24089</c:v>
                </c:pt>
                <c:pt idx="12">
                  <c:v>21241</c:v>
                </c:pt>
                <c:pt idx="13">
                  <c:v>19313</c:v>
                </c:pt>
                <c:pt idx="14">
                  <c:v>20195</c:v>
                </c:pt>
                <c:pt idx="15">
                  <c:v>22539</c:v>
                </c:pt>
                <c:pt idx="16">
                  <c:v>20719</c:v>
                </c:pt>
                <c:pt idx="17">
                  <c:v>23304</c:v>
                </c:pt>
                <c:pt idx="18">
                  <c:v>21451</c:v>
                </c:pt>
                <c:pt idx="19">
                  <c:v>23196</c:v>
                </c:pt>
                <c:pt idx="20">
                  <c:v>22514</c:v>
                </c:pt>
                <c:pt idx="21">
                  <c:v>23393</c:v>
                </c:pt>
                <c:pt idx="22">
                  <c:v>24550</c:v>
                </c:pt>
                <c:pt idx="23">
                  <c:v>22563</c:v>
                </c:pt>
                <c:pt idx="24">
                  <c:v>23145</c:v>
                </c:pt>
                <c:pt idx="25">
                  <c:v>19853</c:v>
                </c:pt>
                <c:pt idx="26">
                  <c:v>21416</c:v>
                </c:pt>
                <c:pt idx="27">
                  <c:v>23748</c:v>
                </c:pt>
              </c:numCache>
            </c:numRef>
          </c:val>
          <c:smooth val="0"/>
        </c:ser>
        <c:ser>
          <c:idx val="3"/>
          <c:order val="3"/>
          <c:tx>
            <c:strRef>
              <c:f>'Sheet1 (2)'!$E$4:$E$6</c:f>
              <c:strCache>
                <c:ptCount val="1"/>
                <c:pt idx="0">
                  <c:v>initiating patients - RPBS item</c:v>
                </c:pt>
              </c:strCache>
            </c:strRef>
          </c:tx>
          <c:cat>
            <c:strRef>
              <c:f>'Sheet1 (2)'!$A$7:$A$35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(2)'!$E$7:$E$35</c:f>
              <c:numCache>
                <c:formatCode>General</c:formatCode>
                <c:ptCount val="28"/>
                <c:pt idx="0">
                  <c:v>239</c:v>
                </c:pt>
                <c:pt idx="1">
                  <c:v>212</c:v>
                </c:pt>
                <c:pt idx="2">
                  <c:v>253</c:v>
                </c:pt>
                <c:pt idx="3">
                  <c:v>191</c:v>
                </c:pt>
                <c:pt idx="4">
                  <c:v>122</c:v>
                </c:pt>
                <c:pt idx="5">
                  <c:v>127</c:v>
                </c:pt>
                <c:pt idx="6">
                  <c:v>96</c:v>
                </c:pt>
                <c:pt idx="7">
                  <c:v>98</c:v>
                </c:pt>
                <c:pt idx="8">
                  <c:v>130</c:v>
                </c:pt>
                <c:pt idx="9">
                  <c:v>118</c:v>
                </c:pt>
                <c:pt idx="10">
                  <c:v>129</c:v>
                </c:pt>
              </c:numCache>
            </c:numRef>
          </c:val>
          <c:smooth val="0"/>
        </c:ser>
        <c:dLbls>
          <c:showLegendKey val="0"/>
          <c:showVal val="0"/>
          <c:showCatName val="0"/>
          <c:showSerName val="0"/>
          <c:showPercent val="0"/>
          <c:showBubbleSize val="0"/>
        </c:dLbls>
        <c:marker val="1"/>
        <c:smooth val="0"/>
        <c:axId val="334593024"/>
        <c:axId val="334603392"/>
      </c:lineChart>
      <c:catAx>
        <c:axId val="334593024"/>
        <c:scaling>
          <c:orientation val="minMax"/>
        </c:scaling>
        <c:delete val="0"/>
        <c:axPos val="b"/>
        <c:title>
          <c:tx>
            <c:rich>
              <a:bodyPr/>
              <a:lstStyle/>
              <a:p>
                <a:pPr>
                  <a:defRPr b="0"/>
                </a:pPr>
                <a:r>
                  <a:rPr lang="en-US" b="0"/>
                  <a:t>Month of Supply</a:t>
                </a:r>
              </a:p>
            </c:rich>
          </c:tx>
          <c:layout/>
          <c:overlay val="0"/>
        </c:title>
        <c:majorTickMark val="out"/>
        <c:minorTickMark val="none"/>
        <c:tickLblPos val="nextTo"/>
        <c:crossAx val="334603392"/>
        <c:crosses val="autoZero"/>
        <c:auto val="1"/>
        <c:lblAlgn val="ctr"/>
        <c:lblOffset val="100"/>
        <c:noMultiLvlLbl val="0"/>
      </c:catAx>
      <c:valAx>
        <c:axId val="334603392"/>
        <c:scaling>
          <c:orientation val="minMax"/>
        </c:scaling>
        <c:delete val="0"/>
        <c:axPos val="l"/>
        <c:majorGridlines/>
        <c:title>
          <c:tx>
            <c:rich>
              <a:bodyPr rot="-5400000" vert="horz"/>
              <a:lstStyle/>
              <a:p>
                <a:pPr>
                  <a:defRPr b="0"/>
                </a:pPr>
                <a:r>
                  <a:rPr lang="en-US" b="0"/>
                  <a:t>Patients</a:t>
                </a:r>
              </a:p>
            </c:rich>
          </c:tx>
          <c:layout/>
          <c:overlay val="0"/>
        </c:title>
        <c:numFmt formatCode="#,##0" sourceLinked="0"/>
        <c:majorTickMark val="out"/>
        <c:minorTickMark val="none"/>
        <c:tickLblPos val="nextTo"/>
        <c:crossAx val="334593024"/>
        <c:crosses val="autoZero"/>
        <c:crossBetween val="between"/>
      </c:valAx>
    </c:plotArea>
    <c:legend>
      <c:legendPos val="b"/>
      <c:layout>
        <c:manualLayout>
          <c:xMode val="edge"/>
          <c:yMode val="edge"/>
          <c:x val="0.19655497074954886"/>
          <c:y val="0.9013883912817432"/>
          <c:w val="0.73947418430323086"/>
          <c:h val="7.9414147282956982E-2"/>
        </c:manualLayout>
      </c:layout>
      <c:overlay val="0"/>
    </c:legend>
    <c:plotVisOnly val="1"/>
    <c:dispBlanksAs val="gap"/>
    <c:showDLblsOverMax val="0"/>
  </c:chart>
  <c:spPr>
    <a:ln>
      <a:noFill/>
    </a:ln>
  </c:spPr>
  <c:txPr>
    <a:bodyPr/>
    <a:lstStyle/>
    <a:p>
      <a:pPr>
        <a:defRPr sz="900"/>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DOSE_FREQ using episode lot &amp; qty - 20mg bins + cohorts.xlsx]Sheet1 (2)!PivotTable1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s>
    <c:plotArea>
      <c:layout>
        <c:manualLayout>
          <c:layoutTarget val="inner"/>
          <c:xMode val="edge"/>
          <c:yMode val="edge"/>
          <c:x val="0.1348424977077709"/>
          <c:y val="8.5733882030178329E-2"/>
          <c:w val="0.86293451633988538"/>
          <c:h val="0.61448762973773785"/>
        </c:manualLayout>
      </c:layout>
      <c:lineChart>
        <c:grouping val="standard"/>
        <c:varyColors val="0"/>
        <c:ser>
          <c:idx val="0"/>
          <c:order val="0"/>
          <c:tx>
            <c:strRef>
              <c:f>'Sheet1 (2)'!$B$3:$B$4</c:f>
              <c:strCache>
                <c:ptCount val="1"/>
                <c:pt idx="0">
                  <c:v>Episode 1</c:v>
                </c:pt>
              </c:strCache>
            </c:strRef>
          </c:tx>
          <c:marker>
            <c:symbol val="none"/>
          </c:marker>
          <c:cat>
            <c:strRef>
              <c:f>'Sheet1 (2)'!$A$5:$A$37</c:f>
              <c:strCache>
                <c:ptCount val="32"/>
                <c:pt idx="0">
                  <c:v>0 to  19 mg</c:v>
                </c:pt>
                <c:pt idx="1">
                  <c:v>20 to  39 mg</c:v>
                </c:pt>
                <c:pt idx="2">
                  <c:v>40 to  59 mg</c:v>
                </c:pt>
                <c:pt idx="3">
                  <c:v>60 to  79 mg</c:v>
                </c:pt>
                <c:pt idx="4">
                  <c:v>80 to  99 mg</c:v>
                </c:pt>
                <c:pt idx="5">
                  <c:v>100 to 119 mg</c:v>
                </c:pt>
                <c:pt idx="6">
                  <c:v>120 to 139 mg</c:v>
                </c:pt>
                <c:pt idx="7">
                  <c:v>140 to 159 mg</c:v>
                </c:pt>
                <c:pt idx="8">
                  <c:v>160 to 179 mg</c:v>
                </c:pt>
                <c:pt idx="9">
                  <c:v>180 to 199 mg</c:v>
                </c:pt>
                <c:pt idx="10">
                  <c:v>200 to 219 mg</c:v>
                </c:pt>
                <c:pt idx="11">
                  <c:v>220 to 239 mg</c:v>
                </c:pt>
                <c:pt idx="12">
                  <c:v>240 to 259 mg</c:v>
                </c:pt>
                <c:pt idx="13">
                  <c:v>260 to 279 mg</c:v>
                </c:pt>
                <c:pt idx="14">
                  <c:v>280 to 299 mg</c:v>
                </c:pt>
                <c:pt idx="15">
                  <c:v>300 to 319 mg</c:v>
                </c:pt>
                <c:pt idx="16">
                  <c:v>320 to 339 mg</c:v>
                </c:pt>
                <c:pt idx="17">
                  <c:v>340 to 359 mg</c:v>
                </c:pt>
                <c:pt idx="18">
                  <c:v>360 to 379 mg</c:v>
                </c:pt>
                <c:pt idx="19">
                  <c:v>380 to 399 mg</c:v>
                </c:pt>
                <c:pt idx="20">
                  <c:v>400 to 419 mg</c:v>
                </c:pt>
                <c:pt idx="21">
                  <c:v>420 to 439 mg</c:v>
                </c:pt>
                <c:pt idx="22">
                  <c:v>440 to 459 mg</c:v>
                </c:pt>
                <c:pt idx="23">
                  <c:v>460 to 479 mg</c:v>
                </c:pt>
                <c:pt idx="24">
                  <c:v>480 to 499 mg</c:v>
                </c:pt>
                <c:pt idx="25">
                  <c:v>500 to 519 mg</c:v>
                </c:pt>
                <c:pt idx="26">
                  <c:v>520 to 539 mg</c:v>
                </c:pt>
                <c:pt idx="27">
                  <c:v>540 to 559 mg</c:v>
                </c:pt>
                <c:pt idx="28">
                  <c:v>560 to 579 mg</c:v>
                </c:pt>
                <c:pt idx="29">
                  <c:v>580 to 599 mg</c:v>
                </c:pt>
                <c:pt idx="30">
                  <c:v>600 to 619 mg</c:v>
                </c:pt>
                <c:pt idx="31">
                  <c:v>620 to 639 mg</c:v>
                </c:pt>
              </c:strCache>
            </c:strRef>
          </c:cat>
          <c:val>
            <c:numRef>
              <c:f>'Sheet1 (2)'!$B$5:$B$37</c:f>
              <c:numCache>
                <c:formatCode>0.00%</c:formatCode>
                <c:ptCount val="32"/>
                <c:pt idx="0">
                  <c:v>1.7293507287978072E-3</c:v>
                </c:pt>
                <c:pt idx="1">
                  <c:v>2.6954342787901604E-2</c:v>
                </c:pt>
                <c:pt idx="2">
                  <c:v>0.16286954578073715</c:v>
                </c:pt>
                <c:pt idx="3">
                  <c:v>2.8867216451184077E-2</c:v>
                </c:pt>
                <c:pt idx="4">
                  <c:v>6.162606025669682E-2</c:v>
                </c:pt>
                <c:pt idx="5">
                  <c:v>5.3007540910320811E-2</c:v>
                </c:pt>
                <c:pt idx="6">
                  <c:v>6.0974318553462817E-2</c:v>
                </c:pt>
                <c:pt idx="7">
                  <c:v>0.33573168005835086</c:v>
                </c:pt>
                <c:pt idx="8">
                  <c:v>2.705786854581603E-2</c:v>
                </c:pt>
                <c:pt idx="9">
                  <c:v>2.5399103561050785E-2</c:v>
                </c:pt>
                <c:pt idx="10">
                  <c:v>2.0109878474877357E-2</c:v>
                </c:pt>
                <c:pt idx="11">
                  <c:v>2.5860263755396868E-2</c:v>
                </c:pt>
                <c:pt idx="12">
                  <c:v>1.9128736632824724E-2</c:v>
                </c:pt>
                <c:pt idx="13">
                  <c:v>1.8062891897933014E-2</c:v>
                </c:pt>
                <c:pt idx="14">
                  <c:v>4.872769196381304E-2</c:v>
                </c:pt>
                <c:pt idx="15">
                  <c:v>1.2044280790089762E-2</c:v>
                </c:pt>
                <c:pt idx="16">
                  <c:v>7.9503076362010747E-3</c:v>
                </c:pt>
                <c:pt idx="17">
                  <c:v>6.5362398974153852E-3</c:v>
                </c:pt>
                <c:pt idx="18">
                  <c:v>6.2656612119572248E-3</c:v>
                </c:pt>
                <c:pt idx="19">
                  <c:v>4.8210063174240906E-3</c:v>
                </c:pt>
                <c:pt idx="20">
                  <c:v>4.3739632718845217E-3</c:v>
                </c:pt>
                <c:pt idx="21">
                  <c:v>5.7456795642506732E-3</c:v>
                </c:pt>
                <c:pt idx="22">
                  <c:v>4.7904191616766467E-3</c:v>
                </c:pt>
                <c:pt idx="23">
                  <c:v>3.6775172640965614E-3</c:v>
                </c:pt>
                <c:pt idx="24">
                  <c:v>3.4469371669235203E-3</c:v>
                </c:pt>
                <c:pt idx="25">
                  <c:v>3.3010599625895557E-3</c:v>
                </c:pt>
                <c:pt idx="26">
                  <c:v>3.0869498723574461E-3</c:v>
                </c:pt>
                <c:pt idx="27">
                  <c:v>3.0304812771313953E-3</c:v>
                </c:pt>
                <c:pt idx="28">
                  <c:v>6.1221368657576793E-3</c:v>
                </c:pt>
                <c:pt idx="29">
                  <c:v>4.0845617213510115E-3</c:v>
                </c:pt>
                <c:pt idx="30">
                  <c:v>2.9387198098890627E-3</c:v>
                </c:pt>
                <c:pt idx="31">
                  <c:v>1.6775878498405939E-3</c:v>
                </c:pt>
              </c:numCache>
            </c:numRef>
          </c:val>
          <c:smooth val="0"/>
        </c:ser>
        <c:ser>
          <c:idx val="1"/>
          <c:order val="1"/>
          <c:tx>
            <c:strRef>
              <c:f>'Sheet1 (2)'!$C$3:$C$4</c:f>
              <c:strCache>
                <c:ptCount val="1"/>
                <c:pt idx="0">
                  <c:v>Episode 2</c:v>
                </c:pt>
              </c:strCache>
            </c:strRef>
          </c:tx>
          <c:marker>
            <c:symbol val="none"/>
          </c:marker>
          <c:cat>
            <c:strRef>
              <c:f>'Sheet1 (2)'!$A$5:$A$37</c:f>
              <c:strCache>
                <c:ptCount val="32"/>
                <c:pt idx="0">
                  <c:v>0 to  19 mg</c:v>
                </c:pt>
                <c:pt idx="1">
                  <c:v>20 to  39 mg</c:v>
                </c:pt>
                <c:pt idx="2">
                  <c:v>40 to  59 mg</c:v>
                </c:pt>
                <c:pt idx="3">
                  <c:v>60 to  79 mg</c:v>
                </c:pt>
                <c:pt idx="4">
                  <c:v>80 to  99 mg</c:v>
                </c:pt>
                <c:pt idx="5">
                  <c:v>100 to 119 mg</c:v>
                </c:pt>
                <c:pt idx="6">
                  <c:v>120 to 139 mg</c:v>
                </c:pt>
                <c:pt idx="7">
                  <c:v>140 to 159 mg</c:v>
                </c:pt>
                <c:pt idx="8">
                  <c:v>160 to 179 mg</c:v>
                </c:pt>
                <c:pt idx="9">
                  <c:v>180 to 199 mg</c:v>
                </c:pt>
                <c:pt idx="10">
                  <c:v>200 to 219 mg</c:v>
                </c:pt>
                <c:pt idx="11">
                  <c:v>220 to 239 mg</c:v>
                </c:pt>
                <c:pt idx="12">
                  <c:v>240 to 259 mg</c:v>
                </c:pt>
                <c:pt idx="13">
                  <c:v>260 to 279 mg</c:v>
                </c:pt>
                <c:pt idx="14">
                  <c:v>280 to 299 mg</c:v>
                </c:pt>
                <c:pt idx="15">
                  <c:v>300 to 319 mg</c:v>
                </c:pt>
                <c:pt idx="16">
                  <c:v>320 to 339 mg</c:v>
                </c:pt>
                <c:pt idx="17">
                  <c:v>340 to 359 mg</c:v>
                </c:pt>
                <c:pt idx="18">
                  <c:v>360 to 379 mg</c:v>
                </c:pt>
                <c:pt idx="19">
                  <c:v>380 to 399 mg</c:v>
                </c:pt>
                <c:pt idx="20">
                  <c:v>400 to 419 mg</c:v>
                </c:pt>
                <c:pt idx="21">
                  <c:v>420 to 439 mg</c:v>
                </c:pt>
                <c:pt idx="22">
                  <c:v>440 to 459 mg</c:v>
                </c:pt>
                <c:pt idx="23">
                  <c:v>460 to 479 mg</c:v>
                </c:pt>
                <c:pt idx="24">
                  <c:v>480 to 499 mg</c:v>
                </c:pt>
                <c:pt idx="25">
                  <c:v>500 to 519 mg</c:v>
                </c:pt>
                <c:pt idx="26">
                  <c:v>520 to 539 mg</c:v>
                </c:pt>
                <c:pt idx="27">
                  <c:v>540 to 559 mg</c:v>
                </c:pt>
                <c:pt idx="28">
                  <c:v>560 to 579 mg</c:v>
                </c:pt>
                <c:pt idx="29">
                  <c:v>580 to 599 mg</c:v>
                </c:pt>
                <c:pt idx="30">
                  <c:v>600 to 619 mg</c:v>
                </c:pt>
                <c:pt idx="31">
                  <c:v>620 to 639 mg</c:v>
                </c:pt>
              </c:strCache>
            </c:strRef>
          </c:cat>
          <c:val>
            <c:numRef>
              <c:f>'Sheet1 (2)'!$C$5:$C$37</c:f>
              <c:numCache>
                <c:formatCode>0.00%</c:formatCode>
                <c:ptCount val="32"/>
                <c:pt idx="0">
                  <c:v>5.23149359142035E-4</c:v>
                </c:pt>
                <c:pt idx="1">
                  <c:v>3.8587496730316508E-2</c:v>
                </c:pt>
                <c:pt idx="2">
                  <c:v>0.14200366204551398</c:v>
                </c:pt>
                <c:pt idx="3">
                  <c:v>3.5605545383206906E-2</c:v>
                </c:pt>
                <c:pt idx="4">
                  <c:v>7.4998692126602151E-2</c:v>
                </c:pt>
                <c:pt idx="5">
                  <c:v>6.8114046560292962E-2</c:v>
                </c:pt>
                <c:pt idx="6">
                  <c:v>5.9147266544598481E-2</c:v>
                </c:pt>
                <c:pt idx="7">
                  <c:v>0.28254250588543028</c:v>
                </c:pt>
                <c:pt idx="8">
                  <c:v>3.2037666753858225E-2</c:v>
                </c:pt>
                <c:pt idx="9">
                  <c:v>2.9160345278577034E-2</c:v>
                </c:pt>
                <c:pt idx="10">
                  <c:v>2.4064870520533611E-2</c:v>
                </c:pt>
                <c:pt idx="11">
                  <c:v>2.344755427674601E-2</c:v>
                </c:pt>
                <c:pt idx="12">
                  <c:v>1.7766152236463509E-2</c:v>
                </c:pt>
                <c:pt idx="13">
                  <c:v>1.5265498299764584E-2</c:v>
                </c:pt>
                <c:pt idx="14">
                  <c:v>6.6910803034266289E-2</c:v>
                </c:pt>
                <c:pt idx="15">
                  <c:v>1.120585927282239E-2</c:v>
                </c:pt>
                <c:pt idx="16">
                  <c:v>8.7679832592205079E-3</c:v>
                </c:pt>
                <c:pt idx="17">
                  <c:v>7.4914988229139419E-3</c:v>
                </c:pt>
                <c:pt idx="18">
                  <c:v>6.2777923097044209E-3</c:v>
                </c:pt>
                <c:pt idx="19">
                  <c:v>5.2628825529688729E-3</c:v>
                </c:pt>
                <c:pt idx="20">
                  <c:v>4.4258435783416164E-3</c:v>
                </c:pt>
                <c:pt idx="21">
                  <c:v>7.8786293486790473E-3</c:v>
                </c:pt>
                <c:pt idx="22">
                  <c:v>4.247972796233325E-3</c:v>
                </c:pt>
                <c:pt idx="23">
                  <c:v>4.3316766936960498E-3</c:v>
                </c:pt>
                <c:pt idx="24">
                  <c:v>3.1075071933036884E-3</c:v>
                </c:pt>
                <c:pt idx="25">
                  <c:v>2.5320428982474495E-3</c:v>
                </c:pt>
                <c:pt idx="26">
                  <c:v>3.505100706251635E-3</c:v>
                </c:pt>
                <c:pt idx="27">
                  <c:v>2.2495422443107507E-3</c:v>
                </c:pt>
                <c:pt idx="28">
                  <c:v>1.1017525503531259E-2</c:v>
                </c:pt>
                <c:pt idx="29">
                  <c:v>3.2121370651320954E-3</c:v>
                </c:pt>
                <c:pt idx="30">
                  <c:v>3.002877321475281E-3</c:v>
                </c:pt>
                <c:pt idx="31">
                  <c:v>1.3078733978550876E-3</c:v>
                </c:pt>
              </c:numCache>
            </c:numRef>
          </c:val>
          <c:smooth val="0"/>
        </c:ser>
        <c:ser>
          <c:idx val="2"/>
          <c:order val="2"/>
          <c:tx>
            <c:strRef>
              <c:f>'Sheet1 (2)'!$D$3:$D$4</c:f>
              <c:strCache>
                <c:ptCount val="1"/>
                <c:pt idx="0">
                  <c:v>Episode 3</c:v>
                </c:pt>
              </c:strCache>
            </c:strRef>
          </c:tx>
          <c:marker>
            <c:symbol val="none"/>
          </c:marker>
          <c:cat>
            <c:strRef>
              <c:f>'Sheet1 (2)'!$A$5:$A$37</c:f>
              <c:strCache>
                <c:ptCount val="32"/>
                <c:pt idx="0">
                  <c:v>0 to  19 mg</c:v>
                </c:pt>
                <c:pt idx="1">
                  <c:v>20 to  39 mg</c:v>
                </c:pt>
                <c:pt idx="2">
                  <c:v>40 to  59 mg</c:v>
                </c:pt>
                <c:pt idx="3">
                  <c:v>60 to  79 mg</c:v>
                </c:pt>
                <c:pt idx="4">
                  <c:v>80 to  99 mg</c:v>
                </c:pt>
                <c:pt idx="5">
                  <c:v>100 to 119 mg</c:v>
                </c:pt>
                <c:pt idx="6">
                  <c:v>120 to 139 mg</c:v>
                </c:pt>
                <c:pt idx="7">
                  <c:v>140 to 159 mg</c:v>
                </c:pt>
                <c:pt idx="8">
                  <c:v>160 to 179 mg</c:v>
                </c:pt>
                <c:pt idx="9">
                  <c:v>180 to 199 mg</c:v>
                </c:pt>
                <c:pt idx="10">
                  <c:v>200 to 219 mg</c:v>
                </c:pt>
                <c:pt idx="11">
                  <c:v>220 to 239 mg</c:v>
                </c:pt>
                <c:pt idx="12">
                  <c:v>240 to 259 mg</c:v>
                </c:pt>
                <c:pt idx="13">
                  <c:v>260 to 279 mg</c:v>
                </c:pt>
                <c:pt idx="14">
                  <c:v>280 to 299 mg</c:v>
                </c:pt>
                <c:pt idx="15">
                  <c:v>300 to 319 mg</c:v>
                </c:pt>
                <c:pt idx="16">
                  <c:v>320 to 339 mg</c:v>
                </c:pt>
                <c:pt idx="17">
                  <c:v>340 to 359 mg</c:v>
                </c:pt>
                <c:pt idx="18">
                  <c:v>360 to 379 mg</c:v>
                </c:pt>
                <c:pt idx="19">
                  <c:v>380 to 399 mg</c:v>
                </c:pt>
                <c:pt idx="20">
                  <c:v>400 to 419 mg</c:v>
                </c:pt>
                <c:pt idx="21">
                  <c:v>420 to 439 mg</c:v>
                </c:pt>
                <c:pt idx="22">
                  <c:v>440 to 459 mg</c:v>
                </c:pt>
                <c:pt idx="23">
                  <c:v>460 to 479 mg</c:v>
                </c:pt>
                <c:pt idx="24">
                  <c:v>480 to 499 mg</c:v>
                </c:pt>
                <c:pt idx="25">
                  <c:v>500 to 519 mg</c:v>
                </c:pt>
                <c:pt idx="26">
                  <c:v>520 to 539 mg</c:v>
                </c:pt>
                <c:pt idx="27">
                  <c:v>540 to 559 mg</c:v>
                </c:pt>
                <c:pt idx="28">
                  <c:v>560 to 579 mg</c:v>
                </c:pt>
                <c:pt idx="29">
                  <c:v>580 to 599 mg</c:v>
                </c:pt>
                <c:pt idx="30">
                  <c:v>600 to 619 mg</c:v>
                </c:pt>
                <c:pt idx="31">
                  <c:v>620 to 639 mg</c:v>
                </c:pt>
              </c:strCache>
            </c:strRef>
          </c:cat>
          <c:val>
            <c:numRef>
              <c:f>'Sheet1 (2)'!$D$5:$D$37</c:f>
              <c:numCache>
                <c:formatCode>0.00%</c:formatCode>
                <c:ptCount val="32"/>
                <c:pt idx="0">
                  <c:v>2.917294695385812E-4</c:v>
                </c:pt>
                <c:pt idx="1">
                  <c:v>3.8994505761657021E-2</c:v>
                </c:pt>
                <c:pt idx="2">
                  <c:v>0.10910682160742938</c:v>
                </c:pt>
                <c:pt idx="3">
                  <c:v>3.7098264209656243E-2</c:v>
                </c:pt>
                <c:pt idx="4">
                  <c:v>7.8475227305878345E-2</c:v>
                </c:pt>
                <c:pt idx="5">
                  <c:v>7.2494773180337438E-2</c:v>
                </c:pt>
                <c:pt idx="6">
                  <c:v>5.9950405990178444E-2</c:v>
                </c:pt>
                <c:pt idx="7">
                  <c:v>0.259493363154568</c:v>
                </c:pt>
                <c:pt idx="8">
                  <c:v>3.5299265814168326E-2</c:v>
                </c:pt>
                <c:pt idx="9">
                  <c:v>3.1117810084115332E-2</c:v>
                </c:pt>
                <c:pt idx="10">
                  <c:v>2.8249136966985947E-2</c:v>
                </c:pt>
                <c:pt idx="11">
                  <c:v>2.5866679632420869E-2</c:v>
                </c:pt>
                <c:pt idx="12">
                  <c:v>1.7892740798366315E-2</c:v>
                </c:pt>
                <c:pt idx="13">
                  <c:v>1.4829581368211213E-2</c:v>
                </c:pt>
                <c:pt idx="14">
                  <c:v>8.1732873049059171E-2</c:v>
                </c:pt>
                <c:pt idx="15">
                  <c:v>1.2884718237954004E-2</c:v>
                </c:pt>
                <c:pt idx="16">
                  <c:v>1.0307774590363203E-2</c:v>
                </c:pt>
                <c:pt idx="17">
                  <c:v>8.4601546166188559E-3</c:v>
                </c:pt>
                <c:pt idx="18">
                  <c:v>6.2721835950794958E-3</c:v>
                </c:pt>
                <c:pt idx="19">
                  <c:v>6.5639130646180776E-3</c:v>
                </c:pt>
                <c:pt idx="20">
                  <c:v>5.4456167647201825E-3</c:v>
                </c:pt>
                <c:pt idx="21">
                  <c:v>9.3839646034910296E-3</c:v>
                </c:pt>
                <c:pt idx="22">
                  <c:v>5.1052657169251715E-3</c:v>
                </c:pt>
                <c:pt idx="23">
                  <c:v>6.3208051733359269E-3</c:v>
                </c:pt>
                <c:pt idx="24">
                  <c:v>3.5979967909758352E-3</c:v>
                </c:pt>
                <c:pt idx="25">
                  <c:v>2.9172946953858123E-3</c:v>
                </c:pt>
                <c:pt idx="26">
                  <c:v>5.7373462342587642E-3</c:v>
                </c:pt>
                <c:pt idx="27">
                  <c:v>1.7017552389750571E-3</c:v>
                </c:pt>
                <c:pt idx="28">
                  <c:v>1.4148879272621189E-2</c:v>
                </c:pt>
                <c:pt idx="29">
                  <c:v>3.6466183692322653E-3</c:v>
                </c:pt>
                <c:pt idx="30">
                  <c:v>4.7649146691301596E-3</c:v>
                </c:pt>
                <c:pt idx="31">
                  <c:v>1.8476199737443477E-3</c:v>
                </c:pt>
              </c:numCache>
            </c:numRef>
          </c:val>
          <c:smooth val="0"/>
        </c:ser>
        <c:dLbls>
          <c:showLegendKey val="0"/>
          <c:showVal val="0"/>
          <c:showCatName val="0"/>
          <c:showSerName val="0"/>
          <c:showPercent val="0"/>
          <c:showBubbleSize val="0"/>
        </c:dLbls>
        <c:marker val="1"/>
        <c:smooth val="0"/>
        <c:axId val="346669056"/>
        <c:axId val="346670976"/>
      </c:lineChart>
      <c:catAx>
        <c:axId val="346669056"/>
        <c:scaling>
          <c:orientation val="minMax"/>
        </c:scaling>
        <c:delete val="0"/>
        <c:axPos val="b"/>
        <c:title>
          <c:tx>
            <c:rich>
              <a:bodyPr/>
              <a:lstStyle/>
              <a:p>
                <a:pPr>
                  <a:defRPr b="0"/>
                </a:pPr>
                <a:r>
                  <a:rPr lang="en-AU" b="0"/>
                  <a:t>Daily dose range</a:t>
                </a:r>
              </a:p>
            </c:rich>
          </c:tx>
          <c:layout/>
          <c:overlay val="0"/>
        </c:title>
        <c:majorTickMark val="out"/>
        <c:minorTickMark val="none"/>
        <c:tickLblPos val="nextTo"/>
        <c:txPr>
          <a:bodyPr rot="-5400000" vert="horz"/>
          <a:lstStyle/>
          <a:p>
            <a:pPr>
              <a:defRPr sz="800"/>
            </a:pPr>
            <a:endParaRPr lang="en-US"/>
          </a:p>
        </c:txPr>
        <c:crossAx val="346670976"/>
        <c:crosses val="autoZero"/>
        <c:auto val="1"/>
        <c:lblAlgn val="ctr"/>
        <c:lblOffset val="100"/>
        <c:noMultiLvlLbl val="0"/>
      </c:catAx>
      <c:valAx>
        <c:axId val="346670976"/>
        <c:scaling>
          <c:orientation val="minMax"/>
        </c:scaling>
        <c:delete val="0"/>
        <c:axPos val="l"/>
        <c:majorGridlines/>
        <c:title>
          <c:tx>
            <c:rich>
              <a:bodyPr rot="-5400000" vert="horz"/>
              <a:lstStyle/>
              <a:p>
                <a:pPr>
                  <a:defRPr b="0"/>
                </a:pPr>
                <a:r>
                  <a:rPr lang="en-AU" b="0"/>
                  <a:t>% Patients</a:t>
                </a:r>
              </a:p>
            </c:rich>
          </c:tx>
          <c:layout/>
          <c:overlay val="0"/>
        </c:title>
        <c:numFmt formatCode="0%" sourceLinked="0"/>
        <c:majorTickMark val="out"/>
        <c:minorTickMark val="none"/>
        <c:tickLblPos val="nextTo"/>
        <c:crossAx val="346669056"/>
        <c:crosses val="autoZero"/>
        <c:crossBetween val="between"/>
      </c:valAx>
    </c:plotArea>
    <c:legend>
      <c:legendPos val="b"/>
      <c:layout/>
      <c:overlay val="0"/>
    </c:legend>
    <c:plotVisOnly val="1"/>
    <c:dispBlanksAs val="gap"/>
    <c:showDLblsOverMax val="0"/>
  </c:chart>
  <c:spPr>
    <a:ln>
      <a:noFill/>
    </a:ln>
  </c:spPr>
  <c:txPr>
    <a:bodyPr/>
    <a:lstStyle/>
    <a:p>
      <a:pPr>
        <a:defRPr sz="900"/>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PAT_CNT_BY age and yr_list.xlsx]Sheet1 (4)!PivotTable1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dLbl>
          <c:idx val="0"/>
          <c:delete val="1"/>
        </c:dLbl>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s>
    <c:plotArea>
      <c:layout/>
      <c:lineChart>
        <c:grouping val="standard"/>
        <c:varyColors val="0"/>
        <c:ser>
          <c:idx val="0"/>
          <c:order val="0"/>
          <c:tx>
            <c:strRef>
              <c:f>'Sheet1 (4)'!$B$5:$B$6</c:f>
              <c:strCache>
                <c:ptCount val="1"/>
                <c:pt idx="0">
                  <c:v>Prior to Yr1</c:v>
                </c:pt>
              </c:strCache>
            </c:strRef>
          </c:tx>
          <c:marker>
            <c:symbol val="none"/>
          </c:marker>
          <c:cat>
            <c:strRef>
              <c:f>'Sheet1 (4)'!$A$7:$A$109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(4)'!$B$7:$B$109</c:f>
              <c:numCache>
                <c:formatCode>General</c:formatCode>
                <c:ptCount val="102"/>
                <c:pt idx="5">
                  <c:v>1</c:v>
                </c:pt>
                <c:pt idx="20">
                  <c:v>2</c:v>
                </c:pt>
                <c:pt idx="22">
                  <c:v>1</c:v>
                </c:pt>
                <c:pt idx="23">
                  <c:v>2</c:v>
                </c:pt>
                <c:pt idx="24">
                  <c:v>3</c:v>
                </c:pt>
                <c:pt idx="25">
                  <c:v>6</c:v>
                </c:pt>
                <c:pt idx="26">
                  <c:v>3</c:v>
                </c:pt>
                <c:pt idx="27">
                  <c:v>9</c:v>
                </c:pt>
                <c:pt idx="28">
                  <c:v>4</c:v>
                </c:pt>
                <c:pt idx="29">
                  <c:v>8</c:v>
                </c:pt>
                <c:pt idx="30">
                  <c:v>10</c:v>
                </c:pt>
                <c:pt idx="31">
                  <c:v>3</c:v>
                </c:pt>
                <c:pt idx="32">
                  <c:v>9</c:v>
                </c:pt>
                <c:pt idx="33">
                  <c:v>8</c:v>
                </c:pt>
                <c:pt idx="34">
                  <c:v>8</c:v>
                </c:pt>
                <c:pt idx="35">
                  <c:v>22</c:v>
                </c:pt>
                <c:pt idx="36">
                  <c:v>22</c:v>
                </c:pt>
                <c:pt idx="37">
                  <c:v>20</c:v>
                </c:pt>
                <c:pt idx="38">
                  <c:v>15</c:v>
                </c:pt>
                <c:pt idx="39">
                  <c:v>24</c:v>
                </c:pt>
                <c:pt idx="40">
                  <c:v>19</c:v>
                </c:pt>
                <c:pt idx="41">
                  <c:v>37</c:v>
                </c:pt>
                <c:pt idx="42">
                  <c:v>42</c:v>
                </c:pt>
                <c:pt idx="43">
                  <c:v>26</c:v>
                </c:pt>
                <c:pt idx="44">
                  <c:v>34</c:v>
                </c:pt>
                <c:pt idx="45">
                  <c:v>36</c:v>
                </c:pt>
                <c:pt idx="46">
                  <c:v>34</c:v>
                </c:pt>
                <c:pt idx="47">
                  <c:v>56</c:v>
                </c:pt>
                <c:pt idx="48">
                  <c:v>28</c:v>
                </c:pt>
                <c:pt idx="49">
                  <c:v>46</c:v>
                </c:pt>
                <c:pt idx="50">
                  <c:v>34</c:v>
                </c:pt>
                <c:pt idx="51">
                  <c:v>40</c:v>
                </c:pt>
                <c:pt idx="52">
                  <c:v>42</c:v>
                </c:pt>
                <c:pt idx="53">
                  <c:v>51</c:v>
                </c:pt>
                <c:pt idx="54">
                  <c:v>52</c:v>
                </c:pt>
                <c:pt idx="55">
                  <c:v>55</c:v>
                </c:pt>
                <c:pt idx="56">
                  <c:v>59</c:v>
                </c:pt>
                <c:pt idx="57">
                  <c:v>77</c:v>
                </c:pt>
                <c:pt idx="58">
                  <c:v>89</c:v>
                </c:pt>
                <c:pt idx="59">
                  <c:v>112</c:v>
                </c:pt>
                <c:pt idx="60">
                  <c:v>173</c:v>
                </c:pt>
                <c:pt idx="61">
                  <c:v>168</c:v>
                </c:pt>
                <c:pt idx="62">
                  <c:v>206</c:v>
                </c:pt>
                <c:pt idx="63">
                  <c:v>245</c:v>
                </c:pt>
                <c:pt idx="64">
                  <c:v>248</c:v>
                </c:pt>
                <c:pt idx="65">
                  <c:v>208</c:v>
                </c:pt>
                <c:pt idx="66">
                  <c:v>193</c:v>
                </c:pt>
                <c:pt idx="67">
                  <c:v>136</c:v>
                </c:pt>
                <c:pt idx="68">
                  <c:v>120</c:v>
                </c:pt>
                <c:pt idx="69">
                  <c:v>130</c:v>
                </c:pt>
                <c:pt idx="70">
                  <c:v>118</c:v>
                </c:pt>
                <c:pt idx="71">
                  <c:v>114</c:v>
                </c:pt>
                <c:pt idx="72">
                  <c:v>106</c:v>
                </c:pt>
                <c:pt idx="73">
                  <c:v>134</c:v>
                </c:pt>
                <c:pt idx="74">
                  <c:v>132</c:v>
                </c:pt>
                <c:pt idx="75">
                  <c:v>159</c:v>
                </c:pt>
                <c:pt idx="76">
                  <c:v>175</c:v>
                </c:pt>
                <c:pt idx="77">
                  <c:v>194</c:v>
                </c:pt>
                <c:pt idx="78">
                  <c:v>228</c:v>
                </c:pt>
                <c:pt idx="79">
                  <c:v>247</c:v>
                </c:pt>
                <c:pt idx="80">
                  <c:v>295</c:v>
                </c:pt>
                <c:pt idx="81">
                  <c:v>380</c:v>
                </c:pt>
                <c:pt idx="82">
                  <c:v>494</c:v>
                </c:pt>
                <c:pt idx="83">
                  <c:v>599</c:v>
                </c:pt>
                <c:pt idx="84">
                  <c:v>733</c:v>
                </c:pt>
                <c:pt idx="85">
                  <c:v>833</c:v>
                </c:pt>
                <c:pt idx="86">
                  <c:v>811</c:v>
                </c:pt>
                <c:pt idx="87">
                  <c:v>776</c:v>
                </c:pt>
                <c:pt idx="88">
                  <c:v>642</c:v>
                </c:pt>
                <c:pt idx="89">
                  <c:v>565</c:v>
                </c:pt>
                <c:pt idx="90">
                  <c:v>406</c:v>
                </c:pt>
                <c:pt idx="91">
                  <c:v>303</c:v>
                </c:pt>
                <c:pt idx="92">
                  <c:v>212</c:v>
                </c:pt>
                <c:pt idx="93">
                  <c:v>137</c:v>
                </c:pt>
                <c:pt idx="94">
                  <c:v>110</c:v>
                </c:pt>
                <c:pt idx="95">
                  <c:v>47</c:v>
                </c:pt>
                <c:pt idx="96">
                  <c:v>43</c:v>
                </c:pt>
                <c:pt idx="97">
                  <c:v>15</c:v>
                </c:pt>
                <c:pt idx="98">
                  <c:v>15</c:v>
                </c:pt>
                <c:pt idx="99">
                  <c:v>5</c:v>
                </c:pt>
                <c:pt idx="100">
                  <c:v>10</c:v>
                </c:pt>
                <c:pt idx="101">
                  <c:v>115</c:v>
                </c:pt>
              </c:numCache>
            </c:numRef>
          </c:val>
          <c:smooth val="0"/>
        </c:ser>
        <c:ser>
          <c:idx val="1"/>
          <c:order val="1"/>
          <c:tx>
            <c:strRef>
              <c:f>'Sheet1 (4)'!$C$5:$C$6</c:f>
              <c:strCache>
                <c:ptCount val="1"/>
                <c:pt idx="0">
                  <c:v>Year 1</c:v>
                </c:pt>
              </c:strCache>
            </c:strRef>
          </c:tx>
          <c:marker>
            <c:symbol val="none"/>
          </c:marker>
          <c:cat>
            <c:strRef>
              <c:f>'Sheet1 (4)'!$A$7:$A$109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(4)'!$C$7:$C$109</c:f>
              <c:numCache>
                <c:formatCode>General</c:formatCode>
                <c:ptCount val="102"/>
                <c:pt idx="0">
                  <c:v>1</c:v>
                </c:pt>
                <c:pt idx="1">
                  <c:v>6</c:v>
                </c:pt>
                <c:pt idx="2">
                  <c:v>4</c:v>
                </c:pt>
                <c:pt idx="3">
                  <c:v>5</c:v>
                </c:pt>
                <c:pt idx="4">
                  <c:v>6</c:v>
                </c:pt>
                <c:pt idx="5">
                  <c:v>10</c:v>
                </c:pt>
                <c:pt idx="6">
                  <c:v>8</c:v>
                </c:pt>
                <c:pt idx="7">
                  <c:v>10</c:v>
                </c:pt>
                <c:pt idx="8">
                  <c:v>14</c:v>
                </c:pt>
                <c:pt idx="9">
                  <c:v>16</c:v>
                </c:pt>
                <c:pt idx="10">
                  <c:v>20</c:v>
                </c:pt>
                <c:pt idx="11">
                  <c:v>24</c:v>
                </c:pt>
                <c:pt idx="12">
                  <c:v>43</c:v>
                </c:pt>
                <c:pt idx="13">
                  <c:v>57</c:v>
                </c:pt>
                <c:pt idx="14">
                  <c:v>117</c:v>
                </c:pt>
                <c:pt idx="15">
                  <c:v>135</c:v>
                </c:pt>
                <c:pt idx="16">
                  <c:v>192</c:v>
                </c:pt>
                <c:pt idx="17">
                  <c:v>319</c:v>
                </c:pt>
                <c:pt idx="18">
                  <c:v>348</c:v>
                </c:pt>
                <c:pt idx="19">
                  <c:v>443</c:v>
                </c:pt>
                <c:pt idx="20">
                  <c:v>555</c:v>
                </c:pt>
                <c:pt idx="21">
                  <c:v>600</c:v>
                </c:pt>
                <c:pt idx="22">
                  <c:v>697</c:v>
                </c:pt>
                <c:pt idx="23">
                  <c:v>844</c:v>
                </c:pt>
                <c:pt idx="24">
                  <c:v>817</c:v>
                </c:pt>
                <c:pt idx="25">
                  <c:v>953</c:v>
                </c:pt>
                <c:pt idx="26">
                  <c:v>1058</c:v>
                </c:pt>
                <c:pt idx="27">
                  <c:v>1193</c:v>
                </c:pt>
                <c:pt idx="28">
                  <c:v>1228</c:v>
                </c:pt>
                <c:pt idx="29">
                  <c:v>1422</c:v>
                </c:pt>
                <c:pt idx="30">
                  <c:v>1523</c:v>
                </c:pt>
                <c:pt idx="31">
                  <c:v>1677</c:v>
                </c:pt>
                <c:pt idx="32">
                  <c:v>1803</c:v>
                </c:pt>
                <c:pt idx="33">
                  <c:v>1955</c:v>
                </c:pt>
                <c:pt idx="34">
                  <c:v>2004</c:v>
                </c:pt>
                <c:pt idx="35">
                  <c:v>2165</c:v>
                </c:pt>
                <c:pt idx="36">
                  <c:v>2349</c:v>
                </c:pt>
                <c:pt idx="37">
                  <c:v>2556</c:v>
                </c:pt>
                <c:pt idx="38">
                  <c:v>2844</c:v>
                </c:pt>
                <c:pt idx="39">
                  <c:v>3070</c:v>
                </c:pt>
                <c:pt idx="40">
                  <c:v>3390</c:v>
                </c:pt>
                <c:pt idx="41">
                  <c:v>3737</c:v>
                </c:pt>
                <c:pt idx="42">
                  <c:v>4144</c:v>
                </c:pt>
                <c:pt idx="43">
                  <c:v>4032</c:v>
                </c:pt>
                <c:pt idx="44">
                  <c:v>4167</c:v>
                </c:pt>
                <c:pt idx="45">
                  <c:v>4163</c:v>
                </c:pt>
                <c:pt idx="46">
                  <c:v>4231</c:v>
                </c:pt>
                <c:pt idx="47">
                  <c:v>4402</c:v>
                </c:pt>
                <c:pt idx="48">
                  <c:v>4833</c:v>
                </c:pt>
                <c:pt idx="49">
                  <c:v>4833</c:v>
                </c:pt>
                <c:pt idx="50">
                  <c:v>5168</c:v>
                </c:pt>
                <c:pt idx="51">
                  <c:v>5528</c:v>
                </c:pt>
                <c:pt idx="52">
                  <c:v>5600</c:v>
                </c:pt>
                <c:pt idx="53">
                  <c:v>5575</c:v>
                </c:pt>
                <c:pt idx="54">
                  <c:v>5638</c:v>
                </c:pt>
                <c:pt idx="55">
                  <c:v>5810</c:v>
                </c:pt>
                <c:pt idx="56">
                  <c:v>5688</c:v>
                </c:pt>
                <c:pt idx="57">
                  <c:v>5833</c:v>
                </c:pt>
                <c:pt idx="58">
                  <c:v>5915</c:v>
                </c:pt>
                <c:pt idx="59">
                  <c:v>5885</c:v>
                </c:pt>
                <c:pt idx="60">
                  <c:v>6093</c:v>
                </c:pt>
                <c:pt idx="61">
                  <c:v>6203</c:v>
                </c:pt>
                <c:pt idx="62">
                  <c:v>6439</c:v>
                </c:pt>
                <c:pt idx="63">
                  <c:v>6576</c:v>
                </c:pt>
                <c:pt idx="64">
                  <c:v>6447</c:v>
                </c:pt>
                <c:pt idx="65">
                  <c:v>6815</c:v>
                </c:pt>
                <c:pt idx="66">
                  <c:v>7315</c:v>
                </c:pt>
                <c:pt idx="67">
                  <c:v>6576</c:v>
                </c:pt>
                <c:pt idx="68">
                  <c:v>6358</c:v>
                </c:pt>
                <c:pt idx="69">
                  <c:v>6265</c:v>
                </c:pt>
                <c:pt idx="70">
                  <c:v>5993</c:v>
                </c:pt>
                <c:pt idx="71">
                  <c:v>5887</c:v>
                </c:pt>
                <c:pt idx="72">
                  <c:v>5866</c:v>
                </c:pt>
                <c:pt idx="73">
                  <c:v>5961</c:v>
                </c:pt>
                <c:pt idx="74">
                  <c:v>5885</c:v>
                </c:pt>
                <c:pt idx="75">
                  <c:v>5728</c:v>
                </c:pt>
                <c:pt idx="76">
                  <c:v>5491</c:v>
                </c:pt>
                <c:pt idx="77">
                  <c:v>5263</c:v>
                </c:pt>
                <c:pt idx="78">
                  <c:v>4930</c:v>
                </c:pt>
                <c:pt idx="79">
                  <c:v>4725</c:v>
                </c:pt>
                <c:pt idx="80">
                  <c:v>4444</c:v>
                </c:pt>
                <c:pt idx="81">
                  <c:v>4136</c:v>
                </c:pt>
                <c:pt idx="82">
                  <c:v>4104</c:v>
                </c:pt>
                <c:pt idx="83">
                  <c:v>3953</c:v>
                </c:pt>
                <c:pt idx="84">
                  <c:v>3578</c:v>
                </c:pt>
                <c:pt idx="85">
                  <c:v>3205</c:v>
                </c:pt>
                <c:pt idx="86">
                  <c:v>2817</c:v>
                </c:pt>
                <c:pt idx="87">
                  <c:v>2484</c:v>
                </c:pt>
                <c:pt idx="88">
                  <c:v>2083</c:v>
                </c:pt>
                <c:pt idx="89">
                  <c:v>1716</c:v>
                </c:pt>
                <c:pt idx="90">
                  <c:v>1319</c:v>
                </c:pt>
                <c:pt idx="91">
                  <c:v>1076</c:v>
                </c:pt>
                <c:pt idx="92">
                  <c:v>879</c:v>
                </c:pt>
                <c:pt idx="93">
                  <c:v>616</c:v>
                </c:pt>
                <c:pt idx="94">
                  <c:v>377</c:v>
                </c:pt>
                <c:pt idx="95">
                  <c:v>251</c:v>
                </c:pt>
                <c:pt idx="96">
                  <c:v>221</c:v>
                </c:pt>
                <c:pt idx="97">
                  <c:v>150</c:v>
                </c:pt>
                <c:pt idx="98">
                  <c:v>98</c:v>
                </c:pt>
                <c:pt idx="99">
                  <c:v>59</c:v>
                </c:pt>
                <c:pt idx="100">
                  <c:v>78</c:v>
                </c:pt>
                <c:pt idx="101">
                  <c:v>47</c:v>
                </c:pt>
              </c:numCache>
            </c:numRef>
          </c:val>
          <c:smooth val="0"/>
        </c:ser>
        <c:ser>
          <c:idx val="2"/>
          <c:order val="2"/>
          <c:tx>
            <c:strRef>
              <c:f>'Sheet1 (4)'!$D$5:$D$6</c:f>
              <c:strCache>
                <c:ptCount val="1"/>
                <c:pt idx="0">
                  <c:v>Year 2</c:v>
                </c:pt>
              </c:strCache>
            </c:strRef>
          </c:tx>
          <c:marker>
            <c:symbol val="none"/>
          </c:marker>
          <c:cat>
            <c:strRef>
              <c:f>'Sheet1 (4)'!$A$7:$A$109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(4)'!$D$7:$D$109</c:f>
              <c:numCache>
                <c:formatCode>General</c:formatCode>
                <c:ptCount val="102"/>
                <c:pt idx="0">
                  <c:v>2</c:v>
                </c:pt>
                <c:pt idx="1">
                  <c:v>4</c:v>
                </c:pt>
                <c:pt idx="2">
                  <c:v>7</c:v>
                </c:pt>
                <c:pt idx="3">
                  <c:v>9</c:v>
                </c:pt>
                <c:pt idx="4">
                  <c:v>14</c:v>
                </c:pt>
                <c:pt idx="5">
                  <c:v>16</c:v>
                </c:pt>
                <c:pt idx="6">
                  <c:v>11</c:v>
                </c:pt>
                <c:pt idx="7">
                  <c:v>12</c:v>
                </c:pt>
                <c:pt idx="8">
                  <c:v>19</c:v>
                </c:pt>
                <c:pt idx="9">
                  <c:v>24</c:v>
                </c:pt>
                <c:pt idx="10">
                  <c:v>38</c:v>
                </c:pt>
                <c:pt idx="11">
                  <c:v>43</c:v>
                </c:pt>
                <c:pt idx="12">
                  <c:v>63</c:v>
                </c:pt>
                <c:pt idx="13">
                  <c:v>76</c:v>
                </c:pt>
                <c:pt idx="14">
                  <c:v>149</c:v>
                </c:pt>
                <c:pt idx="15">
                  <c:v>186</c:v>
                </c:pt>
                <c:pt idx="16">
                  <c:v>249</c:v>
                </c:pt>
                <c:pt idx="17">
                  <c:v>370</c:v>
                </c:pt>
                <c:pt idx="18">
                  <c:v>415</c:v>
                </c:pt>
                <c:pt idx="19">
                  <c:v>574</c:v>
                </c:pt>
                <c:pt idx="20">
                  <c:v>659</c:v>
                </c:pt>
                <c:pt idx="21">
                  <c:v>709</c:v>
                </c:pt>
                <c:pt idx="22">
                  <c:v>916</c:v>
                </c:pt>
                <c:pt idx="23">
                  <c:v>952</c:v>
                </c:pt>
                <c:pt idx="24">
                  <c:v>1094</c:v>
                </c:pt>
                <c:pt idx="25">
                  <c:v>1151</c:v>
                </c:pt>
                <c:pt idx="26">
                  <c:v>1260</c:v>
                </c:pt>
                <c:pt idx="27">
                  <c:v>1337</c:v>
                </c:pt>
                <c:pt idx="28">
                  <c:v>1527</c:v>
                </c:pt>
                <c:pt idx="29">
                  <c:v>1598</c:v>
                </c:pt>
                <c:pt idx="30">
                  <c:v>1710</c:v>
                </c:pt>
                <c:pt idx="31">
                  <c:v>1855</c:v>
                </c:pt>
                <c:pt idx="32">
                  <c:v>1922</c:v>
                </c:pt>
                <c:pt idx="33">
                  <c:v>2101</c:v>
                </c:pt>
                <c:pt idx="34">
                  <c:v>2063</c:v>
                </c:pt>
                <c:pt idx="35">
                  <c:v>2255</c:v>
                </c:pt>
                <c:pt idx="36">
                  <c:v>2434</c:v>
                </c:pt>
                <c:pt idx="37">
                  <c:v>2572</c:v>
                </c:pt>
                <c:pt idx="38">
                  <c:v>2633</c:v>
                </c:pt>
                <c:pt idx="39">
                  <c:v>3017</c:v>
                </c:pt>
                <c:pt idx="40">
                  <c:v>3306</c:v>
                </c:pt>
                <c:pt idx="41">
                  <c:v>3420</c:v>
                </c:pt>
                <c:pt idx="42">
                  <c:v>3703</c:v>
                </c:pt>
                <c:pt idx="43">
                  <c:v>4013</c:v>
                </c:pt>
                <c:pt idx="44">
                  <c:v>4008</c:v>
                </c:pt>
                <c:pt idx="45">
                  <c:v>3954</c:v>
                </c:pt>
                <c:pt idx="46">
                  <c:v>4004</c:v>
                </c:pt>
                <c:pt idx="47">
                  <c:v>4070</c:v>
                </c:pt>
                <c:pt idx="48">
                  <c:v>4181</c:v>
                </c:pt>
                <c:pt idx="49">
                  <c:v>4507</c:v>
                </c:pt>
                <c:pt idx="50">
                  <c:v>4675</c:v>
                </c:pt>
                <c:pt idx="51">
                  <c:v>4986</c:v>
                </c:pt>
                <c:pt idx="52">
                  <c:v>5158</c:v>
                </c:pt>
                <c:pt idx="53">
                  <c:v>5071</c:v>
                </c:pt>
                <c:pt idx="54">
                  <c:v>5207</c:v>
                </c:pt>
                <c:pt idx="55">
                  <c:v>5273</c:v>
                </c:pt>
                <c:pt idx="56">
                  <c:v>5153</c:v>
                </c:pt>
                <c:pt idx="57">
                  <c:v>5282</c:v>
                </c:pt>
                <c:pt idx="58">
                  <c:v>5198</c:v>
                </c:pt>
                <c:pt idx="59">
                  <c:v>5392</c:v>
                </c:pt>
                <c:pt idx="60">
                  <c:v>5309</c:v>
                </c:pt>
                <c:pt idx="61">
                  <c:v>5625</c:v>
                </c:pt>
                <c:pt idx="62">
                  <c:v>5643</c:v>
                </c:pt>
                <c:pt idx="63">
                  <c:v>5792</c:v>
                </c:pt>
                <c:pt idx="64">
                  <c:v>5816</c:v>
                </c:pt>
                <c:pt idx="65">
                  <c:v>5840</c:v>
                </c:pt>
                <c:pt idx="66">
                  <c:v>6088</c:v>
                </c:pt>
                <c:pt idx="67">
                  <c:v>6558</c:v>
                </c:pt>
                <c:pt idx="68">
                  <c:v>5980</c:v>
                </c:pt>
                <c:pt idx="69">
                  <c:v>5775</c:v>
                </c:pt>
                <c:pt idx="70">
                  <c:v>5764</c:v>
                </c:pt>
                <c:pt idx="71">
                  <c:v>5254</c:v>
                </c:pt>
                <c:pt idx="72">
                  <c:v>5302</c:v>
                </c:pt>
                <c:pt idx="73">
                  <c:v>5159</c:v>
                </c:pt>
                <c:pt idx="74">
                  <c:v>5178</c:v>
                </c:pt>
                <c:pt idx="75">
                  <c:v>5062</c:v>
                </c:pt>
                <c:pt idx="76">
                  <c:v>4779</c:v>
                </c:pt>
                <c:pt idx="77">
                  <c:v>4600</c:v>
                </c:pt>
                <c:pt idx="78">
                  <c:v>4352</c:v>
                </c:pt>
                <c:pt idx="79">
                  <c:v>4224</c:v>
                </c:pt>
                <c:pt idx="80">
                  <c:v>3776</c:v>
                </c:pt>
                <c:pt idx="81">
                  <c:v>3635</c:v>
                </c:pt>
                <c:pt idx="82">
                  <c:v>3493</c:v>
                </c:pt>
                <c:pt idx="83">
                  <c:v>3309</c:v>
                </c:pt>
                <c:pt idx="84">
                  <c:v>3215</c:v>
                </c:pt>
                <c:pt idx="85">
                  <c:v>2790</c:v>
                </c:pt>
                <c:pt idx="86">
                  <c:v>2468</c:v>
                </c:pt>
                <c:pt idx="87">
                  <c:v>2197</c:v>
                </c:pt>
                <c:pt idx="88">
                  <c:v>1812</c:v>
                </c:pt>
                <c:pt idx="89">
                  <c:v>1577</c:v>
                </c:pt>
                <c:pt idx="90">
                  <c:v>1273</c:v>
                </c:pt>
                <c:pt idx="91">
                  <c:v>972</c:v>
                </c:pt>
                <c:pt idx="92">
                  <c:v>770</c:v>
                </c:pt>
                <c:pt idx="93">
                  <c:v>652</c:v>
                </c:pt>
                <c:pt idx="94">
                  <c:v>446</c:v>
                </c:pt>
                <c:pt idx="95">
                  <c:v>285</c:v>
                </c:pt>
                <c:pt idx="96">
                  <c:v>202</c:v>
                </c:pt>
                <c:pt idx="97">
                  <c:v>129</c:v>
                </c:pt>
                <c:pt idx="98">
                  <c:v>87</c:v>
                </c:pt>
                <c:pt idx="99">
                  <c:v>53</c:v>
                </c:pt>
                <c:pt idx="100">
                  <c:v>80</c:v>
                </c:pt>
                <c:pt idx="101">
                  <c:v>70</c:v>
                </c:pt>
              </c:numCache>
            </c:numRef>
          </c:val>
          <c:smooth val="0"/>
        </c:ser>
        <c:dLbls>
          <c:showLegendKey val="0"/>
          <c:showVal val="0"/>
          <c:showCatName val="0"/>
          <c:showSerName val="0"/>
          <c:showPercent val="0"/>
          <c:showBubbleSize val="0"/>
        </c:dLbls>
        <c:marker val="1"/>
        <c:smooth val="0"/>
        <c:axId val="351340800"/>
        <c:axId val="351358976"/>
      </c:lineChart>
      <c:catAx>
        <c:axId val="351340800"/>
        <c:scaling>
          <c:orientation val="minMax"/>
        </c:scaling>
        <c:delete val="0"/>
        <c:axPos val="b"/>
        <c:majorTickMark val="none"/>
        <c:minorTickMark val="none"/>
        <c:tickLblPos val="nextTo"/>
        <c:txPr>
          <a:bodyPr/>
          <a:lstStyle/>
          <a:p>
            <a:pPr>
              <a:defRPr sz="1000"/>
            </a:pPr>
            <a:endParaRPr lang="en-US"/>
          </a:p>
        </c:txPr>
        <c:crossAx val="351358976"/>
        <c:crosses val="autoZero"/>
        <c:auto val="1"/>
        <c:lblAlgn val="ctr"/>
        <c:lblOffset val="100"/>
        <c:tickLblSkip val="5"/>
        <c:noMultiLvlLbl val="0"/>
      </c:catAx>
      <c:valAx>
        <c:axId val="351358976"/>
        <c:scaling>
          <c:orientation val="minMax"/>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351340800"/>
        <c:crosses val="autoZero"/>
        <c:crossBetween val="between"/>
      </c:valAx>
    </c:plotArea>
    <c:legend>
      <c:legendPos val="b"/>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PAT_CNT_BY age, patcat_det and yr_list.xlsx]Sheet1 (5)!PivotTable1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s>
    <c:plotArea>
      <c:layout/>
      <c:lineChart>
        <c:grouping val="standard"/>
        <c:varyColors val="0"/>
        <c:ser>
          <c:idx val="0"/>
          <c:order val="0"/>
          <c:tx>
            <c:strRef>
              <c:f>'Sheet1 (5)'!$B$5:$B$6</c:f>
              <c:strCache>
                <c:ptCount val="1"/>
                <c:pt idx="0">
                  <c:v>Concessional Non-Safety Net</c:v>
                </c:pt>
              </c:strCache>
            </c:strRef>
          </c:tx>
          <c:marker>
            <c:symbol val="none"/>
          </c:marker>
          <c:cat>
            <c:strRef>
              <c:f>'Sheet1 (5)'!$A$7:$A$109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(5)'!$B$7:$B$109</c:f>
              <c:numCache>
                <c:formatCode>General</c:formatCode>
                <c:ptCount val="102"/>
                <c:pt idx="0">
                  <c:v>1</c:v>
                </c:pt>
                <c:pt idx="1">
                  <c:v>1</c:v>
                </c:pt>
                <c:pt idx="2">
                  <c:v>4</c:v>
                </c:pt>
                <c:pt idx="3">
                  <c:v>4</c:v>
                </c:pt>
                <c:pt idx="4">
                  <c:v>7</c:v>
                </c:pt>
                <c:pt idx="5">
                  <c:v>11</c:v>
                </c:pt>
                <c:pt idx="6">
                  <c:v>7</c:v>
                </c:pt>
                <c:pt idx="7">
                  <c:v>8</c:v>
                </c:pt>
                <c:pt idx="8">
                  <c:v>11</c:v>
                </c:pt>
                <c:pt idx="9">
                  <c:v>9</c:v>
                </c:pt>
                <c:pt idx="10">
                  <c:v>16</c:v>
                </c:pt>
                <c:pt idx="11">
                  <c:v>18</c:v>
                </c:pt>
                <c:pt idx="12">
                  <c:v>30</c:v>
                </c:pt>
                <c:pt idx="13">
                  <c:v>33</c:v>
                </c:pt>
                <c:pt idx="14">
                  <c:v>39</c:v>
                </c:pt>
                <c:pt idx="15">
                  <c:v>56</c:v>
                </c:pt>
                <c:pt idx="16">
                  <c:v>86</c:v>
                </c:pt>
                <c:pt idx="17">
                  <c:v>120</c:v>
                </c:pt>
                <c:pt idx="18">
                  <c:v>164</c:v>
                </c:pt>
                <c:pt idx="19">
                  <c:v>240</c:v>
                </c:pt>
                <c:pt idx="20">
                  <c:v>253</c:v>
                </c:pt>
                <c:pt idx="21">
                  <c:v>281</c:v>
                </c:pt>
                <c:pt idx="22">
                  <c:v>377</c:v>
                </c:pt>
                <c:pt idx="23">
                  <c:v>388</c:v>
                </c:pt>
                <c:pt idx="24">
                  <c:v>432</c:v>
                </c:pt>
                <c:pt idx="25">
                  <c:v>463</c:v>
                </c:pt>
                <c:pt idx="26">
                  <c:v>480</c:v>
                </c:pt>
                <c:pt idx="27">
                  <c:v>512</c:v>
                </c:pt>
                <c:pt idx="28">
                  <c:v>590</c:v>
                </c:pt>
                <c:pt idx="29">
                  <c:v>597</c:v>
                </c:pt>
                <c:pt idx="30">
                  <c:v>706</c:v>
                </c:pt>
                <c:pt idx="31">
                  <c:v>784</c:v>
                </c:pt>
                <c:pt idx="32">
                  <c:v>736</c:v>
                </c:pt>
                <c:pt idx="33">
                  <c:v>871</c:v>
                </c:pt>
                <c:pt idx="34">
                  <c:v>875</c:v>
                </c:pt>
                <c:pt idx="35">
                  <c:v>968</c:v>
                </c:pt>
                <c:pt idx="36">
                  <c:v>1011</c:v>
                </c:pt>
                <c:pt idx="37">
                  <c:v>1027</c:v>
                </c:pt>
                <c:pt idx="38">
                  <c:v>1052</c:v>
                </c:pt>
                <c:pt idx="39">
                  <c:v>1195</c:v>
                </c:pt>
                <c:pt idx="40">
                  <c:v>1288</c:v>
                </c:pt>
                <c:pt idx="41">
                  <c:v>1374</c:v>
                </c:pt>
                <c:pt idx="42">
                  <c:v>1510</c:v>
                </c:pt>
                <c:pt idx="43">
                  <c:v>1621</c:v>
                </c:pt>
                <c:pt idx="44">
                  <c:v>1552</c:v>
                </c:pt>
                <c:pt idx="45">
                  <c:v>1540</c:v>
                </c:pt>
                <c:pt idx="46">
                  <c:v>1607</c:v>
                </c:pt>
                <c:pt idx="47">
                  <c:v>1598</c:v>
                </c:pt>
                <c:pt idx="48">
                  <c:v>1628</c:v>
                </c:pt>
                <c:pt idx="49">
                  <c:v>1728</c:v>
                </c:pt>
                <c:pt idx="50">
                  <c:v>1742</c:v>
                </c:pt>
                <c:pt idx="51">
                  <c:v>1848</c:v>
                </c:pt>
                <c:pt idx="52">
                  <c:v>1892</c:v>
                </c:pt>
                <c:pt idx="53">
                  <c:v>1869</c:v>
                </c:pt>
                <c:pt idx="54">
                  <c:v>1946</c:v>
                </c:pt>
                <c:pt idx="55">
                  <c:v>1933</c:v>
                </c:pt>
                <c:pt idx="56">
                  <c:v>1913</c:v>
                </c:pt>
                <c:pt idx="57">
                  <c:v>1967</c:v>
                </c:pt>
                <c:pt idx="58">
                  <c:v>1997</c:v>
                </c:pt>
                <c:pt idx="59">
                  <c:v>2086</c:v>
                </c:pt>
                <c:pt idx="60">
                  <c:v>2208</c:v>
                </c:pt>
                <c:pt idx="61">
                  <c:v>2370</c:v>
                </c:pt>
                <c:pt idx="62">
                  <c:v>2485</c:v>
                </c:pt>
                <c:pt idx="63">
                  <c:v>2647</c:v>
                </c:pt>
                <c:pt idx="64">
                  <c:v>2826</c:v>
                </c:pt>
                <c:pt idx="65">
                  <c:v>3464</c:v>
                </c:pt>
                <c:pt idx="66">
                  <c:v>3836</c:v>
                </c:pt>
                <c:pt idx="67">
                  <c:v>4291</c:v>
                </c:pt>
                <c:pt idx="68">
                  <c:v>4036</c:v>
                </c:pt>
                <c:pt idx="69">
                  <c:v>3957</c:v>
                </c:pt>
                <c:pt idx="70">
                  <c:v>4066</c:v>
                </c:pt>
                <c:pt idx="71">
                  <c:v>3733</c:v>
                </c:pt>
                <c:pt idx="72">
                  <c:v>3743</c:v>
                </c:pt>
                <c:pt idx="73">
                  <c:v>3651</c:v>
                </c:pt>
                <c:pt idx="74">
                  <c:v>3661</c:v>
                </c:pt>
                <c:pt idx="75">
                  <c:v>3545</c:v>
                </c:pt>
                <c:pt idx="76">
                  <c:v>3378</c:v>
                </c:pt>
                <c:pt idx="77">
                  <c:v>3170</c:v>
                </c:pt>
                <c:pt idx="78">
                  <c:v>2990</c:v>
                </c:pt>
                <c:pt idx="79">
                  <c:v>2898</c:v>
                </c:pt>
                <c:pt idx="80">
                  <c:v>2595</c:v>
                </c:pt>
                <c:pt idx="81">
                  <c:v>2463</c:v>
                </c:pt>
                <c:pt idx="82">
                  <c:v>2330</c:v>
                </c:pt>
                <c:pt idx="83">
                  <c:v>2185</c:v>
                </c:pt>
                <c:pt idx="84">
                  <c:v>2134</c:v>
                </c:pt>
                <c:pt idx="85">
                  <c:v>1777</c:v>
                </c:pt>
                <c:pt idx="86">
                  <c:v>1563</c:v>
                </c:pt>
                <c:pt idx="87">
                  <c:v>1333</c:v>
                </c:pt>
                <c:pt idx="88">
                  <c:v>1036</c:v>
                </c:pt>
                <c:pt idx="89">
                  <c:v>862</c:v>
                </c:pt>
                <c:pt idx="90">
                  <c:v>661</c:v>
                </c:pt>
                <c:pt idx="91">
                  <c:v>436</c:v>
                </c:pt>
                <c:pt idx="92">
                  <c:v>383</c:v>
                </c:pt>
                <c:pt idx="93">
                  <c:v>337</c:v>
                </c:pt>
                <c:pt idx="94">
                  <c:v>226</c:v>
                </c:pt>
                <c:pt idx="95">
                  <c:v>159</c:v>
                </c:pt>
                <c:pt idx="96">
                  <c:v>124</c:v>
                </c:pt>
                <c:pt idx="97">
                  <c:v>77</c:v>
                </c:pt>
                <c:pt idx="98">
                  <c:v>52</c:v>
                </c:pt>
                <c:pt idx="99">
                  <c:v>35</c:v>
                </c:pt>
                <c:pt idx="100">
                  <c:v>57</c:v>
                </c:pt>
                <c:pt idx="101">
                  <c:v>40</c:v>
                </c:pt>
              </c:numCache>
            </c:numRef>
          </c:val>
          <c:smooth val="0"/>
        </c:ser>
        <c:ser>
          <c:idx val="1"/>
          <c:order val="1"/>
          <c:tx>
            <c:strRef>
              <c:f>'Sheet1 (5)'!$C$5:$C$6</c:f>
              <c:strCache>
                <c:ptCount val="1"/>
                <c:pt idx="0">
                  <c:v>General Non-Safety Net</c:v>
                </c:pt>
              </c:strCache>
            </c:strRef>
          </c:tx>
          <c:marker>
            <c:symbol val="none"/>
          </c:marker>
          <c:cat>
            <c:strRef>
              <c:f>'Sheet1 (5)'!$A$7:$A$109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(5)'!$C$7:$C$109</c:f>
              <c:numCache>
                <c:formatCode>General</c:formatCode>
                <c:ptCount val="102"/>
                <c:pt idx="0">
                  <c:v>1</c:v>
                </c:pt>
                <c:pt idx="2">
                  <c:v>1</c:v>
                </c:pt>
                <c:pt idx="3">
                  <c:v>1</c:v>
                </c:pt>
                <c:pt idx="4">
                  <c:v>3</c:v>
                </c:pt>
                <c:pt idx="5">
                  <c:v>4</c:v>
                </c:pt>
                <c:pt idx="6">
                  <c:v>2</c:v>
                </c:pt>
                <c:pt idx="7">
                  <c:v>2</c:v>
                </c:pt>
                <c:pt idx="8">
                  <c:v>1</c:v>
                </c:pt>
                <c:pt idx="9">
                  <c:v>4</c:v>
                </c:pt>
                <c:pt idx="10">
                  <c:v>8</c:v>
                </c:pt>
                <c:pt idx="11">
                  <c:v>6</c:v>
                </c:pt>
                <c:pt idx="12">
                  <c:v>12</c:v>
                </c:pt>
                <c:pt idx="13">
                  <c:v>20</c:v>
                </c:pt>
                <c:pt idx="14">
                  <c:v>43</c:v>
                </c:pt>
                <c:pt idx="15">
                  <c:v>56</c:v>
                </c:pt>
                <c:pt idx="16">
                  <c:v>75</c:v>
                </c:pt>
                <c:pt idx="17">
                  <c:v>134</c:v>
                </c:pt>
                <c:pt idx="18">
                  <c:v>137</c:v>
                </c:pt>
                <c:pt idx="19">
                  <c:v>215</c:v>
                </c:pt>
                <c:pt idx="20">
                  <c:v>254</c:v>
                </c:pt>
                <c:pt idx="21">
                  <c:v>283</c:v>
                </c:pt>
                <c:pt idx="22">
                  <c:v>362</c:v>
                </c:pt>
                <c:pt idx="23">
                  <c:v>377</c:v>
                </c:pt>
                <c:pt idx="24">
                  <c:v>458</c:v>
                </c:pt>
                <c:pt idx="25">
                  <c:v>476</c:v>
                </c:pt>
                <c:pt idx="26">
                  <c:v>520</c:v>
                </c:pt>
                <c:pt idx="27">
                  <c:v>580</c:v>
                </c:pt>
                <c:pt idx="28">
                  <c:v>662</c:v>
                </c:pt>
                <c:pt idx="29">
                  <c:v>702</c:v>
                </c:pt>
                <c:pt idx="30">
                  <c:v>724</c:v>
                </c:pt>
                <c:pt idx="31">
                  <c:v>758</c:v>
                </c:pt>
                <c:pt idx="32">
                  <c:v>826</c:v>
                </c:pt>
                <c:pt idx="33">
                  <c:v>895</c:v>
                </c:pt>
                <c:pt idx="34">
                  <c:v>837</c:v>
                </c:pt>
                <c:pt idx="35">
                  <c:v>912</c:v>
                </c:pt>
                <c:pt idx="36">
                  <c:v>989</c:v>
                </c:pt>
                <c:pt idx="37">
                  <c:v>1077</c:v>
                </c:pt>
                <c:pt idx="38">
                  <c:v>1101</c:v>
                </c:pt>
                <c:pt idx="39">
                  <c:v>1288</c:v>
                </c:pt>
                <c:pt idx="40">
                  <c:v>1408</c:v>
                </c:pt>
                <c:pt idx="41">
                  <c:v>1381</c:v>
                </c:pt>
                <c:pt idx="42">
                  <c:v>1502</c:v>
                </c:pt>
                <c:pt idx="43">
                  <c:v>1676</c:v>
                </c:pt>
                <c:pt idx="44">
                  <c:v>1699</c:v>
                </c:pt>
                <c:pt idx="45">
                  <c:v>1672</c:v>
                </c:pt>
                <c:pt idx="46">
                  <c:v>1651</c:v>
                </c:pt>
                <c:pt idx="47">
                  <c:v>1728</c:v>
                </c:pt>
                <c:pt idx="48">
                  <c:v>1667</c:v>
                </c:pt>
                <c:pt idx="49">
                  <c:v>1857</c:v>
                </c:pt>
                <c:pt idx="50">
                  <c:v>2023</c:v>
                </c:pt>
                <c:pt idx="51">
                  <c:v>2055</c:v>
                </c:pt>
                <c:pt idx="52">
                  <c:v>2187</c:v>
                </c:pt>
                <c:pt idx="53">
                  <c:v>2041</c:v>
                </c:pt>
                <c:pt idx="54">
                  <c:v>2100</c:v>
                </c:pt>
                <c:pt idx="55">
                  <c:v>2135</c:v>
                </c:pt>
                <c:pt idx="56">
                  <c:v>2071</c:v>
                </c:pt>
                <c:pt idx="57">
                  <c:v>2031</c:v>
                </c:pt>
                <c:pt idx="58">
                  <c:v>1905</c:v>
                </c:pt>
                <c:pt idx="59">
                  <c:v>1978</c:v>
                </c:pt>
                <c:pt idx="60">
                  <c:v>1835</c:v>
                </c:pt>
                <c:pt idx="61">
                  <c:v>1864</c:v>
                </c:pt>
                <c:pt idx="62">
                  <c:v>1778</c:v>
                </c:pt>
                <c:pt idx="63">
                  <c:v>1673</c:v>
                </c:pt>
                <c:pt idx="64">
                  <c:v>1508</c:v>
                </c:pt>
                <c:pt idx="65">
                  <c:v>1006</c:v>
                </c:pt>
                <c:pt idx="66">
                  <c:v>858</c:v>
                </c:pt>
                <c:pt idx="67">
                  <c:v>700</c:v>
                </c:pt>
                <c:pt idx="68">
                  <c:v>554</c:v>
                </c:pt>
                <c:pt idx="69">
                  <c:v>379</c:v>
                </c:pt>
                <c:pt idx="70">
                  <c:v>347</c:v>
                </c:pt>
                <c:pt idx="71">
                  <c:v>291</c:v>
                </c:pt>
                <c:pt idx="72">
                  <c:v>278</c:v>
                </c:pt>
                <c:pt idx="73">
                  <c:v>202</c:v>
                </c:pt>
                <c:pt idx="74">
                  <c:v>201</c:v>
                </c:pt>
                <c:pt idx="75">
                  <c:v>171</c:v>
                </c:pt>
                <c:pt idx="76">
                  <c:v>153</c:v>
                </c:pt>
                <c:pt idx="77">
                  <c:v>130</c:v>
                </c:pt>
                <c:pt idx="78">
                  <c:v>115</c:v>
                </c:pt>
                <c:pt idx="79">
                  <c:v>102</c:v>
                </c:pt>
                <c:pt idx="80">
                  <c:v>84</c:v>
                </c:pt>
                <c:pt idx="81">
                  <c:v>92</c:v>
                </c:pt>
                <c:pt idx="82">
                  <c:v>78</c:v>
                </c:pt>
                <c:pt idx="83">
                  <c:v>71</c:v>
                </c:pt>
                <c:pt idx="84">
                  <c:v>73</c:v>
                </c:pt>
                <c:pt idx="85">
                  <c:v>53</c:v>
                </c:pt>
                <c:pt idx="86">
                  <c:v>51</c:v>
                </c:pt>
                <c:pt idx="87">
                  <c:v>38</c:v>
                </c:pt>
                <c:pt idx="88">
                  <c:v>33</c:v>
                </c:pt>
                <c:pt idx="89">
                  <c:v>27</c:v>
                </c:pt>
                <c:pt idx="90">
                  <c:v>11</c:v>
                </c:pt>
                <c:pt idx="91">
                  <c:v>14</c:v>
                </c:pt>
                <c:pt idx="92">
                  <c:v>10</c:v>
                </c:pt>
                <c:pt idx="93">
                  <c:v>8</c:v>
                </c:pt>
                <c:pt idx="94">
                  <c:v>5</c:v>
                </c:pt>
                <c:pt idx="95">
                  <c:v>3</c:v>
                </c:pt>
                <c:pt idx="96">
                  <c:v>3</c:v>
                </c:pt>
                <c:pt idx="97">
                  <c:v>3</c:v>
                </c:pt>
                <c:pt idx="99">
                  <c:v>1</c:v>
                </c:pt>
                <c:pt idx="100">
                  <c:v>2</c:v>
                </c:pt>
                <c:pt idx="101">
                  <c:v>21</c:v>
                </c:pt>
              </c:numCache>
            </c:numRef>
          </c:val>
          <c:smooth val="0"/>
        </c:ser>
        <c:ser>
          <c:idx val="2"/>
          <c:order val="2"/>
          <c:tx>
            <c:strRef>
              <c:f>'Sheet1 (5)'!$D$5:$D$6</c:f>
              <c:strCache>
                <c:ptCount val="1"/>
                <c:pt idx="0">
                  <c:v>Concessional Safety Net</c:v>
                </c:pt>
              </c:strCache>
            </c:strRef>
          </c:tx>
          <c:marker>
            <c:symbol val="none"/>
          </c:marker>
          <c:cat>
            <c:strRef>
              <c:f>'Sheet1 (5)'!$A$7:$A$109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(5)'!$D$7:$D$109</c:f>
              <c:numCache>
                <c:formatCode>General</c:formatCode>
                <c:ptCount val="102"/>
                <c:pt idx="1">
                  <c:v>1</c:v>
                </c:pt>
                <c:pt idx="3">
                  <c:v>1</c:v>
                </c:pt>
                <c:pt idx="4">
                  <c:v>1</c:v>
                </c:pt>
                <c:pt idx="9">
                  <c:v>1</c:v>
                </c:pt>
                <c:pt idx="10">
                  <c:v>1</c:v>
                </c:pt>
                <c:pt idx="11">
                  <c:v>1</c:v>
                </c:pt>
                <c:pt idx="12">
                  <c:v>3</c:v>
                </c:pt>
                <c:pt idx="14">
                  <c:v>4</c:v>
                </c:pt>
                <c:pt idx="15">
                  <c:v>6</c:v>
                </c:pt>
                <c:pt idx="16">
                  <c:v>6</c:v>
                </c:pt>
                <c:pt idx="17">
                  <c:v>11</c:v>
                </c:pt>
                <c:pt idx="18">
                  <c:v>13</c:v>
                </c:pt>
                <c:pt idx="19">
                  <c:v>9</c:v>
                </c:pt>
                <c:pt idx="20">
                  <c:v>12</c:v>
                </c:pt>
                <c:pt idx="21">
                  <c:v>11</c:v>
                </c:pt>
                <c:pt idx="22">
                  <c:v>10</c:v>
                </c:pt>
                <c:pt idx="23">
                  <c:v>8</c:v>
                </c:pt>
                <c:pt idx="24">
                  <c:v>18</c:v>
                </c:pt>
                <c:pt idx="25">
                  <c:v>12</c:v>
                </c:pt>
                <c:pt idx="26">
                  <c:v>11</c:v>
                </c:pt>
                <c:pt idx="27">
                  <c:v>9</c:v>
                </c:pt>
                <c:pt idx="28">
                  <c:v>10</c:v>
                </c:pt>
                <c:pt idx="29">
                  <c:v>12</c:v>
                </c:pt>
                <c:pt idx="30">
                  <c:v>18</c:v>
                </c:pt>
                <c:pt idx="31">
                  <c:v>20</c:v>
                </c:pt>
                <c:pt idx="32">
                  <c:v>23</c:v>
                </c:pt>
                <c:pt idx="33">
                  <c:v>24</c:v>
                </c:pt>
                <c:pt idx="34">
                  <c:v>30</c:v>
                </c:pt>
                <c:pt idx="35">
                  <c:v>36</c:v>
                </c:pt>
                <c:pt idx="36">
                  <c:v>44</c:v>
                </c:pt>
                <c:pt idx="37">
                  <c:v>41</c:v>
                </c:pt>
                <c:pt idx="38">
                  <c:v>52</c:v>
                </c:pt>
                <c:pt idx="39">
                  <c:v>51</c:v>
                </c:pt>
                <c:pt idx="40">
                  <c:v>65</c:v>
                </c:pt>
                <c:pt idx="41">
                  <c:v>69</c:v>
                </c:pt>
                <c:pt idx="42">
                  <c:v>89</c:v>
                </c:pt>
                <c:pt idx="43">
                  <c:v>95</c:v>
                </c:pt>
                <c:pt idx="44">
                  <c:v>99</c:v>
                </c:pt>
                <c:pt idx="45">
                  <c:v>114</c:v>
                </c:pt>
                <c:pt idx="46">
                  <c:v>116</c:v>
                </c:pt>
                <c:pt idx="47">
                  <c:v>125</c:v>
                </c:pt>
                <c:pt idx="48">
                  <c:v>164</c:v>
                </c:pt>
                <c:pt idx="49">
                  <c:v>154</c:v>
                </c:pt>
                <c:pt idx="50">
                  <c:v>155</c:v>
                </c:pt>
                <c:pt idx="51">
                  <c:v>186</c:v>
                </c:pt>
                <c:pt idx="52">
                  <c:v>204</c:v>
                </c:pt>
                <c:pt idx="53">
                  <c:v>226</c:v>
                </c:pt>
                <c:pt idx="54">
                  <c:v>207</c:v>
                </c:pt>
                <c:pt idx="55">
                  <c:v>248</c:v>
                </c:pt>
                <c:pt idx="56">
                  <c:v>265</c:v>
                </c:pt>
                <c:pt idx="57">
                  <c:v>346</c:v>
                </c:pt>
                <c:pt idx="58">
                  <c:v>304</c:v>
                </c:pt>
                <c:pt idx="59">
                  <c:v>340</c:v>
                </c:pt>
                <c:pt idx="60">
                  <c:v>384</c:v>
                </c:pt>
                <c:pt idx="61">
                  <c:v>444</c:v>
                </c:pt>
                <c:pt idx="62">
                  <c:v>502</c:v>
                </c:pt>
                <c:pt idx="63">
                  <c:v>540</c:v>
                </c:pt>
                <c:pt idx="64">
                  <c:v>601</c:v>
                </c:pt>
                <c:pt idx="65">
                  <c:v>676</c:v>
                </c:pt>
                <c:pt idx="66">
                  <c:v>799</c:v>
                </c:pt>
                <c:pt idx="67">
                  <c:v>995</c:v>
                </c:pt>
                <c:pt idx="68">
                  <c:v>936</c:v>
                </c:pt>
                <c:pt idx="69">
                  <c:v>988</c:v>
                </c:pt>
                <c:pt idx="70">
                  <c:v>996</c:v>
                </c:pt>
                <c:pt idx="71">
                  <c:v>969</c:v>
                </c:pt>
                <c:pt idx="72">
                  <c:v>1020</c:v>
                </c:pt>
                <c:pt idx="73">
                  <c:v>1071</c:v>
                </c:pt>
                <c:pt idx="74">
                  <c:v>1075</c:v>
                </c:pt>
                <c:pt idx="75">
                  <c:v>1125</c:v>
                </c:pt>
                <c:pt idx="76">
                  <c:v>1061</c:v>
                </c:pt>
                <c:pt idx="77">
                  <c:v>1059</c:v>
                </c:pt>
                <c:pt idx="78">
                  <c:v>1027</c:v>
                </c:pt>
                <c:pt idx="79">
                  <c:v>1012</c:v>
                </c:pt>
                <c:pt idx="80">
                  <c:v>866</c:v>
                </c:pt>
                <c:pt idx="81">
                  <c:v>873</c:v>
                </c:pt>
                <c:pt idx="82">
                  <c:v>841</c:v>
                </c:pt>
                <c:pt idx="83">
                  <c:v>769</c:v>
                </c:pt>
                <c:pt idx="84">
                  <c:v>683</c:v>
                </c:pt>
                <c:pt idx="85">
                  <c:v>628</c:v>
                </c:pt>
                <c:pt idx="86">
                  <c:v>493</c:v>
                </c:pt>
                <c:pt idx="87">
                  <c:v>414</c:v>
                </c:pt>
                <c:pt idx="88">
                  <c:v>333</c:v>
                </c:pt>
                <c:pt idx="89">
                  <c:v>231</c:v>
                </c:pt>
                <c:pt idx="90">
                  <c:v>195</c:v>
                </c:pt>
                <c:pt idx="91">
                  <c:v>146</c:v>
                </c:pt>
                <c:pt idx="92">
                  <c:v>98</c:v>
                </c:pt>
                <c:pt idx="93">
                  <c:v>81</c:v>
                </c:pt>
                <c:pt idx="94">
                  <c:v>65</c:v>
                </c:pt>
                <c:pt idx="95">
                  <c:v>36</c:v>
                </c:pt>
                <c:pt idx="96">
                  <c:v>25</c:v>
                </c:pt>
                <c:pt idx="97">
                  <c:v>15</c:v>
                </c:pt>
                <c:pt idx="98">
                  <c:v>11</c:v>
                </c:pt>
                <c:pt idx="99">
                  <c:v>7</c:v>
                </c:pt>
                <c:pt idx="100">
                  <c:v>9</c:v>
                </c:pt>
                <c:pt idx="101">
                  <c:v>2</c:v>
                </c:pt>
              </c:numCache>
            </c:numRef>
          </c:val>
          <c:smooth val="0"/>
        </c:ser>
        <c:ser>
          <c:idx val="3"/>
          <c:order val="3"/>
          <c:tx>
            <c:strRef>
              <c:f>'Sheet1 (5)'!$E$5:$E$6</c:f>
              <c:strCache>
                <c:ptCount val="1"/>
                <c:pt idx="0">
                  <c:v>Under Co-Payment</c:v>
                </c:pt>
              </c:strCache>
            </c:strRef>
          </c:tx>
          <c:marker>
            <c:symbol val="none"/>
          </c:marker>
          <c:cat>
            <c:strRef>
              <c:f>'Sheet1 (5)'!$A$7:$A$109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(5)'!$E$7:$E$109</c:f>
              <c:numCache>
                <c:formatCode>General</c:formatCode>
                <c:ptCount val="102"/>
                <c:pt idx="1">
                  <c:v>2</c:v>
                </c:pt>
                <c:pt idx="2">
                  <c:v>2</c:v>
                </c:pt>
                <c:pt idx="3">
                  <c:v>2</c:v>
                </c:pt>
                <c:pt idx="4">
                  <c:v>3</c:v>
                </c:pt>
                <c:pt idx="5">
                  <c:v>1</c:v>
                </c:pt>
                <c:pt idx="6">
                  <c:v>2</c:v>
                </c:pt>
                <c:pt idx="7">
                  <c:v>2</c:v>
                </c:pt>
                <c:pt idx="8">
                  <c:v>7</c:v>
                </c:pt>
                <c:pt idx="9">
                  <c:v>10</c:v>
                </c:pt>
                <c:pt idx="10">
                  <c:v>13</c:v>
                </c:pt>
                <c:pt idx="11">
                  <c:v>17</c:v>
                </c:pt>
                <c:pt idx="12">
                  <c:v>18</c:v>
                </c:pt>
                <c:pt idx="13">
                  <c:v>21</c:v>
                </c:pt>
                <c:pt idx="14">
                  <c:v>62</c:v>
                </c:pt>
                <c:pt idx="15">
                  <c:v>68</c:v>
                </c:pt>
                <c:pt idx="16">
                  <c:v>81</c:v>
                </c:pt>
                <c:pt idx="17">
                  <c:v>100</c:v>
                </c:pt>
                <c:pt idx="18">
                  <c:v>100</c:v>
                </c:pt>
                <c:pt idx="19">
                  <c:v>108</c:v>
                </c:pt>
                <c:pt idx="20">
                  <c:v>138</c:v>
                </c:pt>
                <c:pt idx="21">
                  <c:v>127</c:v>
                </c:pt>
                <c:pt idx="22">
                  <c:v>163</c:v>
                </c:pt>
                <c:pt idx="23">
                  <c:v>174</c:v>
                </c:pt>
                <c:pt idx="24">
                  <c:v>174</c:v>
                </c:pt>
                <c:pt idx="25">
                  <c:v>189</c:v>
                </c:pt>
                <c:pt idx="26">
                  <c:v>241</c:v>
                </c:pt>
                <c:pt idx="27">
                  <c:v>227</c:v>
                </c:pt>
                <c:pt idx="28">
                  <c:v>253</c:v>
                </c:pt>
                <c:pt idx="29">
                  <c:v>272</c:v>
                </c:pt>
                <c:pt idx="30">
                  <c:v>254</c:v>
                </c:pt>
                <c:pt idx="31">
                  <c:v>275</c:v>
                </c:pt>
                <c:pt idx="32">
                  <c:v>325</c:v>
                </c:pt>
                <c:pt idx="33">
                  <c:v>295</c:v>
                </c:pt>
                <c:pt idx="34">
                  <c:v>301</c:v>
                </c:pt>
                <c:pt idx="35">
                  <c:v>319</c:v>
                </c:pt>
                <c:pt idx="36">
                  <c:v>383</c:v>
                </c:pt>
                <c:pt idx="37">
                  <c:v>398</c:v>
                </c:pt>
                <c:pt idx="38">
                  <c:v>409</c:v>
                </c:pt>
                <c:pt idx="39">
                  <c:v>464</c:v>
                </c:pt>
                <c:pt idx="40">
                  <c:v>517</c:v>
                </c:pt>
                <c:pt idx="41">
                  <c:v>574</c:v>
                </c:pt>
                <c:pt idx="42">
                  <c:v>558</c:v>
                </c:pt>
                <c:pt idx="43">
                  <c:v>584</c:v>
                </c:pt>
                <c:pt idx="44">
                  <c:v>616</c:v>
                </c:pt>
                <c:pt idx="45">
                  <c:v>579</c:v>
                </c:pt>
                <c:pt idx="46">
                  <c:v>568</c:v>
                </c:pt>
                <c:pt idx="47">
                  <c:v>577</c:v>
                </c:pt>
                <c:pt idx="48">
                  <c:v>667</c:v>
                </c:pt>
                <c:pt idx="49">
                  <c:v>704</c:v>
                </c:pt>
                <c:pt idx="50">
                  <c:v>694</c:v>
                </c:pt>
                <c:pt idx="51">
                  <c:v>824</c:v>
                </c:pt>
                <c:pt idx="52">
                  <c:v>803</c:v>
                </c:pt>
                <c:pt idx="53">
                  <c:v>852</c:v>
                </c:pt>
                <c:pt idx="54">
                  <c:v>842</c:v>
                </c:pt>
                <c:pt idx="55">
                  <c:v>860</c:v>
                </c:pt>
                <c:pt idx="56">
                  <c:v>790</c:v>
                </c:pt>
                <c:pt idx="57">
                  <c:v>844</c:v>
                </c:pt>
                <c:pt idx="58">
                  <c:v>865</c:v>
                </c:pt>
                <c:pt idx="59">
                  <c:v>862</c:v>
                </c:pt>
                <c:pt idx="60">
                  <c:v>742</c:v>
                </c:pt>
                <c:pt idx="61">
                  <c:v>798</c:v>
                </c:pt>
                <c:pt idx="62">
                  <c:v>722</c:v>
                </c:pt>
                <c:pt idx="63">
                  <c:v>738</c:v>
                </c:pt>
                <c:pt idx="64">
                  <c:v>676</c:v>
                </c:pt>
                <c:pt idx="65">
                  <c:v>456</c:v>
                </c:pt>
                <c:pt idx="66">
                  <c:v>345</c:v>
                </c:pt>
                <c:pt idx="67">
                  <c:v>328</c:v>
                </c:pt>
                <c:pt idx="68">
                  <c:v>239</c:v>
                </c:pt>
                <c:pt idx="69">
                  <c:v>255</c:v>
                </c:pt>
                <c:pt idx="70">
                  <c:v>222</c:v>
                </c:pt>
                <c:pt idx="71">
                  <c:v>152</c:v>
                </c:pt>
                <c:pt idx="72">
                  <c:v>154</c:v>
                </c:pt>
                <c:pt idx="73">
                  <c:v>129</c:v>
                </c:pt>
                <c:pt idx="74">
                  <c:v>127</c:v>
                </c:pt>
                <c:pt idx="75">
                  <c:v>116</c:v>
                </c:pt>
                <c:pt idx="76">
                  <c:v>90</c:v>
                </c:pt>
                <c:pt idx="77">
                  <c:v>119</c:v>
                </c:pt>
                <c:pt idx="78">
                  <c:v>107</c:v>
                </c:pt>
                <c:pt idx="79">
                  <c:v>83</c:v>
                </c:pt>
                <c:pt idx="80">
                  <c:v>98</c:v>
                </c:pt>
                <c:pt idx="81">
                  <c:v>69</c:v>
                </c:pt>
                <c:pt idx="82">
                  <c:v>93</c:v>
                </c:pt>
                <c:pt idx="83">
                  <c:v>77</c:v>
                </c:pt>
                <c:pt idx="84">
                  <c:v>86</c:v>
                </c:pt>
                <c:pt idx="85">
                  <c:v>84</c:v>
                </c:pt>
                <c:pt idx="86">
                  <c:v>84</c:v>
                </c:pt>
                <c:pt idx="87">
                  <c:v>75</c:v>
                </c:pt>
                <c:pt idx="88">
                  <c:v>54</c:v>
                </c:pt>
                <c:pt idx="89">
                  <c:v>49</c:v>
                </c:pt>
                <c:pt idx="90">
                  <c:v>33</c:v>
                </c:pt>
                <c:pt idx="91">
                  <c:v>35</c:v>
                </c:pt>
                <c:pt idx="92">
                  <c:v>12</c:v>
                </c:pt>
                <c:pt idx="93">
                  <c:v>21</c:v>
                </c:pt>
                <c:pt idx="94">
                  <c:v>18</c:v>
                </c:pt>
                <c:pt idx="95">
                  <c:v>3</c:v>
                </c:pt>
                <c:pt idx="96">
                  <c:v>3</c:v>
                </c:pt>
                <c:pt idx="97">
                  <c:v>8</c:v>
                </c:pt>
                <c:pt idx="98">
                  <c:v>8</c:v>
                </c:pt>
                <c:pt idx="99">
                  <c:v>3</c:v>
                </c:pt>
                <c:pt idx="100">
                  <c:v>4</c:v>
                </c:pt>
                <c:pt idx="101">
                  <c:v>7</c:v>
                </c:pt>
              </c:numCache>
            </c:numRef>
          </c:val>
          <c:smooth val="0"/>
        </c:ser>
        <c:ser>
          <c:idx val="4"/>
          <c:order val="4"/>
          <c:tx>
            <c:strRef>
              <c:f>'Sheet1 (5)'!$F$5:$F$6</c:f>
              <c:strCache>
                <c:ptCount val="1"/>
                <c:pt idx="0">
                  <c:v>RPBS Non-Safety Net</c:v>
                </c:pt>
              </c:strCache>
            </c:strRef>
          </c:tx>
          <c:marker>
            <c:symbol val="none"/>
          </c:marker>
          <c:cat>
            <c:strRef>
              <c:f>'Sheet1 (5)'!$A$7:$A$109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(5)'!$F$7:$F$109</c:f>
              <c:numCache>
                <c:formatCode>General</c:formatCode>
                <c:ptCount val="102"/>
                <c:pt idx="21">
                  <c:v>3</c:v>
                </c:pt>
                <c:pt idx="22">
                  <c:v>1</c:v>
                </c:pt>
                <c:pt idx="23">
                  <c:v>4</c:v>
                </c:pt>
                <c:pt idx="24">
                  <c:v>10</c:v>
                </c:pt>
                <c:pt idx="25">
                  <c:v>10</c:v>
                </c:pt>
                <c:pt idx="26">
                  <c:v>8</c:v>
                </c:pt>
                <c:pt idx="27">
                  <c:v>8</c:v>
                </c:pt>
                <c:pt idx="28">
                  <c:v>10</c:v>
                </c:pt>
                <c:pt idx="29">
                  <c:v>12</c:v>
                </c:pt>
                <c:pt idx="30">
                  <c:v>7</c:v>
                </c:pt>
                <c:pt idx="31">
                  <c:v>17</c:v>
                </c:pt>
                <c:pt idx="32">
                  <c:v>10</c:v>
                </c:pt>
                <c:pt idx="33">
                  <c:v>15</c:v>
                </c:pt>
                <c:pt idx="34">
                  <c:v>11</c:v>
                </c:pt>
                <c:pt idx="35">
                  <c:v>15</c:v>
                </c:pt>
                <c:pt idx="36">
                  <c:v>5</c:v>
                </c:pt>
                <c:pt idx="37">
                  <c:v>18</c:v>
                </c:pt>
                <c:pt idx="38">
                  <c:v>12</c:v>
                </c:pt>
                <c:pt idx="39">
                  <c:v>11</c:v>
                </c:pt>
                <c:pt idx="40">
                  <c:v>15</c:v>
                </c:pt>
                <c:pt idx="41">
                  <c:v>16</c:v>
                </c:pt>
                <c:pt idx="42">
                  <c:v>29</c:v>
                </c:pt>
                <c:pt idx="43">
                  <c:v>23</c:v>
                </c:pt>
                <c:pt idx="44">
                  <c:v>26</c:v>
                </c:pt>
                <c:pt idx="45">
                  <c:v>32</c:v>
                </c:pt>
                <c:pt idx="46">
                  <c:v>27</c:v>
                </c:pt>
                <c:pt idx="47">
                  <c:v>20</c:v>
                </c:pt>
                <c:pt idx="48">
                  <c:v>29</c:v>
                </c:pt>
                <c:pt idx="49">
                  <c:v>32</c:v>
                </c:pt>
                <c:pt idx="50">
                  <c:v>26</c:v>
                </c:pt>
                <c:pt idx="51">
                  <c:v>32</c:v>
                </c:pt>
                <c:pt idx="52">
                  <c:v>31</c:v>
                </c:pt>
                <c:pt idx="53">
                  <c:v>23</c:v>
                </c:pt>
                <c:pt idx="54">
                  <c:v>25</c:v>
                </c:pt>
                <c:pt idx="55">
                  <c:v>33</c:v>
                </c:pt>
                <c:pt idx="56">
                  <c:v>36</c:v>
                </c:pt>
                <c:pt idx="57">
                  <c:v>23</c:v>
                </c:pt>
                <c:pt idx="58">
                  <c:v>32</c:v>
                </c:pt>
                <c:pt idx="59">
                  <c:v>39</c:v>
                </c:pt>
                <c:pt idx="60">
                  <c:v>36</c:v>
                </c:pt>
                <c:pt idx="61">
                  <c:v>50</c:v>
                </c:pt>
                <c:pt idx="62">
                  <c:v>42</c:v>
                </c:pt>
                <c:pt idx="63">
                  <c:v>78</c:v>
                </c:pt>
                <c:pt idx="64">
                  <c:v>93</c:v>
                </c:pt>
                <c:pt idx="65">
                  <c:v>126</c:v>
                </c:pt>
                <c:pt idx="66">
                  <c:v>152</c:v>
                </c:pt>
                <c:pt idx="67">
                  <c:v>148</c:v>
                </c:pt>
                <c:pt idx="68">
                  <c:v>121</c:v>
                </c:pt>
                <c:pt idx="69">
                  <c:v>122</c:v>
                </c:pt>
                <c:pt idx="70">
                  <c:v>73</c:v>
                </c:pt>
                <c:pt idx="71">
                  <c:v>67</c:v>
                </c:pt>
                <c:pt idx="72">
                  <c:v>58</c:v>
                </c:pt>
                <c:pt idx="73">
                  <c:v>68</c:v>
                </c:pt>
                <c:pt idx="74">
                  <c:v>60</c:v>
                </c:pt>
                <c:pt idx="75">
                  <c:v>59</c:v>
                </c:pt>
                <c:pt idx="76">
                  <c:v>52</c:v>
                </c:pt>
                <c:pt idx="77">
                  <c:v>74</c:v>
                </c:pt>
                <c:pt idx="78">
                  <c:v>76</c:v>
                </c:pt>
                <c:pt idx="79">
                  <c:v>79</c:v>
                </c:pt>
                <c:pt idx="80">
                  <c:v>85</c:v>
                </c:pt>
                <c:pt idx="81">
                  <c:v>99</c:v>
                </c:pt>
                <c:pt idx="82">
                  <c:v>100</c:v>
                </c:pt>
                <c:pt idx="83">
                  <c:v>162</c:v>
                </c:pt>
                <c:pt idx="84">
                  <c:v>188</c:v>
                </c:pt>
                <c:pt idx="85">
                  <c:v>190</c:v>
                </c:pt>
                <c:pt idx="86">
                  <c:v>203</c:v>
                </c:pt>
                <c:pt idx="87">
                  <c:v>255</c:v>
                </c:pt>
                <c:pt idx="88">
                  <c:v>276</c:v>
                </c:pt>
                <c:pt idx="89">
                  <c:v>308</c:v>
                </c:pt>
                <c:pt idx="90">
                  <c:v>286</c:v>
                </c:pt>
                <c:pt idx="91">
                  <c:v>258</c:v>
                </c:pt>
                <c:pt idx="92">
                  <c:v>210</c:v>
                </c:pt>
                <c:pt idx="93">
                  <c:v>157</c:v>
                </c:pt>
                <c:pt idx="94">
                  <c:v>101</c:v>
                </c:pt>
                <c:pt idx="95">
                  <c:v>63</c:v>
                </c:pt>
                <c:pt idx="96">
                  <c:v>37</c:v>
                </c:pt>
                <c:pt idx="97">
                  <c:v>18</c:v>
                </c:pt>
                <c:pt idx="98">
                  <c:v>14</c:v>
                </c:pt>
                <c:pt idx="99">
                  <c:v>6</c:v>
                </c:pt>
                <c:pt idx="100">
                  <c:v>8</c:v>
                </c:pt>
              </c:numCache>
            </c:numRef>
          </c:val>
          <c:smooth val="0"/>
        </c:ser>
        <c:ser>
          <c:idx val="5"/>
          <c:order val="5"/>
          <c:tx>
            <c:strRef>
              <c:f>'Sheet1 (5)'!$G$5:$G$6</c:f>
              <c:strCache>
                <c:ptCount val="1"/>
                <c:pt idx="0">
                  <c:v>General Safety Net</c:v>
                </c:pt>
              </c:strCache>
            </c:strRef>
          </c:tx>
          <c:marker>
            <c:symbol val="none"/>
          </c:marker>
          <c:cat>
            <c:strRef>
              <c:f>'Sheet1 (5)'!$A$7:$A$109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(5)'!$G$7:$G$109</c:f>
              <c:numCache>
                <c:formatCode>General</c:formatCode>
                <c:ptCount val="102"/>
                <c:pt idx="3">
                  <c:v>1</c:v>
                </c:pt>
                <c:pt idx="11">
                  <c:v>1</c:v>
                </c:pt>
                <c:pt idx="13">
                  <c:v>2</c:v>
                </c:pt>
                <c:pt idx="14">
                  <c:v>1</c:v>
                </c:pt>
                <c:pt idx="16">
                  <c:v>1</c:v>
                </c:pt>
                <c:pt idx="17">
                  <c:v>5</c:v>
                </c:pt>
                <c:pt idx="18">
                  <c:v>1</c:v>
                </c:pt>
                <c:pt idx="19">
                  <c:v>2</c:v>
                </c:pt>
                <c:pt idx="20">
                  <c:v>2</c:v>
                </c:pt>
                <c:pt idx="21">
                  <c:v>4</c:v>
                </c:pt>
                <c:pt idx="22">
                  <c:v>3</c:v>
                </c:pt>
                <c:pt idx="23">
                  <c:v>1</c:v>
                </c:pt>
                <c:pt idx="24">
                  <c:v>2</c:v>
                </c:pt>
                <c:pt idx="27">
                  <c:v>1</c:v>
                </c:pt>
                <c:pt idx="28">
                  <c:v>2</c:v>
                </c:pt>
                <c:pt idx="29">
                  <c:v>3</c:v>
                </c:pt>
                <c:pt idx="30">
                  <c:v>1</c:v>
                </c:pt>
                <c:pt idx="31">
                  <c:v>1</c:v>
                </c:pt>
                <c:pt idx="32">
                  <c:v>2</c:v>
                </c:pt>
                <c:pt idx="33">
                  <c:v>1</c:v>
                </c:pt>
                <c:pt idx="34">
                  <c:v>8</c:v>
                </c:pt>
                <c:pt idx="35">
                  <c:v>5</c:v>
                </c:pt>
                <c:pt idx="36">
                  <c:v>2</c:v>
                </c:pt>
                <c:pt idx="37">
                  <c:v>11</c:v>
                </c:pt>
                <c:pt idx="38">
                  <c:v>7</c:v>
                </c:pt>
                <c:pt idx="39">
                  <c:v>7</c:v>
                </c:pt>
                <c:pt idx="40">
                  <c:v>13</c:v>
                </c:pt>
                <c:pt idx="41">
                  <c:v>5</c:v>
                </c:pt>
                <c:pt idx="42">
                  <c:v>15</c:v>
                </c:pt>
                <c:pt idx="43">
                  <c:v>13</c:v>
                </c:pt>
                <c:pt idx="44">
                  <c:v>15</c:v>
                </c:pt>
                <c:pt idx="45">
                  <c:v>16</c:v>
                </c:pt>
                <c:pt idx="46">
                  <c:v>34</c:v>
                </c:pt>
                <c:pt idx="47">
                  <c:v>22</c:v>
                </c:pt>
                <c:pt idx="48">
                  <c:v>24</c:v>
                </c:pt>
                <c:pt idx="49">
                  <c:v>29</c:v>
                </c:pt>
                <c:pt idx="50">
                  <c:v>33</c:v>
                </c:pt>
                <c:pt idx="51">
                  <c:v>40</c:v>
                </c:pt>
                <c:pt idx="52">
                  <c:v>37</c:v>
                </c:pt>
                <c:pt idx="53">
                  <c:v>57</c:v>
                </c:pt>
                <c:pt idx="54">
                  <c:v>83</c:v>
                </c:pt>
                <c:pt idx="55">
                  <c:v>62</c:v>
                </c:pt>
                <c:pt idx="56">
                  <c:v>75</c:v>
                </c:pt>
                <c:pt idx="57">
                  <c:v>66</c:v>
                </c:pt>
                <c:pt idx="58">
                  <c:v>90</c:v>
                </c:pt>
                <c:pt idx="59">
                  <c:v>86</c:v>
                </c:pt>
                <c:pt idx="60">
                  <c:v>100</c:v>
                </c:pt>
                <c:pt idx="61">
                  <c:v>90</c:v>
                </c:pt>
                <c:pt idx="62">
                  <c:v>99</c:v>
                </c:pt>
                <c:pt idx="63">
                  <c:v>104</c:v>
                </c:pt>
                <c:pt idx="64">
                  <c:v>93</c:v>
                </c:pt>
                <c:pt idx="65">
                  <c:v>87</c:v>
                </c:pt>
                <c:pt idx="66">
                  <c:v>65</c:v>
                </c:pt>
                <c:pt idx="67">
                  <c:v>55</c:v>
                </c:pt>
                <c:pt idx="68">
                  <c:v>54</c:v>
                </c:pt>
                <c:pt idx="69">
                  <c:v>43</c:v>
                </c:pt>
                <c:pt idx="70">
                  <c:v>47</c:v>
                </c:pt>
                <c:pt idx="71">
                  <c:v>26</c:v>
                </c:pt>
                <c:pt idx="72">
                  <c:v>27</c:v>
                </c:pt>
                <c:pt idx="73">
                  <c:v>19</c:v>
                </c:pt>
                <c:pt idx="74">
                  <c:v>33</c:v>
                </c:pt>
                <c:pt idx="75">
                  <c:v>25</c:v>
                </c:pt>
                <c:pt idx="76">
                  <c:v>33</c:v>
                </c:pt>
                <c:pt idx="77">
                  <c:v>28</c:v>
                </c:pt>
                <c:pt idx="78">
                  <c:v>21</c:v>
                </c:pt>
                <c:pt idx="79">
                  <c:v>27</c:v>
                </c:pt>
                <c:pt idx="80">
                  <c:v>25</c:v>
                </c:pt>
                <c:pt idx="81">
                  <c:v>14</c:v>
                </c:pt>
                <c:pt idx="82">
                  <c:v>31</c:v>
                </c:pt>
                <c:pt idx="83">
                  <c:v>18</c:v>
                </c:pt>
                <c:pt idx="84">
                  <c:v>17</c:v>
                </c:pt>
                <c:pt idx="85">
                  <c:v>15</c:v>
                </c:pt>
                <c:pt idx="86">
                  <c:v>16</c:v>
                </c:pt>
                <c:pt idx="87">
                  <c:v>16</c:v>
                </c:pt>
                <c:pt idx="88">
                  <c:v>12</c:v>
                </c:pt>
                <c:pt idx="89">
                  <c:v>9</c:v>
                </c:pt>
                <c:pt idx="90">
                  <c:v>7</c:v>
                </c:pt>
                <c:pt idx="91">
                  <c:v>5</c:v>
                </c:pt>
                <c:pt idx="92">
                  <c:v>6</c:v>
                </c:pt>
                <c:pt idx="93">
                  <c:v>1</c:v>
                </c:pt>
                <c:pt idx="96">
                  <c:v>1</c:v>
                </c:pt>
                <c:pt idx="98">
                  <c:v>1</c:v>
                </c:pt>
              </c:numCache>
            </c:numRef>
          </c:val>
          <c:smooth val="0"/>
        </c:ser>
        <c:ser>
          <c:idx val="6"/>
          <c:order val="6"/>
          <c:tx>
            <c:strRef>
              <c:f>'Sheet1 (5)'!$H$5:$H$6</c:f>
              <c:strCache>
                <c:ptCount val="1"/>
                <c:pt idx="0">
                  <c:v>RPBS Safety Net</c:v>
                </c:pt>
              </c:strCache>
            </c:strRef>
          </c:tx>
          <c:marker>
            <c:symbol val="none"/>
          </c:marker>
          <c:cat>
            <c:strRef>
              <c:f>'Sheet1 (5)'!$A$7:$A$109</c:f>
              <c:strCache>
                <c:ptCount val="10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yrs</c:v>
                </c:pt>
                <c:pt idx="101">
                  <c:v>NA    yrs</c:v>
                </c:pt>
              </c:strCache>
            </c:strRef>
          </c:cat>
          <c:val>
            <c:numRef>
              <c:f>'Sheet1 (5)'!$H$7:$H$109</c:f>
              <c:numCache>
                <c:formatCode>General</c:formatCode>
                <c:ptCount val="102"/>
                <c:pt idx="25">
                  <c:v>1</c:v>
                </c:pt>
                <c:pt idx="34">
                  <c:v>1</c:v>
                </c:pt>
                <c:pt idx="39">
                  <c:v>1</c:v>
                </c:pt>
                <c:pt idx="41">
                  <c:v>1</c:v>
                </c:pt>
                <c:pt idx="43">
                  <c:v>1</c:v>
                </c:pt>
                <c:pt idx="44">
                  <c:v>1</c:v>
                </c:pt>
                <c:pt idx="45">
                  <c:v>1</c:v>
                </c:pt>
                <c:pt idx="46">
                  <c:v>1</c:v>
                </c:pt>
                <c:pt idx="48">
                  <c:v>2</c:v>
                </c:pt>
                <c:pt idx="49">
                  <c:v>3</c:v>
                </c:pt>
                <c:pt idx="50">
                  <c:v>2</c:v>
                </c:pt>
                <c:pt idx="51">
                  <c:v>1</c:v>
                </c:pt>
                <c:pt idx="52">
                  <c:v>4</c:v>
                </c:pt>
                <c:pt idx="53">
                  <c:v>3</c:v>
                </c:pt>
                <c:pt idx="54">
                  <c:v>4</c:v>
                </c:pt>
                <c:pt idx="55">
                  <c:v>2</c:v>
                </c:pt>
                <c:pt idx="56">
                  <c:v>3</c:v>
                </c:pt>
                <c:pt idx="57">
                  <c:v>5</c:v>
                </c:pt>
                <c:pt idx="58">
                  <c:v>5</c:v>
                </c:pt>
                <c:pt idx="59">
                  <c:v>1</c:v>
                </c:pt>
                <c:pt idx="60">
                  <c:v>4</c:v>
                </c:pt>
                <c:pt idx="61">
                  <c:v>9</c:v>
                </c:pt>
                <c:pt idx="62">
                  <c:v>15</c:v>
                </c:pt>
                <c:pt idx="63">
                  <c:v>12</c:v>
                </c:pt>
                <c:pt idx="64">
                  <c:v>19</c:v>
                </c:pt>
                <c:pt idx="65">
                  <c:v>25</c:v>
                </c:pt>
                <c:pt idx="66">
                  <c:v>33</c:v>
                </c:pt>
                <c:pt idx="67">
                  <c:v>41</c:v>
                </c:pt>
                <c:pt idx="68">
                  <c:v>40</c:v>
                </c:pt>
                <c:pt idx="69">
                  <c:v>31</c:v>
                </c:pt>
                <c:pt idx="70">
                  <c:v>13</c:v>
                </c:pt>
                <c:pt idx="71">
                  <c:v>16</c:v>
                </c:pt>
                <c:pt idx="72">
                  <c:v>22</c:v>
                </c:pt>
                <c:pt idx="73">
                  <c:v>19</c:v>
                </c:pt>
                <c:pt idx="74">
                  <c:v>21</c:v>
                </c:pt>
                <c:pt idx="75">
                  <c:v>21</c:v>
                </c:pt>
                <c:pt idx="76">
                  <c:v>12</c:v>
                </c:pt>
                <c:pt idx="77">
                  <c:v>20</c:v>
                </c:pt>
                <c:pt idx="78">
                  <c:v>16</c:v>
                </c:pt>
                <c:pt idx="79">
                  <c:v>23</c:v>
                </c:pt>
                <c:pt idx="80">
                  <c:v>23</c:v>
                </c:pt>
                <c:pt idx="81">
                  <c:v>25</c:v>
                </c:pt>
                <c:pt idx="82">
                  <c:v>20</c:v>
                </c:pt>
                <c:pt idx="83">
                  <c:v>27</c:v>
                </c:pt>
                <c:pt idx="84">
                  <c:v>34</c:v>
                </c:pt>
                <c:pt idx="85">
                  <c:v>43</c:v>
                </c:pt>
                <c:pt idx="86">
                  <c:v>58</c:v>
                </c:pt>
                <c:pt idx="87">
                  <c:v>66</c:v>
                </c:pt>
                <c:pt idx="88">
                  <c:v>68</c:v>
                </c:pt>
                <c:pt idx="89">
                  <c:v>91</c:v>
                </c:pt>
                <c:pt idx="90">
                  <c:v>80</c:v>
                </c:pt>
                <c:pt idx="91">
                  <c:v>78</c:v>
                </c:pt>
                <c:pt idx="92">
                  <c:v>51</c:v>
                </c:pt>
                <c:pt idx="93">
                  <c:v>47</c:v>
                </c:pt>
                <c:pt idx="94">
                  <c:v>31</c:v>
                </c:pt>
                <c:pt idx="95">
                  <c:v>21</c:v>
                </c:pt>
                <c:pt idx="96">
                  <c:v>9</c:v>
                </c:pt>
                <c:pt idx="97">
                  <c:v>8</c:v>
                </c:pt>
                <c:pt idx="98">
                  <c:v>1</c:v>
                </c:pt>
                <c:pt idx="99">
                  <c:v>1</c:v>
                </c:pt>
              </c:numCache>
            </c:numRef>
          </c:val>
          <c:smooth val="0"/>
        </c:ser>
        <c:dLbls>
          <c:showLegendKey val="0"/>
          <c:showVal val="0"/>
          <c:showCatName val="0"/>
          <c:showSerName val="0"/>
          <c:showPercent val="0"/>
          <c:showBubbleSize val="0"/>
        </c:dLbls>
        <c:marker val="1"/>
        <c:smooth val="0"/>
        <c:axId val="351696000"/>
        <c:axId val="351697536"/>
      </c:lineChart>
      <c:catAx>
        <c:axId val="351696000"/>
        <c:scaling>
          <c:orientation val="minMax"/>
        </c:scaling>
        <c:delete val="0"/>
        <c:axPos val="b"/>
        <c:majorTickMark val="none"/>
        <c:minorTickMark val="none"/>
        <c:tickLblPos val="nextTo"/>
        <c:txPr>
          <a:bodyPr/>
          <a:lstStyle/>
          <a:p>
            <a:pPr>
              <a:defRPr sz="1000"/>
            </a:pPr>
            <a:endParaRPr lang="en-US"/>
          </a:p>
        </c:txPr>
        <c:crossAx val="351697536"/>
        <c:crosses val="autoZero"/>
        <c:auto val="1"/>
        <c:lblAlgn val="ctr"/>
        <c:lblOffset val="100"/>
        <c:tickLblSkip val="5"/>
        <c:noMultiLvlLbl val="0"/>
      </c:catAx>
      <c:valAx>
        <c:axId val="351697536"/>
        <c:scaling>
          <c:orientation val="minMax"/>
        </c:scaling>
        <c:delete val="0"/>
        <c:axPos val="l"/>
        <c:majorGridlines/>
        <c:title>
          <c:tx>
            <c:rich>
              <a:bodyPr/>
              <a:lstStyle/>
              <a:p>
                <a:pPr>
                  <a:defRPr b="0"/>
                </a:pPr>
                <a:r>
                  <a:rPr lang="en-US" b="0"/>
                  <a:t>Patients</a:t>
                </a:r>
              </a:p>
            </c:rich>
          </c:tx>
          <c:layout/>
          <c:overlay val="0"/>
        </c:title>
        <c:numFmt formatCode="#,##0" sourceLinked="0"/>
        <c:majorTickMark val="none"/>
        <c:minorTickMark val="none"/>
        <c:tickLblPos val="nextTo"/>
        <c:crossAx val="351696000"/>
        <c:crosses val="autoZero"/>
        <c:crossBetween val="between"/>
      </c:valAx>
    </c:plotArea>
    <c:legend>
      <c:legendPos val="b"/>
      <c:layout/>
      <c:overlay val="0"/>
      <c:txPr>
        <a:bodyPr/>
        <a:lstStyle/>
        <a:p>
          <a:pPr>
            <a:defRPr sz="900"/>
          </a:pPr>
          <a:endParaRPr lang="en-US"/>
        </a:p>
      </c:txPr>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[D866_TRNS_ADJ_INIT, pregabalin, mar to aug14 inits, fu to mar15, excl paracetompl &amp; NSAIDs, rename opioid grps .xlsx]Sheet1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
        <c:idx val="2215"/>
        <c:marker>
          <c:symbol val="none"/>
        </c:marker>
      </c:pivotFmt>
      <c:pivotFmt>
        <c:idx val="2216"/>
        <c:marker>
          <c:symbol val="none"/>
        </c:marker>
      </c:pivotFmt>
      <c:pivotFmt>
        <c:idx val="2217"/>
        <c:marker>
          <c:symbol val="none"/>
        </c:marker>
      </c:pivotFmt>
      <c:pivotFmt>
        <c:idx val="2218"/>
        <c:marker>
          <c:symbol val="none"/>
        </c:marker>
      </c:pivotFmt>
      <c:pivotFmt>
        <c:idx val="2219"/>
        <c:marker>
          <c:symbol val="none"/>
        </c:marker>
      </c:pivotFmt>
      <c:pivotFmt>
        <c:idx val="2220"/>
        <c:marker>
          <c:symbol val="none"/>
        </c:marker>
      </c:pivotFmt>
      <c:pivotFmt>
        <c:idx val="2221"/>
        <c:marker>
          <c:symbol val="none"/>
        </c:marker>
      </c:pivotFmt>
      <c:pivotFmt>
        <c:idx val="2222"/>
        <c:marker>
          <c:symbol val="none"/>
        </c:marker>
      </c:pivotFmt>
      <c:pivotFmt>
        <c:idx val="2223"/>
        <c:marker>
          <c:symbol val="none"/>
        </c:marker>
      </c:pivotFmt>
      <c:pivotFmt>
        <c:idx val="2224"/>
        <c:marker>
          <c:symbol val="none"/>
        </c:marker>
      </c:pivotFmt>
      <c:pivotFmt>
        <c:idx val="2225"/>
        <c:marker>
          <c:symbol val="none"/>
        </c:marker>
      </c:pivotFmt>
      <c:pivotFmt>
        <c:idx val="2226"/>
        <c:marker>
          <c:symbol val="none"/>
        </c:marker>
      </c:pivotFmt>
      <c:pivotFmt>
        <c:idx val="2227"/>
        <c:marker>
          <c:symbol val="none"/>
        </c:marker>
      </c:pivotFmt>
      <c:pivotFmt>
        <c:idx val="2228"/>
        <c:marker>
          <c:symbol val="none"/>
        </c:marker>
      </c:pivotFmt>
      <c:pivotFmt>
        <c:idx val="2229"/>
        <c:marker>
          <c:symbol val="none"/>
        </c:marker>
      </c:pivotFmt>
      <c:pivotFmt>
        <c:idx val="2230"/>
        <c:marker>
          <c:symbol val="none"/>
        </c:marker>
      </c:pivotFmt>
      <c:pivotFmt>
        <c:idx val="2231"/>
        <c:marker>
          <c:symbol val="none"/>
        </c:marker>
      </c:pivotFmt>
      <c:pivotFmt>
        <c:idx val="2232"/>
        <c:marker>
          <c:symbol val="none"/>
        </c:marker>
      </c:pivotFmt>
      <c:pivotFmt>
        <c:idx val="2233"/>
        <c:marker>
          <c:symbol val="none"/>
        </c:marker>
      </c:pivotFmt>
      <c:pivotFmt>
        <c:idx val="2234"/>
        <c:marker>
          <c:symbol val="none"/>
        </c:marker>
      </c:pivotFmt>
      <c:pivotFmt>
        <c:idx val="2235"/>
        <c:marker>
          <c:symbol val="none"/>
        </c:marker>
      </c:pivotFmt>
      <c:pivotFmt>
        <c:idx val="2236"/>
        <c:marker>
          <c:symbol val="none"/>
        </c:marker>
      </c:pivotFmt>
      <c:pivotFmt>
        <c:idx val="2237"/>
        <c:marker>
          <c:symbol val="none"/>
        </c:marker>
      </c:pivotFmt>
      <c:pivotFmt>
        <c:idx val="2238"/>
        <c:marker>
          <c:symbol val="none"/>
        </c:marker>
      </c:pivotFmt>
      <c:pivotFmt>
        <c:idx val="2239"/>
        <c:marker>
          <c:symbol val="none"/>
        </c:marker>
      </c:pivotFmt>
      <c:pivotFmt>
        <c:idx val="2240"/>
        <c:marker>
          <c:symbol val="none"/>
        </c:marker>
      </c:pivotFmt>
      <c:pivotFmt>
        <c:idx val="2241"/>
        <c:marker>
          <c:symbol val="none"/>
        </c:marker>
      </c:pivotFmt>
      <c:pivotFmt>
        <c:idx val="2242"/>
        <c:marker>
          <c:symbol val="none"/>
        </c:marker>
      </c:pivotFmt>
      <c:pivotFmt>
        <c:idx val="2243"/>
        <c:marker>
          <c:symbol val="none"/>
        </c:marker>
      </c:pivotFmt>
      <c:pivotFmt>
        <c:idx val="2244"/>
        <c:marker>
          <c:symbol val="none"/>
        </c:marker>
      </c:pivotFmt>
      <c:pivotFmt>
        <c:idx val="2245"/>
        <c:marker>
          <c:symbol val="none"/>
        </c:marker>
      </c:pivotFmt>
      <c:pivotFmt>
        <c:idx val="2246"/>
        <c:marker>
          <c:symbol val="none"/>
        </c:marker>
      </c:pivotFmt>
      <c:pivotFmt>
        <c:idx val="2247"/>
        <c:marker>
          <c:symbol val="none"/>
        </c:marker>
      </c:pivotFmt>
      <c:pivotFmt>
        <c:idx val="2248"/>
        <c:marker>
          <c:symbol val="none"/>
        </c:marker>
      </c:pivotFmt>
      <c:pivotFmt>
        <c:idx val="2249"/>
        <c:marker>
          <c:symbol val="none"/>
        </c:marker>
      </c:pivotFmt>
      <c:pivotFmt>
        <c:idx val="2250"/>
        <c:marker>
          <c:symbol val="none"/>
        </c:marker>
      </c:pivotFmt>
      <c:pivotFmt>
        <c:idx val="2251"/>
        <c:marker>
          <c:symbol val="none"/>
        </c:marker>
      </c:pivotFmt>
      <c:pivotFmt>
        <c:idx val="2252"/>
        <c:marker>
          <c:symbol val="none"/>
        </c:marker>
      </c:pivotFmt>
      <c:pivotFmt>
        <c:idx val="2253"/>
        <c:marker>
          <c:symbol val="none"/>
        </c:marker>
      </c:pivotFmt>
      <c:pivotFmt>
        <c:idx val="2254"/>
        <c:marker>
          <c:symbol val="none"/>
        </c:marker>
      </c:pivotFmt>
      <c:pivotFmt>
        <c:idx val="2255"/>
        <c:marker>
          <c:symbol val="none"/>
        </c:marker>
      </c:pivotFmt>
      <c:pivotFmt>
        <c:idx val="2256"/>
        <c:marker>
          <c:symbol val="none"/>
        </c:marker>
      </c:pivotFmt>
    </c:pivotFmts>
    <c:plotArea>
      <c:layout>
        <c:manualLayout>
          <c:layoutTarget val="inner"/>
          <c:xMode val="edge"/>
          <c:yMode val="edge"/>
          <c:x val="8.3635996885370115E-2"/>
          <c:y val="4.253230819564862E-2"/>
          <c:w val="0.53775957962371312"/>
          <c:h val="0.82869212865400299"/>
        </c:manualLayout>
      </c:layout>
      <c:lineChart>
        <c:grouping val="standard"/>
        <c:varyColors val="0"/>
        <c:ser>
          <c:idx val="0"/>
          <c:order val="0"/>
          <c:tx>
            <c:strRef>
              <c:f>'Sheet1 (13)'!$B$3:$B$5</c:f>
              <c:strCache>
                <c:ptCount val="1"/>
                <c:pt idx="0">
                  <c:v>Post-init - 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(13)'!$B$6:$B$67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1499</c:v>
                </c:pt>
                <c:pt idx="31">
                  <c:v>1428</c:v>
                </c:pt>
                <c:pt idx="32">
                  <c:v>1375</c:v>
                </c:pt>
                <c:pt idx="33">
                  <c:v>1421</c:v>
                </c:pt>
                <c:pt idx="34">
                  <c:v>828</c:v>
                </c:pt>
                <c:pt idx="35">
                  <c:v>840</c:v>
                </c:pt>
                <c:pt idx="36">
                  <c:v>853</c:v>
                </c:pt>
                <c:pt idx="37">
                  <c:v>847</c:v>
                </c:pt>
                <c:pt idx="38">
                  <c:v>740</c:v>
                </c:pt>
                <c:pt idx="39">
                  <c:v>710</c:v>
                </c:pt>
                <c:pt idx="40">
                  <c:v>707</c:v>
                </c:pt>
                <c:pt idx="41">
                  <c:v>693</c:v>
                </c:pt>
                <c:pt idx="42">
                  <c:v>640</c:v>
                </c:pt>
                <c:pt idx="43">
                  <c:v>629</c:v>
                </c:pt>
                <c:pt idx="44">
                  <c:v>602</c:v>
                </c:pt>
                <c:pt idx="45">
                  <c:v>604</c:v>
                </c:pt>
                <c:pt idx="46">
                  <c:v>579</c:v>
                </c:pt>
                <c:pt idx="47">
                  <c:v>585</c:v>
                </c:pt>
                <c:pt idx="48">
                  <c:v>570</c:v>
                </c:pt>
                <c:pt idx="49">
                  <c:v>565</c:v>
                </c:pt>
                <c:pt idx="50">
                  <c:v>536</c:v>
                </c:pt>
                <c:pt idx="51">
                  <c:v>532</c:v>
                </c:pt>
                <c:pt idx="52">
                  <c:v>520</c:v>
                </c:pt>
                <c:pt idx="53">
                  <c:v>526</c:v>
                </c:pt>
                <c:pt idx="54">
                  <c:v>495</c:v>
                </c:pt>
                <c:pt idx="55">
                  <c:v>485</c:v>
                </c:pt>
                <c:pt idx="56">
                  <c:v>484</c:v>
                </c:pt>
                <c:pt idx="57">
                  <c:v>481</c:v>
                </c:pt>
                <c:pt idx="58">
                  <c:v>469</c:v>
                </c:pt>
                <c:pt idx="59">
                  <c:v>471</c:v>
                </c:pt>
                <c:pt idx="60">
                  <c:v>471</c:v>
                </c:pt>
              </c:numCache>
            </c:numRef>
          </c:val>
          <c:smooth val="0"/>
        </c:ser>
        <c:ser>
          <c:idx val="1"/>
          <c:order val="1"/>
          <c:tx>
            <c:strRef>
              <c:f>'Sheet1 (13)'!$C$3:$C$5</c:f>
              <c:strCache>
                <c:ptCount val="1"/>
                <c:pt idx="0">
                  <c:v>Post-init - Opioid_S8+Pregabalin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(13)'!$C$6:$C$67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487</c:v>
                </c:pt>
                <c:pt idx="31">
                  <c:v>506</c:v>
                </c:pt>
                <c:pt idx="32">
                  <c:v>540</c:v>
                </c:pt>
                <c:pt idx="33">
                  <c:v>503</c:v>
                </c:pt>
                <c:pt idx="34">
                  <c:v>341</c:v>
                </c:pt>
                <c:pt idx="35">
                  <c:v>344</c:v>
                </c:pt>
                <c:pt idx="36">
                  <c:v>339</c:v>
                </c:pt>
                <c:pt idx="37">
                  <c:v>321</c:v>
                </c:pt>
                <c:pt idx="38">
                  <c:v>260</c:v>
                </c:pt>
                <c:pt idx="39">
                  <c:v>225</c:v>
                </c:pt>
                <c:pt idx="40">
                  <c:v>205</c:v>
                </c:pt>
                <c:pt idx="41">
                  <c:v>200</c:v>
                </c:pt>
                <c:pt idx="42">
                  <c:v>197</c:v>
                </c:pt>
                <c:pt idx="43">
                  <c:v>183</c:v>
                </c:pt>
                <c:pt idx="44">
                  <c:v>200</c:v>
                </c:pt>
                <c:pt idx="45">
                  <c:v>185</c:v>
                </c:pt>
                <c:pt idx="46">
                  <c:v>166</c:v>
                </c:pt>
                <c:pt idx="47">
                  <c:v>154</c:v>
                </c:pt>
                <c:pt idx="48">
                  <c:v>161</c:v>
                </c:pt>
                <c:pt idx="49">
                  <c:v>151</c:v>
                </c:pt>
                <c:pt idx="50">
                  <c:v>152</c:v>
                </c:pt>
                <c:pt idx="51">
                  <c:v>156</c:v>
                </c:pt>
                <c:pt idx="52">
                  <c:v>161</c:v>
                </c:pt>
                <c:pt idx="53">
                  <c:v>167</c:v>
                </c:pt>
                <c:pt idx="54">
                  <c:v>172</c:v>
                </c:pt>
                <c:pt idx="55">
                  <c:v>175</c:v>
                </c:pt>
                <c:pt idx="56">
                  <c:v>176</c:v>
                </c:pt>
                <c:pt idx="57">
                  <c:v>169</c:v>
                </c:pt>
                <c:pt idx="58">
                  <c:v>156</c:v>
                </c:pt>
                <c:pt idx="59">
                  <c:v>150</c:v>
                </c:pt>
                <c:pt idx="60">
                  <c:v>145</c:v>
                </c:pt>
              </c:numCache>
            </c:numRef>
          </c:val>
          <c:smooth val="0"/>
        </c:ser>
        <c:ser>
          <c:idx val="2"/>
          <c:order val="2"/>
          <c:tx>
            <c:strRef>
              <c:f>'Sheet1 (13)'!$D$3:$D$5</c:f>
              <c:strCache>
                <c:ptCount val="1"/>
                <c:pt idx="0">
                  <c:v>Post-init - Other_antidepressant+Pregabalin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(13)'!$D$6:$D$67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298</c:v>
                </c:pt>
                <c:pt idx="31">
                  <c:v>288</c:v>
                </c:pt>
                <c:pt idx="32">
                  <c:v>285</c:v>
                </c:pt>
                <c:pt idx="33">
                  <c:v>293</c:v>
                </c:pt>
                <c:pt idx="34">
                  <c:v>201</c:v>
                </c:pt>
                <c:pt idx="35">
                  <c:v>206</c:v>
                </c:pt>
                <c:pt idx="36">
                  <c:v>207</c:v>
                </c:pt>
                <c:pt idx="37">
                  <c:v>206</c:v>
                </c:pt>
                <c:pt idx="38">
                  <c:v>192</c:v>
                </c:pt>
                <c:pt idx="39">
                  <c:v>188</c:v>
                </c:pt>
                <c:pt idx="40">
                  <c:v>192</c:v>
                </c:pt>
                <c:pt idx="41">
                  <c:v>190</c:v>
                </c:pt>
                <c:pt idx="42">
                  <c:v>178</c:v>
                </c:pt>
                <c:pt idx="43">
                  <c:v>172</c:v>
                </c:pt>
                <c:pt idx="44">
                  <c:v>160</c:v>
                </c:pt>
                <c:pt idx="45">
                  <c:v>154</c:v>
                </c:pt>
                <c:pt idx="46">
                  <c:v>147</c:v>
                </c:pt>
                <c:pt idx="47">
                  <c:v>139</c:v>
                </c:pt>
                <c:pt idx="48">
                  <c:v>141</c:v>
                </c:pt>
                <c:pt idx="49">
                  <c:v>139</c:v>
                </c:pt>
                <c:pt idx="50">
                  <c:v>136</c:v>
                </c:pt>
                <c:pt idx="51">
                  <c:v>137</c:v>
                </c:pt>
                <c:pt idx="52">
                  <c:v>138</c:v>
                </c:pt>
                <c:pt idx="53">
                  <c:v>142</c:v>
                </c:pt>
                <c:pt idx="54">
                  <c:v>136</c:v>
                </c:pt>
                <c:pt idx="55">
                  <c:v>137</c:v>
                </c:pt>
                <c:pt idx="56">
                  <c:v>133</c:v>
                </c:pt>
                <c:pt idx="57">
                  <c:v>127</c:v>
                </c:pt>
                <c:pt idx="58">
                  <c:v>121</c:v>
                </c:pt>
                <c:pt idx="59">
                  <c:v>119</c:v>
                </c:pt>
                <c:pt idx="60">
                  <c:v>108</c:v>
                </c:pt>
              </c:numCache>
            </c:numRef>
          </c:val>
          <c:smooth val="0"/>
        </c:ser>
        <c:ser>
          <c:idx val="3"/>
          <c:order val="3"/>
          <c:tx>
            <c:strRef>
              <c:f>'Sheet1 (13)'!$E$3:$E$5</c:f>
              <c:strCache>
                <c:ptCount val="1"/>
                <c:pt idx="0">
                  <c:v>Post-init - Other_antidepressant</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(13)'!$E$6:$E$67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70</c:v>
                </c:pt>
                <c:pt idx="35">
                  <c:v>67</c:v>
                </c:pt>
                <c:pt idx="36">
                  <c:v>72</c:v>
                </c:pt>
                <c:pt idx="37">
                  <c:v>74</c:v>
                </c:pt>
                <c:pt idx="38">
                  <c:v>89</c:v>
                </c:pt>
                <c:pt idx="39">
                  <c:v>104</c:v>
                </c:pt>
                <c:pt idx="40">
                  <c:v>110</c:v>
                </c:pt>
                <c:pt idx="41">
                  <c:v>121</c:v>
                </c:pt>
                <c:pt idx="42">
                  <c:v>129</c:v>
                </c:pt>
                <c:pt idx="43">
                  <c:v>127</c:v>
                </c:pt>
                <c:pt idx="44">
                  <c:v>138</c:v>
                </c:pt>
                <c:pt idx="45">
                  <c:v>127</c:v>
                </c:pt>
                <c:pt idx="46">
                  <c:v>144</c:v>
                </c:pt>
                <c:pt idx="47">
                  <c:v>137</c:v>
                </c:pt>
                <c:pt idx="48">
                  <c:v>153</c:v>
                </c:pt>
                <c:pt idx="49">
                  <c:v>155</c:v>
                </c:pt>
                <c:pt idx="50">
                  <c:v>162</c:v>
                </c:pt>
                <c:pt idx="51">
                  <c:v>160</c:v>
                </c:pt>
                <c:pt idx="52">
                  <c:v>153</c:v>
                </c:pt>
                <c:pt idx="53">
                  <c:v>158</c:v>
                </c:pt>
                <c:pt idx="54">
                  <c:v>159</c:v>
                </c:pt>
                <c:pt idx="55">
                  <c:v>164</c:v>
                </c:pt>
                <c:pt idx="56">
                  <c:v>170</c:v>
                </c:pt>
                <c:pt idx="57">
                  <c:v>171</c:v>
                </c:pt>
                <c:pt idx="58">
                  <c:v>176</c:v>
                </c:pt>
                <c:pt idx="59">
                  <c:v>182</c:v>
                </c:pt>
                <c:pt idx="60">
                  <c:v>178</c:v>
                </c:pt>
              </c:numCache>
            </c:numRef>
          </c:val>
          <c:smooth val="0"/>
        </c:ser>
        <c:ser>
          <c:idx val="4"/>
          <c:order val="4"/>
          <c:tx>
            <c:strRef>
              <c:f>'Sheet1 (13)'!$F$3:$F$5</c:f>
              <c:strCache>
                <c:ptCount val="1"/>
                <c:pt idx="0">
                  <c:v>Post-init - Opioid_S8</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(13)'!$F$6:$F$67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107</c:v>
                </c:pt>
                <c:pt idx="35">
                  <c:v>90</c:v>
                </c:pt>
                <c:pt idx="36">
                  <c:v>87</c:v>
                </c:pt>
                <c:pt idx="37">
                  <c:v>82</c:v>
                </c:pt>
                <c:pt idx="38">
                  <c:v>103</c:v>
                </c:pt>
                <c:pt idx="39">
                  <c:v>112</c:v>
                </c:pt>
                <c:pt idx="40">
                  <c:v>107</c:v>
                </c:pt>
                <c:pt idx="41">
                  <c:v>107</c:v>
                </c:pt>
                <c:pt idx="42">
                  <c:v>108</c:v>
                </c:pt>
                <c:pt idx="43">
                  <c:v>108</c:v>
                </c:pt>
                <c:pt idx="44">
                  <c:v>105</c:v>
                </c:pt>
                <c:pt idx="45">
                  <c:v>106</c:v>
                </c:pt>
                <c:pt idx="46">
                  <c:v>107</c:v>
                </c:pt>
                <c:pt idx="47">
                  <c:v>112</c:v>
                </c:pt>
                <c:pt idx="48">
                  <c:v>111</c:v>
                </c:pt>
                <c:pt idx="49">
                  <c:v>126</c:v>
                </c:pt>
                <c:pt idx="50">
                  <c:v>133</c:v>
                </c:pt>
                <c:pt idx="51">
                  <c:v>137</c:v>
                </c:pt>
                <c:pt idx="52">
                  <c:v>127</c:v>
                </c:pt>
                <c:pt idx="53">
                  <c:v>116</c:v>
                </c:pt>
                <c:pt idx="54">
                  <c:v>111</c:v>
                </c:pt>
                <c:pt idx="55">
                  <c:v>101</c:v>
                </c:pt>
                <c:pt idx="56">
                  <c:v>96</c:v>
                </c:pt>
                <c:pt idx="57">
                  <c:v>99</c:v>
                </c:pt>
                <c:pt idx="58">
                  <c:v>103</c:v>
                </c:pt>
                <c:pt idx="59">
                  <c:v>104</c:v>
                </c:pt>
                <c:pt idx="60">
                  <c:v>99</c:v>
                </c:pt>
              </c:numCache>
            </c:numRef>
          </c:val>
          <c:smooth val="0"/>
        </c:ser>
        <c:ser>
          <c:idx val="5"/>
          <c:order val="5"/>
          <c:tx>
            <c:strRef>
              <c:f>'Sheet1 (13)'!$G$3:$G$5</c:f>
              <c:strCache>
                <c:ptCount val="1"/>
                <c:pt idx="0">
                  <c:v>Post-init - Opioid_S8+Other_antidepressant+Pregabalin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(13)'!$G$6:$G$67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128</c:v>
                </c:pt>
                <c:pt idx="31">
                  <c:v>133</c:v>
                </c:pt>
                <c:pt idx="32">
                  <c:v>133</c:v>
                </c:pt>
                <c:pt idx="33">
                  <c:v>136</c:v>
                </c:pt>
                <c:pt idx="34">
                  <c:v>106</c:v>
                </c:pt>
                <c:pt idx="35">
                  <c:v>97</c:v>
                </c:pt>
                <c:pt idx="36">
                  <c:v>91</c:v>
                </c:pt>
                <c:pt idx="37">
                  <c:v>90</c:v>
                </c:pt>
                <c:pt idx="38">
                  <c:v>75</c:v>
                </c:pt>
                <c:pt idx="39">
                  <c:v>76</c:v>
                </c:pt>
                <c:pt idx="40">
                  <c:v>50</c:v>
                </c:pt>
                <c:pt idx="41">
                  <c:v>50</c:v>
                </c:pt>
                <c:pt idx="42">
                  <c:v>55</c:v>
                </c:pt>
                <c:pt idx="43">
                  <c:v>53</c:v>
                </c:pt>
                <c:pt idx="44">
                  <c:v>53</c:v>
                </c:pt>
                <c:pt idx="45">
                  <c:v>65</c:v>
                </c:pt>
                <c:pt idx="46">
                  <c:v>62</c:v>
                </c:pt>
                <c:pt idx="47">
                  <c:v>65</c:v>
                </c:pt>
                <c:pt idx="48">
                  <c:v>60</c:v>
                </c:pt>
                <c:pt idx="49">
                  <c:v>60</c:v>
                </c:pt>
                <c:pt idx="50">
                  <c:v>58</c:v>
                </c:pt>
                <c:pt idx="51">
                  <c:v>57</c:v>
                </c:pt>
                <c:pt idx="52">
                  <c:v>52</c:v>
                </c:pt>
                <c:pt idx="53">
                  <c:v>53</c:v>
                </c:pt>
                <c:pt idx="54">
                  <c:v>57</c:v>
                </c:pt>
                <c:pt idx="55">
                  <c:v>56</c:v>
                </c:pt>
                <c:pt idx="56">
                  <c:v>59</c:v>
                </c:pt>
                <c:pt idx="57">
                  <c:v>59</c:v>
                </c:pt>
                <c:pt idx="58">
                  <c:v>56</c:v>
                </c:pt>
                <c:pt idx="59">
                  <c:v>52</c:v>
                </c:pt>
                <c:pt idx="60">
                  <c:v>64</c:v>
                </c:pt>
              </c:numCache>
            </c:numRef>
          </c:val>
          <c:smooth val="0"/>
        </c:ser>
        <c:ser>
          <c:idx val="6"/>
          <c:order val="6"/>
          <c:tx>
            <c:strRef>
              <c:f>'Sheet1 (13)'!$H$3:$H$5</c:f>
              <c:strCache>
                <c:ptCount val="1"/>
                <c:pt idx="0">
                  <c:v>Post-init - Opioid_S4+Pregabalin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(13)'!$H$6:$H$67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145</c:v>
                </c:pt>
                <c:pt idx="31">
                  <c:v>142</c:v>
                </c:pt>
                <c:pt idx="32">
                  <c:v>140</c:v>
                </c:pt>
                <c:pt idx="33">
                  <c:v>152</c:v>
                </c:pt>
                <c:pt idx="34">
                  <c:v>70</c:v>
                </c:pt>
                <c:pt idx="35">
                  <c:v>69</c:v>
                </c:pt>
                <c:pt idx="36">
                  <c:v>71</c:v>
                </c:pt>
                <c:pt idx="37">
                  <c:v>71</c:v>
                </c:pt>
                <c:pt idx="38">
                  <c:v>62</c:v>
                </c:pt>
                <c:pt idx="39">
                  <c:v>57</c:v>
                </c:pt>
                <c:pt idx="40">
                  <c:v>52</c:v>
                </c:pt>
                <c:pt idx="41">
                  <c:v>53</c:v>
                </c:pt>
                <c:pt idx="42">
                  <c:v>49</c:v>
                </c:pt>
                <c:pt idx="43">
                  <c:v>47</c:v>
                </c:pt>
                <c:pt idx="44">
                  <c:v>46</c:v>
                </c:pt>
                <c:pt idx="45">
                  <c:v>43</c:v>
                </c:pt>
                <c:pt idx="46">
                  <c:v>41</c:v>
                </c:pt>
                <c:pt idx="47">
                  <c:v>39</c:v>
                </c:pt>
                <c:pt idx="48">
                  <c:v>39</c:v>
                </c:pt>
                <c:pt idx="49">
                  <c:v>40</c:v>
                </c:pt>
                <c:pt idx="50">
                  <c:v>39</c:v>
                </c:pt>
                <c:pt idx="51">
                  <c:v>41</c:v>
                </c:pt>
                <c:pt idx="52">
                  <c:v>42</c:v>
                </c:pt>
                <c:pt idx="53">
                  <c:v>39</c:v>
                </c:pt>
                <c:pt idx="54">
                  <c:v>38</c:v>
                </c:pt>
                <c:pt idx="55">
                  <c:v>41</c:v>
                </c:pt>
                <c:pt idx="56">
                  <c:v>29</c:v>
                </c:pt>
                <c:pt idx="57">
                  <c:v>30</c:v>
                </c:pt>
                <c:pt idx="58">
                  <c:v>27</c:v>
                </c:pt>
                <c:pt idx="59">
                  <c:v>33</c:v>
                </c:pt>
                <c:pt idx="60">
                  <c:v>34</c:v>
                </c:pt>
              </c:numCache>
            </c:numRef>
          </c:val>
          <c:smooth val="0"/>
        </c:ser>
        <c:ser>
          <c:idx val="7"/>
          <c:order val="7"/>
          <c:tx>
            <c:strRef>
              <c:f>'Sheet1 (13)'!$I$3:$I$5</c:f>
              <c:strCache>
                <c:ptCount val="1"/>
                <c:pt idx="0">
                  <c:v>Post-init - Pregabalin+TCA</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(13)'!$I$6:$I$67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76</c:v>
                </c:pt>
                <c:pt idx="31">
                  <c:v>80</c:v>
                </c:pt>
                <c:pt idx="32">
                  <c:v>96</c:v>
                </c:pt>
                <c:pt idx="33">
                  <c:v>103</c:v>
                </c:pt>
                <c:pt idx="34">
                  <c:v>62</c:v>
                </c:pt>
                <c:pt idx="35">
                  <c:v>61</c:v>
                </c:pt>
                <c:pt idx="36">
                  <c:v>60</c:v>
                </c:pt>
                <c:pt idx="37">
                  <c:v>64</c:v>
                </c:pt>
                <c:pt idx="38">
                  <c:v>62</c:v>
                </c:pt>
                <c:pt idx="39">
                  <c:v>66</c:v>
                </c:pt>
                <c:pt idx="40">
                  <c:v>68</c:v>
                </c:pt>
                <c:pt idx="41">
                  <c:v>66</c:v>
                </c:pt>
                <c:pt idx="42">
                  <c:v>59</c:v>
                </c:pt>
                <c:pt idx="43">
                  <c:v>55</c:v>
                </c:pt>
                <c:pt idx="44">
                  <c:v>51</c:v>
                </c:pt>
                <c:pt idx="45">
                  <c:v>50</c:v>
                </c:pt>
                <c:pt idx="46">
                  <c:v>48</c:v>
                </c:pt>
                <c:pt idx="47">
                  <c:v>44</c:v>
                </c:pt>
                <c:pt idx="48">
                  <c:v>46</c:v>
                </c:pt>
                <c:pt idx="49">
                  <c:v>45</c:v>
                </c:pt>
                <c:pt idx="50">
                  <c:v>41</c:v>
                </c:pt>
                <c:pt idx="51">
                  <c:v>42</c:v>
                </c:pt>
                <c:pt idx="52">
                  <c:v>40</c:v>
                </c:pt>
                <c:pt idx="53">
                  <c:v>39</c:v>
                </c:pt>
                <c:pt idx="54">
                  <c:v>41</c:v>
                </c:pt>
                <c:pt idx="55">
                  <c:v>42</c:v>
                </c:pt>
                <c:pt idx="56">
                  <c:v>39</c:v>
                </c:pt>
                <c:pt idx="57">
                  <c:v>42</c:v>
                </c:pt>
                <c:pt idx="58">
                  <c:v>28</c:v>
                </c:pt>
                <c:pt idx="59">
                  <c:v>26</c:v>
                </c:pt>
                <c:pt idx="60">
                  <c:v>27</c:v>
                </c:pt>
              </c:numCache>
            </c:numRef>
          </c:val>
          <c:smooth val="0"/>
        </c:ser>
        <c:ser>
          <c:idx val="8"/>
          <c:order val="8"/>
          <c:tx>
            <c:strRef>
              <c:f>'Sheet1 (13)'!$J$3:$J$5</c:f>
              <c:strCache>
                <c:ptCount val="1"/>
                <c:pt idx="0">
                  <c:v>Post-init - Opioid_S4</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(13)'!$J$6:$J$67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42</c:v>
                </c:pt>
                <c:pt idx="35">
                  <c:v>43</c:v>
                </c:pt>
                <c:pt idx="36">
                  <c:v>41</c:v>
                </c:pt>
                <c:pt idx="37">
                  <c:v>41</c:v>
                </c:pt>
                <c:pt idx="38">
                  <c:v>50</c:v>
                </c:pt>
                <c:pt idx="39">
                  <c:v>48</c:v>
                </c:pt>
                <c:pt idx="40">
                  <c:v>46</c:v>
                </c:pt>
                <c:pt idx="41">
                  <c:v>47</c:v>
                </c:pt>
                <c:pt idx="42">
                  <c:v>42</c:v>
                </c:pt>
                <c:pt idx="43">
                  <c:v>44</c:v>
                </c:pt>
                <c:pt idx="44">
                  <c:v>46</c:v>
                </c:pt>
                <c:pt idx="45">
                  <c:v>48</c:v>
                </c:pt>
                <c:pt idx="46">
                  <c:v>50</c:v>
                </c:pt>
                <c:pt idx="47">
                  <c:v>49</c:v>
                </c:pt>
                <c:pt idx="48">
                  <c:v>48</c:v>
                </c:pt>
                <c:pt idx="49">
                  <c:v>43</c:v>
                </c:pt>
                <c:pt idx="50">
                  <c:v>43</c:v>
                </c:pt>
                <c:pt idx="51">
                  <c:v>38</c:v>
                </c:pt>
                <c:pt idx="52">
                  <c:v>40</c:v>
                </c:pt>
                <c:pt idx="53">
                  <c:v>39</c:v>
                </c:pt>
                <c:pt idx="54">
                  <c:v>45</c:v>
                </c:pt>
                <c:pt idx="55">
                  <c:v>44</c:v>
                </c:pt>
                <c:pt idx="56">
                  <c:v>47</c:v>
                </c:pt>
                <c:pt idx="57">
                  <c:v>45</c:v>
                </c:pt>
                <c:pt idx="58">
                  <c:v>47</c:v>
                </c:pt>
                <c:pt idx="59">
                  <c:v>48</c:v>
                </c:pt>
                <c:pt idx="60">
                  <c:v>39</c:v>
                </c:pt>
              </c:numCache>
            </c:numRef>
          </c:val>
          <c:smooth val="0"/>
        </c:ser>
        <c:ser>
          <c:idx val="9"/>
          <c:order val="9"/>
          <c:tx>
            <c:strRef>
              <c:f>'Sheet1 (13)'!$K$3:$K$5</c:f>
              <c:strCache>
                <c:ptCount val="1"/>
                <c:pt idx="0">
                  <c:v>Post-init - TCA</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(13)'!$K$6:$K$67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29</c:v>
                </c:pt>
                <c:pt idx="35">
                  <c:v>18</c:v>
                </c:pt>
                <c:pt idx="36">
                  <c:v>19</c:v>
                </c:pt>
                <c:pt idx="37">
                  <c:v>20</c:v>
                </c:pt>
                <c:pt idx="38">
                  <c:v>24</c:v>
                </c:pt>
                <c:pt idx="39">
                  <c:v>37</c:v>
                </c:pt>
                <c:pt idx="40">
                  <c:v>37</c:v>
                </c:pt>
                <c:pt idx="41">
                  <c:v>30</c:v>
                </c:pt>
                <c:pt idx="42">
                  <c:v>44</c:v>
                </c:pt>
                <c:pt idx="43">
                  <c:v>43</c:v>
                </c:pt>
                <c:pt idx="44">
                  <c:v>48</c:v>
                </c:pt>
                <c:pt idx="45">
                  <c:v>47</c:v>
                </c:pt>
                <c:pt idx="46">
                  <c:v>49</c:v>
                </c:pt>
                <c:pt idx="47">
                  <c:v>50</c:v>
                </c:pt>
                <c:pt idx="48">
                  <c:v>45</c:v>
                </c:pt>
                <c:pt idx="49">
                  <c:v>43</c:v>
                </c:pt>
                <c:pt idx="50">
                  <c:v>42</c:v>
                </c:pt>
                <c:pt idx="51">
                  <c:v>47</c:v>
                </c:pt>
                <c:pt idx="52">
                  <c:v>49</c:v>
                </c:pt>
                <c:pt idx="53">
                  <c:v>53</c:v>
                </c:pt>
                <c:pt idx="54">
                  <c:v>54</c:v>
                </c:pt>
                <c:pt idx="55">
                  <c:v>54</c:v>
                </c:pt>
                <c:pt idx="56">
                  <c:v>54</c:v>
                </c:pt>
                <c:pt idx="57">
                  <c:v>55</c:v>
                </c:pt>
                <c:pt idx="58">
                  <c:v>54</c:v>
                </c:pt>
                <c:pt idx="59">
                  <c:v>59</c:v>
                </c:pt>
                <c:pt idx="60">
                  <c:v>58</c:v>
                </c:pt>
              </c:numCache>
            </c:numRef>
          </c:val>
          <c:smooth val="0"/>
        </c:ser>
        <c:ser>
          <c:idx val="10"/>
          <c:order val="10"/>
          <c:tx>
            <c:strRef>
              <c:f>'Sheet1 (13)'!$L$3:$L$5</c:f>
              <c:strCache>
                <c:ptCount val="1"/>
                <c:pt idx="0">
                  <c:v>Pre-init - Other_antidepressant</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(13)'!$L$6:$L$67</c:f>
              <c:numCache>
                <c:formatCode>General</c:formatCode>
                <c:ptCount val="61"/>
                <c:pt idx="0">
                  <c:v>396</c:v>
                </c:pt>
                <c:pt idx="1">
                  <c:v>409</c:v>
                </c:pt>
                <c:pt idx="2">
                  <c:v>415</c:v>
                </c:pt>
                <c:pt idx="3">
                  <c:v>419</c:v>
                </c:pt>
                <c:pt idx="4">
                  <c:v>418</c:v>
                </c:pt>
                <c:pt idx="5">
                  <c:v>419</c:v>
                </c:pt>
                <c:pt idx="6">
                  <c:v>413</c:v>
                </c:pt>
                <c:pt idx="7">
                  <c:v>416</c:v>
                </c:pt>
                <c:pt idx="8">
                  <c:v>416</c:v>
                </c:pt>
                <c:pt idx="9">
                  <c:v>413</c:v>
                </c:pt>
                <c:pt idx="10">
                  <c:v>408</c:v>
                </c:pt>
                <c:pt idx="11">
                  <c:v>412</c:v>
                </c:pt>
                <c:pt idx="12">
                  <c:v>417</c:v>
                </c:pt>
                <c:pt idx="13">
                  <c:v>426</c:v>
                </c:pt>
                <c:pt idx="14">
                  <c:v>435</c:v>
                </c:pt>
                <c:pt idx="15">
                  <c:v>437</c:v>
                </c:pt>
                <c:pt idx="16">
                  <c:v>437</c:v>
                </c:pt>
                <c:pt idx="17">
                  <c:v>433</c:v>
                </c:pt>
                <c:pt idx="18">
                  <c:v>420</c:v>
                </c:pt>
                <c:pt idx="19">
                  <c:v>416</c:v>
                </c:pt>
                <c:pt idx="20">
                  <c:v>411</c:v>
                </c:pt>
                <c:pt idx="21">
                  <c:v>406</c:v>
                </c:pt>
                <c:pt idx="22">
                  <c:v>400</c:v>
                </c:pt>
                <c:pt idx="23">
                  <c:v>401</c:v>
                </c:pt>
                <c:pt idx="24">
                  <c:v>400</c:v>
                </c:pt>
                <c:pt idx="25">
                  <c:v>396</c:v>
                </c:pt>
                <c:pt idx="26">
                  <c:v>395</c:v>
                </c:pt>
                <c:pt idx="27">
                  <c:v>374</c:v>
                </c:pt>
                <c:pt idx="28">
                  <c:v>359</c:v>
                </c:pt>
                <c:pt idx="29">
                  <c:v>339</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1"/>
          <c:order val="11"/>
          <c:tx>
            <c:strRef>
              <c:f>'Sheet1 (13)'!$M$3:$M$5</c:f>
              <c:strCache>
                <c:ptCount val="1"/>
                <c:pt idx="0">
                  <c:v>Pre-init - Opioid_S8</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(13)'!$M$6:$M$67</c:f>
              <c:numCache>
                <c:formatCode>General</c:formatCode>
                <c:ptCount val="61"/>
                <c:pt idx="0">
                  <c:v>262</c:v>
                </c:pt>
                <c:pt idx="1">
                  <c:v>277</c:v>
                </c:pt>
                <c:pt idx="2">
                  <c:v>274</c:v>
                </c:pt>
                <c:pt idx="3">
                  <c:v>279</c:v>
                </c:pt>
                <c:pt idx="4">
                  <c:v>288</c:v>
                </c:pt>
                <c:pt idx="5">
                  <c:v>280</c:v>
                </c:pt>
                <c:pt idx="6">
                  <c:v>278</c:v>
                </c:pt>
                <c:pt idx="7">
                  <c:v>272</c:v>
                </c:pt>
                <c:pt idx="8">
                  <c:v>274</c:v>
                </c:pt>
                <c:pt idx="9">
                  <c:v>278</c:v>
                </c:pt>
                <c:pt idx="10">
                  <c:v>284</c:v>
                </c:pt>
                <c:pt idx="11">
                  <c:v>287</c:v>
                </c:pt>
                <c:pt idx="12">
                  <c:v>284</c:v>
                </c:pt>
                <c:pt idx="13">
                  <c:v>286</c:v>
                </c:pt>
                <c:pt idx="14">
                  <c:v>281</c:v>
                </c:pt>
                <c:pt idx="15">
                  <c:v>291</c:v>
                </c:pt>
                <c:pt idx="16">
                  <c:v>284</c:v>
                </c:pt>
                <c:pt idx="17">
                  <c:v>295</c:v>
                </c:pt>
                <c:pt idx="18">
                  <c:v>303</c:v>
                </c:pt>
                <c:pt idx="19">
                  <c:v>326</c:v>
                </c:pt>
                <c:pt idx="20">
                  <c:v>332</c:v>
                </c:pt>
                <c:pt idx="21">
                  <c:v>342</c:v>
                </c:pt>
                <c:pt idx="22">
                  <c:v>357</c:v>
                </c:pt>
                <c:pt idx="23">
                  <c:v>368</c:v>
                </c:pt>
                <c:pt idx="24">
                  <c:v>386</c:v>
                </c:pt>
                <c:pt idx="25">
                  <c:v>405</c:v>
                </c:pt>
                <c:pt idx="26">
                  <c:v>408</c:v>
                </c:pt>
                <c:pt idx="27">
                  <c:v>423</c:v>
                </c:pt>
                <c:pt idx="28">
                  <c:v>445</c:v>
                </c:pt>
                <c:pt idx="29">
                  <c:v>481</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2"/>
          <c:order val="12"/>
          <c:tx>
            <c:strRef>
              <c:f>'Sheet1 (13)'!$N$3:$N$5</c:f>
              <c:strCache>
                <c:ptCount val="1"/>
                <c:pt idx="0">
                  <c:v>Pre-init - Opioid_S4</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(13)'!$N$6:$N$67</c:f>
              <c:numCache>
                <c:formatCode>General</c:formatCode>
                <c:ptCount val="61"/>
                <c:pt idx="0">
                  <c:v>160</c:v>
                </c:pt>
                <c:pt idx="1">
                  <c:v>168</c:v>
                </c:pt>
                <c:pt idx="2">
                  <c:v>172</c:v>
                </c:pt>
                <c:pt idx="3">
                  <c:v>163</c:v>
                </c:pt>
                <c:pt idx="4">
                  <c:v>151</c:v>
                </c:pt>
                <c:pt idx="5">
                  <c:v>154</c:v>
                </c:pt>
                <c:pt idx="6">
                  <c:v>153</c:v>
                </c:pt>
                <c:pt idx="7">
                  <c:v>149</c:v>
                </c:pt>
                <c:pt idx="8">
                  <c:v>161</c:v>
                </c:pt>
                <c:pt idx="9">
                  <c:v>158</c:v>
                </c:pt>
                <c:pt idx="10">
                  <c:v>157</c:v>
                </c:pt>
                <c:pt idx="11">
                  <c:v>157</c:v>
                </c:pt>
                <c:pt idx="12">
                  <c:v>159</c:v>
                </c:pt>
                <c:pt idx="13">
                  <c:v>160</c:v>
                </c:pt>
                <c:pt idx="14">
                  <c:v>164</c:v>
                </c:pt>
                <c:pt idx="15">
                  <c:v>161</c:v>
                </c:pt>
                <c:pt idx="16">
                  <c:v>164</c:v>
                </c:pt>
                <c:pt idx="17">
                  <c:v>162</c:v>
                </c:pt>
                <c:pt idx="18">
                  <c:v>155</c:v>
                </c:pt>
                <c:pt idx="19">
                  <c:v>152</c:v>
                </c:pt>
                <c:pt idx="20">
                  <c:v>148</c:v>
                </c:pt>
                <c:pt idx="21">
                  <c:v>155</c:v>
                </c:pt>
                <c:pt idx="22">
                  <c:v>159</c:v>
                </c:pt>
                <c:pt idx="23">
                  <c:v>167</c:v>
                </c:pt>
                <c:pt idx="24">
                  <c:v>166</c:v>
                </c:pt>
                <c:pt idx="25">
                  <c:v>171</c:v>
                </c:pt>
                <c:pt idx="26">
                  <c:v>169</c:v>
                </c:pt>
                <c:pt idx="27">
                  <c:v>182</c:v>
                </c:pt>
                <c:pt idx="28">
                  <c:v>202</c:v>
                </c:pt>
                <c:pt idx="29">
                  <c:v>218</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3"/>
          <c:order val="13"/>
          <c:tx>
            <c:strRef>
              <c:f>'Sheet1 (13)'!$O$3:$O$5</c:f>
              <c:strCache>
                <c:ptCount val="1"/>
                <c:pt idx="0">
                  <c:v>Pre-init - TCA</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(13)'!$O$6:$O$67</c:f>
              <c:numCache>
                <c:formatCode>General</c:formatCode>
                <c:ptCount val="61"/>
                <c:pt idx="0">
                  <c:v>165</c:v>
                </c:pt>
                <c:pt idx="1">
                  <c:v>165</c:v>
                </c:pt>
                <c:pt idx="2">
                  <c:v>158</c:v>
                </c:pt>
                <c:pt idx="3">
                  <c:v>157</c:v>
                </c:pt>
                <c:pt idx="4">
                  <c:v>152</c:v>
                </c:pt>
                <c:pt idx="5">
                  <c:v>152</c:v>
                </c:pt>
                <c:pt idx="6">
                  <c:v>157</c:v>
                </c:pt>
                <c:pt idx="7">
                  <c:v>156</c:v>
                </c:pt>
                <c:pt idx="8">
                  <c:v>157</c:v>
                </c:pt>
                <c:pt idx="9">
                  <c:v>152</c:v>
                </c:pt>
                <c:pt idx="10">
                  <c:v>152</c:v>
                </c:pt>
                <c:pt idx="11">
                  <c:v>148</c:v>
                </c:pt>
                <c:pt idx="12">
                  <c:v>143</c:v>
                </c:pt>
                <c:pt idx="13">
                  <c:v>144</c:v>
                </c:pt>
                <c:pt idx="14">
                  <c:v>136</c:v>
                </c:pt>
                <c:pt idx="15">
                  <c:v>135</c:v>
                </c:pt>
                <c:pt idx="16">
                  <c:v>133</c:v>
                </c:pt>
                <c:pt idx="17">
                  <c:v>144</c:v>
                </c:pt>
                <c:pt idx="18">
                  <c:v>149</c:v>
                </c:pt>
                <c:pt idx="19">
                  <c:v>155</c:v>
                </c:pt>
                <c:pt idx="20">
                  <c:v>155</c:v>
                </c:pt>
                <c:pt idx="21">
                  <c:v>157</c:v>
                </c:pt>
                <c:pt idx="22">
                  <c:v>158</c:v>
                </c:pt>
                <c:pt idx="23">
                  <c:v>146</c:v>
                </c:pt>
                <c:pt idx="24">
                  <c:v>149</c:v>
                </c:pt>
                <c:pt idx="25">
                  <c:v>146</c:v>
                </c:pt>
                <c:pt idx="26">
                  <c:v>149</c:v>
                </c:pt>
                <c:pt idx="27">
                  <c:v>157</c:v>
                </c:pt>
                <c:pt idx="28">
                  <c:v>164</c:v>
                </c:pt>
                <c:pt idx="29">
                  <c:v>167</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4"/>
          <c:order val="14"/>
          <c:tx>
            <c:strRef>
              <c:f>'Sheet1 (13)'!$P$3:$P$5</c:f>
              <c:strCache>
                <c:ptCount val="1"/>
                <c:pt idx="0">
                  <c:v>Pre-init - SNRI</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(13)'!$P$6:$P$67</c:f>
              <c:numCache>
                <c:formatCode>General</c:formatCode>
                <c:ptCount val="61"/>
                <c:pt idx="0">
                  <c:v>131</c:v>
                </c:pt>
                <c:pt idx="1">
                  <c:v>127</c:v>
                </c:pt>
                <c:pt idx="2">
                  <c:v>128</c:v>
                </c:pt>
                <c:pt idx="3">
                  <c:v>132</c:v>
                </c:pt>
                <c:pt idx="4">
                  <c:v>128</c:v>
                </c:pt>
                <c:pt idx="5">
                  <c:v>126</c:v>
                </c:pt>
                <c:pt idx="6">
                  <c:v>135</c:v>
                </c:pt>
                <c:pt idx="7">
                  <c:v>134</c:v>
                </c:pt>
                <c:pt idx="8">
                  <c:v>131</c:v>
                </c:pt>
                <c:pt idx="9">
                  <c:v>134</c:v>
                </c:pt>
                <c:pt idx="10">
                  <c:v>136</c:v>
                </c:pt>
                <c:pt idx="11">
                  <c:v>130</c:v>
                </c:pt>
                <c:pt idx="12">
                  <c:v>131</c:v>
                </c:pt>
                <c:pt idx="13">
                  <c:v>132</c:v>
                </c:pt>
                <c:pt idx="14">
                  <c:v>130</c:v>
                </c:pt>
                <c:pt idx="15">
                  <c:v>133</c:v>
                </c:pt>
                <c:pt idx="16">
                  <c:v>134</c:v>
                </c:pt>
                <c:pt idx="17">
                  <c:v>134</c:v>
                </c:pt>
                <c:pt idx="18">
                  <c:v>128</c:v>
                </c:pt>
                <c:pt idx="19">
                  <c:v>127</c:v>
                </c:pt>
                <c:pt idx="20">
                  <c:v>123</c:v>
                </c:pt>
                <c:pt idx="21">
                  <c:v>128</c:v>
                </c:pt>
                <c:pt idx="22">
                  <c:v>127</c:v>
                </c:pt>
                <c:pt idx="23">
                  <c:v>129</c:v>
                </c:pt>
                <c:pt idx="24">
                  <c:v>127</c:v>
                </c:pt>
                <c:pt idx="25">
                  <c:v>127</c:v>
                </c:pt>
                <c:pt idx="26">
                  <c:v>124</c:v>
                </c:pt>
                <c:pt idx="27">
                  <c:v>119</c:v>
                </c:pt>
                <c:pt idx="28">
                  <c:v>112</c:v>
                </c:pt>
                <c:pt idx="29">
                  <c:v>100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5"/>
          <c:order val="15"/>
          <c:tx>
            <c:strRef>
              <c:f>'Sheet1 (13)'!$Q$3:$Q$5</c:f>
              <c:strCache>
                <c:ptCount val="1"/>
                <c:pt idx="0">
                  <c:v>Pre-init - Opioid_S8+Other_antidepressant</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(13)'!$Q$6:$Q$67</c:f>
              <c:numCache>
                <c:formatCode>General</c:formatCode>
                <c:ptCount val="61"/>
                <c:pt idx="0">
                  <c:v>103</c:v>
                </c:pt>
                <c:pt idx="1">
                  <c:v>99</c:v>
                </c:pt>
                <c:pt idx="2">
                  <c:v>103</c:v>
                </c:pt>
                <c:pt idx="3">
                  <c:v>104</c:v>
                </c:pt>
                <c:pt idx="4">
                  <c:v>102</c:v>
                </c:pt>
                <c:pt idx="5">
                  <c:v>100</c:v>
                </c:pt>
                <c:pt idx="6">
                  <c:v>108</c:v>
                </c:pt>
                <c:pt idx="7">
                  <c:v>106</c:v>
                </c:pt>
                <c:pt idx="8">
                  <c:v>107</c:v>
                </c:pt>
                <c:pt idx="9">
                  <c:v>112</c:v>
                </c:pt>
                <c:pt idx="10">
                  <c:v>115</c:v>
                </c:pt>
                <c:pt idx="11">
                  <c:v>116</c:v>
                </c:pt>
                <c:pt idx="12">
                  <c:v>118</c:v>
                </c:pt>
                <c:pt idx="13">
                  <c:v>116</c:v>
                </c:pt>
                <c:pt idx="14">
                  <c:v>112</c:v>
                </c:pt>
                <c:pt idx="15">
                  <c:v>115</c:v>
                </c:pt>
                <c:pt idx="16">
                  <c:v>118</c:v>
                </c:pt>
                <c:pt idx="17">
                  <c:v>121</c:v>
                </c:pt>
                <c:pt idx="18">
                  <c:v>124</c:v>
                </c:pt>
                <c:pt idx="19">
                  <c:v>124</c:v>
                </c:pt>
                <c:pt idx="20">
                  <c:v>124</c:v>
                </c:pt>
                <c:pt idx="21">
                  <c:v>121</c:v>
                </c:pt>
                <c:pt idx="22">
                  <c:v>126</c:v>
                </c:pt>
                <c:pt idx="23">
                  <c:v>127</c:v>
                </c:pt>
                <c:pt idx="24">
                  <c:v>132</c:v>
                </c:pt>
                <c:pt idx="25">
                  <c:v>139</c:v>
                </c:pt>
                <c:pt idx="26">
                  <c:v>140</c:v>
                </c:pt>
                <c:pt idx="27">
                  <c:v>150</c:v>
                </c:pt>
                <c:pt idx="28">
                  <c:v>152</c:v>
                </c:pt>
                <c:pt idx="29">
                  <c:v>163</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6"/>
          <c:order val="16"/>
          <c:tx>
            <c:strRef>
              <c:f>'Sheet1 (13)'!$R$3:$R$5</c:f>
              <c:strCache>
                <c:ptCount val="1"/>
                <c:pt idx="0">
                  <c:v>Pre-init - Tramadol</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(13)'!$R$6:$R$67</c:f>
              <c:numCache>
                <c:formatCode>General</c:formatCode>
                <c:ptCount val="61"/>
                <c:pt idx="0">
                  <c:v>70</c:v>
                </c:pt>
                <c:pt idx="1">
                  <c:v>67</c:v>
                </c:pt>
                <c:pt idx="2">
                  <c:v>68</c:v>
                </c:pt>
                <c:pt idx="3">
                  <c:v>82</c:v>
                </c:pt>
                <c:pt idx="4">
                  <c:v>82</c:v>
                </c:pt>
                <c:pt idx="5">
                  <c:v>75</c:v>
                </c:pt>
                <c:pt idx="6">
                  <c:v>76</c:v>
                </c:pt>
                <c:pt idx="7">
                  <c:v>75</c:v>
                </c:pt>
                <c:pt idx="8">
                  <c:v>65</c:v>
                </c:pt>
                <c:pt idx="9">
                  <c:v>84</c:v>
                </c:pt>
                <c:pt idx="10">
                  <c:v>86</c:v>
                </c:pt>
                <c:pt idx="11">
                  <c:v>88</c:v>
                </c:pt>
                <c:pt idx="12">
                  <c:v>89</c:v>
                </c:pt>
                <c:pt idx="13">
                  <c:v>89</c:v>
                </c:pt>
                <c:pt idx="14">
                  <c:v>88</c:v>
                </c:pt>
                <c:pt idx="15">
                  <c:v>92</c:v>
                </c:pt>
                <c:pt idx="16">
                  <c:v>103</c:v>
                </c:pt>
                <c:pt idx="17">
                  <c:v>98</c:v>
                </c:pt>
                <c:pt idx="18">
                  <c:v>93</c:v>
                </c:pt>
                <c:pt idx="19">
                  <c:v>93</c:v>
                </c:pt>
                <c:pt idx="20">
                  <c:v>94</c:v>
                </c:pt>
                <c:pt idx="21">
                  <c:v>95</c:v>
                </c:pt>
                <c:pt idx="22">
                  <c:v>99</c:v>
                </c:pt>
                <c:pt idx="23">
                  <c:v>94</c:v>
                </c:pt>
                <c:pt idx="24">
                  <c:v>85</c:v>
                </c:pt>
                <c:pt idx="25">
                  <c:v>91</c:v>
                </c:pt>
                <c:pt idx="26">
                  <c:v>94</c:v>
                </c:pt>
                <c:pt idx="27">
                  <c:v>99</c:v>
                </c:pt>
                <c:pt idx="28">
                  <c:v>96</c:v>
                </c:pt>
                <c:pt idx="29">
                  <c:v>109</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7"/>
          <c:order val="17"/>
          <c:tx>
            <c:strRef>
              <c:f>'Sheet1 (13)'!$S$3:$S$5</c:f>
              <c:strCache>
                <c:ptCount val="1"/>
                <c:pt idx="0">
                  <c:v>Pre-init - Opioid_S8+TCA</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(13)'!$S$6:$S$67</c:f>
              <c:numCache>
                <c:formatCode>General</c:formatCode>
                <c:ptCount val="61"/>
                <c:pt idx="0">
                  <c:v>52</c:v>
                </c:pt>
                <c:pt idx="1">
                  <c:v>54</c:v>
                </c:pt>
                <c:pt idx="2">
                  <c:v>54</c:v>
                </c:pt>
                <c:pt idx="3">
                  <c:v>56</c:v>
                </c:pt>
                <c:pt idx="4">
                  <c:v>61</c:v>
                </c:pt>
                <c:pt idx="5">
                  <c:v>64</c:v>
                </c:pt>
                <c:pt idx="6">
                  <c:v>56</c:v>
                </c:pt>
                <c:pt idx="7">
                  <c:v>52</c:v>
                </c:pt>
                <c:pt idx="8">
                  <c:v>50</c:v>
                </c:pt>
                <c:pt idx="9">
                  <c:v>53</c:v>
                </c:pt>
                <c:pt idx="10">
                  <c:v>49</c:v>
                </c:pt>
                <c:pt idx="11">
                  <c:v>48</c:v>
                </c:pt>
                <c:pt idx="12">
                  <c:v>51</c:v>
                </c:pt>
                <c:pt idx="13">
                  <c:v>52</c:v>
                </c:pt>
                <c:pt idx="14">
                  <c:v>61</c:v>
                </c:pt>
                <c:pt idx="15">
                  <c:v>61</c:v>
                </c:pt>
                <c:pt idx="16">
                  <c:v>65</c:v>
                </c:pt>
                <c:pt idx="17">
                  <c:v>51</c:v>
                </c:pt>
                <c:pt idx="18">
                  <c:v>51</c:v>
                </c:pt>
                <c:pt idx="19">
                  <c:v>55</c:v>
                </c:pt>
                <c:pt idx="20">
                  <c:v>58</c:v>
                </c:pt>
                <c:pt idx="21">
                  <c:v>57</c:v>
                </c:pt>
                <c:pt idx="22">
                  <c:v>56</c:v>
                </c:pt>
                <c:pt idx="23">
                  <c:v>67</c:v>
                </c:pt>
                <c:pt idx="24">
                  <c:v>70</c:v>
                </c:pt>
                <c:pt idx="25">
                  <c:v>71</c:v>
                </c:pt>
                <c:pt idx="26">
                  <c:v>68</c:v>
                </c:pt>
                <c:pt idx="27">
                  <c:v>68</c:v>
                </c:pt>
                <c:pt idx="28">
                  <c:v>69</c:v>
                </c:pt>
                <c:pt idx="29">
                  <c:v>75</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8"/>
          <c:order val="18"/>
          <c:tx>
            <c:strRef>
              <c:f>'Sheet1 (13)'!$T$3:$T$5</c:f>
              <c:strCache>
                <c:ptCount val="1"/>
                <c:pt idx="0">
                  <c:v>Pre-init - Antiepileptic</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(13)'!$T$6:$T$67</c:f>
              <c:numCache>
                <c:formatCode>General</c:formatCode>
                <c:ptCount val="61"/>
                <c:pt idx="0">
                  <c:v>56</c:v>
                </c:pt>
                <c:pt idx="1">
                  <c:v>56</c:v>
                </c:pt>
                <c:pt idx="2">
                  <c:v>57</c:v>
                </c:pt>
                <c:pt idx="3">
                  <c:v>56</c:v>
                </c:pt>
                <c:pt idx="4">
                  <c:v>56</c:v>
                </c:pt>
                <c:pt idx="5">
                  <c:v>54</c:v>
                </c:pt>
                <c:pt idx="6">
                  <c:v>53</c:v>
                </c:pt>
                <c:pt idx="7">
                  <c:v>51</c:v>
                </c:pt>
                <c:pt idx="8">
                  <c:v>53</c:v>
                </c:pt>
                <c:pt idx="9">
                  <c:v>51</c:v>
                </c:pt>
                <c:pt idx="10">
                  <c:v>55</c:v>
                </c:pt>
                <c:pt idx="11">
                  <c:v>55</c:v>
                </c:pt>
                <c:pt idx="12">
                  <c:v>56</c:v>
                </c:pt>
                <c:pt idx="13">
                  <c:v>54</c:v>
                </c:pt>
                <c:pt idx="14">
                  <c:v>50</c:v>
                </c:pt>
                <c:pt idx="15">
                  <c:v>52</c:v>
                </c:pt>
                <c:pt idx="16">
                  <c:v>57</c:v>
                </c:pt>
                <c:pt idx="17">
                  <c:v>57</c:v>
                </c:pt>
                <c:pt idx="18">
                  <c:v>59</c:v>
                </c:pt>
                <c:pt idx="19">
                  <c:v>59</c:v>
                </c:pt>
                <c:pt idx="20">
                  <c:v>63</c:v>
                </c:pt>
                <c:pt idx="21">
                  <c:v>60</c:v>
                </c:pt>
                <c:pt idx="22">
                  <c:v>56</c:v>
                </c:pt>
                <c:pt idx="23">
                  <c:v>54</c:v>
                </c:pt>
                <c:pt idx="24">
                  <c:v>51</c:v>
                </c:pt>
                <c:pt idx="25">
                  <c:v>51</c:v>
                </c:pt>
                <c:pt idx="26">
                  <c:v>52</c:v>
                </c:pt>
                <c:pt idx="27">
                  <c:v>49</c:v>
                </c:pt>
                <c:pt idx="28">
                  <c:v>45</c:v>
                </c:pt>
                <c:pt idx="29">
                  <c:v>46</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9"/>
          <c:order val="19"/>
          <c:tx>
            <c:strRef>
              <c:f>'Sheet1 (13)'!$U$3:$U$5</c:f>
              <c:strCache>
                <c:ptCount val="1"/>
                <c:pt idx="0">
                  <c:v>Pre-init - Opioid_S4+Other_antidepressant</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(13)'!$U$6:$U$67</c:f>
              <c:numCache>
                <c:formatCode>General</c:formatCode>
                <c:ptCount val="61"/>
                <c:pt idx="0">
                  <c:v>36</c:v>
                </c:pt>
                <c:pt idx="1">
                  <c:v>32</c:v>
                </c:pt>
                <c:pt idx="2">
                  <c:v>29</c:v>
                </c:pt>
                <c:pt idx="3">
                  <c:v>28</c:v>
                </c:pt>
                <c:pt idx="4">
                  <c:v>28</c:v>
                </c:pt>
                <c:pt idx="5">
                  <c:v>30</c:v>
                </c:pt>
                <c:pt idx="6">
                  <c:v>34</c:v>
                </c:pt>
                <c:pt idx="7">
                  <c:v>37</c:v>
                </c:pt>
                <c:pt idx="8">
                  <c:v>37</c:v>
                </c:pt>
                <c:pt idx="9">
                  <c:v>37</c:v>
                </c:pt>
                <c:pt idx="10">
                  <c:v>37</c:v>
                </c:pt>
                <c:pt idx="11">
                  <c:v>39</c:v>
                </c:pt>
                <c:pt idx="12">
                  <c:v>39</c:v>
                </c:pt>
                <c:pt idx="13">
                  <c:v>37</c:v>
                </c:pt>
                <c:pt idx="14">
                  <c:v>36</c:v>
                </c:pt>
                <c:pt idx="15">
                  <c:v>38</c:v>
                </c:pt>
                <c:pt idx="16">
                  <c:v>37</c:v>
                </c:pt>
                <c:pt idx="17">
                  <c:v>40</c:v>
                </c:pt>
                <c:pt idx="18">
                  <c:v>48</c:v>
                </c:pt>
                <c:pt idx="19">
                  <c:v>43</c:v>
                </c:pt>
                <c:pt idx="20">
                  <c:v>43</c:v>
                </c:pt>
                <c:pt idx="21">
                  <c:v>40</c:v>
                </c:pt>
                <c:pt idx="22">
                  <c:v>49</c:v>
                </c:pt>
                <c:pt idx="23">
                  <c:v>37</c:v>
                </c:pt>
                <c:pt idx="24">
                  <c:v>40</c:v>
                </c:pt>
                <c:pt idx="25">
                  <c:v>52</c:v>
                </c:pt>
                <c:pt idx="26">
                  <c:v>51</c:v>
                </c:pt>
                <c:pt idx="27">
                  <c:v>47</c:v>
                </c:pt>
                <c:pt idx="28">
                  <c:v>54</c:v>
                </c:pt>
                <c:pt idx="29">
                  <c:v>64</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dLbls>
          <c:showLegendKey val="0"/>
          <c:showVal val="0"/>
          <c:showCatName val="0"/>
          <c:showSerName val="0"/>
          <c:showPercent val="0"/>
          <c:showBubbleSize val="0"/>
        </c:dLbls>
        <c:marker val="1"/>
        <c:smooth val="0"/>
        <c:axId val="352766208"/>
        <c:axId val="352788864"/>
      </c:lineChart>
      <c:catAx>
        <c:axId val="352766208"/>
        <c:scaling>
          <c:orientation val="minMax"/>
        </c:scaling>
        <c:delete val="0"/>
        <c:axPos val="b"/>
        <c:title>
          <c:tx>
            <c:rich>
              <a:bodyPr/>
              <a:lstStyle/>
              <a:p>
                <a:pPr>
                  <a:defRPr sz="900" b="0"/>
                </a:pPr>
                <a:r>
                  <a:rPr lang="en-AU" sz="900" b="0"/>
                  <a:t>Weeks from</a:t>
                </a:r>
                <a:r>
                  <a:rPr lang="en-AU" sz="900" b="0" baseline="0"/>
                  <a:t> initiation</a:t>
                </a:r>
                <a:endParaRPr lang="en-AU" sz="900" b="0"/>
              </a:p>
            </c:rich>
          </c:tx>
          <c:layout/>
          <c:overlay val="0"/>
        </c:title>
        <c:majorTickMark val="none"/>
        <c:minorTickMark val="none"/>
        <c:tickLblPos val="nextTo"/>
        <c:txPr>
          <a:bodyPr/>
          <a:lstStyle/>
          <a:p>
            <a:pPr>
              <a:defRPr sz="800"/>
            </a:pPr>
            <a:endParaRPr lang="en-US"/>
          </a:p>
        </c:txPr>
        <c:crossAx val="352788864"/>
        <c:crosses val="autoZero"/>
        <c:auto val="1"/>
        <c:lblAlgn val="ctr"/>
        <c:lblOffset val="100"/>
        <c:noMultiLvlLbl val="0"/>
      </c:catAx>
      <c:valAx>
        <c:axId val="352788864"/>
        <c:scaling>
          <c:orientation val="minMax"/>
        </c:scaling>
        <c:delete val="0"/>
        <c:axPos val="l"/>
        <c:majorGridlines/>
        <c:title>
          <c:tx>
            <c:rich>
              <a:bodyPr rot="-5400000" vert="horz"/>
              <a:lstStyle/>
              <a:p>
                <a:pPr>
                  <a:defRPr sz="800" b="0"/>
                </a:pPr>
                <a:r>
                  <a:rPr lang="en-AU" sz="800" b="0"/>
                  <a:t>Patients</a:t>
                </a:r>
              </a:p>
            </c:rich>
          </c:tx>
          <c:layout/>
          <c:overlay val="0"/>
        </c:title>
        <c:numFmt formatCode="#,##0" sourceLinked="0"/>
        <c:majorTickMark val="none"/>
        <c:minorTickMark val="none"/>
        <c:tickLblPos val="nextTo"/>
        <c:txPr>
          <a:bodyPr/>
          <a:lstStyle/>
          <a:p>
            <a:pPr>
              <a:defRPr sz="800"/>
            </a:pPr>
            <a:endParaRPr lang="en-US"/>
          </a:p>
        </c:txPr>
        <c:crossAx val="352766208"/>
        <c:crosses val="autoZero"/>
        <c:crossBetween val="between"/>
      </c:valAx>
    </c:plotArea>
    <c:legend>
      <c:legendPos val="r"/>
      <c:layout>
        <c:manualLayout>
          <c:xMode val="edge"/>
          <c:yMode val="edge"/>
          <c:x val="0.64920103960917386"/>
          <c:y val="2.4295711604673653E-3"/>
          <c:w val="0.3349870320733086"/>
          <c:h val="0.97892262191042645"/>
        </c:manualLayout>
      </c:layout>
      <c:overlay val="0"/>
      <c:txPr>
        <a:bodyPr/>
        <a:lstStyle/>
        <a:p>
          <a:pPr>
            <a:defRPr sz="600"/>
          </a:pPr>
          <a:endParaRPr lang="en-US"/>
        </a:p>
      </c:txPr>
    </c:legend>
    <c:plotVisOnly val="1"/>
    <c:dispBlanksAs val="gap"/>
    <c:showDLblsOverMax val="0"/>
  </c:chart>
  <c:spPr>
    <a:ln>
      <a:noFill/>
    </a:ln>
  </c:spPr>
  <c:externalData r:id="rId2">
    <c:autoUpdate val="0"/>
  </c:externalData>
  <c:userShapes r:id="rId3"/>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pregabalin + related drgs scrpts, ben &amp; DDDs (plain only) by month.xlsx]Sheet1 (2)!PivotTable2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s>
    <c:plotArea>
      <c:layout/>
      <c:lineChart>
        <c:grouping val="standard"/>
        <c:varyColors val="0"/>
        <c:ser>
          <c:idx val="0"/>
          <c:order val="0"/>
          <c:tx>
            <c:strRef>
              <c:f>'Sheet1 (2)'!$B$3:$B$4</c:f>
              <c:strCache>
                <c:ptCount val="1"/>
                <c:pt idx="0">
                  <c:v>PBS</c:v>
                </c:pt>
              </c:strCache>
            </c:strRef>
          </c:tx>
          <c:cat>
            <c:strRef>
              <c:f>'Sheet1 (2)'!$A$5:$A$42</c:f>
              <c:strCache>
                <c:ptCount val="37"/>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pt idx="25">
                  <c:v>201404</c:v>
                </c:pt>
                <c:pt idx="26">
                  <c:v>201405</c:v>
                </c:pt>
                <c:pt idx="27">
                  <c:v>201406</c:v>
                </c:pt>
                <c:pt idx="28">
                  <c:v>201407</c:v>
                </c:pt>
                <c:pt idx="29">
                  <c:v>201408</c:v>
                </c:pt>
                <c:pt idx="30">
                  <c:v>201409</c:v>
                </c:pt>
                <c:pt idx="31">
                  <c:v>201410</c:v>
                </c:pt>
                <c:pt idx="32">
                  <c:v>201411</c:v>
                </c:pt>
                <c:pt idx="33">
                  <c:v>201412</c:v>
                </c:pt>
                <c:pt idx="34">
                  <c:v>201501</c:v>
                </c:pt>
                <c:pt idx="35">
                  <c:v>201502</c:v>
                </c:pt>
                <c:pt idx="36">
                  <c:v>201503</c:v>
                </c:pt>
              </c:strCache>
            </c:strRef>
          </c:cat>
          <c:val>
            <c:numRef>
              <c:f>'Sheet1 (2)'!$B$5:$B$42</c:f>
              <c:numCache>
                <c:formatCode>General</c:formatCode>
                <c:ptCount val="37"/>
                <c:pt idx="12">
                  <c:v>39209</c:v>
                </c:pt>
                <c:pt idx="13">
                  <c:v>61163</c:v>
                </c:pt>
                <c:pt idx="14">
                  <c:v>82439</c:v>
                </c:pt>
                <c:pt idx="15">
                  <c:v>84214</c:v>
                </c:pt>
                <c:pt idx="16">
                  <c:v>101920</c:v>
                </c:pt>
                <c:pt idx="17">
                  <c:v>111463</c:v>
                </c:pt>
                <c:pt idx="18">
                  <c:v>113719</c:v>
                </c:pt>
                <c:pt idx="19">
                  <c:v>131800</c:v>
                </c:pt>
                <c:pt idx="20">
                  <c:v>138953</c:v>
                </c:pt>
                <c:pt idx="21">
                  <c:v>171320</c:v>
                </c:pt>
                <c:pt idx="22">
                  <c:v>121650</c:v>
                </c:pt>
                <c:pt idx="23">
                  <c:v>127806</c:v>
                </c:pt>
                <c:pt idx="24">
                  <c:v>148985</c:v>
                </c:pt>
                <c:pt idx="25">
                  <c:v>153803</c:v>
                </c:pt>
                <c:pt idx="26">
                  <c:v>171916</c:v>
                </c:pt>
                <c:pt idx="27">
                  <c:v>167397</c:v>
                </c:pt>
                <c:pt idx="28">
                  <c:v>186800</c:v>
                </c:pt>
                <c:pt idx="29">
                  <c:v>186113</c:v>
                </c:pt>
                <c:pt idx="30">
                  <c:v>195481</c:v>
                </c:pt>
                <c:pt idx="31">
                  <c:v>211564</c:v>
                </c:pt>
                <c:pt idx="32">
                  <c:v>205698</c:v>
                </c:pt>
                <c:pt idx="33">
                  <c:v>269347</c:v>
                </c:pt>
                <c:pt idx="34">
                  <c:v>172444</c:v>
                </c:pt>
                <c:pt idx="35">
                  <c:v>180925</c:v>
                </c:pt>
                <c:pt idx="36">
                  <c:v>207358</c:v>
                </c:pt>
              </c:numCache>
            </c:numRef>
          </c:val>
          <c:smooth val="0"/>
        </c:ser>
        <c:ser>
          <c:idx val="1"/>
          <c:order val="1"/>
          <c:tx>
            <c:strRef>
              <c:f>'Sheet1 (2)'!$C$3:$C$4</c:f>
              <c:strCache>
                <c:ptCount val="1"/>
                <c:pt idx="0">
                  <c:v>Private estimate</c:v>
                </c:pt>
              </c:strCache>
            </c:strRef>
          </c:tx>
          <c:cat>
            <c:strRef>
              <c:f>'Sheet1 (2)'!$A$5:$A$42</c:f>
              <c:strCache>
                <c:ptCount val="37"/>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pt idx="25">
                  <c:v>201404</c:v>
                </c:pt>
                <c:pt idx="26">
                  <c:v>201405</c:v>
                </c:pt>
                <c:pt idx="27">
                  <c:v>201406</c:v>
                </c:pt>
                <c:pt idx="28">
                  <c:v>201407</c:v>
                </c:pt>
                <c:pt idx="29">
                  <c:v>201408</c:v>
                </c:pt>
                <c:pt idx="30">
                  <c:v>201409</c:v>
                </c:pt>
                <c:pt idx="31">
                  <c:v>201410</c:v>
                </c:pt>
                <c:pt idx="32">
                  <c:v>201411</c:v>
                </c:pt>
                <c:pt idx="33">
                  <c:v>201412</c:v>
                </c:pt>
                <c:pt idx="34">
                  <c:v>201501</c:v>
                </c:pt>
                <c:pt idx="35">
                  <c:v>201502</c:v>
                </c:pt>
                <c:pt idx="36">
                  <c:v>201503</c:v>
                </c:pt>
              </c:strCache>
            </c:strRef>
          </c:cat>
          <c:val>
            <c:numRef>
              <c:f>'Sheet1 (2)'!$C$5:$C$42</c:f>
              <c:numCache>
                <c:formatCode>General</c:formatCode>
                <c:ptCount val="37"/>
                <c:pt idx="0">
                  <c:v>20592</c:v>
                </c:pt>
                <c:pt idx="1">
                  <c:v>21824</c:v>
                </c:pt>
                <c:pt idx="2">
                  <c:v>22632</c:v>
                </c:pt>
                <c:pt idx="3">
                  <c:v>21325</c:v>
                </c:pt>
                <c:pt idx="4">
                  <c:v>22544</c:v>
                </c:pt>
                <c:pt idx="5">
                  <c:v>23457</c:v>
                </c:pt>
              </c:numCache>
            </c:numRef>
          </c:val>
          <c:smooth val="0"/>
        </c:ser>
        <c:ser>
          <c:idx val="2"/>
          <c:order val="2"/>
          <c:tx>
            <c:strRef>
              <c:f>'Sheet1 (2)'!$D$3:$D$4</c:f>
              <c:strCache>
                <c:ptCount val="1"/>
                <c:pt idx="0">
                  <c:v>RPBS</c:v>
                </c:pt>
              </c:strCache>
            </c:strRef>
          </c:tx>
          <c:cat>
            <c:strRef>
              <c:f>'Sheet1 (2)'!$A$5:$A$42</c:f>
              <c:strCache>
                <c:ptCount val="37"/>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pt idx="25">
                  <c:v>201404</c:v>
                </c:pt>
                <c:pt idx="26">
                  <c:v>201405</c:v>
                </c:pt>
                <c:pt idx="27">
                  <c:v>201406</c:v>
                </c:pt>
                <c:pt idx="28">
                  <c:v>201407</c:v>
                </c:pt>
                <c:pt idx="29">
                  <c:v>201408</c:v>
                </c:pt>
                <c:pt idx="30">
                  <c:v>201409</c:v>
                </c:pt>
                <c:pt idx="31">
                  <c:v>201410</c:v>
                </c:pt>
                <c:pt idx="32">
                  <c:v>201411</c:v>
                </c:pt>
                <c:pt idx="33">
                  <c:v>201412</c:v>
                </c:pt>
                <c:pt idx="34">
                  <c:v>201501</c:v>
                </c:pt>
                <c:pt idx="35">
                  <c:v>201502</c:v>
                </c:pt>
                <c:pt idx="36">
                  <c:v>201503</c:v>
                </c:pt>
              </c:strCache>
            </c:strRef>
          </c:cat>
          <c:val>
            <c:numRef>
              <c:f>'Sheet1 (2)'!$D$5:$D$42</c:f>
              <c:numCache>
                <c:formatCode>General</c:formatCode>
                <c:ptCount val="37"/>
                <c:pt idx="0">
                  <c:v>3133</c:v>
                </c:pt>
                <c:pt idx="1">
                  <c:v>2939</c:v>
                </c:pt>
                <c:pt idx="2">
                  <c:v>3398</c:v>
                </c:pt>
                <c:pt idx="3">
                  <c:v>3163</c:v>
                </c:pt>
                <c:pt idx="4">
                  <c:v>3284</c:v>
                </c:pt>
                <c:pt idx="5">
                  <c:v>3412</c:v>
                </c:pt>
                <c:pt idx="6">
                  <c:v>3221</c:v>
                </c:pt>
                <c:pt idx="7">
                  <c:v>3591</c:v>
                </c:pt>
                <c:pt idx="8">
                  <c:v>3634</c:v>
                </c:pt>
                <c:pt idx="9">
                  <c:v>4161</c:v>
                </c:pt>
                <c:pt idx="10">
                  <c:v>3138</c:v>
                </c:pt>
                <c:pt idx="11">
                  <c:v>3295</c:v>
                </c:pt>
                <c:pt idx="12">
                  <c:v>4121</c:v>
                </c:pt>
                <c:pt idx="13">
                  <c:v>4560</c:v>
                </c:pt>
                <c:pt idx="14">
                  <c:v>5185</c:v>
                </c:pt>
                <c:pt idx="15">
                  <c:v>4816</c:v>
                </c:pt>
                <c:pt idx="16">
                  <c:v>5726</c:v>
                </c:pt>
                <c:pt idx="17">
                  <c:v>5826</c:v>
                </c:pt>
                <c:pt idx="18">
                  <c:v>5777</c:v>
                </c:pt>
                <c:pt idx="19">
                  <c:v>6503</c:v>
                </c:pt>
                <c:pt idx="20">
                  <c:v>6452</c:v>
                </c:pt>
                <c:pt idx="21">
                  <c:v>7856</c:v>
                </c:pt>
                <c:pt idx="22">
                  <c:v>5884</c:v>
                </c:pt>
                <c:pt idx="23">
                  <c:v>6251</c:v>
                </c:pt>
                <c:pt idx="24">
                  <c:v>7064</c:v>
                </c:pt>
                <c:pt idx="25">
                  <c:v>7060</c:v>
                </c:pt>
                <c:pt idx="26">
                  <c:v>7889</c:v>
                </c:pt>
                <c:pt idx="27">
                  <c:v>7682</c:v>
                </c:pt>
                <c:pt idx="28">
                  <c:v>8404</c:v>
                </c:pt>
                <c:pt idx="29">
                  <c:v>8031</c:v>
                </c:pt>
                <c:pt idx="30">
                  <c:v>8558</c:v>
                </c:pt>
                <c:pt idx="31">
                  <c:v>8967</c:v>
                </c:pt>
                <c:pt idx="32">
                  <c:v>8475</c:v>
                </c:pt>
                <c:pt idx="33">
                  <c:v>11099</c:v>
                </c:pt>
                <c:pt idx="34">
                  <c:v>7334</c:v>
                </c:pt>
                <c:pt idx="35">
                  <c:v>7788</c:v>
                </c:pt>
                <c:pt idx="36">
                  <c:v>8725</c:v>
                </c:pt>
              </c:numCache>
            </c:numRef>
          </c:val>
          <c:smooth val="0"/>
        </c:ser>
        <c:ser>
          <c:idx val="3"/>
          <c:order val="3"/>
          <c:tx>
            <c:strRef>
              <c:f>'Sheet1 (2)'!$E$3:$E$4</c:f>
              <c:strCache>
                <c:ptCount val="1"/>
                <c:pt idx="0">
                  <c:v>Under co-payment medicare</c:v>
                </c:pt>
              </c:strCache>
            </c:strRef>
          </c:tx>
          <c:cat>
            <c:strRef>
              <c:f>'Sheet1 (2)'!$A$5:$A$42</c:f>
              <c:strCache>
                <c:ptCount val="37"/>
                <c:pt idx="0">
                  <c:v>201203</c:v>
                </c:pt>
                <c:pt idx="1">
                  <c:v>201204</c:v>
                </c:pt>
                <c:pt idx="2">
                  <c:v>201205</c:v>
                </c:pt>
                <c:pt idx="3">
                  <c:v>201206</c:v>
                </c:pt>
                <c:pt idx="4">
                  <c:v>201207</c:v>
                </c:pt>
                <c:pt idx="5">
                  <c:v>201208</c:v>
                </c:pt>
                <c:pt idx="6">
                  <c:v>201209</c:v>
                </c:pt>
                <c:pt idx="7">
                  <c:v>201210</c:v>
                </c:pt>
                <c:pt idx="8">
                  <c:v>201211</c:v>
                </c:pt>
                <c:pt idx="9">
                  <c:v>201212</c:v>
                </c:pt>
                <c:pt idx="10">
                  <c:v>201301</c:v>
                </c:pt>
                <c:pt idx="11">
                  <c:v>201302</c:v>
                </c:pt>
                <c:pt idx="12">
                  <c:v>201303</c:v>
                </c:pt>
                <c:pt idx="13">
                  <c:v>201304</c:v>
                </c:pt>
                <c:pt idx="14">
                  <c:v>201305</c:v>
                </c:pt>
                <c:pt idx="15">
                  <c:v>201306</c:v>
                </c:pt>
                <c:pt idx="16">
                  <c:v>201307</c:v>
                </c:pt>
                <c:pt idx="17">
                  <c:v>201308</c:v>
                </c:pt>
                <c:pt idx="18">
                  <c:v>201309</c:v>
                </c:pt>
                <c:pt idx="19">
                  <c:v>201310</c:v>
                </c:pt>
                <c:pt idx="20">
                  <c:v>201311</c:v>
                </c:pt>
                <c:pt idx="21">
                  <c:v>201312</c:v>
                </c:pt>
                <c:pt idx="22">
                  <c:v>201401</c:v>
                </c:pt>
                <c:pt idx="23">
                  <c:v>201402</c:v>
                </c:pt>
                <c:pt idx="24">
                  <c:v>201403</c:v>
                </c:pt>
                <c:pt idx="25">
                  <c:v>201404</c:v>
                </c:pt>
                <c:pt idx="26">
                  <c:v>201405</c:v>
                </c:pt>
                <c:pt idx="27">
                  <c:v>201406</c:v>
                </c:pt>
                <c:pt idx="28">
                  <c:v>201407</c:v>
                </c:pt>
                <c:pt idx="29">
                  <c:v>201408</c:v>
                </c:pt>
                <c:pt idx="30">
                  <c:v>201409</c:v>
                </c:pt>
                <c:pt idx="31">
                  <c:v>201410</c:v>
                </c:pt>
                <c:pt idx="32">
                  <c:v>201411</c:v>
                </c:pt>
                <c:pt idx="33">
                  <c:v>201412</c:v>
                </c:pt>
                <c:pt idx="34">
                  <c:v>201501</c:v>
                </c:pt>
                <c:pt idx="35">
                  <c:v>201502</c:v>
                </c:pt>
                <c:pt idx="36">
                  <c:v>201503</c:v>
                </c:pt>
              </c:strCache>
            </c:strRef>
          </c:cat>
          <c:val>
            <c:numRef>
              <c:f>'Sheet1 (2)'!$E$5:$E$42</c:f>
              <c:numCache>
                <c:formatCode>General</c:formatCode>
                <c:ptCount val="37"/>
                <c:pt idx="12">
                  <c:v>1150</c:v>
                </c:pt>
                <c:pt idx="13">
                  <c:v>1890</c:v>
                </c:pt>
                <c:pt idx="14">
                  <c:v>2729</c:v>
                </c:pt>
                <c:pt idx="15">
                  <c:v>2684</c:v>
                </c:pt>
                <c:pt idx="16">
                  <c:v>3252</c:v>
                </c:pt>
                <c:pt idx="17">
                  <c:v>3590</c:v>
                </c:pt>
                <c:pt idx="18">
                  <c:v>3554</c:v>
                </c:pt>
                <c:pt idx="19">
                  <c:v>4018</c:v>
                </c:pt>
                <c:pt idx="20">
                  <c:v>4348</c:v>
                </c:pt>
                <c:pt idx="21">
                  <c:v>4304</c:v>
                </c:pt>
                <c:pt idx="22">
                  <c:v>5096</c:v>
                </c:pt>
                <c:pt idx="23">
                  <c:v>5314</c:v>
                </c:pt>
                <c:pt idx="24">
                  <c:v>6297</c:v>
                </c:pt>
                <c:pt idx="25">
                  <c:v>6389</c:v>
                </c:pt>
                <c:pt idx="26">
                  <c:v>6907</c:v>
                </c:pt>
                <c:pt idx="27">
                  <c:v>6784</c:v>
                </c:pt>
                <c:pt idx="28">
                  <c:v>7153</c:v>
                </c:pt>
                <c:pt idx="29">
                  <c:v>6928</c:v>
                </c:pt>
                <c:pt idx="30">
                  <c:v>7022</c:v>
                </c:pt>
                <c:pt idx="31">
                  <c:v>7539</c:v>
                </c:pt>
                <c:pt idx="32">
                  <c:v>7017</c:v>
                </c:pt>
                <c:pt idx="33">
                  <c:v>7618</c:v>
                </c:pt>
                <c:pt idx="34">
                  <c:v>8203</c:v>
                </c:pt>
                <c:pt idx="35">
                  <c:v>8492</c:v>
                </c:pt>
                <c:pt idx="36">
                  <c:v>9974</c:v>
                </c:pt>
              </c:numCache>
            </c:numRef>
          </c:val>
          <c:smooth val="0"/>
        </c:ser>
        <c:dLbls>
          <c:showLegendKey val="0"/>
          <c:showVal val="0"/>
          <c:showCatName val="0"/>
          <c:showSerName val="0"/>
          <c:showPercent val="0"/>
          <c:showBubbleSize val="0"/>
        </c:dLbls>
        <c:marker val="1"/>
        <c:smooth val="0"/>
        <c:axId val="335005568"/>
        <c:axId val="335007744"/>
      </c:lineChart>
      <c:catAx>
        <c:axId val="335005568"/>
        <c:scaling>
          <c:orientation val="minMax"/>
        </c:scaling>
        <c:delete val="0"/>
        <c:axPos val="b"/>
        <c:title>
          <c:tx>
            <c:rich>
              <a:bodyPr/>
              <a:lstStyle/>
              <a:p>
                <a:pPr>
                  <a:defRPr b="0"/>
                </a:pPr>
                <a:r>
                  <a:rPr lang="en-AU" b="0"/>
                  <a:t>Month of Supply</a:t>
                </a:r>
              </a:p>
            </c:rich>
          </c:tx>
          <c:layout/>
          <c:overlay val="0"/>
        </c:title>
        <c:majorTickMark val="none"/>
        <c:minorTickMark val="none"/>
        <c:tickLblPos val="nextTo"/>
        <c:crossAx val="335007744"/>
        <c:crosses val="autoZero"/>
        <c:auto val="1"/>
        <c:lblAlgn val="ctr"/>
        <c:lblOffset val="100"/>
        <c:noMultiLvlLbl val="0"/>
      </c:catAx>
      <c:valAx>
        <c:axId val="335007744"/>
        <c:scaling>
          <c:orientation val="minMax"/>
        </c:scaling>
        <c:delete val="0"/>
        <c:axPos val="l"/>
        <c:majorGridlines/>
        <c:title>
          <c:tx>
            <c:rich>
              <a:bodyPr/>
              <a:lstStyle/>
              <a:p>
                <a:pPr>
                  <a:defRPr b="0"/>
                </a:pPr>
                <a:r>
                  <a:rPr lang="en-AU" b="0"/>
                  <a:t>Prescriptions</a:t>
                </a:r>
              </a:p>
            </c:rich>
          </c:tx>
          <c:layout/>
          <c:overlay val="0"/>
        </c:title>
        <c:numFmt formatCode="#,##0" sourceLinked="0"/>
        <c:majorTickMark val="none"/>
        <c:minorTickMark val="none"/>
        <c:tickLblPos val="nextTo"/>
        <c:crossAx val="335005568"/>
        <c:crosses val="autoZero"/>
        <c:crossBetween val="between"/>
      </c:valAx>
    </c:plotArea>
    <c:legend>
      <c:legendPos val="b"/>
      <c:layout/>
      <c:overlay val="0"/>
    </c:legend>
    <c:plotVisOnly val="1"/>
    <c:dispBlanksAs val="gap"/>
    <c:showDLblsOverMax val="0"/>
  </c:chart>
  <c:spPr>
    <a:ln>
      <a:noFill/>
    </a:ln>
  </c:spPr>
  <c:txPr>
    <a:bodyPr/>
    <a:lstStyle/>
    <a:p>
      <a:pPr>
        <a:defRPr sz="900"/>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pregabalin + related drgs scrpts, ben &amp; DDDs (plain only) by month.xlsx]Sheet1 (4)!PivotTable2</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s>
    <c:plotArea>
      <c:layout/>
      <c:lineChart>
        <c:grouping val="standard"/>
        <c:varyColors val="0"/>
        <c:ser>
          <c:idx val="0"/>
          <c:order val="0"/>
          <c:tx>
            <c:strRef>
              <c:f>'Sheet1 (4)'!$B$4:$B$6</c:f>
              <c:strCache>
                <c:ptCount val="1"/>
                <c:pt idx="0">
                  <c:v>02348N - Capsules 25mg 56</c:v>
                </c:pt>
              </c:strCache>
            </c:strRef>
          </c:tx>
          <c:cat>
            <c:strRef>
              <c:f>'Sheet1 (4)'!$A$7:$A$35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(4)'!$B$7:$B$35</c:f>
              <c:numCache>
                <c:formatCode>General</c:formatCode>
                <c:ptCount val="28"/>
                <c:pt idx="3">
                  <c:v>5889</c:v>
                </c:pt>
                <c:pt idx="4">
                  <c:v>9678</c:v>
                </c:pt>
                <c:pt idx="5">
                  <c:v>13777</c:v>
                </c:pt>
                <c:pt idx="6">
                  <c:v>14001</c:v>
                </c:pt>
                <c:pt idx="7">
                  <c:v>17581</c:v>
                </c:pt>
                <c:pt idx="8">
                  <c:v>20001</c:v>
                </c:pt>
                <c:pt idx="9">
                  <c:v>20929</c:v>
                </c:pt>
                <c:pt idx="10">
                  <c:v>25138</c:v>
                </c:pt>
                <c:pt idx="11">
                  <c:v>27663</c:v>
                </c:pt>
                <c:pt idx="12">
                  <c:v>33179</c:v>
                </c:pt>
                <c:pt idx="13">
                  <c:v>25361</c:v>
                </c:pt>
                <c:pt idx="14">
                  <c:v>27137</c:v>
                </c:pt>
                <c:pt idx="15">
                  <c:v>31939</c:v>
                </c:pt>
                <c:pt idx="16">
                  <c:v>32541</c:v>
                </c:pt>
                <c:pt idx="17">
                  <c:v>36744</c:v>
                </c:pt>
                <c:pt idx="18">
                  <c:v>36020</c:v>
                </c:pt>
                <c:pt idx="19">
                  <c:v>40125</c:v>
                </c:pt>
                <c:pt idx="20">
                  <c:v>40207</c:v>
                </c:pt>
                <c:pt idx="21">
                  <c:v>43340</c:v>
                </c:pt>
                <c:pt idx="22">
                  <c:v>47454</c:v>
                </c:pt>
                <c:pt idx="23">
                  <c:v>46550</c:v>
                </c:pt>
                <c:pt idx="24">
                  <c:v>60311</c:v>
                </c:pt>
                <c:pt idx="25">
                  <c:v>40613</c:v>
                </c:pt>
                <c:pt idx="26">
                  <c:v>43417</c:v>
                </c:pt>
                <c:pt idx="27">
                  <c:v>50144</c:v>
                </c:pt>
              </c:numCache>
            </c:numRef>
          </c:val>
          <c:smooth val="0"/>
        </c:ser>
        <c:ser>
          <c:idx val="1"/>
          <c:order val="1"/>
          <c:tx>
            <c:strRef>
              <c:f>'Sheet1 (4)'!$C$4:$C$6</c:f>
              <c:strCache>
                <c:ptCount val="1"/>
                <c:pt idx="0">
                  <c:v>02335X - Capsules 75mg 56</c:v>
                </c:pt>
              </c:strCache>
            </c:strRef>
          </c:tx>
          <c:cat>
            <c:strRef>
              <c:f>'Sheet1 (4)'!$A$7:$A$35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(4)'!$C$7:$C$35</c:f>
              <c:numCache>
                <c:formatCode>General</c:formatCode>
                <c:ptCount val="28"/>
                <c:pt idx="3">
                  <c:v>24376</c:v>
                </c:pt>
                <c:pt idx="4">
                  <c:v>36991</c:v>
                </c:pt>
                <c:pt idx="5">
                  <c:v>48863</c:v>
                </c:pt>
                <c:pt idx="6">
                  <c:v>48888</c:v>
                </c:pt>
                <c:pt idx="7">
                  <c:v>58141</c:v>
                </c:pt>
                <c:pt idx="8">
                  <c:v>62692</c:v>
                </c:pt>
                <c:pt idx="9">
                  <c:v>63264</c:v>
                </c:pt>
                <c:pt idx="10">
                  <c:v>72356</c:v>
                </c:pt>
                <c:pt idx="11">
                  <c:v>76437</c:v>
                </c:pt>
                <c:pt idx="12">
                  <c:v>92469</c:v>
                </c:pt>
                <c:pt idx="13">
                  <c:v>65703</c:v>
                </c:pt>
                <c:pt idx="14">
                  <c:v>68520</c:v>
                </c:pt>
                <c:pt idx="15">
                  <c:v>78994</c:v>
                </c:pt>
                <c:pt idx="16">
                  <c:v>81311</c:v>
                </c:pt>
                <c:pt idx="17">
                  <c:v>90193</c:v>
                </c:pt>
                <c:pt idx="18">
                  <c:v>86720</c:v>
                </c:pt>
                <c:pt idx="19">
                  <c:v>96199</c:v>
                </c:pt>
                <c:pt idx="20">
                  <c:v>95296</c:v>
                </c:pt>
                <c:pt idx="21">
                  <c:v>99215</c:v>
                </c:pt>
                <c:pt idx="22">
                  <c:v>106470</c:v>
                </c:pt>
                <c:pt idx="23">
                  <c:v>102602</c:v>
                </c:pt>
                <c:pt idx="24">
                  <c:v>133211</c:v>
                </c:pt>
                <c:pt idx="25">
                  <c:v>86172</c:v>
                </c:pt>
                <c:pt idx="26">
                  <c:v>89490</c:v>
                </c:pt>
                <c:pt idx="27">
                  <c:v>102466</c:v>
                </c:pt>
              </c:numCache>
            </c:numRef>
          </c:val>
          <c:smooth val="0"/>
        </c:ser>
        <c:ser>
          <c:idx val="2"/>
          <c:order val="2"/>
          <c:tx>
            <c:strRef>
              <c:f>'Sheet1 (4)'!$D$4:$D$6</c:f>
              <c:strCache>
                <c:ptCount val="1"/>
                <c:pt idx="0">
                  <c:v>02355Y - Capsules 150mg 56</c:v>
                </c:pt>
              </c:strCache>
            </c:strRef>
          </c:tx>
          <c:cat>
            <c:strRef>
              <c:f>'Sheet1 (4)'!$A$7:$A$35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(4)'!$D$7:$D$35</c:f>
              <c:numCache>
                <c:formatCode>General</c:formatCode>
                <c:ptCount val="28"/>
                <c:pt idx="3">
                  <c:v>8627</c:v>
                </c:pt>
                <c:pt idx="4">
                  <c:v>14003</c:v>
                </c:pt>
                <c:pt idx="5">
                  <c:v>19594</c:v>
                </c:pt>
                <c:pt idx="6">
                  <c:v>20576</c:v>
                </c:pt>
                <c:pt idx="7">
                  <c:v>25490</c:v>
                </c:pt>
                <c:pt idx="8">
                  <c:v>27774</c:v>
                </c:pt>
                <c:pt idx="9">
                  <c:v>28429</c:v>
                </c:pt>
                <c:pt idx="10">
                  <c:v>32898</c:v>
                </c:pt>
                <c:pt idx="11">
                  <c:v>34572</c:v>
                </c:pt>
                <c:pt idx="12">
                  <c:v>43696</c:v>
                </c:pt>
                <c:pt idx="13">
                  <c:v>31237</c:v>
                </c:pt>
                <c:pt idx="14">
                  <c:v>32707</c:v>
                </c:pt>
                <c:pt idx="15">
                  <c:v>38385</c:v>
                </c:pt>
                <c:pt idx="16">
                  <c:v>39903</c:v>
                </c:pt>
                <c:pt idx="17">
                  <c:v>44557</c:v>
                </c:pt>
                <c:pt idx="18">
                  <c:v>43826</c:v>
                </c:pt>
                <c:pt idx="19">
                  <c:v>48788</c:v>
                </c:pt>
                <c:pt idx="20">
                  <c:v>48306</c:v>
                </c:pt>
                <c:pt idx="21">
                  <c:v>50417</c:v>
                </c:pt>
                <c:pt idx="22">
                  <c:v>54533</c:v>
                </c:pt>
                <c:pt idx="23">
                  <c:v>52813</c:v>
                </c:pt>
                <c:pt idx="24">
                  <c:v>69278</c:v>
                </c:pt>
                <c:pt idx="25">
                  <c:v>44372</c:v>
                </c:pt>
                <c:pt idx="26">
                  <c:v>46605</c:v>
                </c:pt>
                <c:pt idx="27">
                  <c:v>53305</c:v>
                </c:pt>
              </c:numCache>
            </c:numRef>
          </c:val>
          <c:smooth val="0"/>
        </c:ser>
        <c:ser>
          <c:idx val="3"/>
          <c:order val="3"/>
          <c:tx>
            <c:strRef>
              <c:f>'Sheet1 (4)'!$E$4:$E$6</c:f>
              <c:strCache>
                <c:ptCount val="1"/>
                <c:pt idx="0">
                  <c:v>02363J - Capsules 300mg 56</c:v>
                </c:pt>
              </c:strCache>
            </c:strRef>
          </c:tx>
          <c:cat>
            <c:strRef>
              <c:f>'Sheet1 (4)'!$A$7:$A$35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(4)'!$E$7:$E$35</c:f>
              <c:numCache>
                <c:formatCode>General</c:formatCode>
                <c:ptCount val="28"/>
                <c:pt idx="3">
                  <c:v>2453</c:v>
                </c:pt>
                <c:pt idx="4">
                  <c:v>4103</c:v>
                </c:pt>
                <c:pt idx="5">
                  <c:v>5562</c:v>
                </c:pt>
                <c:pt idx="6">
                  <c:v>6223</c:v>
                </c:pt>
                <c:pt idx="7">
                  <c:v>7702</c:v>
                </c:pt>
                <c:pt idx="8">
                  <c:v>8661</c:v>
                </c:pt>
                <c:pt idx="9">
                  <c:v>8954</c:v>
                </c:pt>
                <c:pt idx="10">
                  <c:v>10455</c:v>
                </c:pt>
                <c:pt idx="11">
                  <c:v>11081</c:v>
                </c:pt>
                <c:pt idx="12">
                  <c:v>14136</c:v>
                </c:pt>
                <c:pt idx="13">
                  <c:v>10329</c:v>
                </c:pt>
                <c:pt idx="14">
                  <c:v>11007</c:v>
                </c:pt>
                <c:pt idx="15">
                  <c:v>13028</c:v>
                </c:pt>
                <c:pt idx="16">
                  <c:v>13497</c:v>
                </c:pt>
                <c:pt idx="17">
                  <c:v>15218</c:v>
                </c:pt>
                <c:pt idx="18">
                  <c:v>15297</c:v>
                </c:pt>
                <c:pt idx="19">
                  <c:v>17245</c:v>
                </c:pt>
                <c:pt idx="20">
                  <c:v>17263</c:v>
                </c:pt>
                <c:pt idx="21">
                  <c:v>18089</c:v>
                </c:pt>
                <c:pt idx="22">
                  <c:v>19613</c:v>
                </c:pt>
                <c:pt idx="23">
                  <c:v>19225</c:v>
                </c:pt>
                <c:pt idx="24">
                  <c:v>25264</c:v>
                </c:pt>
                <c:pt idx="25">
                  <c:v>16824</c:v>
                </c:pt>
                <c:pt idx="26">
                  <c:v>17693</c:v>
                </c:pt>
                <c:pt idx="27">
                  <c:v>20142</c:v>
                </c:pt>
              </c:numCache>
            </c:numRef>
          </c:val>
          <c:smooth val="0"/>
        </c:ser>
        <c:ser>
          <c:idx val="4"/>
          <c:order val="4"/>
          <c:tx>
            <c:strRef>
              <c:f>'Sheet1 (4)'!$F$4:$F$6</c:f>
              <c:strCache>
                <c:ptCount val="1"/>
                <c:pt idx="0">
                  <c:v>04320J - Capsules 25mg 56</c:v>
                </c:pt>
              </c:strCache>
            </c:strRef>
          </c:tx>
          <c:cat>
            <c:strRef>
              <c:f>'Sheet1 (4)'!$A$7:$A$35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(4)'!$F$7:$F$35</c:f>
              <c:numCache>
                <c:formatCode>General</c:formatCode>
                <c:ptCount val="28"/>
                <c:pt idx="0">
                  <c:v>627</c:v>
                </c:pt>
                <c:pt idx="1">
                  <c:v>501</c:v>
                </c:pt>
                <c:pt idx="2">
                  <c:v>511</c:v>
                </c:pt>
                <c:pt idx="3">
                  <c:v>498</c:v>
                </c:pt>
                <c:pt idx="4">
                  <c:v>421</c:v>
                </c:pt>
                <c:pt idx="5">
                  <c:v>389</c:v>
                </c:pt>
                <c:pt idx="6">
                  <c:v>322</c:v>
                </c:pt>
                <c:pt idx="7">
                  <c:v>307</c:v>
                </c:pt>
                <c:pt idx="8">
                  <c:v>303</c:v>
                </c:pt>
                <c:pt idx="9">
                  <c:v>282</c:v>
                </c:pt>
                <c:pt idx="10">
                  <c:v>285</c:v>
                </c:pt>
              </c:numCache>
            </c:numRef>
          </c:val>
          <c:smooth val="0"/>
        </c:ser>
        <c:ser>
          <c:idx val="5"/>
          <c:order val="5"/>
          <c:tx>
            <c:strRef>
              <c:f>'Sheet1 (4)'!$G$4:$G$6</c:f>
              <c:strCache>
                <c:ptCount val="1"/>
                <c:pt idx="0">
                  <c:v>04322L - Capsules 75mg 56</c:v>
                </c:pt>
              </c:strCache>
            </c:strRef>
          </c:tx>
          <c:cat>
            <c:strRef>
              <c:f>'Sheet1 (4)'!$A$7:$A$35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(4)'!$G$7:$G$35</c:f>
              <c:numCache>
                <c:formatCode>General</c:formatCode>
                <c:ptCount val="28"/>
                <c:pt idx="0">
                  <c:v>2192</c:v>
                </c:pt>
                <c:pt idx="1">
                  <c:v>1672</c:v>
                </c:pt>
                <c:pt idx="2">
                  <c:v>1724</c:v>
                </c:pt>
                <c:pt idx="3">
                  <c:v>1629</c:v>
                </c:pt>
                <c:pt idx="4">
                  <c:v>1453</c:v>
                </c:pt>
                <c:pt idx="5">
                  <c:v>1279</c:v>
                </c:pt>
                <c:pt idx="6">
                  <c:v>1024</c:v>
                </c:pt>
                <c:pt idx="7">
                  <c:v>984</c:v>
                </c:pt>
                <c:pt idx="8">
                  <c:v>867</c:v>
                </c:pt>
                <c:pt idx="9">
                  <c:v>706</c:v>
                </c:pt>
                <c:pt idx="10">
                  <c:v>719</c:v>
                </c:pt>
              </c:numCache>
            </c:numRef>
          </c:val>
          <c:smooth val="0"/>
        </c:ser>
        <c:ser>
          <c:idx val="6"/>
          <c:order val="6"/>
          <c:tx>
            <c:strRef>
              <c:f>'Sheet1 (4)'!$H$4:$H$6</c:f>
              <c:strCache>
                <c:ptCount val="1"/>
                <c:pt idx="0">
                  <c:v>04323M - Capsules 150mg 56</c:v>
                </c:pt>
              </c:strCache>
            </c:strRef>
          </c:tx>
          <c:cat>
            <c:strRef>
              <c:f>'Sheet1 (4)'!$A$7:$A$35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(4)'!$H$7:$H$35</c:f>
              <c:numCache>
                <c:formatCode>General</c:formatCode>
                <c:ptCount val="28"/>
                <c:pt idx="0">
                  <c:v>1001</c:v>
                </c:pt>
                <c:pt idx="1">
                  <c:v>715</c:v>
                </c:pt>
                <c:pt idx="2">
                  <c:v>780</c:v>
                </c:pt>
                <c:pt idx="3">
                  <c:v>747</c:v>
                </c:pt>
                <c:pt idx="4">
                  <c:v>706</c:v>
                </c:pt>
                <c:pt idx="5">
                  <c:v>659</c:v>
                </c:pt>
                <c:pt idx="6">
                  <c:v>503</c:v>
                </c:pt>
                <c:pt idx="7">
                  <c:v>494</c:v>
                </c:pt>
                <c:pt idx="8">
                  <c:v>437</c:v>
                </c:pt>
                <c:pt idx="9">
                  <c:v>362</c:v>
                </c:pt>
                <c:pt idx="10">
                  <c:v>352</c:v>
                </c:pt>
              </c:numCache>
            </c:numRef>
          </c:val>
          <c:smooth val="0"/>
        </c:ser>
        <c:ser>
          <c:idx val="7"/>
          <c:order val="7"/>
          <c:tx>
            <c:strRef>
              <c:f>'Sheet1 (4)'!$I$4:$I$6</c:f>
              <c:strCache>
                <c:ptCount val="1"/>
                <c:pt idx="0">
                  <c:v>04324N - Capsules 300mg 56</c:v>
                </c:pt>
              </c:strCache>
            </c:strRef>
          </c:tx>
          <c:cat>
            <c:strRef>
              <c:f>'Sheet1 (4)'!$A$7:$A$35</c:f>
              <c:strCache>
                <c:ptCount val="28"/>
                <c:pt idx="0">
                  <c:v>201212</c:v>
                </c:pt>
                <c:pt idx="1">
                  <c:v>201301</c:v>
                </c:pt>
                <c:pt idx="2">
                  <c:v>201302</c:v>
                </c:pt>
                <c:pt idx="3">
                  <c:v>201303</c:v>
                </c:pt>
                <c:pt idx="4">
                  <c:v>201304</c:v>
                </c:pt>
                <c:pt idx="5">
                  <c:v>201305</c:v>
                </c:pt>
                <c:pt idx="6">
                  <c:v>201306</c:v>
                </c:pt>
                <c:pt idx="7">
                  <c:v>201307</c:v>
                </c:pt>
                <c:pt idx="8">
                  <c:v>201308</c:v>
                </c:pt>
                <c:pt idx="9">
                  <c:v>201309</c:v>
                </c:pt>
                <c:pt idx="10">
                  <c:v>201310</c:v>
                </c:pt>
                <c:pt idx="11">
                  <c:v>201311</c:v>
                </c:pt>
                <c:pt idx="12">
                  <c:v>201312</c:v>
                </c:pt>
                <c:pt idx="13">
                  <c:v>201401</c:v>
                </c:pt>
                <c:pt idx="14">
                  <c:v>201402</c:v>
                </c:pt>
                <c:pt idx="15">
                  <c:v>201403</c:v>
                </c:pt>
                <c:pt idx="16">
                  <c:v>201404</c:v>
                </c:pt>
                <c:pt idx="17">
                  <c:v>201405</c:v>
                </c:pt>
                <c:pt idx="18">
                  <c:v>201406</c:v>
                </c:pt>
                <c:pt idx="19">
                  <c:v>201407</c:v>
                </c:pt>
                <c:pt idx="20">
                  <c:v>201408</c:v>
                </c:pt>
                <c:pt idx="21">
                  <c:v>201409</c:v>
                </c:pt>
                <c:pt idx="22">
                  <c:v>201410</c:v>
                </c:pt>
                <c:pt idx="23">
                  <c:v>201411</c:v>
                </c:pt>
                <c:pt idx="24">
                  <c:v>201412</c:v>
                </c:pt>
                <c:pt idx="25">
                  <c:v>201501</c:v>
                </c:pt>
                <c:pt idx="26">
                  <c:v>201502</c:v>
                </c:pt>
                <c:pt idx="27">
                  <c:v>201503</c:v>
                </c:pt>
              </c:strCache>
            </c:strRef>
          </c:cat>
          <c:val>
            <c:numRef>
              <c:f>'Sheet1 (4)'!$I$7:$I$35</c:f>
              <c:numCache>
                <c:formatCode>General</c:formatCode>
                <c:ptCount val="28"/>
                <c:pt idx="0">
                  <c:v>341</c:v>
                </c:pt>
                <c:pt idx="1">
                  <c:v>250</c:v>
                </c:pt>
                <c:pt idx="2">
                  <c:v>280</c:v>
                </c:pt>
                <c:pt idx="3">
                  <c:v>261</c:v>
                </c:pt>
                <c:pt idx="4">
                  <c:v>258</c:v>
                </c:pt>
                <c:pt idx="5">
                  <c:v>230</c:v>
                </c:pt>
                <c:pt idx="6">
                  <c:v>177</c:v>
                </c:pt>
                <c:pt idx="7">
                  <c:v>199</c:v>
                </c:pt>
                <c:pt idx="8">
                  <c:v>144</c:v>
                </c:pt>
                <c:pt idx="9">
                  <c:v>124</c:v>
                </c:pt>
                <c:pt idx="10">
                  <c:v>118</c:v>
                </c:pt>
              </c:numCache>
            </c:numRef>
          </c:val>
          <c:smooth val="0"/>
        </c:ser>
        <c:dLbls>
          <c:showLegendKey val="0"/>
          <c:showVal val="0"/>
          <c:showCatName val="0"/>
          <c:showSerName val="0"/>
          <c:showPercent val="0"/>
          <c:showBubbleSize val="0"/>
        </c:dLbls>
        <c:marker val="1"/>
        <c:smooth val="0"/>
        <c:axId val="334820096"/>
        <c:axId val="334822016"/>
      </c:lineChart>
      <c:catAx>
        <c:axId val="334820096"/>
        <c:scaling>
          <c:orientation val="minMax"/>
        </c:scaling>
        <c:delete val="0"/>
        <c:axPos val="b"/>
        <c:title>
          <c:tx>
            <c:rich>
              <a:bodyPr/>
              <a:lstStyle/>
              <a:p>
                <a:pPr>
                  <a:defRPr b="0"/>
                </a:pPr>
                <a:r>
                  <a:rPr lang="en-US" b="0"/>
                  <a:t>Month of Supply</a:t>
                </a:r>
              </a:p>
            </c:rich>
          </c:tx>
          <c:layout/>
          <c:overlay val="0"/>
        </c:title>
        <c:majorTickMark val="out"/>
        <c:minorTickMark val="none"/>
        <c:tickLblPos val="nextTo"/>
        <c:crossAx val="334822016"/>
        <c:crosses val="autoZero"/>
        <c:auto val="1"/>
        <c:lblAlgn val="ctr"/>
        <c:lblOffset val="100"/>
        <c:noMultiLvlLbl val="0"/>
      </c:catAx>
      <c:valAx>
        <c:axId val="334822016"/>
        <c:scaling>
          <c:orientation val="minMax"/>
        </c:scaling>
        <c:delete val="0"/>
        <c:axPos val="l"/>
        <c:majorGridlines/>
        <c:title>
          <c:tx>
            <c:rich>
              <a:bodyPr rot="-5400000" vert="horz"/>
              <a:lstStyle/>
              <a:p>
                <a:pPr>
                  <a:defRPr b="0"/>
                </a:pPr>
                <a:r>
                  <a:rPr lang="en-US" b="0"/>
                  <a:t>Prescriptions</a:t>
                </a:r>
              </a:p>
            </c:rich>
          </c:tx>
          <c:layout/>
          <c:overlay val="0"/>
        </c:title>
        <c:numFmt formatCode="#,##0" sourceLinked="0"/>
        <c:majorTickMark val="out"/>
        <c:minorTickMark val="none"/>
        <c:tickLblPos val="nextTo"/>
        <c:crossAx val="334820096"/>
        <c:crosses val="autoZero"/>
        <c:crossBetween val="between"/>
      </c:valAx>
    </c:plotArea>
    <c:legend>
      <c:legendPos val="b"/>
      <c:layout>
        <c:manualLayout>
          <c:xMode val="edge"/>
          <c:yMode val="edge"/>
          <c:x val="0.23003450021476884"/>
          <c:y val="0.83624761967856265"/>
          <c:w val="0.71740432635716223"/>
          <c:h val="0.14323132321230489"/>
        </c:manualLayout>
      </c:layout>
      <c:overlay val="0"/>
      <c:txPr>
        <a:bodyPr/>
        <a:lstStyle/>
        <a:p>
          <a:pPr>
            <a:defRPr sz="700"/>
          </a:pPr>
          <a:endParaRPr lang="en-US"/>
        </a:p>
      </c:txPr>
    </c:legend>
    <c:plotVisOnly val="1"/>
    <c:dispBlanksAs val="gap"/>
    <c:showDLblsOverMax val="0"/>
  </c:chart>
  <c:spPr>
    <a:ln>
      <a:no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pregabalin + related drgs scrpts, ben &amp; DDDs (plain only) by month.xlsx]Sheet1 (5)!PivotTable2</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s>
    <c:plotArea>
      <c:layout/>
      <c:lineChart>
        <c:grouping val="standard"/>
        <c:varyColors val="0"/>
        <c:ser>
          <c:idx val="0"/>
          <c:order val="0"/>
          <c:tx>
            <c:strRef>
              <c:f>'Sheet1 (5)'!$B$5:$B$7</c:f>
              <c:strCache>
                <c:ptCount val="1"/>
                <c:pt idx="0">
                  <c:v>02348N - Capsules 25mg 56</c:v>
                </c:pt>
              </c:strCache>
            </c:strRef>
          </c:tx>
          <c:cat>
            <c:strRef>
              <c:f>'Sheet1 (5)'!$A$8:$A$33</c:f>
              <c:strCache>
                <c:ptCount val="25"/>
                <c:pt idx="0">
                  <c:v>201303</c:v>
                </c:pt>
                <c:pt idx="1">
                  <c:v>201304</c:v>
                </c:pt>
                <c:pt idx="2">
                  <c:v>201305</c:v>
                </c:pt>
                <c:pt idx="3">
                  <c:v>201306</c:v>
                </c:pt>
                <c:pt idx="4">
                  <c:v>201307</c:v>
                </c:pt>
                <c:pt idx="5">
                  <c:v>201308</c:v>
                </c:pt>
                <c:pt idx="6">
                  <c:v>201309</c:v>
                </c:pt>
                <c:pt idx="7">
                  <c:v>201310</c:v>
                </c:pt>
                <c:pt idx="8">
                  <c:v>201311</c:v>
                </c:pt>
                <c:pt idx="9">
                  <c:v>201312</c:v>
                </c:pt>
                <c:pt idx="10">
                  <c:v>201401</c:v>
                </c:pt>
                <c:pt idx="11">
                  <c:v>201402</c:v>
                </c:pt>
                <c:pt idx="12">
                  <c:v>201403</c:v>
                </c:pt>
                <c:pt idx="13">
                  <c:v>201404</c:v>
                </c:pt>
                <c:pt idx="14">
                  <c:v>201405</c:v>
                </c:pt>
                <c:pt idx="15">
                  <c:v>201406</c:v>
                </c:pt>
                <c:pt idx="16">
                  <c:v>201407</c:v>
                </c:pt>
                <c:pt idx="17">
                  <c:v>201408</c:v>
                </c:pt>
                <c:pt idx="18">
                  <c:v>201409</c:v>
                </c:pt>
                <c:pt idx="19">
                  <c:v>201410</c:v>
                </c:pt>
                <c:pt idx="20">
                  <c:v>201411</c:v>
                </c:pt>
                <c:pt idx="21">
                  <c:v>201412</c:v>
                </c:pt>
                <c:pt idx="22">
                  <c:v>201501</c:v>
                </c:pt>
                <c:pt idx="23">
                  <c:v>201502</c:v>
                </c:pt>
                <c:pt idx="24">
                  <c:v>201503</c:v>
                </c:pt>
              </c:strCache>
            </c:strRef>
          </c:cat>
          <c:val>
            <c:numRef>
              <c:f>'Sheet1 (5)'!$B$8:$B$33</c:f>
              <c:numCache>
                <c:formatCode>0.00%</c:formatCode>
                <c:ptCount val="25"/>
                <c:pt idx="0">
                  <c:v>0.13996878019772541</c:v>
                </c:pt>
                <c:pt idx="1">
                  <c:v>0.14663854217880196</c:v>
                </c:pt>
                <c:pt idx="2">
                  <c:v>0.15374318993049033</c:v>
                </c:pt>
                <c:pt idx="3">
                  <c:v>0.15289189624617366</c:v>
                </c:pt>
                <c:pt idx="4">
                  <c:v>0.15846423002320009</c:v>
                </c:pt>
                <c:pt idx="5">
                  <c:v>0.16501090801630552</c:v>
                </c:pt>
                <c:pt idx="6">
                  <c:v>0.16937402471157043</c:v>
                </c:pt>
                <c:pt idx="7">
                  <c:v>0.17561000751005021</c:v>
                </c:pt>
                <c:pt idx="8">
                  <c:v>0.18133160271037885</c:v>
                </c:pt>
                <c:pt idx="9">
                  <c:v>0.17787432241607071</c:v>
                </c:pt>
                <c:pt idx="10">
                  <c:v>0.18758777397314313</c:v>
                </c:pt>
                <c:pt idx="11">
                  <c:v>0.19148137019230768</c:v>
                </c:pt>
                <c:pt idx="12">
                  <c:v>0.19334501101222293</c:v>
                </c:pt>
                <c:pt idx="13">
                  <c:v>0.19113938274071116</c:v>
                </c:pt>
                <c:pt idx="14">
                  <c:v>0.1933755724934712</c:v>
                </c:pt>
                <c:pt idx="15">
                  <c:v>0.19393045165661008</c:v>
                </c:pt>
                <c:pt idx="16">
                  <c:v>0.1941604409315659</c:v>
                </c:pt>
                <c:pt idx="17">
                  <c:v>0.19610341844478635</c:v>
                </c:pt>
                <c:pt idx="18">
                  <c:v>0.20122664849409638</c:v>
                </c:pt>
                <c:pt idx="19">
                  <c:v>0.20397712491385331</c:v>
                </c:pt>
                <c:pt idx="20">
                  <c:v>0.2066661965540747</c:v>
                </c:pt>
                <c:pt idx="21">
                  <c:v>0.20552777426750674</c:v>
                </c:pt>
                <c:pt idx="22">
                  <c:v>0.21209873399502899</c:v>
                </c:pt>
                <c:pt idx="23">
                  <c:v>0.21601017860065358</c:v>
                </c:pt>
                <c:pt idx="24">
                  <c:v>0.21786943478180848</c:v>
                </c:pt>
              </c:numCache>
            </c:numRef>
          </c:val>
          <c:smooth val="0"/>
        </c:ser>
        <c:ser>
          <c:idx val="1"/>
          <c:order val="1"/>
          <c:tx>
            <c:strRef>
              <c:f>'Sheet1 (5)'!$C$5:$C$7</c:f>
              <c:strCache>
                <c:ptCount val="1"/>
                <c:pt idx="0">
                  <c:v>02335X - Capsules 75mg 56</c:v>
                </c:pt>
              </c:strCache>
            </c:strRef>
          </c:tx>
          <c:cat>
            <c:strRef>
              <c:f>'Sheet1 (5)'!$A$8:$A$33</c:f>
              <c:strCache>
                <c:ptCount val="25"/>
                <c:pt idx="0">
                  <c:v>201303</c:v>
                </c:pt>
                <c:pt idx="1">
                  <c:v>201304</c:v>
                </c:pt>
                <c:pt idx="2">
                  <c:v>201305</c:v>
                </c:pt>
                <c:pt idx="3">
                  <c:v>201306</c:v>
                </c:pt>
                <c:pt idx="4">
                  <c:v>201307</c:v>
                </c:pt>
                <c:pt idx="5">
                  <c:v>201308</c:v>
                </c:pt>
                <c:pt idx="6">
                  <c:v>201309</c:v>
                </c:pt>
                <c:pt idx="7">
                  <c:v>201310</c:v>
                </c:pt>
                <c:pt idx="8">
                  <c:v>201311</c:v>
                </c:pt>
                <c:pt idx="9">
                  <c:v>201312</c:v>
                </c:pt>
                <c:pt idx="10">
                  <c:v>201401</c:v>
                </c:pt>
                <c:pt idx="11">
                  <c:v>201402</c:v>
                </c:pt>
                <c:pt idx="12">
                  <c:v>201403</c:v>
                </c:pt>
                <c:pt idx="13">
                  <c:v>201404</c:v>
                </c:pt>
                <c:pt idx="14">
                  <c:v>201405</c:v>
                </c:pt>
                <c:pt idx="15">
                  <c:v>201406</c:v>
                </c:pt>
                <c:pt idx="16">
                  <c:v>201407</c:v>
                </c:pt>
                <c:pt idx="17">
                  <c:v>201408</c:v>
                </c:pt>
                <c:pt idx="18">
                  <c:v>201409</c:v>
                </c:pt>
                <c:pt idx="19">
                  <c:v>201410</c:v>
                </c:pt>
                <c:pt idx="20">
                  <c:v>201411</c:v>
                </c:pt>
                <c:pt idx="21">
                  <c:v>201412</c:v>
                </c:pt>
                <c:pt idx="22">
                  <c:v>201501</c:v>
                </c:pt>
                <c:pt idx="23">
                  <c:v>201502</c:v>
                </c:pt>
                <c:pt idx="24">
                  <c:v>201503</c:v>
                </c:pt>
              </c:strCache>
            </c:strRef>
          </c:cat>
          <c:val>
            <c:numRef>
              <c:f>'Sheet1 (5)'!$C$8:$C$33</c:f>
              <c:numCache>
                <c:formatCode>0.00%</c:formatCode>
                <c:ptCount val="25"/>
                <c:pt idx="0">
                  <c:v>0.59005426298966768</c:v>
                </c:pt>
                <c:pt idx="1">
                  <c:v>0.57193154964870818</c:v>
                </c:pt>
                <c:pt idx="2">
                  <c:v>0.55738070636858916</c:v>
                </c:pt>
                <c:pt idx="3">
                  <c:v>0.545835347188658</c:v>
                </c:pt>
                <c:pt idx="4">
                  <c:v>0.53468603810900239</c:v>
                </c:pt>
                <c:pt idx="5">
                  <c:v>0.52733088228903202</c:v>
                </c:pt>
                <c:pt idx="6">
                  <c:v>0.52138173322077541</c:v>
                </c:pt>
                <c:pt idx="7">
                  <c:v>0.51485811895330513</c:v>
                </c:pt>
                <c:pt idx="8">
                  <c:v>0.51202015338343765</c:v>
                </c:pt>
                <c:pt idx="9">
                  <c:v>0.50508472646107594</c:v>
                </c:pt>
                <c:pt idx="10">
                  <c:v>0.49728591040348413</c:v>
                </c:pt>
                <c:pt idx="11">
                  <c:v>0.49285606971153845</c:v>
                </c:pt>
                <c:pt idx="12">
                  <c:v>0.48799603302378897</c:v>
                </c:pt>
                <c:pt idx="13">
                  <c:v>0.48768977227327209</c:v>
                </c:pt>
                <c:pt idx="14">
                  <c:v>0.48474189561745412</c:v>
                </c:pt>
                <c:pt idx="15">
                  <c:v>0.4784505772730665</c:v>
                </c:pt>
                <c:pt idx="16">
                  <c:v>0.47708465452970567</c:v>
                </c:pt>
                <c:pt idx="17">
                  <c:v>0.47540677887080984</c:v>
                </c:pt>
                <c:pt idx="18">
                  <c:v>0.47178560317624924</c:v>
                </c:pt>
                <c:pt idx="19">
                  <c:v>0.46856501280219803</c:v>
                </c:pt>
                <c:pt idx="20">
                  <c:v>0.46544907505347533</c:v>
                </c:pt>
                <c:pt idx="21">
                  <c:v>0.46365064177784199</c:v>
                </c:pt>
                <c:pt idx="22">
                  <c:v>0.45968657104740185</c:v>
                </c:pt>
                <c:pt idx="23">
                  <c:v>0.45538151274700794</c:v>
                </c:pt>
                <c:pt idx="24">
                  <c:v>0.4547512561426757</c:v>
                </c:pt>
              </c:numCache>
            </c:numRef>
          </c:val>
          <c:smooth val="0"/>
        </c:ser>
        <c:ser>
          <c:idx val="2"/>
          <c:order val="2"/>
          <c:tx>
            <c:strRef>
              <c:f>'Sheet1 (5)'!$D$5:$D$7</c:f>
              <c:strCache>
                <c:ptCount val="1"/>
                <c:pt idx="0">
                  <c:v>02355Y - Capsules 150mg 56</c:v>
                </c:pt>
              </c:strCache>
            </c:strRef>
          </c:tx>
          <c:cat>
            <c:strRef>
              <c:f>'Sheet1 (5)'!$A$8:$A$33</c:f>
              <c:strCache>
                <c:ptCount val="25"/>
                <c:pt idx="0">
                  <c:v>201303</c:v>
                </c:pt>
                <c:pt idx="1">
                  <c:v>201304</c:v>
                </c:pt>
                <c:pt idx="2">
                  <c:v>201305</c:v>
                </c:pt>
                <c:pt idx="3">
                  <c:v>201306</c:v>
                </c:pt>
                <c:pt idx="4">
                  <c:v>201307</c:v>
                </c:pt>
                <c:pt idx="5">
                  <c:v>201308</c:v>
                </c:pt>
                <c:pt idx="6">
                  <c:v>201309</c:v>
                </c:pt>
                <c:pt idx="7">
                  <c:v>201310</c:v>
                </c:pt>
                <c:pt idx="8">
                  <c:v>201311</c:v>
                </c:pt>
                <c:pt idx="9">
                  <c:v>201312</c:v>
                </c:pt>
                <c:pt idx="10">
                  <c:v>201401</c:v>
                </c:pt>
                <c:pt idx="11">
                  <c:v>201402</c:v>
                </c:pt>
                <c:pt idx="12">
                  <c:v>201403</c:v>
                </c:pt>
                <c:pt idx="13">
                  <c:v>201404</c:v>
                </c:pt>
                <c:pt idx="14">
                  <c:v>201405</c:v>
                </c:pt>
                <c:pt idx="15">
                  <c:v>201406</c:v>
                </c:pt>
                <c:pt idx="16">
                  <c:v>201407</c:v>
                </c:pt>
                <c:pt idx="17">
                  <c:v>201408</c:v>
                </c:pt>
                <c:pt idx="18">
                  <c:v>201409</c:v>
                </c:pt>
                <c:pt idx="19">
                  <c:v>201410</c:v>
                </c:pt>
                <c:pt idx="20">
                  <c:v>201411</c:v>
                </c:pt>
                <c:pt idx="21">
                  <c:v>201412</c:v>
                </c:pt>
                <c:pt idx="22">
                  <c:v>201501</c:v>
                </c:pt>
                <c:pt idx="23">
                  <c:v>201502</c:v>
                </c:pt>
                <c:pt idx="24">
                  <c:v>201503</c:v>
                </c:pt>
              </c:strCache>
            </c:strRef>
          </c:cat>
          <c:val>
            <c:numRef>
              <c:f>'Sheet1 (5)'!$D$8:$D$33</c:f>
              <c:numCache>
                <c:formatCode>0.00%</c:formatCode>
                <c:ptCount val="25"/>
                <c:pt idx="0">
                  <c:v>0.21001511434872022</c:v>
                </c:pt>
                <c:pt idx="1">
                  <c:v>0.21756300255340746</c:v>
                </c:pt>
                <c:pt idx="2">
                  <c:v>0.22499060680067631</c:v>
                </c:pt>
                <c:pt idx="3">
                  <c:v>0.23123662224677208</c:v>
                </c:pt>
                <c:pt idx="4">
                  <c:v>0.23542387707754917</c:v>
                </c:pt>
                <c:pt idx="5">
                  <c:v>0.23454407968501473</c:v>
                </c:pt>
                <c:pt idx="6">
                  <c:v>0.2350498409693621</c:v>
                </c:pt>
                <c:pt idx="7">
                  <c:v>0.23485105067075057</c:v>
                </c:pt>
                <c:pt idx="8">
                  <c:v>0.23205699890440401</c:v>
                </c:pt>
                <c:pt idx="9">
                  <c:v>0.23936933448731382</c:v>
                </c:pt>
                <c:pt idx="10">
                  <c:v>0.23657551323118678</c:v>
                </c:pt>
                <c:pt idx="11">
                  <c:v>0.23602764423076922</c:v>
                </c:pt>
                <c:pt idx="12">
                  <c:v>0.2377996161821718</c:v>
                </c:pt>
                <c:pt idx="13">
                  <c:v>0.2398684079105074</c:v>
                </c:pt>
                <c:pt idx="14">
                  <c:v>0.23986847329482225</c:v>
                </c:pt>
                <c:pt idx="15">
                  <c:v>0.24278193373559687</c:v>
                </c:pt>
                <c:pt idx="16">
                  <c:v>0.24270828499688069</c:v>
                </c:pt>
                <c:pt idx="17">
                  <c:v>0.24177247320517403</c:v>
                </c:pt>
                <c:pt idx="18">
                  <c:v>0.24055939912001303</c:v>
                </c:pt>
                <c:pt idx="19">
                  <c:v>0.24061286244369087</c:v>
                </c:pt>
                <c:pt idx="20">
                  <c:v>0.24040147615353877</c:v>
                </c:pt>
                <c:pt idx="21">
                  <c:v>0.24229776325528496</c:v>
                </c:pt>
                <c:pt idx="22">
                  <c:v>0.23780632947128932</c:v>
                </c:pt>
                <c:pt idx="23">
                  <c:v>0.23794062834909221</c:v>
                </c:pt>
                <c:pt idx="24">
                  <c:v>0.23758121215467579</c:v>
                </c:pt>
              </c:numCache>
            </c:numRef>
          </c:val>
          <c:smooth val="0"/>
        </c:ser>
        <c:ser>
          <c:idx val="3"/>
          <c:order val="3"/>
          <c:tx>
            <c:strRef>
              <c:f>'Sheet1 (5)'!$E$5:$E$7</c:f>
              <c:strCache>
                <c:ptCount val="1"/>
                <c:pt idx="0">
                  <c:v>02363J - Capsules 300mg 56</c:v>
                </c:pt>
              </c:strCache>
            </c:strRef>
          </c:tx>
          <c:cat>
            <c:strRef>
              <c:f>'Sheet1 (5)'!$A$8:$A$33</c:f>
              <c:strCache>
                <c:ptCount val="25"/>
                <c:pt idx="0">
                  <c:v>201303</c:v>
                </c:pt>
                <c:pt idx="1">
                  <c:v>201304</c:v>
                </c:pt>
                <c:pt idx="2">
                  <c:v>201305</c:v>
                </c:pt>
                <c:pt idx="3">
                  <c:v>201306</c:v>
                </c:pt>
                <c:pt idx="4">
                  <c:v>201307</c:v>
                </c:pt>
                <c:pt idx="5">
                  <c:v>201308</c:v>
                </c:pt>
                <c:pt idx="6">
                  <c:v>201309</c:v>
                </c:pt>
                <c:pt idx="7">
                  <c:v>201310</c:v>
                </c:pt>
                <c:pt idx="8">
                  <c:v>201311</c:v>
                </c:pt>
                <c:pt idx="9">
                  <c:v>201312</c:v>
                </c:pt>
                <c:pt idx="10">
                  <c:v>201401</c:v>
                </c:pt>
                <c:pt idx="11">
                  <c:v>201402</c:v>
                </c:pt>
                <c:pt idx="12">
                  <c:v>201403</c:v>
                </c:pt>
                <c:pt idx="13">
                  <c:v>201404</c:v>
                </c:pt>
                <c:pt idx="14">
                  <c:v>201405</c:v>
                </c:pt>
                <c:pt idx="15">
                  <c:v>201406</c:v>
                </c:pt>
                <c:pt idx="16">
                  <c:v>201407</c:v>
                </c:pt>
                <c:pt idx="17">
                  <c:v>201408</c:v>
                </c:pt>
                <c:pt idx="18">
                  <c:v>201409</c:v>
                </c:pt>
                <c:pt idx="19">
                  <c:v>201410</c:v>
                </c:pt>
                <c:pt idx="20">
                  <c:v>201411</c:v>
                </c:pt>
                <c:pt idx="21">
                  <c:v>201412</c:v>
                </c:pt>
                <c:pt idx="22">
                  <c:v>201501</c:v>
                </c:pt>
                <c:pt idx="23">
                  <c:v>201502</c:v>
                </c:pt>
                <c:pt idx="24">
                  <c:v>201503</c:v>
                </c:pt>
              </c:strCache>
            </c:strRef>
          </c:cat>
          <c:val>
            <c:numRef>
              <c:f>'Sheet1 (5)'!$E$8:$E$33</c:f>
              <c:numCache>
                <c:formatCode>0.00%</c:formatCode>
                <c:ptCount val="25"/>
                <c:pt idx="0">
                  <c:v>5.9961842463886618E-2</c:v>
                </c:pt>
                <c:pt idx="1">
                  <c:v>6.3866905619082356E-2</c:v>
                </c:pt>
                <c:pt idx="2">
                  <c:v>6.3885496900244226E-2</c:v>
                </c:pt>
                <c:pt idx="3">
                  <c:v>7.0036134318396281E-2</c:v>
                </c:pt>
                <c:pt idx="4">
                  <c:v>7.142585479024835E-2</c:v>
                </c:pt>
                <c:pt idx="5">
                  <c:v>7.3114130009647726E-2</c:v>
                </c:pt>
                <c:pt idx="6">
                  <c:v>7.419440109829202E-2</c:v>
                </c:pt>
                <c:pt idx="7">
                  <c:v>7.4680822865894059E-2</c:v>
                </c:pt>
                <c:pt idx="8">
                  <c:v>7.4591245001779466E-2</c:v>
                </c:pt>
                <c:pt idx="9">
                  <c:v>7.7671616635539564E-2</c:v>
                </c:pt>
                <c:pt idx="10">
                  <c:v>7.8550802392185953E-2</c:v>
                </c:pt>
                <c:pt idx="11">
                  <c:v>7.9634915865384612E-2</c:v>
                </c:pt>
                <c:pt idx="12">
                  <c:v>8.0859339781816308E-2</c:v>
                </c:pt>
                <c:pt idx="13">
                  <c:v>8.1302437075509396E-2</c:v>
                </c:pt>
                <c:pt idx="14">
                  <c:v>8.2014058594252412E-2</c:v>
                </c:pt>
                <c:pt idx="15">
                  <c:v>8.4837037334726514E-2</c:v>
                </c:pt>
                <c:pt idx="16">
                  <c:v>8.6046619541847766E-2</c:v>
                </c:pt>
                <c:pt idx="17">
                  <c:v>8.6717329479229804E-2</c:v>
                </c:pt>
                <c:pt idx="18">
                  <c:v>8.6428349209641334E-2</c:v>
                </c:pt>
                <c:pt idx="19">
                  <c:v>8.6844999840257772E-2</c:v>
                </c:pt>
                <c:pt idx="20">
                  <c:v>8.7483252238911222E-2</c:v>
                </c:pt>
                <c:pt idx="21">
                  <c:v>8.8523820699366346E-2</c:v>
                </c:pt>
                <c:pt idx="22">
                  <c:v>9.0408365486279868E-2</c:v>
                </c:pt>
                <c:pt idx="23">
                  <c:v>9.0667680303246276E-2</c:v>
                </c:pt>
                <c:pt idx="24">
                  <c:v>8.9798096920840009E-2</c:v>
                </c:pt>
              </c:numCache>
            </c:numRef>
          </c:val>
          <c:smooth val="0"/>
        </c:ser>
        <c:dLbls>
          <c:showLegendKey val="0"/>
          <c:showVal val="0"/>
          <c:showCatName val="0"/>
          <c:showSerName val="0"/>
          <c:showPercent val="0"/>
          <c:showBubbleSize val="0"/>
        </c:dLbls>
        <c:marker val="1"/>
        <c:smooth val="0"/>
        <c:axId val="336911360"/>
        <c:axId val="336913536"/>
      </c:lineChart>
      <c:catAx>
        <c:axId val="336911360"/>
        <c:scaling>
          <c:orientation val="minMax"/>
        </c:scaling>
        <c:delete val="0"/>
        <c:axPos val="b"/>
        <c:title>
          <c:tx>
            <c:rich>
              <a:bodyPr/>
              <a:lstStyle/>
              <a:p>
                <a:pPr>
                  <a:defRPr b="0"/>
                </a:pPr>
                <a:r>
                  <a:rPr lang="en-US" b="0"/>
                  <a:t>Month of Supply</a:t>
                </a:r>
              </a:p>
            </c:rich>
          </c:tx>
          <c:layout/>
          <c:overlay val="0"/>
        </c:title>
        <c:majorTickMark val="out"/>
        <c:minorTickMark val="none"/>
        <c:tickLblPos val="nextTo"/>
        <c:crossAx val="336913536"/>
        <c:crosses val="autoZero"/>
        <c:auto val="1"/>
        <c:lblAlgn val="ctr"/>
        <c:lblOffset val="100"/>
        <c:noMultiLvlLbl val="0"/>
      </c:catAx>
      <c:valAx>
        <c:axId val="336913536"/>
        <c:scaling>
          <c:orientation val="minMax"/>
        </c:scaling>
        <c:delete val="0"/>
        <c:axPos val="l"/>
        <c:majorGridlines/>
        <c:title>
          <c:tx>
            <c:rich>
              <a:bodyPr rot="-5400000" vert="horz"/>
              <a:lstStyle/>
              <a:p>
                <a:pPr>
                  <a:defRPr b="0"/>
                </a:pPr>
                <a:r>
                  <a:rPr lang="en-US" b="0"/>
                  <a:t>Prescriptions</a:t>
                </a:r>
              </a:p>
            </c:rich>
          </c:tx>
          <c:layout/>
          <c:overlay val="0"/>
        </c:title>
        <c:numFmt formatCode="0%" sourceLinked="0"/>
        <c:majorTickMark val="out"/>
        <c:minorTickMark val="none"/>
        <c:tickLblPos val="nextTo"/>
        <c:crossAx val="336911360"/>
        <c:crosses val="autoZero"/>
        <c:crossBetween val="between"/>
      </c:valAx>
    </c:plotArea>
    <c:legend>
      <c:legendPos val="b"/>
      <c:layout/>
      <c:overlay val="0"/>
    </c:legend>
    <c:plotVisOnly val="1"/>
    <c:dispBlanksAs val="gap"/>
    <c:showDLblsOverMax val="0"/>
  </c:chart>
  <c:spPr>
    <a:ln>
      <a:no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SAMEDAY_FREQ originals by strength.xlsx]Sheet1!PivotTable1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pivotFmt>
      <c:pivotFmt>
        <c:idx val="29"/>
      </c:pivotFmt>
      <c:pivotFmt>
        <c:idx val="30"/>
      </c:pivotFmt>
      <c:pivotFmt>
        <c:idx val="31"/>
        <c:marker>
          <c:symbol val="none"/>
        </c:marker>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s>
    <c:plotArea>
      <c:layout>
        <c:manualLayout>
          <c:layoutTarget val="inner"/>
          <c:xMode val="edge"/>
          <c:yMode val="edge"/>
          <c:x val="0.11088358289254259"/>
          <c:y val="3.7606837606837605E-2"/>
          <c:w val="0.61158654163204473"/>
          <c:h val="0.78677111514906795"/>
        </c:manualLayout>
      </c:layout>
      <c:lineChart>
        <c:grouping val="standard"/>
        <c:varyColors val="0"/>
        <c:ser>
          <c:idx val="0"/>
          <c:order val="0"/>
          <c:tx>
            <c:strRef>
              <c:f>Sheet1!$B$1:$B$2</c:f>
              <c:strCache>
                <c:ptCount val="1"/>
                <c:pt idx="0">
                  <c:v>75mg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Sheet1!$B$3:$B$12</c:f>
              <c:numCache>
                <c:formatCode>General</c:formatCode>
                <c:ptCount val="9"/>
                <c:pt idx="0">
                  <c:v>22389</c:v>
                </c:pt>
                <c:pt idx="1">
                  <c:v>65117</c:v>
                </c:pt>
                <c:pt idx="2">
                  <c:v>68367</c:v>
                </c:pt>
                <c:pt idx="3">
                  <c:v>79009</c:v>
                </c:pt>
                <c:pt idx="4">
                  <c:v>76449</c:v>
                </c:pt>
                <c:pt idx="5">
                  <c:v>86911</c:v>
                </c:pt>
                <c:pt idx="6">
                  <c:v>95530</c:v>
                </c:pt>
                <c:pt idx="7">
                  <c:v>103286</c:v>
                </c:pt>
                <c:pt idx="8">
                  <c:v>94675</c:v>
                </c:pt>
              </c:numCache>
            </c:numRef>
          </c:val>
          <c:smooth val="0"/>
        </c:ser>
        <c:ser>
          <c:idx val="1"/>
          <c:order val="1"/>
          <c:tx>
            <c:strRef>
              <c:f>Sheet1!$C$1:$C$2</c:f>
              <c:strCache>
                <c:ptCount val="1"/>
                <c:pt idx="0">
                  <c:v>25mg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Sheet1!$C$3:$C$12</c:f>
              <c:numCache>
                <c:formatCode>General</c:formatCode>
                <c:ptCount val="9"/>
                <c:pt idx="0">
                  <c:v>5458</c:v>
                </c:pt>
                <c:pt idx="1">
                  <c:v>20572</c:v>
                </c:pt>
                <c:pt idx="2">
                  <c:v>26026</c:v>
                </c:pt>
                <c:pt idx="3">
                  <c:v>33005</c:v>
                </c:pt>
                <c:pt idx="4">
                  <c:v>34667</c:v>
                </c:pt>
                <c:pt idx="5">
                  <c:v>39540</c:v>
                </c:pt>
                <c:pt idx="6">
                  <c:v>45515</c:v>
                </c:pt>
                <c:pt idx="7">
                  <c:v>52741</c:v>
                </c:pt>
                <c:pt idx="8">
                  <c:v>50991</c:v>
                </c:pt>
              </c:numCache>
            </c:numRef>
          </c:val>
          <c:smooth val="0"/>
        </c:ser>
        <c:ser>
          <c:idx val="2"/>
          <c:order val="2"/>
          <c:tx>
            <c:strRef>
              <c:f>Sheet1!$D$1:$D$2</c:f>
              <c:strCache>
                <c:ptCount val="1"/>
                <c:pt idx="0">
                  <c:v>150mg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Sheet1!$D$3:$D$12</c:f>
              <c:numCache>
                <c:formatCode>General</c:formatCode>
                <c:ptCount val="9"/>
                <c:pt idx="0">
                  <c:v>7231</c:v>
                </c:pt>
                <c:pt idx="1">
                  <c:v>22124</c:v>
                </c:pt>
                <c:pt idx="2">
                  <c:v>25029</c:v>
                </c:pt>
                <c:pt idx="3">
                  <c:v>29871</c:v>
                </c:pt>
                <c:pt idx="4">
                  <c:v>29279</c:v>
                </c:pt>
                <c:pt idx="5">
                  <c:v>34650</c:v>
                </c:pt>
                <c:pt idx="6">
                  <c:v>38561</c:v>
                </c:pt>
                <c:pt idx="7">
                  <c:v>42635</c:v>
                </c:pt>
                <c:pt idx="8">
                  <c:v>39134</c:v>
                </c:pt>
              </c:numCache>
            </c:numRef>
          </c:val>
          <c:smooth val="0"/>
        </c:ser>
        <c:ser>
          <c:idx val="3"/>
          <c:order val="3"/>
          <c:tx>
            <c:strRef>
              <c:f>Sheet1!$E$1:$E$2</c:f>
              <c:strCache>
                <c:ptCount val="1"/>
                <c:pt idx="0">
                  <c:v>300mg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Sheet1!$E$3:$E$12</c:f>
              <c:numCache>
                <c:formatCode>General</c:formatCode>
                <c:ptCount val="9"/>
                <c:pt idx="0">
                  <c:v>2027</c:v>
                </c:pt>
                <c:pt idx="1">
                  <c:v>5899</c:v>
                </c:pt>
                <c:pt idx="2">
                  <c:v>7519</c:v>
                </c:pt>
                <c:pt idx="3">
                  <c:v>8987</c:v>
                </c:pt>
                <c:pt idx="4">
                  <c:v>9554</c:v>
                </c:pt>
                <c:pt idx="5">
                  <c:v>11358</c:v>
                </c:pt>
                <c:pt idx="6">
                  <c:v>13334</c:v>
                </c:pt>
                <c:pt idx="7">
                  <c:v>14956</c:v>
                </c:pt>
                <c:pt idx="8">
                  <c:v>14260</c:v>
                </c:pt>
              </c:numCache>
            </c:numRef>
          </c:val>
          <c:smooth val="0"/>
        </c:ser>
        <c:ser>
          <c:idx val="4"/>
          <c:order val="4"/>
          <c:tx>
            <c:strRef>
              <c:f>Sheet1!$F$1:$F$2</c:f>
              <c:strCache>
                <c:ptCount val="1"/>
                <c:pt idx="0">
                  <c:v>75mg+150mg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Sheet1!$F$3:$F$12</c:f>
              <c:numCache>
                <c:formatCode>General</c:formatCode>
                <c:ptCount val="9"/>
                <c:pt idx="0">
                  <c:v>698</c:v>
                </c:pt>
                <c:pt idx="1">
                  <c:v>1666</c:v>
                </c:pt>
                <c:pt idx="2">
                  <c:v>1719</c:v>
                </c:pt>
                <c:pt idx="3">
                  <c:v>2164</c:v>
                </c:pt>
                <c:pt idx="4">
                  <c:v>1987</c:v>
                </c:pt>
                <c:pt idx="5">
                  <c:v>2432</c:v>
                </c:pt>
                <c:pt idx="6">
                  <c:v>2730</c:v>
                </c:pt>
                <c:pt idx="7">
                  <c:v>3086</c:v>
                </c:pt>
                <c:pt idx="8">
                  <c:v>2639</c:v>
                </c:pt>
              </c:numCache>
            </c:numRef>
          </c:val>
          <c:smooth val="0"/>
        </c:ser>
        <c:ser>
          <c:idx val="5"/>
          <c:order val="5"/>
          <c:tx>
            <c:strRef>
              <c:f>Sheet1!$G$1:$G$2</c:f>
              <c:strCache>
                <c:ptCount val="1"/>
                <c:pt idx="0">
                  <c:v>25mg+ 75mg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Sheet1!$G$3:$G$12</c:f>
              <c:numCache>
                <c:formatCode>General</c:formatCode>
                <c:ptCount val="9"/>
                <c:pt idx="0">
                  <c:v>295</c:v>
                </c:pt>
                <c:pt idx="1">
                  <c:v>846</c:v>
                </c:pt>
                <c:pt idx="2">
                  <c:v>1004</c:v>
                </c:pt>
                <c:pt idx="3">
                  <c:v>1383</c:v>
                </c:pt>
                <c:pt idx="4">
                  <c:v>1394</c:v>
                </c:pt>
                <c:pt idx="5">
                  <c:v>1717</c:v>
                </c:pt>
                <c:pt idx="6">
                  <c:v>2102</c:v>
                </c:pt>
                <c:pt idx="7">
                  <c:v>2637</c:v>
                </c:pt>
                <c:pt idx="8">
                  <c:v>2295</c:v>
                </c:pt>
              </c:numCache>
            </c:numRef>
          </c:val>
          <c:smooth val="0"/>
        </c:ser>
        <c:ser>
          <c:idx val="6"/>
          <c:order val="6"/>
          <c:tx>
            <c:strRef>
              <c:f>Sheet1!$H$1:$H$2</c:f>
              <c:strCache>
                <c:ptCount val="1"/>
                <c:pt idx="0">
                  <c:v>150mg+300mg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Sheet1!$H$3:$H$12</c:f>
              <c:numCache>
                <c:formatCode>General</c:formatCode>
                <c:ptCount val="9"/>
                <c:pt idx="0">
                  <c:v>174</c:v>
                </c:pt>
                <c:pt idx="1">
                  <c:v>347</c:v>
                </c:pt>
                <c:pt idx="2">
                  <c:v>344</c:v>
                </c:pt>
                <c:pt idx="3">
                  <c:v>414</c:v>
                </c:pt>
                <c:pt idx="4">
                  <c:v>436</c:v>
                </c:pt>
                <c:pt idx="5">
                  <c:v>490</c:v>
                </c:pt>
                <c:pt idx="6">
                  <c:v>560</c:v>
                </c:pt>
                <c:pt idx="7">
                  <c:v>702</c:v>
                </c:pt>
                <c:pt idx="8">
                  <c:v>602</c:v>
                </c:pt>
              </c:numCache>
            </c:numRef>
          </c:val>
          <c:smooth val="0"/>
        </c:ser>
        <c:ser>
          <c:idx val="7"/>
          <c:order val="7"/>
          <c:tx>
            <c:strRef>
              <c:f>Sheet1!$I$1:$I$2</c:f>
              <c:strCache>
                <c:ptCount val="1"/>
                <c:pt idx="0">
                  <c:v>25mg+150mg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Sheet1!$I$3:$I$12</c:f>
              <c:numCache>
                <c:formatCode>General</c:formatCode>
                <c:ptCount val="9"/>
                <c:pt idx="0">
                  <c:v>46</c:v>
                </c:pt>
                <c:pt idx="1">
                  <c:v>90</c:v>
                </c:pt>
                <c:pt idx="2">
                  <c:v>149</c:v>
                </c:pt>
                <c:pt idx="3">
                  <c:v>186</c:v>
                </c:pt>
                <c:pt idx="4">
                  <c:v>193</c:v>
                </c:pt>
                <c:pt idx="5">
                  <c:v>284</c:v>
                </c:pt>
                <c:pt idx="6">
                  <c:v>305</c:v>
                </c:pt>
                <c:pt idx="7">
                  <c:v>379</c:v>
                </c:pt>
                <c:pt idx="8">
                  <c:v>325</c:v>
                </c:pt>
              </c:numCache>
            </c:numRef>
          </c:val>
          <c:smooth val="0"/>
        </c:ser>
        <c:ser>
          <c:idx val="8"/>
          <c:order val="8"/>
          <c:tx>
            <c:strRef>
              <c:f>Sheet1!$J$1:$J$2</c:f>
              <c:strCache>
                <c:ptCount val="1"/>
                <c:pt idx="0">
                  <c:v>75mg+300mg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Sheet1!$J$3:$J$12</c:f>
              <c:numCache>
                <c:formatCode>General</c:formatCode>
                <c:ptCount val="9"/>
                <c:pt idx="0">
                  <c:v>45</c:v>
                </c:pt>
                <c:pt idx="1">
                  <c:v>75</c:v>
                </c:pt>
                <c:pt idx="2">
                  <c:v>106</c:v>
                </c:pt>
                <c:pt idx="3">
                  <c:v>86</c:v>
                </c:pt>
                <c:pt idx="4">
                  <c:v>108</c:v>
                </c:pt>
                <c:pt idx="5">
                  <c:v>105</c:v>
                </c:pt>
                <c:pt idx="6">
                  <c:v>140</c:v>
                </c:pt>
                <c:pt idx="7">
                  <c:v>152</c:v>
                </c:pt>
                <c:pt idx="8">
                  <c:v>115</c:v>
                </c:pt>
              </c:numCache>
            </c:numRef>
          </c:val>
          <c:smooth val="0"/>
        </c:ser>
        <c:ser>
          <c:idx val="9"/>
          <c:order val="9"/>
          <c:tx>
            <c:strRef>
              <c:f>Sheet1!$K$1:$K$2</c:f>
              <c:strCache>
                <c:ptCount val="1"/>
                <c:pt idx="0">
                  <c:v>25mg+ 75mg+150mg</c:v>
                </c:pt>
              </c:strCache>
            </c:strRef>
          </c:tx>
          <c:cat>
            <c:strRef>
              <c:f>Sheet1!$A$3:$A$12</c:f>
              <c:strCache>
                <c:ptCount val="9"/>
                <c:pt idx="0">
                  <c:v>2013Q1</c:v>
                </c:pt>
                <c:pt idx="1">
                  <c:v>2013Q2</c:v>
                </c:pt>
                <c:pt idx="2">
                  <c:v>2013Q3</c:v>
                </c:pt>
                <c:pt idx="3">
                  <c:v>2013Q4</c:v>
                </c:pt>
                <c:pt idx="4">
                  <c:v>2014Q1</c:v>
                </c:pt>
                <c:pt idx="5">
                  <c:v>2014Q2</c:v>
                </c:pt>
                <c:pt idx="6">
                  <c:v>2014Q3</c:v>
                </c:pt>
                <c:pt idx="7">
                  <c:v>2014Q4</c:v>
                </c:pt>
                <c:pt idx="8">
                  <c:v>2015Q1</c:v>
                </c:pt>
              </c:strCache>
            </c:strRef>
          </c:cat>
          <c:val>
            <c:numRef>
              <c:f>Sheet1!$K$3:$K$12</c:f>
              <c:numCache>
                <c:formatCode>General</c:formatCode>
                <c:ptCount val="9"/>
                <c:pt idx="0">
                  <c:v>4</c:v>
                </c:pt>
                <c:pt idx="1">
                  <c:v>31</c:v>
                </c:pt>
                <c:pt idx="2">
                  <c:v>29</c:v>
                </c:pt>
                <c:pt idx="3">
                  <c:v>37</c:v>
                </c:pt>
                <c:pt idx="4">
                  <c:v>39</c:v>
                </c:pt>
                <c:pt idx="5">
                  <c:v>61</c:v>
                </c:pt>
                <c:pt idx="6">
                  <c:v>68</c:v>
                </c:pt>
                <c:pt idx="7">
                  <c:v>89</c:v>
                </c:pt>
                <c:pt idx="8">
                  <c:v>80</c:v>
                </c:pt>
              </c:numCache>
            </c:numRef>
          </c:val>
          <c:smooth val="0"/>
        </c:ser>
        <c:dLbls>
          <c:showLegendKey val="0"/>
          <c:showVal val="0"/>
          <c:showCatName val="0"/>
          <c:showSerName val="0"/>
          <c:showPercent val="0"/>
          <c:showBubbleSize val="0"/>
        </c:dLbls>
        <c:marker val="1"/>
        <c:smooth val="0"/>
        <c:axId val="337699200"/>
        <c:axId val="337701120"/>
      </c:lineChart>
      <c:catAx>
        <c:axId val="337699200"/>
        <c:scaling>
          <c:orientation val="minMax"/>
        </c:scaling>
        <c:delete val="0"/>
        <c:axPos val="b"/>
        <c:title>
          <c:tx>
            <c:rich>
              <a:bodyPr/>
              <a:lstStyle/>
              <a:p>
                <a:pPr>
                  <a:defRPr sz="900" b="0"/>
                </a:pPr>
                <a:r>
                  <a:rPr lang="en-AU" sz="900" b="0"/>
                  <a:t>Quarter of Supply</a:t>
                </a:r>
              </a:p>
            </c:rich>
          </c:tx>
          <c:layout/>
          <c:overlay val="0"/>
        </c:title>
        <c:majorTickMark val="none"/>
        <c:minorTickMark val="none"/>
        <c:tickLblPos val="nextTo"/>
        <c:txPr>
          <a:bodyPr rot="2700000" vert="horz"/>
          <a:lstStyle/>
          <a:p>
            <a:pPr>
              <a:defRPr/>
            </a:pPr>
            <a:endParaRPr lang="en-US"/>
          </a:p>
        </c:txPr>
        <c:crossAx val="337701120"/>
        <c:crosses val="autoZero"/>
        <c:auto val="1"/>
        <c:lblAlgn val="ctr"/>
        <c:lblOffset val="100"/>
        <c:noMultiLvlLbl val="0"/>
      </c:catAx>
      <c:valAx>
        <c:axId val="337701120"/>
        <c:scaling>
          <c:orientation val="minMax"/>
        </c:scaling>
        <c:delete val="0"/>
        <c:axPos val="l"/>
        <c:majorGridlines/>
        <c:title>
          <c:tx>
            <c:rich>
              <a:bodyPr rot="-5400000" vert="horz"/>
              <a:lstStyle/>
              <a:p>
                <a:pPr>
                  <a:defRPr sz="1000" b="0"/>
                </a:pPr>
                <a:r>
                  <a:rPr lang="en-AU" sz="1000" b="0"/>
                  <a:t>Supply Days</a:t>
                </a:r>
              </a:p>
            </c:rich>
          </c:tx>
          <c:layout/>
          <c:overlay val="0"/>
        </c:title>
        <c:numFmt formatCode="#,##0" sourceLinked="0"/>
        <c:majorTickMark val="none"/>
        <c:minorTickMark val="none"/>
        <c:tickLblPos val="nextTo"/>
        <c:crossAx val="337699200"/>
        <c:crosses val="autoZero"/>
        <c:crossBetween val="between"/>
      </c:valAx>
    </c:plotArea>
    <c:legend>
      <c:legendPos val="r"/>
      <c:layout/>
      <c:overlay val="0"/>
    </c:legend>
    <c:plotVisOnly val="1"/>
    <c:dispBlanksAs val="gap"/>
    <c:showDLblsOverMax val="0"/>
  </c:chart>
  <c:spPr>
    <a:ln>
      <a:noFill/>
    </a:ln>
  </c:spPr>
  <c:txPr>
    <a:bodyPr/>
    <a:lstStyle/>
    <a:p>
      <a:pPr>
        <a:defRPr sz="900"/>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pregabalin + related drgs scrpts, ben &amp; DDDs (plain only) by month.xlsx]Sheet1 (3)!PivotTable2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s>
    <c:plotArea>
      <c:layout>
        <c:manualLayout>
          <c:layoutTarget val="inner"/>
          <c:xMode val="edge"/>
          <c:yMode val="edge"/>
          <c:x val="0.14391783941580166"/>
          <c:y val="3.7703513281919454E-2"/>
          <c:w val="0.83151487973551041"/>
          <c:h val="0.64156967525588859"/>
        </c:manualLayout>
      </c:layout>
      <c:lineChart>
        <c:grouping val="standard"/>
        <c:varyColors val="0"/>
        <c:ser>
          <c:idx val="0"/>
          <c:order val="0"/>
          <c:tx>
            <c:strRef>
              <c:f>'Sheet1 (3)'!$B$3:$B$5</c:f>
              <c:strCache>
                <c:ptCount val="1"/>
                <c:pt idx="0">
                  <c:v>N06AA09 - AMITRIPTYLINE HYDROCHLORIDE</c:v>
                </c:pt>
              </c:strCache>
            </c:strRef>
          </c:tx>
          <c:cat>
            <c:strRef>
              <c:f>'Sheet1 (3)'!$A$6:$A$19</c:f>
              <c:strCache>
                <c:ptCount val="13"/>
                <c:pt idx="0">
                  <c:v>2012 Q1</c:v>
                </c:pt>
                <c:pt idx="1">
                  <c:v>2012 Q2</c:v>
                </c:pt>
                <c:pt idx="2">
                  <c:v>2012 Q3</c:v>
                </c:pt>
                <c:pt idx="3">
                  <c:v>2012 Q4</c:v>
                </c:pt>
                <c:pt idx="4">
                  <c:v>2013 Q1</c:v>
                </c:pt>
                <c:pt idx="5">
                  <c:v>2013 Q2</c:v>
                </c:pt>
                <c:pt idx="6">
                  <c:v>2013 Q3</c:v>
                </c:pt>
                <c:pt idx="7">
                  <c:v>2013 Q4</c:v>
                </c:pt>
                <c:pt idx="8">
                  <c:v>2014 Q1</c:v>
                </c:pt>
                <c:pt idx="9">
                  <c:v>2014 Q2</c:v>
                </c:pt>
                <c:pt idx="10">
                  <c:v>2014 Q3</c:v>
                </c:pt>
                <c:pt idx="11">
                  <c:v>2014 Q4</c:v>
                </c:pt>
                <c:pt idx="12">
                  <c:v>2015 Q1</c:v>
                </c:pt>
              </c:strCache>
            </c:strRef>
          </c:cat>
          <c:val>
            <c:numRef>
              <c:f>'Sheet1 (3)'!$B$6:$B$19</c:f>
              <c:numCache>
                <c:formatCode>General</c:formatCode>
                <c:ptCount val="13"/>
                <c:pt idx="0">
                  <c:v>375580</c:v>
                </c:pt>
                <c:pt idx="1">
                  <c:v>423460</c:v>
                </c:pt>
                <c:pt idx="2">
                  <c:v>466451</c:v>
                </c:pt>
                <c:pt idx="3">
                  <c:v>516809</c:v>
                </c:pt>
                <c:pt idx="4">
                  <c:v>423998</c:v>
                </c:pt>
                <c:pt idx="5">
                  <c:v>473468</c:v>
                </c:pt>
                <c:pt idx="6">
                  <c:v>495332</c:v>
                </c:pt>
                <c:pt idx="7">
                  <c:v>537290</c:v>
                </c:pt>
                <c:pt idx="8">
                  <c:v>442379</c:v>
                </c:pt>
                <c:pt idx="9">
                  <c:v>497560</c:v>
                </c:pt>
                <c:pt idx="10">
                  <c:v>519899</c:v>
                </c:pt>
                <c:pt idx="11">
                  <c:v>563292</c:v>
                </c:pt>
                <c:pt idx="12">
                  <c:v>449835</c:v>
                </c:pt>
              </c:numCache>
            </c:numRef>
          </c:val>
          <c:smooth val="0"/>
        </c:ser>
        <c:ser>
          <c:idx val="1"/>
          <c:order val="1"/>
          <c:tx>
            <c:strRef>
              <c:f>'Sheet1 (3)'!$C$3:$C$5</c:f>
              <c:strCache>
                <c:ptCount val="1"/>
                <c:pt idx="0">
                  <c:v>N03AX16 - PREGABALIN</c:v>
                </c:pt>
              </c:strCache>
            </c:strRef>
          </c:tx>
          <c:cat>
            <c:strRef>
              <c:f>'Sheet1 (3)'!$A$6:$A$19</c:f>
              <c:strCache>
                <c:ptCount val="13"/>
                <c:pt idx="0">
                  <c:v>2012 Q1</c:v>
                </c:pt>
                <c:pt idx="1">
                  <c:v>2012 Q2</c:v>
                </c:pt>
                <c:pt idx="2">
                  <c:v>2012 Q3</c:v>
                </c:pt>
                <c:pt idx="3">
                  <c:v>2012 Q4</c:v>
                </c:pt>
                <c:pt idx="4">
                  <c:v>2013 Q1</c:v>
                </c:pt>
                <c:pt idx="5">
                  <c:v>2013 Q2</c:v>
                </c:pt>
                <c:pt idx="6">
                  <c:v>2013 Q3</c:v>
                </c:pt>
                <c:pt idx="7">
                  <c:v>2013 Q4</c:v>
                </c:pt>
                <c:pt idx="8">
                  <c:v>2014 Q1</c:v>
                </c:pt>
                <c:pt idx="9">
                  <c:v>2014 Q2</c:v>
                </c:pt>
                <c:pt idx="10">
                  <c:v>2014 Q3</c:v>
                </c:pt>
                <c:pt idx="11">
                  <c:v>2014 Q4</c:v>
                </c:pt>
                <c:pt idx="12">
                  <c:v>2015 Q1</c:v>
                </c:pt>
              </c:strCache>
            </c:strRef>
          </c:cat>
          <c:val>
            <c:numRef>
              <c:f>'Sheet1 (3)'!$C$6:$C$19</c:f>
              <c:numCache>
                <c:formatCode>General</c:formatCode>
                <c:ptCount val="13"/>
                <c:pt idx="0">
                  <c:v>8585</c:v>
                </c:pt>
                <c:pt idx="1">
                  <c:v>9500</c:v>
                </c:pt>
                <c:pt idx="2">
                  <c:v>9917</c:v>
                </c:pt>
                <c:pt idx="3">
                  <c:v>11386</c:v>
                </c:pt>
                <c:pt idx="4">
                  <c:v>50919</c:v>
                </c:pt>
                <c:pt idx="5">
                  <c:v>249712</c:v>
                </c:pt>
                <c:pt idx="6">
                  <c:v>354891</c:v>
                </c:pt>
                <c:pt idx="7">
                  <c:v>475623</c:v>
                </c:pt>
                <c:pt idx="8">
                  <c:v>434429</c:v>
                </c:pt>
                <c:pt idx="9">
                  <c:v>535939</c:v>
                </c:pt>
                <c:pt idx="10">
                  <c:v>614635</c:v>
                </c:pt>
                <c:pt idx="11">
                  <c:v>737519</c:v>
                </c:pt>
                <c:pt idx="12">
                  <c:v>611492</c:v>
                </c:pt>
              </c:numCache>
            </c:numRef>
          </c:val>
          <c:smooth val="0"/>
        </c:ser>
        <c:ser>
          <c:idx val="2"/>
          <c:order val="2"/>
          <c:tx>
            <c:strRef>
              <c:f>'Sheet1 (3)'!$D$3:$D$5</c:f>
              <c:strCache>
                <c:ptCount val="1"/>
                <c:pt idx="0">
                  <c:v>N06AX21 - DULOXETINE</c:v>
                </c:pt>
              </c:strCache>
            </c:strRef>
          </c:tx>
          <c:cat>
            <c:strRef>
              <c:f>'Sheet1 (3)'!$A$6:$A$19</c:f>
              <c:strCache>
                <c:ptCount val="13"/>
                <c:pt idx="0">
                  <c:v>2012 Q1</c:v>
                </c:pt>
                <c:pt idx="1">
                  <c:v>2012 Q2</c:v>
                </c:pt>
                <c:pt idx="2">
                  <c:v>2012 Q3</c:v>
                </c:pt>
                <c:pt idx="3">
                  <c:v>2012 Q4</c:v>
                </c:pt>
                <c:pt idx="4">
                  <c:v>2013 Q1</c:v>
                </c:pt>
                <c:pt idx="5">
                  <c:v>2013 Q2</c:v>
                </c:pt>
                <c:pt idx="6">
                  <c:v>2013 Q3</c:v>
                </c:pt>
                <c:pt idx="7">
                  <c:v>2013 Q4</c:v>
                </c:pt>
                <c:pt idx="8">
                  <c:v>2014 Q1</c:v>
                </c:pt>
                <c:pt idx="9">
                  <c:v>2014 Q2</c:v>
                </c:pt>
                <c:pt idx="10">
                  <c:v>2014 Q3</c:v>
                </c:pt>
                <c:pt idx="11">
                  <c:v>2014 Q4</c:v>
                </c:pt>
                <c:pt idx="12">
                  <c:v>2015 Q1</c:v>
                </c:pt>
              </c:strCache>
            </c:strRef>
          </c:cat>
          <c:val>
            <c:numRef>
              <c:f>'Sheet1 (3)'!$D$6:$D$19</c:f>
              <c:numCache>
                <c:formatCode>General</c:formatCode>
                <c:ptCount val="13"/>
                <c:pt idx="0">
                  <c:v>261796</c:v>
                </c:pt>
                <c:pt idx="1">
                  <c:v>279344</c:v>
                </c:pt>
                <c:pt idx="2">
                  <c:v>292787</c:v>
                </c:pt>
                <c:pt idx="3">
                  <c:v>318018</c:v>
                </c:pt>
                <c:pt idx="4">
                  <c:v>289940</c:v>
                </c:pt>
                <c:pt idx="5">
                  <c:v>311890</c:v>
                </c:pt>
                <c:pt idx="6">
                  <c:v>322184</c:v>
                </c:pt>
                <c:pt idx="7">
                  <c:v>340016</c:v>
                </c:pt>
                <c:pt idx="8">
                  <c:v>299589</c:v>
                </c:pt>
                <c:pt idx="9">
                  <c:v>319873</c:v>
                </c:pt>
                <c:pt idx="10">
                  <c:v>332782</c:v>
                </c:pt>
                <c:pt idx="11">
                  <c:v>371745</c:v>
                </c:pt>
                <c:pt idx="12">
                  <c:v>331555</c:v>
                </c:pt>
              </c:numCache>
            </c:numRef>
          </c:val>
          <c:smooth val="0"/>
        </c:ser>
        <c:ser>
          <c:idx val="3"/>
          <c:order val="3"/>
          <c:tx>
            <c:strRef>
              <c:f>'Sheet1 (3)'!$E$3:$E$5</c:f>
              <c:strCache>
                <c:ptCount val="1"/>
                <c:pt idx="0">
                  <c:v>N03AF01 - CARBAMAZEPINE</c:v>
                </c:pt>
              </c:strCache>
            </c:strRef>
          </c:tx>
          <c:cat>
            <c:strRef>
              <c:f>'Sheet1 (3)'!$A$6:$A$19</c:f>
              <c:strCache>
                <c:ptCount val="13"/>
                <c:pt idx="0">
                  <c:v>2012 Q1</c:v>
                </c:pt>
                <c:pt idx="1">
                  <c:v>2012 Q2</c:v>
                </c:pt>
                <c:pt idx="2">
                  <c:v>2012 Q3</c:v>
                </c:pt>
                <c:pt idx="3">
                  <c:v>2012 Q4</c:v>
                </c:pt>
                <c:pt idx="4">
                  <c:v>2013 Q1</c:v>
                </c:pt>
                <c:pt idx="5">
                  <c:v>2013 Q2</c:v>
                </c:pt>
                <c:pt idx="6">
                  <c:v>2013 Q3</c:v>
                </c:pt>
                <c:pt idx="7">
                  <c:v>2013 Q4</c:v>
                </c:pt>
                <c:pt idx="8">
                  <c:v>2014 Q1</c:v>
                </c:pt>
                <c:pt idx="9">
                  <c:v>2014 Q2</c:v>
                </c:pt>
                <c:pt idx="10">
                  <c:v>2014 Q3</c:v>
                </c:pt>
                <c:pt idx="11">
                  <c:v>2014 Q4</c:v>
                </c:pt>
                <c:pt idx="12">
                  <c:v>2015 Q1</c:v>
                </c:pt>
              </c:strCache>
            </c:strRef>
          </c:cat>
          <c:val>
            <c:numRef>
              <c:f>'Sheet1 (3)'!$E$6:$E$19</c:f>
              <c:numCache>
                <c:formatCode>General</c:formatCode>
                <c:ptCount val="13"/>
                <c:pt idx="0">
                  <c:v>74093</c:v>
                </c:pt>
                <c:pt idx="1">
                  <c:v>77902</c:v>
                </c:pt>
                <c:pt idx="2">
                  <c:v>82698</c:v>
                </c:pt>
                <c:pt idx="3">
                  <c:v>92418</c:v>
                </c:pt>
                <c:pt idx="4">
                  <c:v>73411</c:v>
                </c:pt>
                <c:pt idx="5">
                  <c:v>78419</c:v>
                </c:pt>
                <c:pt idx="6">
                  <c:v>81052</c:v>
                </c:pt>
                <c:pt idx="7">
                  <c:v>88525</c:v>
                </c:pt>
                <c:pt idx="8">
                  <c:v>71070</c:v>
                </c:pt>
                <c:pt idx="9">
                  <c:v>77086</c:v>
                </c:pt>
                <c:pt idx="10">
                  <c:v>78826</c:v>
                </c:pt>
                <c:pt idx="11">
                  <c:v>86510</c:v>
                </c:pt>
                <c:pt idx="12">
                  <c:v>68587</c:v>
                </c:pt>
              </c:numCache>
            </c:numRef>
          </c:val>
          <c:smooth val="0"/>
        </c:ser>
        <c:ser>
          <c:idx val="4"/>
          <c:order val="4"/>
          <c:tx>
            <c:strRef>
              <c:f>'Sheet1 (3)'!$F$3:$F$5</c:f>
              <c:strCache>
                <c:ptCount val="1"/>
                <c:pt idx="0">
                  <c:v>N03AX12 - GABAPENTIN</c:v>
                </c:pt>
              </c:strCache>
            </c:strRef>
          </c:tx>
          <c:cat>
            <c:strRef>
              <c:f>'Sheet1 (3)'!$A$6:$A$19</c:f>
              <c:strCache>
                <c:ptCount val="13"/>
                <c:pt idx="0">
                  <c:v>2012 Q1</c:v>
                </c:pt>
                <c:pt idx="1">
                  <c:v>2012 Q2</c:v>
                </c:pt>
                <c:pt idx="2">
                  <c:v>2012 Q3</c:v>
                </c:pt>
                <c:pt idx="3">
                  <c:v>2012 Q4</c:v>
                </c:pt>
                <c:pt idx="4">
                  <c:v>2013 Q1</c:v>
                </c:pt>
                <c:pt idx="5">
                  <c:v>2013 Q2</c:v>
                </c:pt>
                <c:pt idx="6">
                  <c:v>2013 Q3</c:v>
                </c:pt>
                <c:pt idx="7">
                  <c:v>2013 Q4</c:v>
                </c:pt>
                <c:pt idx="8">
                  <c:v>2014 Q1</c:v>
                </c:pt>
                <c:pt idx="9">
                  <c:v>2014 Q2</c:v>
                </c:pt>
                <c:pt idx="10">
                  <c:v>2014 Q3</c:v>
                </c:pt>
                <c:pt idx="11">
                  <c:v>2014 Q4</c:v>
                </c:pt>
                <c:pt idx="12">
                  <c:v>2015 Q1</c:v>
                </c:pt>
              </c:strCache>
            </c:strRef>
          </c:cat>
          <c:val>
            <c:numRef>
              <c:f>'Sheet1 (3)'!$F$6:$F$19</c:f>
              <c:numCache>
                <c:formatCode>General</c:formatCode>
                <c:ptCount val="13"/>
                <c:pt idx="0">
                  <c:v>24698</c:v>
                </c:pt>
                <c:pt idx="1">
                  <c:v>26267</c:v>
                </c:pt>
                <c:pt idx="2">
                  <c:v>28272</c:v>
                </c:pt>
                <c:pt idx="3">
                  <c:v>32821</c:v>
                </c:pt>
                <c:pt idx="4">
                  <c:v>26603</c:v>
                </c:pt>
                <c:pt idx="5">
                  <c:v>28495</c:v>
                </c:pt>
                <c:pt idx="6">
                  <c:v>29411</c:v>
                </c:pt>
                <c:pt idx="7">
                  <c:v>32611</c:v>
                </c:pt>
                <c:pt idx="8">
                  <c:v>25441</c:v>
                </c:pt>
                <c:pt idx="9">
                  <c:v>27716</c:v>
                </c:pt>
                <c:pt idx="10">
                  <c:v>28780</c:v>
                </c:pt>
                <c:pt idx="11">
                  <c:v>32453</c:v>
                </c:pt>
                <c:pt idx="12">
                  <c:v>25309</c:v>
                </c:pt>
              </c:numCache>
            </c:numRef>
          </c:val>
          <c:smooth val="0"/>
        </c:ser>
        <c:dLbls>
          <c:showLegendKey val="0"/>
          <c:showVal val="0"/>
          <c:showCatName val="0"/>
          <c:showSerName val="0"/>
          <c:showPercent val="0"/>
          <c:showBubbleSize val="0"/>
        </c:dLbls>
        <c:marker val="1"/>
        <c:smooth val="0"/>
        <c:axId val="336967168"/>
        <c:axId val="336969088"/>
      </c:lineChart>
      <c:catAx>
        <c:axId val="336967168"/>
        <c:scaling>
          <c:orientation val="minMax"/>
        </c:scaling>
        <c:delete val="0"/>
        <c:axPos val="b"/>
        <c:title>
          <c:tx>
            <c:rich>
              <a:bodyPr/>
              <a:lstStyle/>
              <a:p>
                <a:pPr>
                  <a:defRPr b="0"/>
                </a:pPr>
                <a:r>
                  <a:rPr lang="en-US" b="0"/>
                  <a:t>Quarter of Supply</a:t>
                </a:r>
              </a:p>
            </c:rich>
          </c:tx>
          <c:layout>
            <c:manualLayout>
              <c:xMode val="edge"/>
              <c:yMode val="edge"/>
              <c:x val="0.48050717278430649"/>
              <c:y val="0.77284382662043782"/>
            </c:manualLayout>
          </c:layout>
          <c:overlay val="0"/>
        </c:title>
        <c:majorTickMark val="none"/>
        <c:minorTickMark val="none"/>
        <c:tickLblPos val="nextTo"/>
        <c:crossAx val="336969088"/>
        <c:crosses val="autoZero"/>
        <c:auto val="1"/>
        <c:lblAlgn val="ctr"/>
        <c:lblOffset val="100"/>
        <c:noMultiLvlLbl val="0"/>
      </c:catAx>
      <c:valAx>
        <c:axId val="336969088"/>
        <c:scaling>
          <c:orientation val="minMax"/>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336967168"/>
        <c:crosses val="autoZero"/>
        <c:crossBetween val="between"/>
      </c:valAx>
    </c:plotArea>
    <c:legend>
      <c:legendPos val="b"/>
      <c:layout>
        <c:manualLayout>
          <c:xMode val="edge"/>
          <c:yMode val="edge"/>
          <c:x val="0.16232061444580737"/>
          <c:y val="0.82389585561064127"/>
          <c:w val="0.80471544272328244"/>
          <c:h val="0.15596218853106086"/>
        </c:manualLayout>
      </c:layout>
      <c:overlay val="0"/>
      <c:txPr>
        <a:bodyPr/>
        <a:lstStyle/>
        <a:p>
          <a:pPr>
            <a:defRPr sz="800"/>
          </a:pPr>
          <a:endParaRPr lang="en-US"/>
        </a:p>
      </c:txPr>
    </c:legend>
    <c:plotVisOnly val="1"/>
    <c:dispBlanksAs val="gap"/>
    <c:showDLblsOverMax val="0"/>
  </c:chart>
  <c:spPr>
    <a:ln>
      <a:noFill/>
    </a:ln>
  </c:spPr>
  <c:txPr>
    <a:bodyPr/>
    <a:lstStyle/>
    <a:p>
      <a:pPr>
        <a:defRPr sz="900"/>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[D866_TRNS_ADJ_INIT, pregabalin, mar to aug14 inits, fu to mar15, excl paracetompl &amp; NSAIDs, rename opioid grps .xlsx]Sheet1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
        <c:idx val="2215"/>
        <c:marker>
          <c:symbol val="none"/>
        </c:marker>
      </c:pivotFmt>
      <c:pivotFmt>
        <c:idx val="2216"/>
        <c:marker>
          <c:symbol val="none"/>
        </c:marker>
      </c:pivotFmt>
      <c:pivotFmt>
        <c:idx val="2217"/>
        <c:marker>
          <c:symbol val="none"/>
        </c:marker>
      </c:pivotFmt>
      <c:pivotFmt>
        <c:idx val="2218"/>
        <c:marker>
          <c:symbol val="none"/>
        </c:marker>
      </c:pivotFmt>
      <c:pivotFmt>
        <c:idx val="2219"/>
        <c:marker>
          <c:symbol val="none"/>
        </c:marker>
      </c:pivotFmt>
      <c:pivotFmt>
        <c:idx val="2220"/>
        <c:marker>
          <c:symbol val="none"/>
        </c:marker>
      </c:pivotFmt>
      <c:pivotFmt>
        <c:idx val="2221"/>
        <c:marker>
          <c:symbol val="none"/>
        </c:marker>
      </c:pivotFmt>
      <c:pivotFmt>
        <c:idx val="2222"/>
        <c:marker>
          <c:symbol val="none"/>
        </c:marker>
      </c:pivotFmt>
      <c:pivotFmt>
        <c:idx val="2223"/>
        <c:marker>
          <c:symbol val="none"/>
        </c:marker>
      </c:pivotFmt>
      <c:pivotFmt>
        <c:idx val="2224"/>
        <c:marker>
          <c:symbol val="none"/>
        </c:marker>
      </c:pivotFmt>
      <c:pivotFmt>
        <c:idx val="2225"/>
        <c:marker>
          <c:symbol val="none"/>
        </c:marker>
      </c:pivotFmt>
      <c:pivotFmt>
        <c:idx val="2226"/>
        <c:marker>
          <c:symbol val="none"/>
        </c:marker>
      </c:pivotFmt>
      <c:pivotFmt>
        <c:idx val="2227"/>
        <c:marker>
          <c:symbol val="none"/>
        </c:marker>
      </c:pivotFmt>
      <c:pivotFmt>
        <c:idx val="2228"/>
        <c:marker>
          <c:symbol val="none"/>
        </c:marker>
      </c:pivotFmt>
      <c:pivotFmt>
        <c:idx val="2229"/>
        <c:marker>
          <c:symbol val="none"/>
        </c:marker>
      </c:pivotFmt>
      <c:pivotFmt>
        <c:idx val="2230"/>
        <c:marker>
          <c:symbol val="none"/>
        </c:marker>
      </c:pivotFmt>
      <c:pivotFmt>
        <c:idx val="2231"/>
        <c:marker>
          <c:symbol val="none"/>
        </c:marker>
      </c:pivotFmt>
      <c:pivotFmt>
        <c:idx val="2232"/>
        <c:marker>
          <c:symbol val="none"/>
        </c:marker>
      </c:pivotFmt>
      <c:pivotFmt>
        <c:idx val="2233"/>
        <c:marker>
          <c:symbol val="none"/>
        </c:marker>
      </c:pivotFmt>
      <c:pivotFmt>
        <c:idx val="2234"/>
        <c:marker>
          <c:symbol val="none"/>
        </c:marker>
      </c:pivotFmt>
      <c:pivotFmt>
        <c:idx val="2235"/>
        <c:marker>
          <c:symbol val="none"/>
        </c:marker>
      </c:pivotFmt>
      <c:pivotFmt>
        <c:idx val="2236"/>
        <c:marker>
          <c:symbol val="none"/>
        </c:marker>
      </c:pivotFmt>
      <c:pivotFmt>
        <c:idx val="2237"/>
        <c:marker>
          <c:symbol val="none"/>
        </c:marker>
      </c:pivotFmt>
      <c:pivotFmt>
        <c:idx val="2238"/>
        <c:marker>
          <c:symbol val="none"/>
        </c:marker>
      </c:pivotFmt>
      <c:pivotFmt>
        <c:idx val="2239"/>
        <c:marker>
          <c:symbol val="none"/>
        </c:marker>
      </c:pivotFmt>
      <c:pivotFmt>
        <c:idx val="2240"/>
        <c:marker>
          <c:symbol val="none"/>
        </c:marker>
      </c:pivotFmt>
      <c:pivotFmt>
        <c:idx val="2241"/>
        <c:marker>
          <c:symbol val="none"/>
        </c:marker>
      </c:pivotFmt>
      <c:pivotFmt>
        <c:idx val="2242"/>
        <c:marker>
          <c:symbol val="none"/>
        </c:marker>
      </c:pivotFmt>
      <c:pivotFmt>
        <c:idx val="2243"/>
        <c:marker>
          <c:symbol val="none"/>
        </c:marker>
      </c:pivotFmt>
      <c:pivotFmt>
        <c:idx val="2244"/>
        <c:marker>
          <c:symbol val="none"/>
        </c:marker>
      </c:pivotFmt>
      <c:pivotFmt>
        <c:idx val="2245"/>
        <c:marker>
          <c:symbol val="none"/>
        </c:marker>
      </c:pivotFmt>
      <c:pivotFmt>
        <c:idx val="2246"/>
        <c:marker>
          <c:symbol val="none"/>
        </c:marker>
      </c:pivotFmt>
      <c:pivotFmt>
        <c:idx val="2247"/>
        <c:marker>
          <c:symbol val="none"/>
        </c:marker>
      </c:pivotFmt>
      <c:pivotFmt>
        <c:idx val="2248"/>
        <c:marker>
          <c:symbol val="none"/>
        </c:marker>
      </c:pivotFmt>
      <c:pivotFmt>
        <c:idx val="2249"/>
        <c:marker>
          <c:symbol val="none"/>
        </c:marker>
      </c:pivotFmt>
      <c:pivotFmt>
        <c:idx val="2250"/>
        <c:marker>
          <c:symbol val="none"/>
        </c:marker>
      </c:pivotFmt>
      <c:pivotFmt>
        <c:idx val="2251"/>
        <c:marker>
          <c:symbol val="none"/>
        </c:marker>
      </c:pivotFmt>
      <c:pivotFmt>
        <c:idx val="2252"/>
        <c:marker>
          <c:symbol val="none"/>
        </c:marker>
      </c:pivotFmt>
      <c:pivotFmt>
        <c:idx val="2253"/>
        <c:marker>
          <c:symbol val="none"/>
        </c:marker>
      </c:pivotFmt>
      <c:pivotFmt>
        <c:idx val="2254"/>
        <c:marker>
          <c:symbol val="none"/>
        </c:marker>
      </c:pivotFmt>
      <c:pivotFmt>
        <c:idx val="2255"/>
        <c:marker>
          <c:symbol val="none"/>
        </c:marker>
      </c:pivotFmt>
      <c:pivotFmt>
        <c:idx val="2256"/>
        <c:marker>
          <c:symbol val="none"/>
        </c:marker>
      </c:pivotFmt>
    </c:pivotFmts>
    <c:plotArea>
      <c:layout>
        <c:manualLayout>
          <c:layoutTarget val="inner"/>
          <c:xMode val="edge"/>
          <c:yMode val="edge"/>
          <c:x val="8.3635996885370115E-2"/>
          <c:y val="4.253230819564862E-2"/>
          <c:w val="0.53775957962371312"/>
          <c:h val="0.82869212865400299"/>
        </c:manualLayout>
      </c:layout>
      <c:lineChart>
        <c:grouping val="standard"/>
        <c:varyColors val="0"/>
        <c:ser>
          <c:idx val="0"/>
          <c:order val="0"/>
          <c:tx>
            <c:strRef>
              <c:f>'Sheet1 (13)'!$B$3:$B$5</c:f>
              <c:strCache>
                <c:ptCount val="1"/>
                <c:pt idx="0">
                  <c:v>Post-init - 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(13)'!$B$6:$B$67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62127</c:v>
                </c:pt>
                <c:pt idx="31">
                  <c:v>60375</c:v>
                </c:pt>
                <c:pt idx="32">
                  <c:v>59128</c:v>
                </c:pt>
                <c:pt idx="33">
                  <c:v>61983</c:v>
                </c:pt>
                <c:pt idx="34">
                  <c:v>30713</c:v>
                </c:pt>
                <c:pt idx="35">
                  <c:v>31476</c:v>
                </c:pt>
                <c:pt idx="36">
                  <c:v>31600</c:v>
                </c:pt>
                <c:pt idx="37">
                  <c:v>31874</c:v>
                </c:pt>
                <c:pt idx="38">
                  <c:v>27866</c:v>
                </c:pt>
                <c:pt idx="39">
                  <c:v>26660</c:v>
                </c:pt>
                <c:pt idx="40">
                  <c:v>26009</c:v>
                </c:pt>
                <c:pt idx="41">
                  <c:v>25782</c:v>
                </c:pt>
                <c:pt idx="42">
                  <c:v>23994</c:v>
                </c:pt>
                <c:pt idx="43">
                  <c:v>23514</c:v>
                </c:pt>
                <c:pt idx="44">
                  <c:v>23099</c:v>
                </c:pt>
                <c:pt idx="45">
                  <c:v>22952</c:v>
                </c:pt>
                <c:pt idx="46">
                  <c:v>21779</c:v>
                </c:pt>
                <c:pt idx="47">
                  <c:v>21454</c:v>
                </c:pt>
                <c:pt idx="48">
                  <c:v>21318</c:v>
                </c:pt>
                <c:pt idx="49">
                  <c:v>21103</c:v>
                </c:pt>
                <c:pt idx="50">
                  <c:v>20289</c:v>
                </c:pt>
                <c:pt idx="51">
                  <c:v>19924</c:v>
                </c:pt>
                <c:pt idx="52">
                  <c:v>19724</c:v>
                </c:pt>
                <c:pt idx="53">
                  <c:v>19613</c:v>
                </c:pt>
                <c:pt idx="54">
                  <c:v>18672</c:v>
                </c:pt>
                <c:pt idx="55">
                  <c:v>18301</c:v>
                </c:pt>
                <c:pt idx="56">
                  <c:v>18096</c:v>
                </c:pt>
                <c:pt idx="57">
                  <c:v>17922</c:v>
                </c:pt>
                <c:pt idx="58">
                  <c:v>17286</c:v>
                </c:pt>
                <c:pt idx="59">
                  <c:v>17122</c:v>
                </c:pt>
                <c:pt idx="60">
                  <c:v>16980</c:v>
                </c:pt>
              </c:numCache>
            </c:numRef>
          </c:val>
          <c:smooth val="0"/>
        </c:ser>
        <c:ser>
          <c:idx val="1"/>
          <c:order val="1"/>
          <c:tx>
            <c:strRef>
              <c:f>'Sheet1 (13)'!$C$3:$C$5</c:f>
              <c:strCache>
                <c:ptCount val="1"/>
                <c:pt idx="0">
                  <c:v>Post-init - Opioid_S8+Pregabalin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(13)'!$C$6:$C$67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14176</c:v>
                </c:pt>
                <c:pt idx="31">
                  <c:v>14479</c:v>
                </c:pt>
                <c:pt idx="32">
                  <c:v>14809</c:v>
                </c:pt>
                <c:pt idx="33">
                  <c:v>12859</c:v>
                </c:pt>
                <c:pt idx="34">
                  <c:v>8547</c:v>
                </c:pt>
                <c:pt idx="35">
                  <c:v>8221</c:v>
                </c:pt>
                <c:pt idx="36">
                  <c:v>7963</c:v>
                </c:pt>
                <c:pt idx="37">
                  <c:v>7686</c:v>
                </c:pt>
                <c:pt idx="38">
                  <c:v>6746</c:v>
                </c:pt>
                <c:pt idx="39">
                  <c:v>6372</c:v>
                </c:pt>
                <c:pt idx="40">
                  <c:v>6159</c:v>
                </c:pt>
                <c:pt idx="41">
                  <c:v>5971</c:v>
                </c:pt>
                <c:pt idx="42">
                  <c:v>5605</c:v>
                </c:pt>
                <c:pt idx="43">
                  <c:v>5406</c:v>
                </c:pt>
                <c:pt idx="44">
                  <c:v>5315</c:v>
                </c:pt>
                <c:pt idx="45">
                  <c:v>5221</c:v>
                </c:pt>
                <c:pt idx="46">
                  <c:v>4953</c:v>
                </c:pt>
                <c:pt idx="47">
                  <c:v>4860</c:v>
                </c:pt>
                <c:pt idx="48">
                  <c:v>4758</c:v>
                </c:pt>
                <c:pt idx="49">
                  <c:v>4701</c:v>
                </c:pt>
                <c:pt idx="50">
                  <c:v>4550</c:v>
                </c:pt>
                <c:pt idx="51">
                  <c:v>4497</c:v>
                </c:pt>
                <c:pt idx="52">
                  <c:v>4460</c:v>
                </c:pt>
                <c:pt idx="53">
                  <c:v>4430</c:v>
                </c:pt>
                <c:pt idx="54">
                  <c:v>4270</c:v>
                </c:pt>
                <c:pt idx="55">
                  <c:v>4210</c:v>
                </c:pt>
                <c:pt idx="56">
                  <c:v>4150</c:v>
                </c:pt>
                <c:pt idx="57">
                  <c:v>4145</c:v>
                </c:pt>
                <c:pt idx="58">
                  <c:v>4046</c:v>
                </c:pt>
                <c:pt idx="59">
                  <c:v>3985</c:v>
                </c:pt>
                <c:pt idx="60">
                  <c:v>3962</c:v>
                </c:pt>
              </c:numCache>
            </c:numRef>
          </c:val>
          <c:smooth val="0"/>
        </c:ser>
        <c:ser>
          <c:idx val="2"/>
          <c:order val="2"/>
          <c:tx>
            <c:strRef>
              <c:f>'Sheet1 (13)'!$D$3:$D$5</c:f>
              <c:strCache>
                <c:ptCount val="1"/>
                <c:pt idx="0">
                  <c:v>Post-init - Other_antidepressant+Pregabalin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(13)'!$D$6:$D$67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8701</c:v>
                </c:pt>
                <c:pt idx="31">
                  <c:v>8582</c:v>
                </c:pt>
                <c:pt idx="32">
                  <c:v>8538</c:v>
                </c:pt>
                <c:pt idx="33">
                  <c:v>9023</c:v>
                </c:pt>
                <c:pt idx="34">
                  <c:v>5516</c:v>
                </c:pt>
                <c:pt idx="35">
                  <c:v>5567</c:v>
                </c:pt>
                <c:pt idx="36">
                  <c:v>5603</c:v>
                </c:pt>
                <c:pt idx="37">
                  <c:v>5703</c:v>
                </c:pt>
                <c:pt idx="38">
                  <c:v>5281</c:v>
                </c:pt>
                <c:pt idx="39">
                  <c:v>5111</c:v>
                </c:pt>
                <c:pt idx="40">
                  <c:v>5061</c:v>
                </c:pt>
                <c:pt idx="41">
                  <c:v>5013</c:v>
                </c:pt>
                <c:pt idx="42">
                  <c:v>4737</c:v>
                </c:pt>
                <c:pt idx="43">
                  <c:v>4672</c:v>
                </c:pt>
                <c:pt idx="44">
                  <c:v>4592</c:v>
                </c:pt>
                <c:pt idx="45">
                  <c:v>4578</c:v>
                </c:pt>
                <c:pt idx="46">
                  <c:v>4497</c:v>
                </c:pt>
                <c:pt idx="47">
                  <c:v>4442</c:v>
                </c:pt>
                <c:pt idx="48">
                  <c:v>4414</c:v>
                </c:pt>
                <c:pt idx="49">
                  <c:v>4395</c:v>
                </c:pt>
                <c:pt idx="50">
                  <c:v>4288</c:v>
                </c:pt>
                <c:pt idx="51">
                  <c:v>4270</c:v>
                </c:pt>
                <c:pt idx="52">
                  <c:v>4192</c:v>
                </c:pt>
                <c:pt idx="53">
                  <c:v>4138</c:v>
                </c:pt>
                <c:pt idx="54">
                  <c:v>4008</c:v>
                </c:pt>
                <c:pt idx="55">
                  <c:v>4000</c:v>
                </c:pt>
                <c:pt idx="56">
                  <c:v>3966</c:v>
                </c:pt>
                <c:pt idx="57">
                  <c:v>3934</c:v>
                </c:pt>
                <c:pt idx="58">
                  <c:v>3827</c:v>
                </c:pt>
                <c:pt idx="59">
                  <c:v>3786</c:v>
                </c:pt>
                <c:pt idx="60">
                  <c:v>3765</c:v>
                </c:pt>
              </c:numCache>
            </c:numRef>
          </c:val>
          <c:smooth val="0"/>
        </c:ser>
        <c:ser>
          <c:idx val="3"/>
          <c:order val="3"/>
          <c:tx>
            <c:strRef>
              <c:f>'Sheet1 (13)'!$E$3:$E$5</c:f>
              <c:strCache>
                <c:ptCount val="1"/>
                <c:pt idx="0">
                  <c:v>Post-init - Other_antidepressant</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(13)'!$E$6:$E$67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3658</c:v>
                </c:pt>
                <c:pt idx="35">
                  <c:v>3617</c:v>
                </c:pt>
                <c:pt idx="36">
                  <c:v>3670</c:v>
                </c:pt>
                <c:pt idx="37">
                  <c:v>3768</c:v>
                </c:pt>
                <c:pt idx="38">
                  <c:v>4377</c:v>
                </c:pt>
                <c:pt idx="39">
                  <c:v>4609</c:v>
                </c:pt>
                <c:pt idx="40">
                  <c:v>4751</c:v>
                </c:pt>
                <c:pt idx="41">
                  <c:v>4826</c:v>
                </c:pt>
                <c:pt idx="42">
                  <c:v>5139</c:v>
                </c:pt>
                <c:pt idx="43">
                  <c:v>5186</c:v>
                </c:pt>
                <c:pt idx="44">
                  <c:v>5344</c:v>
                </c:pt>
                <c:pt idx="45">
                  <c:v>5357</c:v>
                </c:pt>
                <c:pt idx="46">
                  <c:v>5491</c:v>
                </c:pt>
                <c:pt idx="47">
                  <c:v>5542</c:v>
                </c:pt>
                <c:pt idx="48">
                  <c:v>5600</c:v>
                </c:pt>
                <c:pt idx="49">
                  <c:v>5603</c:v>
                </c:pt>
                <c:pt idx="50">
                  <c:v>5749</c:v>
                </c:pt>
                <c:pt idx="51">
                  <c:v>5778</c:v>
                </c:pt>
                <c:pt idx="52">
                  <c:v>5813</c:v>
                </c:pt>
                <c:pt idx="53">
                  <c:v>5901</c:v>
                </c:pt>
                <c:pt idx="54">
                  <c:v>6031</c:v>
                </c:pt>
                <c:pt idx="55">
                  <c:v>6094</c:v>
                </c:pt>
                <c:pt idx="56">
                  <c:v>6135</c:v>
                </c:pt>
                <c:pt idx="57">
                  <c:v>6160</c:v>
                </c:pt>
                <c:pt idx="58">
                  <c:v>6310</c:v>
                </c:pt>
                <c:pt idx="59">
                  <c:v>6381</c:v>
                </c:pt>
                <c:pt idx="60">
                  <c:v>6422</c:v>
                </c:pt>
              </c:numCache>
            </c:numRef>
          </c:val>
          <c:smooth val="0"/>
        </c:ser>
        <c:ser>
          <c:idx val="4"/>
          <c:order val="4"/>
          <c:tx>
            <c:strRef>
              <c:f>'Sheet1 (13)'!$F$3:$F$5</c:f>
              <c:strCache>
                <c:ptCount val="1"/>
                <c:pt idx="0">
                  <c:v>Post-init - Opioid_S8</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(13)'!$F$6:$F$67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4034</c:v>
                </c:pt>
                <c:pt idx="35">
                  <c:v>3627</c:v>
                </c:pt>
                <c:pt idx="36">
                  <c:v>3357</c:v>
                </c:pt>
                <c:pt idx="37">
                  <c:v>3111</c:v>
                </c:pt>
                <c:pt idx="38">
                  <c:v>3677</c:v>
                </c:pt>
                <c:pt idx="39">
                  <c:v>3623</c:v>
                </c:pt>
                <c:pt idx="40">
                  <c:v>3564</c:v>
                </c:pt>
                <c:pt idx="41">
                  <c:v>3516</c:v>
                </c:pt>
                <c:pt idx="42">
                  <c:v>3713</c:v>
                </c:pt>
                <c:pt idx="43">
                  <c:v>3722</c:v>
                </c:pt>
                <c:pt idx="44">
                  <c:v>3685</c:v>
                </c:pt>
                <c:pt idx="45">
                  <c:v>3666</c:v>
                </c:pt>
                <c:pt idx="46">
                  <c:v>3768</c:v>
                </c:pt>
                <c:pt idx="47">
                  <c:v>3734</c:v>
                </c:pt>
                <c:pt idx="48">
                  <c:v>3680</c:v>
                </c:pt>
                <c:pt idx="49">
                  <c:v>3616</c:v>
                </c:pt>
                <c:pt idx="50">
                  <c:v>3664</c:v>
                </c:pt>
                <c:pt idx="51">
                  <c:v>3676</c:v>
                </c:pt>
                <c:pt idx="52">
                  <c:v>3637</c:v>
                </c:pt>
                <c:pt idx="53">
                  <c:v>3580</c:v>
                </c:pt>
                <c:pt idx="54">
                  <c:v>3676</c:v>
                </c:pt>
                <c:pt idx="55">
                  <c:v>3671</c:v>
                </c:pt>
                <c:pt idx="56">
                  <c:v>3670</c:v>
                </c:pt>
                <c:pt idx="57">
                  <c:v>3630</c:v>
                </c:pt>
                <c:pt idx="58">
                  <c:v>3732</c:v>
                </c:pt>
                <c:pt idx="59">
                  <c:v>3694</c:v>
                </c:pt>
                <c:pt idx="60">
                  <c:v>3661</c:v>
                </c:pt>
              </c:numCache>
            </c:numRef>
          </c:val>
          <c:smooth val="0"/>
        </c:ser>
        <c:ser>
          <c:idx val="5"/>
          <c:order val="5"/>
          <c:tx>
            <c:strRef>
              <c:f>'Sheet1 (13)'!$G$3:$G$5</c:f>
              <c:strCache>
                <c:ptCount val="1"/>
                <c:pt idx="0">
                  <c:v>Post-init - Pregabalin+TCA</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(13)'!$G$6:$G$67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4614</c:v>
                </c:pt>
                <c:pt idx="31">
                  <c:v>4652</c:v>
                </c:pt>
                <c:pt idx="32">
                  <c:v>4766</c:v>
                </c:pt>
                <c:pt idx="33">
                  <c:v>5255</c:v>
                </c:pt>
                <c:pt idx="34">
                  <c:v>3169</c:v>
                </c:pt>
                <c:pt idx="35">
                  <c:v>3027</c:v>
                </c:pt>
                <c:pt idx="36">
                  <c:v>3050</c:v>
                </c:pt>
                <c:pt idx="37">
                  <c:v>3116</c:v>
                </c:pt>
                <c:pt idx="38">
                  <c:v>2826</c:v>
                </c:pt>
                <c:pt idx="39">
                  <c:v>2789</c:v>
                </c:pt>
                <c:pt idx="40">
                  <c:v>2770</c:v>
                </c:pt>
                <c:pt idx="41">
                  <c:v>2789</c:v>
                </c:pt>
                <c:pt idx="42">
                  <c:v>2600</c:v>
                </c:pt>
                <c:pt idx="43">
                  <c:v>2588</c:v>
                </c:pt>
                <c:pt idx="44">
                  <c:v>2586</c:v>
                </c:pt>
                <c:pt idx="45">
                  <c:v>2565</c:v>
                </c:pt>
                <c:pt idx="46">
                  <c:v>2452</c:v>
                </c:pt>
                <c:pt idx="47">
                  <c:v>2422</c:v>
                </c:pt>
                <c:pt idx="48">
                  <c:v>2399</c:v>
                </c:pt>
                <c:pt idx="49">
                  <c:v>2392</c:v>
                </c:pt>
                <c:pt idx="50">
                  <c:v>2353</c:v>
                </c:pt>
                <c:pt idx="51">
                  <c:v>2323</c:v>
                </c:pt>
                <c:pt idx="52">
                  <c:v>2316</c:v>
                </c:pt>
                <c:pt idx="53">
                  <c:v>2289</c:v>
                </c:pt>
                <c:pt idx="54">
                  <c:v>2203</c:v>
                </c:pt>
                <c:pt idx="55">
                  <c:v>2165</c:v>
                </c:pt>
                <c:pt idx="56">
                  <c:v>2149</c:v>
                </c:pt>
                <c:pt idx="57">
                  <c:v>2156</c:v>
                </c:pt>
                <c:pt idx="58">
                  <c:v>2063</c:v>
                </c:pt>
                <c:pt idx="59">
                  <c:v>2031</c:v>
                </c:pt>
                <c:pt idx="60">
                  <c:v>2031</c:v>
                </c:pt>
              </c:numCache>
            </c:numRef>
          </c:val>
          <c:smooth val="0"/>
        </c:ser>
        <c:ser>
          <c:idx val="6"/>
          <c:order val="6"/>
          <c:tx>
            <c:strRef>
              <c:f>'Sheet1 (13)'!$H$3:$H$5</c:f>
              <c:strCache>
                <c:ptCount val="1"/>
                <c:pt idx="0">
                  <c:v>Post-init - Opioid_S4+Pregabalin</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(13)'!$H$6:$H$67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7080</c:v>
                </c:pt>
                <c:pt idx="31">
                  <c:v>7202</c:v>
                </c:pt>
                <c:pt idx="32">
                  <c:v>7285</c:v>
                </c:pt>
                <c:pt idx="33">
                  <c:v>8010</c:v>
                </c:pt>
                <c:pt idx="34">
                  <c:v>3221</c:v>
                </c:pt>
                <c:pt idx="35">
                  <c:v>3298</c:v>
                </c:pt>
                <c:pt idx="36">
                  <c:v>3272</c:v>
                </c:pt>
                <c:pt idx="37">
                  <c:v>3187</c:v>
                </c:pt>
                <c:pt idx="38">
                  <c:v>2602</c:v>
                </c:pt>
                <c:pt idx="39">
                  <c:v>2442</c:v>
                </c:pt>
                <c:pt idx="40">
                  <c:v>2318</c:v>
                </c:pt>
                <c:pt idx="41">
                  <c:v>2244</c:v>
                </c:pt>
                <c:pt idx="42">
                  <c:v>2049</c:v>
                </c:pt>
                <c:pt idx="43">
                  <c:v>1983</c:v>
                </c:pt>
                <c:pt idx="44">
                  <c:v>1981</c:v>
                </c:pt>
                <c:pt idx="45">
                  <c:v>1940</c:v>
                </c:pt>
                <c:pt idx="46">
                  <c:v>1824</c:v>
                </c:pt>
                <c:pt idx="47">
                  <c:v>1773</c:v>
                </c:pt>
                <c:pt idx="48">
                  <c:v>1704</c:v>
                </c:pt>
                <c:pt idx="49">
                  <c:v>1691</c:v>
                </c:pt>
                <c:pt idx="50">
                  <c:v>1621</c:v>
                </c:pt>
                <c:pt idx="51">
                  <c:v>1642</c:v>
                </c:pt>
                <c:pt idx="52">
                  <c:v>1613</c:v>
                </c:pt>
                <c:pt idx="53">
                  <c:v>1587</c:v>
                </c:pt>
                <c:pt idx="54">
                  <c:v>1541</c:v>
                </c:pt>
                <c:pt idx="55">
                  <c:v>1515</c:v>
                </c:pt>
                <c:pt idx="56">
                  <c:v>1466</c:v>
                </c:pt>
                <c:pt idx="57">
                  <c:v>1467</c:v>
                </c:pt>
                <c:pt idx="58">
                  <c:v>1427</c:v>
                </c:pt>
                <c:pt idx="59">
                  <c:v>1378</c:v>
                </c:pt>
                <c:pt idx="60">
                  <c:v>1354</c:v>
                </c:pt>
              </c:numCache>
            </c:numRef>
          </c:val>
          <c:smooth val="0"/>
        </c:ser>
        <c:ser>
          <c:idx val="7"/>
          <c:order val="7"/>
          <c:tx>
            <c:strRef>
              <c:f>'Sheet1 (13)'!$I$3:$I$5</c:f>
              <c:strCache>
                <c:ptCount val="1"/>
                <c:pt idx="0">
                  <c:v>Post-init - Pregabalin+SNRI</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(13)'!$I$6:$I$67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4140</c:v>
                </c:pt>
                <c:pt idx="31">
                  <c:v>4106</c:v>
                </c:pt>
                <c:pt idx="32">
                  <c:v>4115</c:v>
                </c:pt>
                <c:pt idx="33">
                  <c:v>4342</c:v>
                </c:pt>
                <c:pt idx="34">
                  <c:v>2712</c:v>
                </c:pt>
                <c:pt idx="35">
                  <c:v>2704</c:v>
                </c:pt>
                <c:pt idx="36">
                  <c:v>2733</c:v>
                </c:pt>
                <c:pt idx="37">
                  <c:v>2751</c:v>
                </c:pt>
                <c:pt idx="38">
                  <c:v>2560</c:v>
                </c:pt>
                <c:pt idx="39">
                  <c:v>2523</c:v>
                </c:pt>
                <c:pt idx="40">
                  <c:v>2518</c:v>
                </c:pt>
                <c:pt idx="41">
                  <c:v>2502</c:v>
                </c:pt>
                <c:pt idx="42">
                  <c:v>2400</c:v>
                </c:pt>
                <c:pt idx="43">
                  <c:v>2378</c:v>
                </c:pt>
                <c:pt idx="44">
                  <c:v>2381</c:v>
                </c:pt>
                <c:pt idx="45">
                  <c:v>2353</c:v>
                </c:pt>
                <c:pt idx="46">
                  <c:v>2295</c:v>
                </c:pt>
                <c:pt idx="47">
                  <c:v>2265</c:v>
                </c:pt>
                <c:pt idx="48">
                  <c:v>2269</c:v>
                </c:pt>
                <c:pt idx="49">
                  <c:v>2279</c:v>
                </c:pt>
                <c:pt idx="50">
                  <c:v>2234</c:v>
                </c:pt>
                <c:pt idx="51">
                  <c:v>2213</c:v>
                </c:pt>
                <c:pt idx="52">
                  <c:v>2210</c:v>
                </c:pt>
                <c:pt idx="53">
                  <c:v>2186</c:v>
                </c:pt>
                <c:pt idx="54">
                  <c:v>2105</c:v>
                </c:pt>
                <c:pt idx="55">
                  <c:v>2092</c:v>
                </c:pt>
                <c:pt idx="56">
                  <c:v>2057</c:v>
                </c:pt>
                <c:pt idx="57">
                  <c:v>2057</c:v>
                </c:pt>
                <c:pt idx="58">
                  <c:v>1979</c:v>
                </c:pt>
                <c:pt idx="59">
                  <c:v>1967</c:v>
                </c:pt>
                <c:pt idx="60">
                  <c:v>1947</c:v>
                </c:pt>
              </c:numCache>
            </c:numRef>
          </c:val>
          <c:smooth val="0"/>
        </c:ser>
        <c:ser>
          <c:idx val="8"/>
          <c:order val="8"/>
          <c:tx>
            <c:strRef>
              <c:f>'Sheet1 (13)'!$J$3:$J$5</c:f>
              <c:strCache>
                <c:ptCount val="1"/>
                <c:pt idx="0">
                  <c:v>Post-init - Pregabalin+Tramadol</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(13)'!$J$6:$J$67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4711</c:v>
                </c:pt>
                <c:pt idx="31">
                  <c:v>4771</c:v>
                </c:pt>
                <c:pt idx="32">
                  <c:v>4900</c:v>
                </c:pt>
                <c:pt idx="33">
                  <c:v>4146</c:v>
                </c:pt>
                <c:pt idx="34">
                  <c:v>2672</c:v>
                </c:pt>
                <c:pt idx="35">
                  <c:v>2614</c:v>
                </c:pt>
                <c:pt idx="36">
                  <c:v>2570</c:v>
                </c:pt>
                <c:pt idx="37">
                  <c:v>2502</c:v>
                </c:pt>
                <c:pt idx="38">
                  <c:v>2201</c:v>
                </c:pt>
                <c:pt idx="39">
                  <c:v>2134</c:v>
                </c:pt>
                <c:pt idx="40">
                  <c:v>2072</c:v>
                </c:pt>
                <c:pt idx="41">
                  <c:v>2011</c:v>
                </c:pt>
                <c:pt idx="42">
                  <c:v>1925</c:v>
                </c:pt>
                <c:pt idx="43">
                  <c:v>1851</c:v>
                </c:pt>
                <c:pt idx="44">
                  <c:v>1833</c:v>
                </c:pt>
                <c:pt idx="45">
                  <c:v>1797</c:v>
                </c:pt>
                <c:pt idx="46">
                  <c:v>1742</c:v>
                </c:pt>
                <c:pt idx="47">
                  <c:v>1732</c:v>
                </c:pt>
                <c:pt idx="48">
                  <c:v>1679</c:v>
                </c:pt>
                <c:pt idx="49">
                  <c:v>1669</c:v>
                </c:pt>
                <c:pt idx="50">
                  <c:v>1601</c:v>
                </c:pt>
                <c:pt idx="51">
                  <c:v>1577</c:v>
                </c:pt>
                <c:pt idx="52">
                  <c:v>1545</c:v>
                </c:pt>
                <c:pt idx="53">
                  <c:v>1530</c:v>
                </c:pt>
                <c:pt idx="54">
                  <c:v>1506</c:v>
                </c:pt>
                <c:pt idx="55">
                  <c:v>1485</c:v>
                </c:pt>
                <c:pt idx="56">
                  <c:v>1468</c:v>
                </c:pt>
                <c:pt idx="57">
                  <c:v>1450</c:v>
                </c:pt>
                <c:pt idx="58">
                  <c:v>1403</c:v>
                </c:pt>
                <c:pt idx="59">
                  <c:v>1390</c:v>
                </c:pt>
                <c:pt idx="60">
                  <c:v>1386</c:v>
                </c:pt>
              </c:numCache>
            </c:numRef>
          </c:val>
          <c:smooth val="0"/>
        </c:ser>
        <c:ser>
          <c:idx val="9"/>
          <c:order val="9"/>
          <c:tx>
            <c:strRef>
              <c:f>'Sheet1 (13)'!$K$3:$K$5</c:f>
              <c:strCache>
                <c:ptCount val="1"/>
                <c:pt idx="0">
                  <c:v>Post-init - Opioid_S4</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(13)'!$K$6:$K$67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2504</c:v>
                </c:pt>
                <c:pt idx="35">
                  <c:v>2514</c:v>
                </c:pt>
                <c:pt idx="36">
                  <c:v>2464</c:v>
                </c:pt>
                <c:pt idx="37">
                  <c:v>2359</c:v>
                </c:pt>
                <c:pt idx="38">
                  <c:v>2470</c:v>
                </c:pt>
                <c:pt idx="39">
                  <c:v>2482</c:v>
                </c:pt>
                <c:pt idx="40">
                  <c:v>2463</c:v>
                </c:pt>
                <c:pt idx="41">
                  <c:v>2405</c:v>
                </c:pt>
                <c:pt idx="42">
                  <c:v>2382</c:v>
                </c:pt>
                <c:pt idx="43">
                  <c:v>2465</c:v>
                </c:pt>
                <c:pt idx="44">
                  <c:v>2476</c:v>
                </c:pt>
                <c:pt idx="45">
                  <c:v>2450</c:v>
                </c:pt>
                <c:pt idx="46">
                  <c:v>2510</c:v>
                </c:pt>
                <c:pt idx="47">
                  <c:v>2500</c:v>
                </c:pt>
                <c:pt idx="48">
                  <c:v>2478</c:v>
                </c:pt>
                <c:pt idx="49">
                  <c:v>2462</c:v>
                </c:pt>
                <c:pt idx="50">
                  <c:v>2480</c:v>
                </c:pt>
                <c:pt idx="51">
                  <c:v>2441</c:v>
                </c:pt>
                <c:pt idx="52">
                  <c:v>2450</c:v>
                </c:pt>
                <c:pt idx="53">
                  <c:v>2381</c:v>
                </c:pt>
                <c:pt idx="54">
                  <c:v>2415</c:v>
                </c:pt>
                <c:pt idx="55">
                  <c:v>2423</c:v>
                </c:pt>
                <c:pt idx="56">
                  <c:v>2408</c:v>
                </c:pt>
                <c:pt idx="57">
                  <c:v>2376</c:v>
                </c:pt>
                <c:pt idx="58">
                  <c:v>2473</c:v>
                </c:pt>
                <c:pt idx="59">
                  <c:v>2534</c:v>
                </c:pt>
                <c:pt idx="60">
                  <c:v>2527</c:v>
                </c:pt>
              </c:numCache>
            </c:numRef>
          </c:val>
          <c:smooth val="0"/>
        </c:ser>
        <c:ser>
          <c:idx val="10"/>
          <c:order val="10"/>
          <c:tx>
            <c:strRef>
              <c:f>'Sheet1 (13)'!$L$3:$L$5</c:f>
              <c:strCache>
                <c:ptCount val="1"/>
                <c:pt idx="0">
                  <c:v>Pre-init - Other_antidepressant</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(13)'!$L$6:$L$67</c:f>
              <c:numCache>
                <c:formatCode>General</c:formatCode>
                <c:ptCount val="61"/>
                <c:pt idx="0">
                  <c:v>10979</c:v>
                </c:pt>
                <c:pt idx="1">
                  <c:v>10999</c:v>
                </c:pt>
                <c:pt idx="2">
                  <c:v>11025</c:v>
                </c:pt>
                <c:pt idx="3">
                  <c:v>11033</c:v>
                </c:pt>
                <c:pt idx="4">
                  <c:v>11014</c:v>
                </c:pt>
                <c:pt idx="5">
                  <c:v>11052</c:v>
                </c:pt>
                <c:pt idx="6">
                  <c:v>11077</c:v>
                </c:pt>
                <c:pt idx="7">
                  <c:v>11081</c:v>
                </c:pt>
                <c:pt idx="8">
                  <c:v>11055</c:v>
                </c:pt>
                <c:pt idx="9">
                  <c:v>10974</c:v>
                </c:pt>
                <c:pt idx="10">
                  <c:v>10922</c:v>
                </c:pt>
                <c:pt idx="11">
                  <c:v>10919</c:v>
                </c:pt>
                <c:pt idx="12">
                  <c:v>10948</c:v>
                </c:pt>
                <c:pt idx="13">
                  <c:v>10975</c:v>
                </c:pt>
                <c:pt idx="14">
                  <c:v>10971</c:v>
                </c:pt>
                <c:pt idx="15">
                  <c:v>10918</c:v>
                </c:pt>
                <c:pt idx="16">
                  <c:v>10873</c:v>
                </c:pt>
                <c:pt idx="17">
                  <c:v>10895</c:v>
                </c:pt>
                <c:pt idx="18">
                  <c:v>10792</c:v>
                </c:pt>
                <c:pt idx="19">
                  <c:v>10717</c:v>
                </c:pt>
                <c:pt idx="20">
                  <c:v>10635</c:v>
                </c:pt>
                <c:pt idx="21">
                  <c:v>10565</c:v>
                </c:pt>
                <c:pt idx="22">
                  <c:v>10503</c:v>
                </c:pt>
                <c:pt idx="23">
                  <c:v>10407</c:v>
                </c:pt>
                <c:pt idx="24">
                  <c:v>10320</c:v>
                </c:pt>
                <c:pt idx="25">
                  <c:v>10217</c:v>
                </c:pt>
                <c:pt idx="26">
                  <c:v>10065</c:v>
                </c:pt>
                <c:pt idx="27">
                  <c:v>9774</c:v>
                </c:pt>
                <c:pt idx="28">
                  <c:v>9432</c:v>
                </c:pt>
                <c:pt idx="29">
                  <c:v>8931</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1"/>
          <c:order val="11"/>
          <c:tx>
            <c:strRef>
              <c:f>'Sheet1 (13)'!$M$3:$M$5</c:f>
              <c:strCache>
                <c:ptCount val="1"/>
                <c:pt idx="0">
                  <c:v>Pre-init - Opioid_S8</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(13)'!$M$6:$M$67</c:f>
              <c:numCache>
                <c:formatCode>General</c:formatCode>
                <c:ptCount val="61"/>
                <c:pt idx="0">
                  <c:v>5370</c:v>
                </c:pt>
                <c:pt idx="1">
                  <c:v>5389</c:v>
                </c:pt>
                <c:pt idx="2">
                  <c:v>5410</c:v>
                </c:pt>
                <c:pt idx="3">
                  <c:v>5506</c:v>
                </c:pt>
                <c:pt idx="4">
                  <c:v>5627</c:v>
                </c:pt>
                <c:pt idx="5">
                  <c:v>5667</c:v>
                </c:pt>
                <c:pt idx="6">
                  <c:v>5693</c:v>
                </c:pt>
                <c:pt idx="7">
                  <c:v>5704</c:v>
                </c:pt>
                <c:pt idx="8">
                  <c:v>5788</c:v>
                </c:pt>
                <c:pt idx="9">
                  <c:v>5806</c:v>
                </c:pt>
                <c:pt idx="10">
                  <c:v>5888</c:v>
                </c:pt>
                <c:pt idx="11">
                  <c:v>5944</c:v>
                </c:pt>
                <c:pt idx="12">
                  <c:v>6067</c:v>
                </c:pt>
                <c:pt idx="13">
                  <c:v>6186</c:v>
                </c:pt>
                <c:pt idx="14">
                  <c:v>6283</c:v>
                </c:pt>
                <c:pt idx="15">
                  <c:v>6401</c:v>
                </c:pt>
                <c:pt idx="16">
                  <c:v>6494</c:v>
                </c:pt>
                <c:pt idx="17">
                  <c:v>6632</c:v>
                </c:pt>
                <c:pt idx="18">
                  <c:v>6770</c:v>
                </c:pt>
                <c:pt idx="19">
                  <c:v>6922</c:v>
                </c:pt>
                <c:pt idx="20">
                  <c:v>7083</c:v>
                </c:pt>
                <c:pt idx="21">
                  <c:v>7306</c:v>
                </c:pt>
                <c:pt idx="22">
                  <c:v>7533</c:v>
                </c:pt>
                <c:pt idx="23">
                  <c:v>7771</c:v>
                </c:pt>
                <c:pt idx="24">
                  <c:v>8022</c:v>
                </c:pt>
                <c:pt idx="25">
                  <c:v>8336</c:v>
                </c:pt>
                <c:pt idx="26">
                  <c:v>8691</c:v>
                </c:pt>
                <c:pt idx="27">
                  <c:v>9231</c:v>
                </c:pt>
                <c:pt idx="28">
                  <c:v>9898</c:v>
                </c:pt>
                <c:pt idx="29">
                  <c:v>11139</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2"/>
          <c:order val="12"/>
          <c:tx>
            <c:strRef>
              <c:f>'Sheet1 (13)'!$N$3:$N$5</c:f>
              <c:strCache>
                <c:ptCount val="1"/>
                <c:pt idx="0">
                  <c:v>Pre-init - TCA</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(13)'!$N$6:$N$67</c:f>
              <c:numCache>
                <c:formatCode>General</c:formatCode>
                <c:ptCount val="61"/>
                <c:pt idx="0">
                  <c:v>5022</c:v>
                </c:pt>
                <c:pt idx="1">
                  <c:v>5054</c:v>
                </c:pt>
                <c:pt idx="2">
                  <c:v>5044</c:v>
                </c:pt>
                <c:pt idx="3">
                  <c:v>5077</c:v>
                </c:pt>
                <c:pt idx="4">
                  <c:v>5085</c:v>
                </c:pt>
                <c:pt idx="5">
                  <c:v>5077</c:v>
                </c:pt>
                <c:pt idx="6">
                  <c:v>5093</c:v>
                </c:pt>
                <c:pt idx="7">
                  <c:v>5114</c:v>
                </c:pt>
                <c:pt idx="8">
                  <c:v>5110</c:v>
                </c:pt>
                <c:pt idx="9">
                  <c:v>5128</c:v>
                </c:pt>
                <c:pt idx="10">
                  <c:v>5125</c:v>
                </c:pt>
                <c:pt idx="11">
                  <c:v>5133</c:v>
                </c:pt>
                <c:pt idx="12">
                  <c:v>5118</c:v>
                </c:pt>
                <c:pt idx="13">
                  <c:v>5108</c:v>
                </c:pt>
                <c:pt idx="14">
                  <c:v>5110</c:v>
                </c:pt>
                <c:pt idx="15">
                  <c:v>5085</c:v>
                </c:pt>
                <c:pt idx="16">
                  <c:v>5119</c:v>
                </c:pt>
                <c:pt idx="17">
                  <c:v>5128</c:v>
                </c:pt>
                <c:pt idx="18">
                  <c:v>5161</c:v>
                </c:pt>
                <c:pt idx="19">
                  <c:v>5177</c:v>
                </c:pt>
                <c:pt idx="20">
                  <c:v>5166</c:v>
                </c:pt>
                <c:pt idx="21">
                  <c:v>5168</c:v>
                </c:pt>
                <c:pt idx="22">
                  <c:v>5190</c:v>
                </c:pt>
                <c:pt idx="23">
                  <c:v>5252</c:v>
                </c:pt>
                <c:pt idx="24">
                  <c:v>5271</c:v>
                </c:pt>
                <c:pt idx="25">
                  <c:v>5325</c:v>
                </c:pt>
                <c:pt idx="26">
                  <c:v>5446</c:v>
                </c:pt>
                <c:pt idx="27">
                  <c:v>5622</c:v>
                </c:pt>
                <c:pt idx="28">
                  <c:v>5789</c:v>
                </c:pt>
                <c:pt idx="29">
                  <c:v>5805</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3"/>
          <c:order val="13"/>
          <c:tx>
            <c:strRef>
              <c:f>'Sheet1 (13)'!$O$3:$O$5</c:f>
              <c:strCache>
                <c:ptCount val="1"/>
                <c:pt idx="0">
                  <c:v>Pre-init - Opioid_S4</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(13)'!$O$6:$O$67</c:f>
              <c:numCache>
                <c:formatCode>General</c:formatCode>
                <c:ptCount val="61"/>
                <c:pt idx="0">
                  <c:v>4570</c:v>
                </c:pt>
                <c:pt idx="1">
                  <c:v>4620</c:v>
                </c:pt>
                <c:pt idx="2">
                  <c:v>4581</c:v>
                </c:pt>
                <c:pt idx="3">
                  <c:v>4588</c:v>
                </c:pt>
                <c:pt idx="4">
                  <c:v>4604</c:v>
                </c:pt>
                <c:pt idx="5">
                  <c:v>4578</c:v>
                </c:pt>
                <c:pt idx="6">
                  <c:v>4634</c:v>
                </c:pt>
                <c:pt idx="7">
                  <c:v>4624</c:v>
                </c:pt>
                <c:pt idx="8">
                  <c:v>4621</c:v>
                </c:pt>
                <c:pt idx="9">
                  <c:v>4638</c:v>
                </c:pt>
                <c:pt idx="10">
                  <c:v>4658</c:v>
                </c:pt>
                <c:pt idx="11">
                  <c:v>4653</c:v>
                </c:pt>
                <c:pt idx="12">
                  <c:v>4692</c:v>
                </c:pt>
                <c:pt idx="13">
                  <c:v>4747</c:v>
                </c:pt>
                <c:pt idx="14">
                  <c:v>4783</c:v>
                </c:pt>
                <c:pt idx="15">
                  <c:v>4807</c:v>
                </c:pt>
                <c:pt idx="16">
                  <c:v>4855</c:v>
                </c:pt>
                <c:pt idx="17">
                  <c:v>4837</c:v>
                </c:pt>
                <c:pt idx="18">
                  <c:v>4870</c:v>
                </c:pt>
                <c:pt idx="19">
                  <c:v>4884</c:v>
                </c:pt>
                <c:pt idx="20">
                  <c:v>4985</c:v>
                </c:pt>
                <c:pt idx="21">
                  <c:v>5116</c:v>
                </c:pt>
                <c:pt idx="22">
                  <c:v>5220</c:v>
                </c:pt>
                <c:pt idx="23">
                  <c:v>5375</c:v>
                </c:pt>
                <c:pt idx="24">
                  <c:v>5508</c:v>
                </c:pt>
                <c:pt idx="25">
                  <c:v>5714</c:v>
                </c:pt>
                <c:pt idx="26">
                  <c:v>5947</c:v>
                </c:pt>
                <c:pt idx="27">
                  <c:v>6600</c:v>
                </c:pt>
                <c:pt idx="28">
                  <c:v>7600</c:v>
                </c:pt>
                <c:pt idx="29">
                  <c:v>8653</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4"/>
          <c:order val="14"/>
          <c:tx>
            <c:strRef>
              <c:f>'Sheet1 (13)'!$P$3:$P$5</c:f>
              <c:strCache>
                <c:ptCount val="1"/>
                <c:pt idx="0">
                  <c:v>Pre-init - SNRI</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(13)'!$P$6:$P$67</c:f>
              <c:numCache>
                <c:formatCode>General</c:formatCode>
                <c:ptCount val="61"/>
                <c:pt idx="0">
                  <c:v>4903</c:v>
                </c:pt>
                <c:pt idx="1">
                  <c:v>4885</c:v>
                </c:pt>
                <c:pt idx="2">
                  <c:v>4894</c:v>
                </c:pt>
                <c:pt idx="3">
                  <c:v>4935</c:v>
                </c:pt>
                <c:pt idx="4">
                  <c:v>4919</c:v>
                </c:pt>
                <c:pt idx="5">
                  <c:v>4925</c:v>
                </c:pt>
                <c:pt idx="6">
                  <c:v>4912</c:v>
                </c:pt>
                <c:pt idx="7">
                  <c:v>4912</c:v>
                </c:pt>
                <c:pt idx="8">
                  <c:v>4898</c:v>
                </c:pt>
                <c:pt idx="9">
                  <c:v>4917</c:v>
                </c:pt>
                <c:pt idx="10">
                  <c:v>4939</c:v>
                </c:pt>
                <c:pt idx="11">
                  <c:v>4905</c:v>
                </c:pt>
                <c:pt idx="12">
                  <c:v>4887</c:v>
                </c:pt>
                <c:pt idx="13">
                  <c:v>4855</c:v>
                </c:pt>
                <c:pt idx="14">
                  <c:v>4870</c:v>
                </c:pt>
                <c:pt idx="15">
                  <c:v>4880</c:v>
                </c:pt>
                <c:pt idx="16">
                  <c:v>4858</c:v>
                </c:pt>
                <c:pt idx="17">
                  <c:v>4860</c:v>
                </c:pt>
                <c:pt idx="18">
                  <c:v>4870</c:v>
                </c:pt>
                <c:pt idx="19">
                  <c:v>4874</c:v>
                </c:pt>
                <c:pt idx="20">
                  <c:v>4864</c:v>
                </c:pt>
                <c:pt idx="21">
                  <c:v>4852</c:v>
                </c:pt>
                <c:pt idx="22">
                  <c:v>4804</c:v>
                </c:pt>
                <c:pt idx="23">
                  <c:v>4772</c:v>
                </c:pt>
                <c:pt idx="24">
                  <c:v>4731</c:v>
                </c:pt>
                <c:pt idx="25">
                  <c:v>4698</c:v>
                </c:pt>
                <c:pt idx="26">
                  <c:v>4590</c:v>
                </c:pt>
                <c:pt idx="27">
                  <c:v>4477</c:v>
                </c:pt>
                <c:pt idx="28">
                  <c:v>4311</c:v>
                </c:pt>
                <c:pt idx="29">
                  <c:v>4058</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5"/>
          <c:order val="15"/>
          <c:tx>
            <c:strRef>
              <c:f>'Sheet1 (13)'!$Q$3:$Q$5</c:f>
              <c:strCache>
                <c:ptCount val="1"/>
                <c:pt idx="0">
                  <c:v>Pre-init - Tramadol</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(13)'!$Q$6:$Q$67</c:f>
              <c:numCache>
                <c:formatCode>General</c:formatCode>
                <c:ptCount val="61"/>
                <c:pt idx="0">
                  <c:v>2802</c:v>
                </c:pt>
                <c:pt idx="1">
                  <c:v>2813</c:v>
                </c:pt>
                <c:pt idx="2">
                  <c:v>2796</c:v>
                </c:pt>
                <c:pt idx="3">
                  <c:v>2839</c:v>
                </c:pt>
                <c:pt idx="4">
                  <c:v>2842</c:v>
                </c:pt>
                <c:pt idx="5">
                  <c:v>2852</c:v>
                </c:pt>
                <c:pt idx="6">
                  <c:v>2865</c:v>
                </c:pt>
                <c:pt idx="7">
                  <c:v>2870</c:v>
                </c:pt>
                <c:pt idx="8">
                  <c:v>2891</c:v>
                </c:pt>
                <c:pt idx="9">
                  <c:v>2934</c:v>
                </c:pt>
                <c:pt idx="10">
                  <c:v>2961</c:v>
                </c:pt>
                <c:pt idx="11">
                  <c:v>2923</c:v>
                </c:pt>
                <c:pt idx="12">
                  <c:v>2920</c:v>
                </c:pt>
                <c:pt idx="13">
                  <c:v>2938</c:v>
                </c:pt>
                <c:pt idx="14">
                  <c:v>3005</c:v>
                </c:pt>
                <c:pt idx="15">
                  <c:v>3064</c:v>
                </c:pt>
                <c:pt idx="16">
                  <c:v>3167</c:v>
                </c:pt>
                <c:pt idx="17">
                  <c:v>3202</c:v>
                </c:pt>
                <c:pt idx="18">
                  <c:v>3209</c:v>
                </c:pt>
                <c:pt idx="19">
                  <c:v>3219</c:v>
                </c:pt>
                <c:pt idx="20">
                  <c:v>3270</c:v>
                </c:pt>
                <c:pt idx="21">
                  <c:v>3323</c:v>
                </c:pt>
                <c:pt idx="22">
                  <c:v>3381</c:v>
                </c:pt>
                <c:pt idx="23">
                  <c:v>3396</c:v>
                </c:pt>
                <c:pt idx="24">
                  <c:v>3446</c:v>
                </c:pt>
                <c:pt idx="25">
                  <c:v>3560</c:v>
                </c:pt>
                <c:pt idx="26">
                  <c:v>3697</c:v>
                </c:pt>
                <c:pt idx="27">
                  <c:v>3862</c:v>
                </c:pt>
                <c:pt idx="28">
                  <c:v>4056</c:v>
                </c:pt>
                <c:pt idx="29">
                  <c:v>4527</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6"/>
          <c:order val="16"/>
          <c:tx>
            <c:strRef>
              <c:f>'Sheet1 (13)'!$R$3:$R$5</c:f>
              <c:strCache>
                <c:ptCount val="1"/>
                <c:pt idx="0">
                  <c:v>Pre-init - Opioid_S8+Other_antidepressant</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(13)'!$R$6:$R$67</c:f>
              <c:numCache>
                <c:formatCode>General</c:formatCode>
                <c:ptCount val="61"/>
                <c:pt idx="0">
                  <c:v>1953</c:v>
                </c:pt>
                <c:pt idx="1">
                  <c:v>1940</c:v>
                </c:pt>
                <c:pt idx="2">
                  <c:v>1967</c:v>
                </c:pt>
                <c:pt idx="3">
                  <c:v>1984</c:v>
                </c:pt>
                <c:pt idx="4">
                  <c:v>2016</c:v>
                </c:pt>
                <c:pt idx="5">
                  <c:v>1990</c:v>
                </c:pt>
                <c:pt idx="6">
                  <c:v>2021</c:v>
                </c:pt>
                <c:pt idx="7">
                  <c:v>2019</c:v>
                </c:pt>
                <c:pt idx="8">
                  <c:v>2032</c:v>
                </c:pt>
                <c:pt idx="9">
                  <c:v>2100</c:v>
                </c:pt>
                <c:pt idx="10">
                  <c:v>2142</c:v>
                </c:pt>
                <c:pt idx="11">
                  <c:v>2171</c:v>
                </c:pt>
                <c:pt idx="12">
                  <c:v>2208</c:v>
                </c:pt>
                <c:pt idx="13">
                  <c:v>2236</c:v>
                </c:pt>
                <c:pt idx="14">
                  <c:v>2263</c:v>
                </c:pt>
                <c:pt idx="15">
                  <c:v>2288</c:v>
                </c:pt>
                <c:pt idx="16">
                  <c:v>2313</c:v>
                </c:pt>
                <c:pt idx="17">
                  <c:v>2317</c:v>
                </c:pt>
                <c:pt idx="18">
                  <c:v>2349</c:v>
                </c:pt>
                <c:pt idx="19">
                  <c:v>2389</c:v>
                </c:pt>
                <c:pt idx="20">
                  <c:v>2432</c:v>
                </c:pt>
                <c:pt idx="21">
                  <c:v>2450</c:v>
                </c:pt>
                <c:pt idx="22">
                  <c:v>2500</c:v>
                </c:pt>
                <c:pt idx="23">
                  <c:v>2534</c:v>
                </c:pt>
                <c:pt idx="24">
                  <c:v>2616</c:v>
                </c:pt>
                <c:pt idx="25">
                  <c:v>2673</c:v>
                </c:pt>
                <c:pt idx="26">
                  <c:v>2799</c:v>
                </c:pt>
                <c:pt idx="27">
                  <c:v>2909</c:v>
                </c:pt>
                <c:pt idx="28">
                  <c:v>2997</c:v>
                </c:pt>
                <c:pt idx="29">
                  <c:v>3224</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7"/>
          <c:order val="17"/>
          <c:tx>
            <c:strRef>
              <c:f>'Sheet1 (13)'!$S$3:$S$5</c:f>
              <c:strCache>
                <c:ptCount val="1"/>
                <c:pt idx="0">
                  <c:v>Pre-init - Opioid_S8+TCA</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(13)'!$S$6:$S$67</c:f>
              <c:numCache>
                <c:formatCode>General</c:formatCode>
                <c:ptCount val="61"/>
                <c:pt idx="0">
                  <c:v>1299</c:v>
                </c:pt>
                <c:pt idx="1">
                  <c:v>1314</c:v>
                </c:pt>
                <c:pt idx="2">
                  <c:v>1335</c:v>
                </c:pt>
                <c:pt idx="3">
                  <c:v>1336</c:v>
                </c:pt>
                <c:pt idx="4">
                  <c:v>1362</c:v>
                </c:pt>
                <c:pt idx="5">
                  <c:v>1370</c:v>
                </c:pt>
                <c:pt idx="6">
                  <c:v>1353</c:v>
                </c:pt>
                <c:pt idx="7">
                  <c:v>1368</c:v>
                </c:pt>
                <c:pt idx="8">
                  <c:v>1383</c:v>
                </c:pt>
                <c:pt idx="9">
                  <c:v>1389</c:v>
                </c:pt>
                <c:pt idx="10">
                  <c:v>1369</c:v>
                </c:pt>
                <c:pt idx="11">
                  <c:v>1407</c:v>
                </c:pt>
                <c:pt idx="12">
                  <c:v>1402</c:v>
                </c:pt>
                <c:pt idx="13">
                  <c:v>1394</c:v>
                </c:pt>
                <c:pt idx="14">
                  <c:v>1403</c:v>
                </c:pt>
                <c:pt idx="15">
                  <c:v>1414</c:v>
                </c:pt>
                <c:pt idx="16">
                  <c:v>1447</c:v>
                </c:pt>
                <c:pt idx="17">
                  <c:v>1438</c:v>
                </c:pt>
                <c:pt idx="18">
                  <c:v>1443</c:v>
                </c:pt>
                <c:pt idx="19">
                  <c:v>1460</c:v>
                </c:pt>
                <c:pt idx="20">
                  <c:v>1485</c:v>
                </c:pt>
                <c:pt idx="21">
                  <c:v>1496</c:v>
                </c:pt>
                <c:pt idx="22">
                  <c:v>1536</c:v>
                </c:pt>
                <c:pt idx="23">
                  <c:v>1568</c:v>
                </c:pt>
                <c:pt idx="24">
                  <c:v>1595</c:v>
                </c:pt>
                <c:pt idx="25">
                  <c:v>1629</c:v>
                </c:pt>
                <c:pt idx="26">
                  <c:v>1723</c:v>
                </c:pt>
                <c:pt idx="27">
                  <c:v>1826</c:v>
                </c:pt>
                <c:pt idx="28">
                  <c:v>1927</c:v>
                </c:pt>
                <c:pt idx="29">
                  <c:v>2147</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8"/>
          <c:order val="18"/>
          <c:tx>
            <c:strRef>
              <c:f>'Sheet1 (13)'!$T$3:$T$5</c:f>
              <c:strCache>
                <c:ptCount val="1"/>
                <c:pt idx="0">
                  <c:v>Pre-init - Antiepileptic</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(13)'!$T$6:$T$67</c:f>
              <c:numCache>
                <c:formatCode>General</c:formatCode>
                <c:ptCount val="61"/>
                <c:pt idx="0">
                  <c:v>1353</c:v>
                </c:pt>
                <c:pt idx="1">
                  <c:v>1344</c:v>
                </c:pt>
                <c:pt idx="2">
                  <c:v>1363</c:v>
                </c:pt>
                <c:pt idx="3">
                  <c:v>1347</c:v>
                </c:pt>
                <c:pt idx="4">
                  <c:v>1331</c:v>
                </c:pt>
                <c:pt idx="5">
                  <c:v>1327</c:v>
                </c:pt>
                <c:pt idx="6">
                  <c:v>1314</c:v>
                </c:pt>
                <c:pt idx="7">
                  <c:v>1321</c:v>
                </c:pt>
                <c:pt idx="8">
                  <c:v>1339</c:v>
                </c:pt>
                <c:pt idx="9">
                  <c:v>1325</c:v>
                </c:pt>
                <c:pt idx="10">
                  <c:v>1310</c:v>
                </c:pt>
                <c:pt idx="11">
                  <c:v>1316</c:v>
                </c:pt>
                <c:pt idx="12">
                  <c:v>1316</c:v>
                </c:pt>
                <c:pt idx="13">
                  <c:v>1322</c:v>
                </c:pt>
                <c:pt idx="14">
                  <c:v>1315</c:v>
                </c:pt>
                <c:pt idx="15">
                  <c:v>1323</c:v>
                </c:pt>
                <c:pt idx="16">
                  <c:v>1297</c:v>
                </c:pt>
                <c:pt idx="17">
                  <c:v>1332</c:v>
                </c:pt>
                <c:pt idx="18">
                  <c:v>1335</c:v>
                </c:pt>
                <c:pt idx="19">
                  <c:v>1336</c:v>
                </c:pt>
                <c:pt idx="20">
                  <c:v>1341</c:v>
                </c:pt>
                <c:pt idx="21">
                  <c:v>1353</c:v>
                </c:pt>
                <c:pt idx="22">
                  <c:v>1336</c:v>
                </c:pt>
                <c:pt idx="23">
                  <c:v>1332</c:v>
                </c:pt>
                <c:pt idx="24">
                  <c:v>1311</c:v>
                </c:pt>
                <c:pt idx="25">
                  <c:v>1323</c:v>
                </c:pt>
                <c:pt idx="26">
                  <c:v>1368</c:v>
                </c:pt>
                <c:pt idx="27">
                  <c:v>1375</c:v>
                </c:pt>
                <c:pt idx="28">
                  <c:v>1390</c:v>
                </c:pt>
                <c:pt idx="29">
                  <c:v>1372</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ser>
          <c:idx val="19"/>
          <c:order val="19"/>
          <c:tx>
            <c:strRef>
              <c:f>'Sheet1 (13)'!$U$3:$U$5</c:f>
              <c:strCache>
                <c:ptCount val="1"/>
                <c:pt idx="0">
                  <c:v>Pre-init - Opioid_S4+Other_antidepressant</c:v>
                </c:pt>
              </c:strCache>
            </c:strRef>
          </c:tx>
          <c:marker>
            <c:symbol val="none"/>
          </c:marker>
          <c:cat>
            <c:strRef>
              <c:f>'Sheet1 (13)'!$A$6:$A$67</c:f>
              <c:strCache>
                <c:ptCount val="61"/>
                <c:pt idx="0">
                  <c:v>-30</c:v>
                </c:pt>
                <c:pt idx="1">
                  <c:v>-29</c:v>
                </c:pt>
                <c:pt idx="2">
                  <c:v>-28</c:v>
                </c:pt>
                <c:pt idx="3">
                  <c:v>-27</c:v>
                </c:pt>
                <c:pt idx="4">
                  <c:v>-26</c:v>
                </c:pt>
                <c:pt idx="5">
                  <c:v>-25</c:v>
                </c:pt>
                <c:pt idx="6">
                  <c:v>-24</c:v>
                </c:pt>
                <c:pt idx="7">
                  <c:v>-23</c:v>
                </c:pt>
                <c:pt idx="8">
                  <c:v>-22</c:v>
                </c:pt>
                <c:pt idx="9">
                  <c:v>-21</c:v>
                </c:pt>
                <c:pt idx="10">
                  <c:v>-20</c:v>
                </c:pt>
                <c:pt idx="11">
                  <c:v>-19</c:v>
                </c:pt>
                <c:pt idx="12">
                  <c:v>-18</c:v>
                </c:pt>
                <c:pt idx="13">
                  <c:v>-17</c:v>
                </c:pt>
                <c:pt idx="14">
                  <c:v>-16</c:v>
                </c:pt>
                <c:pt idx="15">
                  <c:v>-15</c:v>
                </c:pt>
                <c:pt idx="16">
                  <c:v>-14</c:v>
                </c:pt>
                <c:pt idx="17">
                  <c:v>-13</c:v>
                </c:pt>
                <c:pt idx="18">
                  <c:v>-12</c:v>
                </c:pt>
                <c:pt idx="19">
                  <c:v>-11</c:v>
                </c:pt>
                <c:pt idx="20">
                  <c:v>-10</c:v>
                </c:pt>
                <c:pt idx="21">
                  <c:v>-9</c:v>
                </c:pt>
                <c:pt idx="22">
                  <c:v>-8</c:v>
                </c:pt>
                <c:pt idx="23">
                  <c:v>-7</c:v>
                </c:pt>
                <c:pt idx="24">
                  <c:v>-6</c:v>
                </c:pt>
                <c:pt idx="25">
                  <c:v>-5</c:v>
                </c:pt>
                <c:pt idx="26">
                  <c:v>-4</c:v>
                </c:pt>
                <c:pt idx="27">
                  <c:v>-3</c:v>
                </c:pt>
                <c:pt idx="28">
                  <c:v>-2</c:v>
                </c:pt>
                <c:pt idx="29">
                  <c:v>-1</c:v>
                </c:pt>
                <c:pt idx="30">
                  <c:v>0</c:v>
                </c:pt>
                <c:pt idx="31">
                  <c:v>1</c:v>
                </c:pt>
                <c:pt idx="32">
                  <c:v>2</c:v>
                </c:pt>
                <c:pt idx="33">
                  <c:v>3</c:v>
                </c:pt>
                <c:pt idx="34">
                  <c:v>4</c:v>
                </c:pt>
                <c:pt idx="35">
                  <c:v>5</c:v>
                </c:pt>
                <c:pt idx="36">
                  <c:v>6</c:v>
                </c:pt>
                <c:pt idx="37">
                  <c:v>7</c:v>
                </c:pt>
                <c:pt idx="38">
                  <c:v>8</c:v>
                </c:pt>
                <c:pt idx="39">
                  <c:v>9</c:v>
                </c:pt>
                <c:pt idx="40">
                  <c:v>10</c:v>
                </c:pt>
                <c:pt idx="41">
                  <c:v>11</c:v>
                </c:pt>
                <c:pt idx="42">
                  <c:v>12</c:v>
                </c:pt>
                <c:pt idx="43">
                  <c:v>13</c:v>
                </c:pt>
                <c:pt idx="44">
                  <c:v>14</c:v>
                </c:pt>
                <c:pt idx="45">
                  <c:v>15</c:v>
                </c:pt>
                <c:pt idx="46">
                  <c:v>16</c:v>
                </c:pt>
                <c:pt idx="47">
                  <c:v>17</c:v>
                </c:pt>
                <c:pt idx="48">
                  <c:v>18</c:v>
                </c:pt>
                <c:pt idx="49">
                  <c:v>19</c:v>
                </c:pt>
                <c:pt idx="50">
                  <c:v>20</c:v>
                </c:pt>
                <c:pt idx="51">
                  <c:v>21</c:v>
                </c:pt>
                <c:pt idx="52">
                  <c:v>22</c:v>
                </c:pt>
                <c:pt idx="53">
                  <c:v>23</c:v>
                </c:pt>
                <c:pt idx="54">
                  <c:v>24</c:v>
                </c:pt>
                <c:pt idx="55">
                  <c:v>25</c:v>
                </c:pt>
                <c:pt idx="56">
                  <c:v>26</c:v>
                </c:pt>
                <c:pt idx="57">
                  <c:v>27</c:v>
                </c:pt>
                <c:pt idx="58">
                  <c:v>28</c:v>
                </c:pt>
                <c:pt idx="59">
                  <c:v>29</c:v>
                </c:pt>
                <c:pt idx="60">
                  <c:v>30</c:v>
                </c:pt>
              </c:strCache>
            </c:strRef>
          </c:cat>
          <c:val>
            <c:numRef>
              <c:f>'Sheet1 (13)'!$U$6:$U$67</c:f>
              <c:numCache>
                <c:formatCode>General</c:formatCode>
                <c:ptCount val="61"/>
                <c:pt idx="0">
                  <c:v>1228</c:v>
                </c:pt>
                <c:pt idx="1">
                  <c:v>1213</c:v>
                </c:pt>
                <c:pt idx="2">
                  <c:v>1217</c:v>
                </c:pt>
                <c:pt idx="3">
                  <c:v>1239</c:v>
                </c:pt>
                <c:pt idx="4">
                  <c:v>1245</c:v>
                </c:pt>
                <c:pt idx="5">
                  <c:v>1258</c:v>
                </c:pt>
                <c:pt idx="6">
                  <c:v>1247</c:v>
                </c:pt>
                <c:pt idx="7">
                  <c:v>1257</c:v>
                </c:pt>
                <c:pt idx="8">
                  <c:v>1251</c:v>
                </c:pt>
                <c:pt idx="9">
                  <c:v>1271</c:v>
                </c:pt>
                <c:pt idx="10">
                  <c:v>1263</c:v>
                </c:pt>
                <c:pt idx="11">
                  <c:v>1274</c:v>
                </c:pt>
                <c:pt idx="12">
                  <c:v>1257</c:v>
                </c:pt>
                <c:pt idx="13">
                  <c:v>1253</c:v>
                </c:pt>
                <c:pt idx="14">
                  <c:v>1227</c:v>
                </c:pt>
                <c:pt idx="15">
                  <c:v>1222</c:v>
                </c:pt>
                <c:pt idx="16">
                  <c:v>1228</c:v>
                </c:pt>
                <c:pt idx="17">
                  <c:v>1208</c:v>
                </c:pt>
                <c:pt idx="18">
                  <c:v>1238</c:v>
                </c:pt>
                <c:pt idx="19">
                  <c:v>1262</c:v>
                </c:pt>
                <c:pt idx="20">
                  <c:v>1315</c:v>
                </c:pt>
                <c:pt idx="21">
                  <c:v>1317</c:v>
                </c:pt>
                <c:pt idx="22">
                  <c:v>1318</c:v>
                </c:pt>
                <c:pt idx="23">
                  <c:v>1338</c:v>
                </c:pt>
                <c:pt idx="24">
                  <c:v>1347</c:v>
                </c:pt>
                <c:pt idx="25">
                  <c:v>1388</c:v>
                </c:pt>
                <c:pt idx="26">
                  <c:v>1404</c:v>
                </c:pt>
                <c:pt idx="27">
                  <c:v>1512</c:v>
                </c:pt>
                <c:pt idx="28">
                  <c:v>1653</c:v>
                </c:pt>
                <c:pt idx="29">
                  <c:v>1788</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ser>
        <c:dLbls>
          <c:showLegendKey val="0"/>
          <c:showVal val="0"/>
          <c:showCatName val="0"/>
          <c:showSerName val="0"/>
          <c:showPercent val="0"/>
          <c:showBubbleSize val="0"/>
        </c:dLbls>
        <c:marker val="1"/>
        <c:smooth val="0"/>
        <c:axId val="346930176"/>
        <c:axId val="346944640"/>
      </c:lineChart>
      <c:catAx>
        <c:axId val="346930176"/>
        <c:scaling>
          <c:orientation val="minMax"/>
        </c:scaling>
        <c:delete val="0"/>
        <c:axPos val="b"/>
        <c:title>
          <c:tx>
            <c:rich>
              <a:bodyPr/>
              <a:lstStyle/>
              <a:p>
                <a:pPr>
                  <a:defRPr sz="900" b="0"/>
                </a:pPr>
                <a:r>
                  <a:rPr lang="en-AU" sz="900" b="0"/>
                  <a:t>Weeks from</a:t>
                </a:r>
                <a:r>
                  <a:rPr lang="en-AU" sz="900" b="0" baseline="0"/>
                  <a:t> initiation</a:t>
                </a:r>
                <a:endParaRPr lang="en-AU" sz="900" b="0"/>
              </a:p>
            </c:rich>
          </c:tx>
          <c:layout/>
          <c:overlay val="0"/>
        </c:title>
        <c:majorTickMark val="none"/>
        <c:minorTickMark val="none"/>
        <c:tickLblPos val="nextTo"/>
        <c:txPr>
          <a:bodyPr/>
          <a:lstStyle/>
          <a:p>
            <a:pPr>
              <a:defRPr sz="800"/>
            </a:pPr>
            <a:endParaRPr lang="en-US"/>
          </a:p>
        </c:txPr>
        <c:crossAx val="346944640"/>
        <c:crosses val="autoZero"/>
        <c:auto val="1"/>
        <c:lblAlgn val="ctr"/>
        <c:lblOffset val="100"/>
        <c:noMultiLvlLbl val="0"/>
      </c:catAx>
      <c:valAx>
        <c:axId val="346944640"/>
        <c:scaling>
          <c:orientation val="minMax"/>
        </c:scaling>
        <c:delete val="0"/>
        <c:axPos val="l"/>
        <c:majorGridlines/>
        <c:title>
          <c:tx>
            <c:rich>
              <a:bodyPr rot="-5400000" vert="horz"/>
              <a:lstStyle/>
              <a:p>
                <a:pPr>
                  <a:defRPr sz="800" b="0"/>
                </a:pPr>
                <a:r>
                  <a:rPr lang="en-AU" sz="800" b="0"/>
                  <a:t>Patients</a:t>
                </a:r>
              </a:p>
            </c:rich>
          </c:tx>
          <c:layout/>
          <c:overlay val="0"/>
        </c:title>
        <c:numFmt formatCode="#,##0" sourceLinked="0"/>
        <c:majorTickMark val="none"/>
        <c:minorTickMark val="none"/>
        <c:tickLblPos val="nextTo"/>
        <c:txPr>
          <a:bodyPr/>
          <a:lstStyle/>
          <a:p>
            <a:pPr>
              <a:defRPr sz="800"/>
            </a:pPr>
            <a:endParaRPr lang="en-US"/>
          </a:p>
        </c:txPr>
        <c:crossAx val="346930176"/>
        <c:crosses val="autoZero"/>
        <c:crossBetween val="between"/>
      </c:valAx>
    </c:plotArea>
    <c:legend>
      <c:legendPos val="r"/>
      <c:layout>
        <c:manualLayout>
          <c:xMode val="edge"/>
          <c:yMode val="edge"/>
          <c:x val="0.64920103960917386"/>
          <c:y val="2.4295711604673653E-3"/>
          <c:w val="0.3349870320733086"/>
          <c:h val="0.97892262191042645"/>
        </c:manualLayout>
      </c:layout>
      <c:overlay val="0"/>
      <c:txPr>
        <a:bodyPr/>
        <a:lstStyle/>
        <a:p>
          <a:pPr>
            <a:defRPr sz="700"/>
          </a:pPr>
          <a:endParaRPr lang="en-US"/>
        </a:p>
      </c:txPr>
    </c:legend>
    <c:plotVisOnly val="1"/>
    <c:dispBlanksAs val="gap"/>
    <c:showDLblsOverMax val="0"/>
  </c:chart>
  <c:spPr>
    <a:ln>
      <a:noFill/>
    </a:ln>
  </c:spPr>
  <c:externalData r:id="rId2">
    <c:autoUpdate val="0"/>
  </c:externalData>
  <c:userShapes r:id="rId3"/>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 adj drg regimens, all inits, fu to mar15, pregabalin containing regimens only .xlsx]Sheet1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dLbl>
          <c:idx val="0"/>
          <c:delete val="1"/>
        </c:dLbl>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
        <c:idx val="2215"/>
        <c:marker>
          <c:symbol val="none"/>
        </c:marker>
      </c:pivotFmt>
      <c:pivotFmt>
        <c:idx val="2216"/>
        <c:marker>
          <c:symbol val="none"/>
        </c:marker>
      </c:pivotFmt>
      <c:pivotFmt>
        <c:idx val="2217"/>
        <c:marker>
          <c:symbol val="none"/>
        </c:marker>
      </c:pivotFmt>
      <c:pivotFmt>
        <c:idx val="2218"/>
        <c:marker>
          <c:symbol val="none"/>
        </c:marker>
      </c:pivotFmt>
      <c:pivotFmt>
        <c:idx val="2219"/>
        <c:marker>
          <c:symbol val="none"/>
        </c:marker>
      </c:pivotFmt>
      <c:pivotFmt>
        <c:idx val="2220"/>
        <c:marker>
          <c:symbol val="none"/>
        </c:marker>
      </c:pivotFmt>
      <c:pivotFmt>
        <c:idx val="2221"/>
        <c:marker>
          <c:symbol val="none"/>
        </c:marker>
      </c:pivotFmt>
      <c:pivotFmt>
        <c:idx val="2222"/>
        <c:marker>
          <c:symbol val="none"/>
        </c:marker>
      </c:pivotFmt>
      <c:pivotFmt>
        <c:idx val="2223"/>
        <c:marker>
          <c:symbol val="none"/>
        </c:marker>
      </c:pivotFmt>
      <c:pivotFmt>
        <c:idx val="2224"/>
        <c:marker>
          <c:symbol val="none"/>
        </c:marker>
      </c:pivotFmt>
      <c:pivotFmt>
        <c:idx val="2225"/>
        <c:marker>
          <c:symbol val="none"/>
        </c:marker>
      </c:pivotFmt>
      <c:pivotFmt>
        <c:idx val="2226"/>
        <c:marker>
          <c:symbol val="none"/>
        </c:marker>
      </c:pivotFmt>
      <c:pivotFmt>
        <c:idx val="2227"/>
        <c:marker>
          <c:symbol val="none"/>
        </c:marker>
      </c:pivotFmt>
      <c:pivotFmt>
        <c:idx val="2228"/>
        <c:marker>
          <c:symbol val="none"/>
        </c:marker>
      </c:pivotFmt>
      <c:pivotFmt>
        <c:idx val="2229"/>
        <c:marker>
          <c:symbol val="none"/>
        </c:marker>
      </c:pivotFmt>
      <c:pivotFmt>
        <c:idx val="2230"/>
        <c:marker>
          <c:symbol val="none"/>
        </c:marker>
      </c:pivotFmt>
    </c:pivotFmts>
    <c:plotArea>
      <c:layout>
        <c:manualLayout>
          <c:layoutTarget val="inner"/>
          <c:xMode val="edge"/>
          <c:yMode val="edge"/>
          <c:x val="8.8862958331241082E-2"/>
          <c:y val="3.5510515128699564E-2"/>
          <c:w val="0.51749861992482638"/>
          <c:h val="0.78486016686129245"/>
        </c:manualLayout>
      </c:layout>
      <c:lineChart>
        <c:grouping val="standard"/>
        <c:varyColors val="0"/>
        <c:ser>
          <c:idx val="0"/>
          <c:order val="0"/>
          <c:tx>
            <c:strRef>
              <c:f>'Sheet1 (13)'!$B$3:$B$4</c:f>
              <c:strCache>
                <c:ptCount val="1"/>
                <c:pt idx="0">
                  <c:v>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(13)'!$B$5:$B$57</c:f>
              <c:numCache>
                <c:formatCode>General</c:formatCode>
                <c:ptCount val="52"/>
                <c:pt idx="0">
                  <c:v>53558</c:v>
                </c:pt>
                <c:pt idx="1">
                  <c:v>54649</c:v>
                </c:pt>
                <c:pt idx="2">
                  <c:v>55644</c:v>
                </c:pt>
                <c:pt idx="3">
                  <c:v>56646</c:v>
                </c:pt>
                <c:pt idx="4">
                  <c:v>57531</c:v>
                </c:pt>
                <c:pt idx="5">
                  <c:v>58306</c:v>
                </c:pt>
                <c:pt idx="6">
                  <c:v>58434</c:v>
                </c:pt>
                <c:pt idx="7">
                  <c:v>58901</c:v>
                </c:pt>
                <c:pt idx="8">
                  <c:v>59349</c:v>
                </c:pt>
                <c:pt idx="9">
                  <c:v>59771</c:v>
                </c:pt>
                <c:pt idx="10">
                  <c:v>60483</c:v>
                </c:pt>
                <c:pt idx="11">
                  <c:v>61683</c:v>
                </c:pt>
                <c:pt idx="12">
                  <c:v>62396</c:v>
                </c:pt>
                <c:pt idx="13">
                  <c:v>62810</c:v>
                </c:pt>
                <c:pt idx="14">
                  <c:v>63527</c:v>
                </c:pt>
                <c:pt idx="15">
                  <c:v>64286</c:v>
                </c:pt>
                <c:pt idx="16">
                  <c:v>64780</c:v>
                </c:pt>
                <c:pt idx="17">
                  <c:v>65335</c:v>
                </c:pt>
                <c:pt idx="18">
                  <c:v>66034</c:v>
                </c:pt>
                <c:pt idx="19">
                  <c:v>66460</c:v>
                </c:pt>
                <c:pt idx="20">
                  <c:v>66822</c:v>
                </c:pt>
                <c:pt idx="21">
                  <c:v>67401</c:v>
                </c:pt>
                <c:pt idx="22">
                  <c:v>68078</c:v>
                </c:pt>
                <c:pt idx="23">
                  <c:v>68511</c:v>
                </c:pt>
                <c:pt idx="24">
                  <c:v>69059</c:v>
                </c:pt>
                <c:pt idx="25">
                  <c:v>69655</c:v>
                </c:pt>
                <c:pt idx="26">
                  <c:v>70309</c:v>
                </c:pt>
                <c:pt idx="27">
                  <c:v>70970</c:v>
                </c:pt>
                <c:pt idx="28">
                  <c:v>71505</c:v>
                </c:pt>
                <c:pt idx="29">
                  <c:v>72096</c:v>
                </c:pt>
                <c:pt idx="30">
                  <c:v>72452</c:v>
                </c:pt>
                <c:pt idx="31">
                  <c:v>73314</c:v>
                </c:pt>
                <c:pt idx="32">
                  <c:v>73735</c:v>
                </c:pt>
                <c:pt idx="33">
                  <c:v>74514</c:v>
                </c:pt>
                <c:pt idx="34">
                  <c:v>75070</c:v>
                </c:pt>
                <c:pt idx="35">
                  <c:v>75735</c:v>
                </c:pt>
                <c:pt idx="36">
                  <c:v>76133</c:v>
                </c:pt>
                <c:pt idx="37">
                  <c:v>76579</c:v>
                </c:pt>
                <c:pt idx="38">
                  <c:v>77132</c:v>
                </c:pt>
                <c:pt idx="39">
                  <c:v>77828</c:v>
                </c:pt>
                <c:pt idx="40">
                  <c:v>78211</c:v>
                </c:pt>
                <c:pt idx="41">
                  <c:v>79030</c:v>
                </c:pt>
                <c:pt idx="42">
                  <c:v>78874</c:v>
                </c:pt>
                <c:pt idx="43">
                  <c:v>79068</c:v>
                </c:pt>
                <c:pt idx="44">
                  <c:v>79379</c:v>
                </c:pt>
                <c:pt idx="45">
                  <c:v>79450</c:v>
                </c:pt>
                <c:pt idx="46">
                  <c:v>79057</c:v>
                </c:pt>
                <c:pt idx="47">
                  <c:v>79436</c:v>
                </c:pt>
                <c:pt idx="48">
                  <c:v>79924</c:v>
                </c:pt>
                <c:pt idx="49">
                  <c:v>79987</c:v>
                </c:pt>
                <c:pt idx="50">
                  <c:v>80030</c:v>
                </c:pt>
                <c:pt idx="51">
                  <c:v>80214</c:v>
                </c:pt>
              </c:numCache>
            </c:numRef>
          </c:val>
          <c:smooth val="0"/>
        </c:ser>
        <c:ser>
          <c:idx val="1"/>
          <c:order val="1"/>
          <c:tx>
            <c:strRef>
              <c:f>'Sheet1 (13)'!$C$3:$C$4</c:f>
              <c:strCache>
                <c:ptCount val="1"/>
                <c:pt idx="0">
                  <c:v>Opioid_S8+Pregabalin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(13)'!$C$5:$C$57</c:f>
              <c:numCache>
                <c:formatCode>General</c:formatCode>
                <c:ptCount val="52"/>
                <c:pt idx="0">
                  <c:v>15564</c:v>
                </c:pt>
                <c:pt idx="1">
                  <c:v>15649</c:v>
                </c:pt>
                <c:pt idx="2">
                  <c:v>15855</c:v>
                </c:pt>
                <c:pt idx="3">
                  <c:v>16051</c:v>
                </c:pt>
                <c:pt idx="4">
                  <c:v>16194</c:v>
                </c:pt>
                <c:pt idx="5">
                  <c:v>16305</c:v>
                </c:pt>
                <c:pt idx="6">
                  <c:v>16117</c:v>
                </c:pt>
                <c:pt idx="7">
                  <c:v>16170</c:v>
                </c:pt>
                <c:pt idx="8">
                  <c:v>16260</c:v>
                </c:pt>
                <c:pt idx="9">
                  <c:v>16508</c:v>
                </c:pt>
                <c:pt idx="10">
                  <c:v>16740</c:v>
                </c:pt>
                <c:pt idx="11">
                  <c:v>17000</c:v>
                </c:pt>
                <c:pt idx="12">
                  <c:v>17126</c:v>
                </c:pt>
                <c:pt idx="13">
                  <c:v>17146</c:v>
                </c:pt>
                <c:pt idx="14">
                  <c:v>17401</c:v>
                </c:pt>
                <c:pt idx="15">
                  <c:v>17592</c:v>
                </c:pt>
                <c:pt idx="16">
                  <c:v>17767</c:v>
                </c:pt>
                <c:pt idx="17">
                  <c:v>17834</c:v>
                </c:pt>
                <c:pt idx="18">
                  <c:v>17755</c:v>
                </c:pt>
                <c:pt idx="19">
                  <c:v>17866</c:v>
                </c:pt>
                <c:pt idx="20">
                  <c:v>18086</c:v>
                </c:pt>
                <c:pt idx="21">
                  <c:v>18274</c:v>
                </c:pt>
                <c:pt idx="22">
                  <c:v>18404</c:v>
                </c:pt>
                <c:pt idx="23">
                  <c:v>18592</c:v>
                </c:pt>
                <c:pt idx="24">
                  <c:v>18682</c:v>
                </c:pt>
                <c:pt idx="25">
                  <c:v>18780</c:v>
                </c:pt>
                <c:pt idx="26">
                  <c:v>18876</c:v>
                </c:pt>
                <c:pt idx="27">
                  <c:v>19080</c:v>
                </c:pt>
                <c:pt idx="28">
                  <c:v>19241</c:v>
                </c:pt>
                <c:pt idx="29">
                  <c:v>19328</c:v>
                </c:pt>
                <c:pt idx="30">
                  <c:v>19251</c:v>
                </c:pt>
                <c:pt idx="31">
                  <c:v>19439</c:v>
                </c:pt>
                <c:pt idx="32">
                  <c:v>19634</c:v>
                </c:pt>
                <c:pt idx="33">
                  <c:v>19814</c:v>
                </c:pt>
                <c:pt idx="34">
                  <c:v>19969</c:v>
                </c:pt>
                <c:pt idx="35">
                  <c:v>20173</c:v>
                </c:pt>
                <c:pt idx="36">
                  <c:v>20358</c:v>
                </c:pt>
                <c:pt idx="37">
                  <c:v>20623</c:v>
                </c:pt>
                <c:pt idx="38">
                  <c:v>20854</c:v>
                </c:pt>
                <c:pt idx="39">
                  <c:v>21172</c:v>
                </c:pt>
                <c:pt idx="40">
                  <c:v>21334</c:v>
                </c:pt>
                <c:pt idx="41">
                  <c:v>21404</c:v>
                </c:pt>
                <c:pt idx="42">
                  <c:v>21006</c:v>
                </c:pt>
                <c:pt idx="43">
                  <c:v>20599</c:v>
                </c:pt>
                <c:pt idx="44">
                  <c:v>20521</c:v>
                </c:pt>
                <c:pt idx="45">
                  <c:v>20610</c:v>
                </c:pt>
                <c:pt idx="46">
                  <c:v>20602</c:v>
                </c:pt>
                <c:pt idx="47">
                  <c:v>20850</c:v>
                </c:pt>
                <c:pt idx="48">
                  <c:v>21222</c:v>
                </c:pt>
                <c:pt idx="49">
                  <c:v>21436</c:v>
                </c:pt>
                <c:pt idx="50">
                  <c:v>21503</c:v>
                </c:pt>
                <c:pt idx="51">
                  <c:v>21633</c:v>
                </c:pt>
              </c:numCache>
            </c:numRef>
          </c:val>
          <c:smooth val="0"/>
        </c:ser>
        <c:ser>
          <c:idx val="2"/>
          <c:order val="2"/>
          <c:tx>
            <c:strRef>
              <c:f>'Sheet1 (13)'!$D$3:$D$4</c:f>
              <c:strCache>
                <c:ptCount val="1"/>
                <c:pt idx="0">
                  <c:v>Other_antidepressant+Pregabalin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(13)'!$D$5:$D$57</c:f>
              <c:numCache>
                <c:formatCode>General</c:formatCode>
                <c:ptCount val="52"/>
                <c:pt idx="0">
                  <c:v>10942</c:v>
                </c:pt>
                <c:pt idx="1">
                  <c:v>11210</c:v>
                </c:pt>
                <c:pt idx="2">
                  <c:v>11421</c:v>
                </c:pt>
                <c:pt idx="3">
                  <c:v>11704</c:v>
                </c:pt>
                <c:pt idx="4">
                  <c:v>11950</c:v>
                </c:pt>
                <c:pt idx="5">
                  <c:v>12170</c:v>
                </c:pt>
                <c:pt idx="6">
                  <c:v>12223</c:v>
                </c:pt>
                <c:pt idx="7">
                  <c:v>12302</c:v>
                </c:pt>
                <c:pt idx="8">
                  <c:v>12510</c:v>
                </c:pt>
                <c:pt idx="9">
                  <c:v>12714</c:v>
                </c:pt>
                <c:pt idx="10">
                  <c:v>12798</c:v>
                </c:pt>
                <c:pt idx="11">
                  <c:v>13043</c:v>
                </c:pt>
                <c:pt idx="12">
                  <c:v>13146</c:v>
                </c:pt>
                <c:pt idx="13">
                  <c:v>13238</c:v>
                </c:pt>
                <c:pt idx="14">
                  <c:v>13467</c:v>
                </c:pt>
                <c:pt idx="15">
                  <c:v>13531</c:v>
                </c:pt>
                <c:pt idx="16">
                  <c:v>13706</c:v>
                </c:pt>
                <c:pt idx="17">
                  <c:v>13898</c:v>
                </c:pt>
                <c:pt idx="18">
                  <c:v>14080</c:v>
                </c:pt>
                <c:pt idx="19">
                  <c:v>14199</c:v>
                </c:pt>
                <c:pt idx="20">
                  <c:v>14315</c:v>
                </c:pt>
                <c:pt idx="21">
                  <c:v>14498</c:v>
                </c:pt>
                <c:pt idx="22">
                  <c:v>14633</c:v>
                </c:pt>
                <c:pt idx="23">
                  <c:v>14717</c:v>
                </c:pt>
                <c:pt idx="24">
                  <c:v>14865</c:v>
                </c:pt>
                <c:pt idx="25">
                  <c:v>14963</c:v>
                </c:pt>
                <c:pt idx="26">
                  <c:v>15140</c:v>
                </c:pt>
                <c:pt idx="27">
                  <c:v>15297</c:v>
                </c:pt>
                <c:pt idx="28">
                  <c:v>15388</c:v>
                </c:pt>
                <c:pt idx="29">
                  <c:v>15556</c:v>
                </c:pt>
                <c:pt idx="30">
                  <c:v>15637</c:v>
                </c:pt>
                <c:pt idx="31">
                  <c:v>15667</c:v>
                </c:pt>
                <c:pt idx="32">
                  <c:v>15748</c:v>
                </c:pt>
                <c:pt idx="33">
                  <c:v>15927</c:v>
                </c:pt>
                <c:pt idx="34">
                  <c:v>16064</c:v>
                </c:pt>
                <c:pt idx="35">
                  <c:v>16339</c:v>
                </c:pt>
                <c:pt idx="36">
                  <c:v>16400</c:v>
                </c:pt>
                <c:pt idx="37">
                  <c:v>16515</c:v>
                </c:pt>
                <c:pt idx="38">
                  <c:v>16700</c:v>
                </c:pt>
                <c:pt idx="39">
                  <c:v>16895</c:v>
                </c:pt>
                <c:pt idx="40">
                  <c:v>17051</c:v>
                </c:pt>
                <c:pt idx="41">
                  <c:v>17224</c:v>
                </c:pt>
                <c:pt idx="42">
                  <c:v>17356</c:v>
                </c:pt>
                <c:pt idx="43">
                  <c:v>17459</c:v>
                </c:pt>
                <c:pt idx="44">
                  <c:v>17611</c:v>
                </c:pt>
                <c:pt idx="45">
                  <c:v>17726</c:v>
                </c:pt>
                <c:pt idx="46">
                  <c:v>17596</c:v>
                </c:pt>
                <c:pt idx="47">
                  <c:v>17586</c:v>
                </c:pt>
                <c:pt idx="48">
                  <c:v>17586</c:v>
                </c:pt>
                <c:pt idx="49">
                  <c:v>17533</c:v>
                </c:pt>
                <c:pt idx="50">
                  <c:v>17455</c:v>
                </c:pt>
                <c:pt idx="51">
                  <c:v>17391</c:v>
                </c:pt>
              </c:numCache>
            </c:numRef>
          </c:val>
          <c:smooth val="0"/>
        </c:ser>
        <c:ser>
          <c:idx val="3"/>
          <c:order val="3"/>
          <c:tx>
            <c:strRef>
              <c:f>'Sheet1 (13)'!$E$3:$E$4</c:f>
              <c:strCache>
                <c:ptCount val="1"/>
                <c:pt idx="0">
                  <c:v>Pregabalin+TCA</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(13)'!$E$5:$E$57</c:f>
              <c:numCache>
                <c:formatCode>General</c:formatCode>
                <c:ptCount val="52"/>
                <c:pt idx="0">
                  <c:v>7441</c:v>
                </c:pt>
                <c:pt idx="1">
                  <c:v>7668</c:v>
                </c:pt>
                <c:pt idx="2">
                  <c:v>7860</c:v>
                </c:pt>
                <c:pt idx="3">
                  <c:v>8054</c:v>
                </c:pt>
                <c:pt idx="4">
                  <c:v>8265</c:v>
                </c:pt>
                <c:pt idx="5">
                  <c:v>8437</c:v>
                </c:pt>
                <c:pt idx="6">
                  <c:v>8443</c:v>
                </c:pt>
                <c:pt idx="7">
                  <c:v>8540</c:v>
                </c:pt>
                <c:pt idx="8">
                  <c:v>8689</c:v>
                </c:pt>
                <c:pt idx="9">
                  <c:v>8711</c:v>
                </c:pt>
                <c:pt idx="10">
                  <c:v>8813</c:v>
                </c:pt>
                <c:pt idx="11">
                  <c:v>8974</c:v>
                </c:pt>
                <c:pt idx="12">
                  <c:v>9076</c:v>
                </c:pt>
                <c:pt idx="13">
                  <c:v>9074</c:v>
                </c:pt>
                <c:pt idx="14">
                  <c:v>9094</c:v>
                </c:pt>
                <c:pt idx="15">
                  <c:v>9166</c:v>
                </c:pt>
                <c:pt idx="16">
                  <c:v>9275</c:v>
                </c:pt>
                <c:pt idx="17">
                  <c:v>9372</c:v>
                </c:pt>
                <c:pt idx="18">
                  <c:v>9496</c:v>
                </c:pt>
                <c:pt idx="19">
                  <c:v>9580</c:v>
                </c:pt>
                <c:pt idx="20">
                  <c:v>9625</c:v>
                </c:pt>
                <c:pt idx="21">
                  <c:v>9654</c:v>
                </c:pt>
                <c:pt idx="22">
                  <c:v>9718</c:v>
                </c:pt>
                <c:pt idx="23">
                  <c:v>9816</c:v>
                </c:pt>
                <c:pt idx="24">
                  <c:v>9920</c:v>
                </c:pt>
                <c:pt idx="25">
                  <c:v>9976</c:v>
                </c:pt>
                <c:pt idx="26">
                  <c:v>10037</c:v>
                </c:pt>
                <c:pt idx="27">
                  <c:v>10081</c:v>
                </c:pt>
                <c:pt idx="28">
                  <c:v>10172</c:v>
                </c:pt>
                <c:pt idx="29">
                  <c:v>10306</c:v>
                </c:pt>
                <c:pt idx="30">
                  <c:v>10399</c:v>
                </c:pt>
                <c:pt idx="31">
                  <c:v>10459</c:v>
                </c:pt>
                <c:pt idx="32">
                  <c:v>10514</c:v>
                </c:pt>
                <c:pt idx="33">
                  <c:v>10535</c:v>
                </c:pt>
                <c:pt idx="34">
                  <c:v>10590</c:v>
                </c:pt>
                <c:pt idx="35">
                  <c:v>10677</c:v>
                </c:pt>
                <c:pt idx="36">
                  <c:v>10701</c:v>
                </c:pt>
                <c:pt idx="37">
                  <c:v>10770</c:v>
                </c:pt>
                <c:pt idx="38">
                  <c:v>10846</c:v>
                </c:pt>
                <c:pt idx="39">
                  <c:v>10972</c:v>
                </c:pt>
                <c:pt idx="40">
                  <c:v>10973</c:v>
                </c:pt>
                <c:pt idx="41">
                  <c:v>11096</c:v>
                </c:pt>
                <c:pt idx="42">
                  <c:v>11134</c:v>
                </c:pt>
                <c:pt idx="43">
                  <c:v>11145</c:v>
                </c:pt>
                <c:pt idx="44">
                  <c:v>11228</c:v>
                </c:pt>
                <c:pt idx="45">
                  <c:v>11166</c:v>
                </c:pt>
                <c:pt idx="46">
                  <c:v>10942</c:v>
                </c:pt>
                <c:pt idx="47">
                  <c:v>10808</c:v>
                </c:pt>
                <c:pt idx="48">
                  <c:v>10739</c:v>
                </c:pt>
                <c:pt idx="49">
                  <c:v>10628</c:v>
                </c:pt>
                <c:pt idx="50">
                  <c:v>10493</c:v>
                </c:pt>
                <c:pt idx="51">
                  <c:v>10403</c:v>
                </c:pt>
              </c:numCache>
            </c:numRef>
          </c:val>
          <c:smooth val="0"/>
        </c:ser>
        <c:ser>
          <c:idx val="4"/>
          <c:order val="4"/>
          <c:tx>
            <c:strRef>
              <c:f>'Sheet1 (13)'!$F$3:$F$4</c:f>
              <c:strCache>
                <c:ptCount val="1"/>
                <c:pt idx="0">
                  <c:v>Pregabalin+SNRI</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(13)'!$F$5:$F$57</c:f>
              <c:numCache>
                <c:formatCode>General</c:formatCode>
                <c:ptCount val="52"/>
                <c:pt idx="0">
                  <c:v>6978</c:v>
                </c:pt>
                <c:pt idx="1">
                  <c:v>7087</c:v>
                </c:pt>
                <c:pt idx="2">
                  <c:v>7171</c:v>
                </c:pt>
                <c:pt idx="3">
                  <c:v>7317</c:v>
                </c:pt>
                <c:pt idx="4">
                  <c:v>7469</c:v>
                </c:pt>
                <c:pt idx="5">
                  <c:v>7600</c:v>
                </c:pt>
                <c:pt idx="6">
                  <c:v>7685</c:v>
                </c:pt>
                <c:pt idx="7">
                  <c:v>7730</c:v>
                </c:pt>
                <c:pt idx="8">
                  <c:v>7776</c:v>
                </c:pt>
                <c:pt idx="9">
                  <c:v>7839</c:v>
                </c:pt>
                <c:pt idx="10">
                  <c:v>7911</c:v>
                </c:pt>
                <c:pt idx="11">
                  <c:v>7979</c:v>
                </c:pt>
                <c:pt idx="12">
                  <c:v>8065</c:v>
                </c:pt>
                <c:pt idx="13">
                  <c:v>8138</c:v>
                </c:pt>
                <c:pt idx="14">
                  <c:v>8242</c:v>
                </c:pt>
                <c:pt idx="15">
                  <c:v>8313</c:v>
                </c:pt>
                <c:pt idx="16">
                  <c:v>8356</c:v>
                </c:pt>
                <c:pt idx="17">
                  <c:v>8419</c:v>
                </c:pt>
                <c:pt idx="18">
                  <c:v>8465</c:v>
                </c:pt>
                <c:pt idx="19">
                  <c:v>8626</c:v>
                </c:pt>
                <c:pt idx="20">
                  <c:v>8714</c:v>
                </c:pt>
                <c:pt idx="21">
                  <c:v>8788</c:v>
                </c:pt>
                <c:pt idx="22">
                  <c:v>8828</c:v>
                </c:pt>
                <c:pt idx="23">
                  <c:v>8967</c:v>
                </c:pt>
                <c:pt idx="24">
                  <c:v>9027</c:v>
                </c:pt>
                <c:pt idx="25">
                  <c:v>9083</c:v>
                </c:pt>
                <c:pt idx="26">
                  <c:v>9158</c:v>
                </c:pt>
                <c:pt idx="27">
                  <c:v>9242</c:v>
                </c:pt>
                <c:pt idx="28">
                  <c:v>9300</c:v>
                </c:pt>
                <c:pt idx="29">
                  <c:v>9387</c:v>
                </c:pt>
                <c:pt idx="30">
                  <c:v>9497</c:v>
                </c:pt>
                <c:pt idx="31">
                  <c:v>9539</c:v>
                </c:pt>
                <c:pt idx="32">
                  <c:v>9627</c:v>
                </c:pt>
                <c:pt idx="33">
                  <c:v>9757</c:v>
                </c:pt>
                <c:pt idx="34">
                  <c:v>9860</c:v>
                </c:pt>
                <c:pt idx="35">
                  <c:v>9907</c:v>
                </c:pt>
                <c:pt idx="36">
                  <c:v>9891</c:v>
                </c:pt>
                <c:pt idx="37">
                  <c:v>9941</c:v>
                </c:pt>
                <c:pt idx="38">
                  <c:v>10019</c:v>
                </c:pt>
                <c:pt idx="39">
                  <c:v>10127</c:v>
                </c:pt>
                <c:pt idx="40">
                  <c:v>10152</c:v>
                </c:pt>
                <c:pt idx="41">
                  <c:v>10272</c:v>
                </c:pt>
                <c:pt idx="42">
                  <c:v>10289</c:v>
                </c:pt>
                <c:pt idx="43">
                  <c:v>10412</c:v>
                </c:pt>
                <c:pt idx="44">
                  <c:v>10532</c:v>
                </c:pt>
                <c:pt idx="45">
                  <c:v>10593</c:v>
                </c:pt>
                <c:pt idx="46">
                  <c:v>10585</c:v>
                </c:pt>
                <c:pt idx="47">
                  <c:v>10617</c:v>
                </c:pt>
                <c:pt idx="48">
                  <c:v>10618</c:v>
                </c:pt>
                <c:pt idx="49">
                  <c:v>10589</c:v>
                </c:pt>
                <c:pt idx="50">
                  <c:v>10546</c:v>
                </c:pt>
                <c:pt idx="51">
                  <c:v>10480</c:v>
                </c:pt>
              </c:numCache>
            </c:numRef>
          </c:val>
          <c:smooth val="0"/>
        </c:ser>
        <c:ser>
          <c:idx val="5"/>
          <c:order val="5"/>
          <c:tx>
            <c:strRef>
              <c:f>'Sheet1 (13)'!$G$3:$G$4</c:f>
              <c:strCache>
                <c:ptCount val="1"/>
                <c:pt idx="0">
                  <c:v>Opioid_S8+Other_antidepressant+Pregabalin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(13)'!$G$5:$G$57</c:f>
              <c:numCache>
                <c:formatCode>General</c:formatCode>
                <c:ptCount val="52"/>
                <c:pt idx="0">
                  <c:v>6092</c:v>
                </c:pt>
                <c:pt idx="1">
                  <c:v>6167</c:v>
                </c:pt>
                <c:pt idx="2">
                  <c:v>6331</c:v>
                </c:pt>
                <c:pt idx="3">
                  <c:v>6408</c:v>
                </c:pt>
                <c:pt idx="4">
                  <c:v>6495</c:v>
                </c:pt>
                <c:pt idx="5">
                  <c:v>6595</c:v>
                </c:pt>
                <c:pt idx="6">
                  <c:v>6614</c:v>
                </c:pt>
                <c:pt idx="7">
                  <c:v>6687</c:v>
                </c:pt>
                <c:pt idx="8">
                  <c:v>6685</c:v>
                </c:pt>
                <c:pt idx="9">
                  <c:v>6737</c:v>
                </c:pt>
                <c:pt idx="10">
                  <c:v>6828</c:v>
                </c:pt>
                <c:pt idx="11">
                  <c:v>6965</c:v>
                </c:pt>
                <c:pt idx="12">
                  <c:v>7057</c:v>
                </c:pt>
                <c:pt idx="13">
                  <c:v>7164</c:v>
                </c:pt>
                <c:pt idx="14">
                  <c:v>7208</c:v>
                </c:pt>
                <c:pt idx="15">
                  <c:v>7281</c:v>
                </c:pt>
                <c:pt idx="16">
                  <c:v>7308</c:v>
                </c:pt>
                <c:pt idx="17">
                  <c:v>7371</c:v>
                </c:pt>
                <c:pt idx="18">
                  <c:v>7464</c:v>
                </c:pt>
                <c:pt idx="19">
                  <c:v>7517</c:v>
                </c:pt>
                <c:pt idx="20">
                  <c:v>7602</c:v>
                </c:pt>
                <c:pt idx="21">
                  <c:v>7634</c:v>
                </c:pt>
                <c:pt idx="22">
                  <c:v>7750</c:v>
                </c:pt>
                <c:pt idx="23">
                  <c:v>7811</c:v>
                </c:pt>
                <c:pt idx="24">
                  <c:v>7928</c:v>
                </c:pt>
                <c:pt idx="25">
                  <c:v>7990</c:v>
                </c:pt>
                <c:pt idx="26">
                  <c:v>8001</c:v>
                </c:pt>
                <c:pt idx="27">
                  <c:v>8093</c:v>
                </c:pt>
                <c:pt idx="28">
                  <c:v>8168</c:v>
                </c:pt>
                <c:pt idx="29">
                  <c:v>8223</c:v>
                </c:pt>
                <c:pt idx="30">
                  <c:v>8257</c:v>
                </c:pt>
                <c:pt idx="31">
                  <c:v>8365</c:v>
                </c:pt>
                <c:pt idx="32">
                  <c:v>8474</c:v>
                </c:pt>
                <c:pt idx="33">
                  <c:v>8552</c:v>
                </c:pt>
                <c:pt idx="34">
                  <c:v>8607</c:v>
                </c:pt>
                <c:pt idx="35">
                  <c:v>8701</c:v>
                </c:pt>
                <c:pt idx="36">
                  <c:v>8755</c:v>
                </c:pt>
                <c:pt idx="37">
                  <c:v>8806</c:v>
                </c:pt>
                <c:pt idx="38">
                  <c:v>8888</c:v>
                </c:pt>
                <c:pt idx="39">
                  <c:v>8982</c:v>
                </c:pt>
                <c:pt idx="40">
                  <c:v>9126</c:v>
                </c:pt>
                <c:pt idx="41">
                  <c:v>9243</c:v>
                </c:pt>
                <c:pt idx="42">
                  <c:v>9116</c:v>
                </c:pt>
                <c:pt idx="43">
                  <c:v>8993</c:v>
                </c:pt>
                <c:pt idx="44">
                  <c:v>8890</c:v>
                </c:pt>
                <c:pt idx="45">
                  <c:v>8833</c:v>
                </c:pt>
                <c:pt idx="46">
                  <c:v>8842</c:v>
                </c:pt>
                <c:pt idx="47">
                  <c:v>8912</c:v>
                </c:pt>
                <c:pt idx="48">
                  <c:v>8991</c:v>
                </c:pt>
                <c:pt idx="49">
                  <c:v>9019</c:v>
                </c:pt>
                <c:pt idx="50">
                  <c:v>9035</c:v>
                </c:pt>
                <c:pt idx="51">
                  <c:v>9019</c:v>
                </c:pt>
              </c:numCache>
            </c:numRef>
          </c:val>
          <c:smooth val="0"/>
        </c:ser>
        <c:ser>
          <c:idx val="6"/>
          <c:order val="6"/>
          <c:tx>
            <c:strRef>
              <c:f>'Sheet1 (13)'!$H$3:$H$4</c:f>
              <c:strCache>
                <c:ptCount val="1"/>
                <c:pt idx="0">
                  <c:v>Opioid_S4+Pregabalin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(13)'!$H$5:$H$57</c:f>
              <c:numCache>
                <c:formatCode>General</c:formatCode>
                <c:ptCount val="52"/>
                <c:pt idx="0">
                  <c:v>5063</c:v>
                </c:pt>
                <c:pt idx="1">
                  <c:v>5163</c:v>
                </c:pt>
                <c:pt idx="2">
                  <c:v>5244</c:v>
                </c:pt>
                <c:pt idx="3">
                  <c:v>5319</c:v>
                </c:pt>
                <c:pt idx="4">
                  <c:v>5428</c:v>
                </c:pt>
                <c:pt idx="5">
                  <c:v>5536</c:v>
                </c:pt>
                <c:pt idx="6">
                  <c:v>5549</c:v>
                </c:pt>
                <c:pt idx="7">
                  <c:v>5506</c:v>
                </c:pt>
                <c:pt idx="8">
                  <c:v>5647</c:v>
                </c:pt>
                <c:pt idx="9">
                  <c:v>5703</c:v>
                </c:pt>
                <c:pt idx="10">
                  <c:v>5837</c:v>
                </c:pt>
                <c:pt idx="11">
                  <c:v>5992</c:v>
                </c:pt>
                <c:pt idx="12">
                  <c:v>6073</c:v>
                </c:pt>
                <c:pt idx="13">
                  <c:v>6030</c:v>
                </c:pt>
                <c:pt idx="14">
                  <c:v>6122</c:v>
                </c:pt>
                <c:pt idx="15">
                  <c:v>6140</c:v>
                </c:pt>
                <c:pt idx="16">
                  <c:v>6167</c:v>
                </c:pt>
                <c:pt idx="17">
                  <c:v>6272</c:v>
                </c:pt>
                <c:pt idx="18">
                  <c:v>6375</c:v>
                </c:pt>
                <c:pt idx="19">
                  <c:v>6429</c:v>
                </c:pt>
                <c:pt idx="20">
                  <c:v>6569</c:v>
                </c:pt>
                <c:pt idx="21">
                  <c:v>6551</c:v>
                </c:pt>
                <c:pt idx="22">
                  <c:v>6622</c:v>
                </c:pt>
                <c:pt idx="23">
                  <c:v>6715</c:v>
                </c:pt>
                <c:pt idx="24">
                  <c:v>6780</c:v>
                </c:pt>
                <c:pt idx="25">
                  <c:v>6932</c:v>
                </c:pt>
                <c:pt idx="26">
                  <c:v>7029</c:v>
                </c:pt>
                <c:pt idx="27">
                  <c:v>7153</c:v>
                </c:pt>
                <c:pt idx="28">
                  <c:v>7131</c:v>
                </c:pt>
                <c:pt idx="29">
                  <c:v>7113</c:v>
                </c:pt>
                <c:pt idx="30">
                  <c:v>7051</c:v>
                </c:pt>
                <c:pt idx="31">
                  <c:v>6987</c:v>
                </c:pt>
                <c:pt idx="32">
                  <c:v>7005</c:v>
                </c:pt>
                <c:pt idx="33">
                  <c:v>7012</c:v>
                </c:pt>
                <c:pt idx="34">
                  <c:v>7086</c:v>
                </c:pt>
                <c:pt idx="35">
                  <c:v>7329</c:v>
                </c:pt>
                <c:pt idx="36">
                  <c:v>7287</c:v>
                </c:pt>
                <c:pt idx="37">
                  <c:v>7402</c:v>
                </c:pt>
                <c:pt idx="38">
                  <c:v>7393</c:v>
                </c:pt>
                <c:pt idx="39">
                  <c:v>7426</c:v>
                </c:pt>
                <c:pt idx="40">
                  <c:v>7489</c:v>
                </c:pt>
                <c:pt idx="41">
                  <c:v>7579</c:v>
                </c:pt>
                <c:pt idx="42">
                  <c:v>7462</c:v>
                </c:pt>
                <c:pt idx="43">
                  <c:v>7360</c:v>
                </c:pt>
                <c:pt idx="44">
                  <c:v>7398</c:v>
                </c:pt>
                <c:pt idx="45">
                  <c:v>7206</c:v>
                </c:pt>
                <c:pt idx="46">
                  <c:v>7084</c:v>
                </c:pt>
                <c:pt idx="47">
                  <c:v>7018</c:v>
                </c:pt>
                <c:pt idx="48">
                  <c:v>7068</c:v>
                </c:pt>
                <c:pt idx="49">
                  <c:v>7110</c:v>
                </c:pt>
                <c:pt idx="50">
                  <c:v>7123</c:v>
                </c:pt>
                <c:pt idx="51">
                  <c:v>7153</c:v>
                </c:pt>
              </c:numCache>
            </c:numRef>
          </c:val>
          <c:smooth val="0"/>
        </c:ser>
        <c:ser>
          <c:idx val="7"/>
          <c:order val="7"/>
          <c:tx>
            <c:strRef>
              <c:f>'Sheet1 (13)'!$I$3:$I$4</c:f>
              <c:strCache>
                <c:ptCount val="1"/>
                <c:pt idx="0">
                  <c:v>Pregabalin+Tramadol</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(13)'!$I$5:$I$57</c:f>
              <c:numCache>
                <c:formatCode>General</c:formatCode>
                <c:ptCount val="52"/>
                <c:pt idx="0">
                  <c:v>5029</c:v>
                </c:pt>
                <c:pt idx="1">
                  <c:v>5134</c:v>
                </c:pt>
                <c:pt idx="2">
                  <c:v>5238</c:v>
                </c:pt>
                <c:pt idx="3">
                  <c:v>5346</c:v>
                </c:pt>
                <c:pt idx="4">
                  <c:v>5426</c:v>
                </c:pt>
                <c:pt idx="5">
                  <c:v>5488</c:v>
                </c:pt>
                <c:pt idx="6">
                  <c:v>5512</c:v>
                </c:pt>
                <c:pt idx="7">
                  <c:v>5588</c:v>
                </c:pt>
                <c:pt idx="8">
                  <c:v>5591</c:v>
                </c:pt>
                <c:pt idx="9">
                  <c:v>5688</c:v>
                </c:pt>
                <c:pt idx="10">
                  <c:v>5765</c:v>
                </c:pt>
                <c:pt idx="11">
                  <c:v>5845</c:v>
                </c:pt>
                <c:pt idx="12">
                  <c:v>5926</c:v>
                </c:pt>
                <c:pt idx="13">
                  <c:v>5951</c:v>
                </c:pt>
                <c:pt idx="14">
                  <c:v>6002</c:v>
                </c:pt>
                <c:pt idx="15">
                  <c:v>6013</c:v>
                </c:pt>
                <c:pt idx="16">
                  <c:v>6056</c:v>
                </c:pt>
                <c:pt idx="17">
                  <c:v>6082</c:v>
                </c:pt>
                <c:pt idx="18">
                  <c:v>6124</c:v>
                </c:pt>
                <c:pt idx="19">
                  <c:v>6148</c:v>
                </c:pt>
                <c:pt idx="20">
                  <c:v>6158</c:v>
                </c:pt>
                <c:pt idx="21">
                  <c:v>6261</c:v>
                </c:pt>
                <c:pt idx="22">
                  <c:v>6351</c:v>
                </c:pt>
                <c:pt idx="23">
                  <c:v>6442</c:v>
                </c:pt>
                <c:pt idx="24">
                  <c:v>6447</c:v>
                </c:pt>
                <c:pt idx="25">
                  <c:v>6570</c:v>
                </c:pt>
                <c:pt idx="26">
                  <c:v>6560</c:v>
                </c:pt>
                <c:pt idx="27">
                  <c:v>6624</c:v>
                </c:pt>
                <c:pt idx="28">
                  <c:v>6667</c:v>
                </c:pt>
                <c:pt idx="29">
                  <c:v>6778</c:v>
                </c:pt>
                <c:pt idx="30">
                  <c:v>6801</c:v>
                </c:pt>
                <c:pt idx="31">
                  <c:v>6874</c:v>
                </c:pt>
                <c:pt idx="32">
                  <c:v>6940</c:v>
                </c:pt>
                <c:pt idx="33">
                  <c:v>6976</c:v>
                </c:pt>
                <c:pt idx="34">
                  <c:v>7085</c:v>
                </c:pt>
                <c:pt idx="35">
                  <c:v>7180</c:v>
                </c:pt>
                <c:pt idx="36">
                  <c:v>7222</c:v>
                </c:pt>
                <c:pt idx="37">
                  <c:v>7292</c:v>
                </c:pt>
                <c:pt idx="38">
                  <c:v>7420</c:v>
                </c:pt>
                <c:pt idx="39">
                  <c:v>7518</c:v>
                </c:pt>
                <c:pt idx="40">
                  <c:v>7542</c:v>
                </c:pt>
                <c:pt idx="41">
                  <c:v>7548</c:v>
                </c:pt>
                <c:pt idx="42">
                  <c:v>7442</c:v>
                </c:pt>
                <c:pt idx="43">
                  <c:v>7351</c:v>
                </c:pt>
                <c:pt idx="44">
                  <c:v>7213</c:v>
                </c:pt>
                <c:pt idx="45">
                  <c:v>7041</c:v>
                </c:pt>
                <c:pt idx="46">
                  <c:v>6880</c:v>
                </c:pt>
                <c:pt idx="47">
                  <c:v>6838</c:v>
                </c:pt>
                <c:pt idx="48">
                  <c:v>6875</c:v>
                </c:pt>
                <c:pt idx="49">
                  <c:v>6982</c:v>
                </c:pt>
                <c:pt idx="50">
                  <c:v>7015</c:v>
                </c:pt>
                <c:pt idx="51">
                  <c:v>7084</c:v>
                </c:pt>
              </c:numCache>
            </c:numRef>
          </c:val>
          <c:smooth val="0"/>
        </c:ser>
        <c:ser>
          <c:idx val="8"/>
          <c:order val="8"/>
          <c:tx>
            <c:strRef>
              <c:f>'Sheet1 (13)'!$J$3:$J$4</c:f>
              <c:strCache>
                <c:ptCount val="1"/>
                <c:pt idx="0">
                  <c:v>Opioid_S8+Pregabalin+SNRI</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(13)'!$J$5:$J$57</c:f>
              <c:numCache>
                <c:formatCode>General</c:formatCode>
                <c:ptCount val="52"/>
                <c:pt idx="0">
                  <c:v>4697</c:v>
                </c:pt>
                <c:pt idx="1">
                  <c:v>4770</c:v>
                </c:pt>
                <c:pt idx="2">
                  <c:v>4860</c:v>
                </c:pt>
                <c:pt idx="3">
                  <c:v>4908</c:v>
                </c:pt>
                <c:pt idx="4">
                  <c:v>4904</c:v>
                </c:pt>
                <c:pt idx="5">
                  <c:v>4945</c:v>
                </c:pt>
                <c:pt idx="6">
                  <c:v>4920</c:v>
                </c:pt>
                <c:pt idx="7">
                  <c:v>4961</c:v>
                </c:pt>
                <c:pt idx="8">
                  <c:v>5021</c:v>
                </c:pt>
                <c:pt idx="9">
                  <c:v>5148</c:v>
                </c:pt>
                <c:pt idx="10">
                  <c:v>5176</c:v>
                </c:pt>
                <c:pt idx="11">
                  <c:v>5280</c:v>
                </c:pt>
                <c:pt idx="12">
                  <c:v>5343</c:v>
                </c:pt>
                <c:pt idx="13">
                  <c:v>5340</c:v>
                </c:pt>
                <c:pt idx="14">
                  <c:v>5315</c:v>
                </c:pt>
                <c:pt idx="15">
                  <c:v>5353</c:v>
                </c:pt>
                <c:pt idx="16">
                  <c:v>5392</c:v>
                </c:pt>
                <c:pt idx="17">
                  <c:v>5449</c:v>
                </c:pt>
                <c:pt idx="18">
                  <c:v>5522</c:v>
                </c:pt>
                <c:pt idx="19">
                  <c:v>5542</c:v>
                </c:pt>
                <c:pt idx="20">
                  <c:v>5578</c:v>
                </c:pt>
                <c:pt idx="21">
                  <c:v>5639</c:v>
                </c:pt>
                <c:pt idx="22">
                  <c:v>5742</c:v>
                </c:pt>
                <c:pt idx="23">
                  <c:v>5814</c:v>
                </c:pt>
                <c:pt idx="24">
                  <c:v>5888</c:v>
                </c:pt>
                <c:pt idx="25">
                  <c:v>5906</c:v>
                </c:pt>
                <c:pt idx="26">
                  <c:v>5936</c:v>
                </c:pt>
                <c:pt idx="27">
                  <c:v>5959</c:v>
                </c:pt>
                <c:pt idx="28">
                  <c:v>6047</c:v>
                </c:pt>
                <c:pt idx="29">
                  <c:v>6068</c:v>
                </c:pt>
                <c:pt idx="30">
                  <c:v>6126</c:v>
                </c:pt>
                <c:pt idx="31">
                  <c:v>6163</c:v>
                </c:pt>
                <c:pt idx="32">
                  <c:v>6205</c:v>
                </c:pt>
                <c:pt idx="33">
                  <c:v>6204</c:v>
                </c:pt>
                <c:pt idx="34">
                  <c:v>6186</c:v>
                </c:pt>
                <c:pt idx="35">
                  <c:v>6239</c:v>
                </c:pt>
                <c:pt idx="36">
                  <c:v>6320</c:v>
                </c:pt>
                <c:pt idx="37">
                  <c:v>6379</c:v>
                </c:pt>
                <c:pt idx="38">
                  <c:v>6489</c:v>
                </c:pt>
                <c:pt idx="39">
                  <c:v>6514</c:v>
                </c:pt>
                <c:pt idx="40">
                  <c:v>6596</c:v>
                </c:pt>
                <c:pt idx="41">
                  <c:v>6572</c:v>
                </c:pt>
                <c:pt idx="42">
                  <c:v>6496</c:v>
                </c:pt>
                <c:pt idx="43">
                  <c:v>6401</c:v>
                </c:pt>
                <c:pt idx="44">
                  <c:v>6398</c:v>
                </c:pt>
                <c:pt idx="45">
                  <c:v>6425</c:v>
                </c:pt>
                <c:pt idx="46">
                  <c:v>6489</c:v>
                </c:pt>
                <c:pt idx="47">
                  <c:v>6567</c:v>
                </c:pt>
                <c:pt idx="48">
                  <c:v>6624</c:v>
                </c:pt>
                <c:pt idx="49">
                  <c:v>6693</c:v>
                </c:pt>
                <c:pt idx="50">
                  <c:v>6676</c:v>
                </c:pt>
                <c:pt idx="51">
                  <c:v>6680</c:v>
                </c:pt>
              </c:numCache>
            </c:numRef>
          </c:val>
          <c:smooth val="0"/>
        </c:ser>
        <c:ser>
          <c:idx val="9"/>
          <c:order val="9"/>
          <c:tx>
            <c:strRef>
              <c:f>'Sheet1 (13)'!$K$3:$K$4</c:f>
              <c:strCache>
                <c:ptCount val="1"/>
                <c:pt idx="0">
                  <c:v>Opioid_S8+Pregabalin+TCA</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(13)'!$K$5:$K$57</c:f>
              <c:numCache>
                <c:formatCode>General</c:formatCode>
                <c:ptCount val="52"/>
                <c:pt idx="0">
                  <c:v>3898</c:v>
                </c:pt>
                <c:pt idx="1">
                  <c:v>4022</c:v>
                </c:pt>
                <c:pt idx="2">
                  <c:v>4091</c:v>
                </c:pt>
                <c:pt idx="3">
                  <c:v>4186</c:v>
                </c:pt>
                <c:pt idx="4">
                  <c:v>4243</c:v>
                </c:pt>
                <c:pt idx="5">
                  <c:v>4264</c:v>
                </c:pt>
                <c:pt idx="6">
                  <c:v>4254</c:v>
                </c:pt>
                <c:pt idx="7">
                  <c:v>4286</c:v>
                </c:pt>
                <c:pt idx="8">
                  <c:v>4392</c:v>
                </c:pt>
                <c:pt idx="9">
                  <c:v>4451</c:v>
                </c:pt>
                <c:pt idx="10">
                  <c:v>4491</c:v>
                </c:pt>
                <c:pt idx="11">
                  <c:v>4600</c:v>
                </c:pt>
                <c:pt idx="12">
                  <c:v>4676</c:v>
                </c:pt>
                <c:pt idx="13">
                  <c:v>4711</c:v>
                </c:pt>
                <c:pt idx="14">
                  <c:v>4779</c:v>
                </c:pt>
                <c:pt idx="15">
                  <c:v>4846</c:v>
                </c:pt>
                <c:pt idx="16">
                  <c:v>4872</c:v>
                </c:pt>
                <c:pt idx="17">
                  <c:v>4891</c:v>
                </c:pt>
                <c:pt idx="18">
                  <c:v>4886</c:v>
                </c:pt>
                <c:pt idx="19">
                  <c:v>4956</c:v>
                </c:pt>
                <c:pt idx="20">
                  <c:v>5012</c:v>
                </c:pt>
                <c:pt idx="21">
                  <c:v>5051</c:v>
                </c:pt>
                <c:pt idx="22">
                  <c:v>5096</c:v>
                </c:pt>
                <c:pt idx="23">
                  <c:v>5133</c:v>
                </c:pt>
                <c:pt idx="24">
                  <c:v>5138</c:v>
                </c:pt>
                <c:pt idx="25">
                  <c:v>5186</c:v>
                </c:pt>
                <c:pt idx="26">
                  <c:v>5235</c:v>
                </c:pt>
                <c:pt idx="27">
                  <c:v>5303</c:v>
                </c:pt>
                <c:pt idx="28">
                  <c:v>5309</c:v>
                </c:pt>
                <c:pt idx="29">
                  <c:v>5283</c:v>
                </c:pt>
                <c:pt idx="30">
                  <c:v>5316</c:v>
                </c:pt>
                <c:pt idx="31">
                  <c:v>5378</c:v>
                </c:pt>
                <c:pt idx="32">
                  <c:v>5413</c:v>
                </c:pt>
                <c:pt idx="33">
                  <c:v>5409</c:v>
                </c:pt>
                <c:pt idx="34">
                  <c:v>5459</c:v>
                </c:pt>
                <c:pt idx="35">
                  <c:v>5481</c:v>
                </c:pt>
                <c:pt idx="36">
                  <c:v>5531</c:v>
                </c:pt>
                <c:pt idx="37">
                  <c:v>5589</c:v>
                </c:pt>
                <c:pt idx="38">
                  <c:v>5681</c:v>
                </c:pt>
                <c:pt idx="39">
                  <c:v>5698</c:v>
                </c:pt>
                <c:pt idx="40">
                  <c:v>5749</c:v>
                </c:pt>
                <c:pt idx="41">
                  <c:v>5731</c:v>
                </c:pt>
                <c:pt idx="42">
                  <c:v>5634</c:v>
                </c:pt>
                <c:pt idx="43">
                  <c:v>5560</c:v>
                </c:pt>
                <c:pt idx="44">
                  <c:v>5454</c:v>
                </c:pt>
                <c:pt idx="45">
                  <c:v>5490</c:v>
                </c:pt>
                <c:pt idx="46">
                  <c:v>5431</c:v>
                </c:pt>
                <c:pt idx="47">
                  <c:v>5432</c:v>
                </c:pt>
                <c:pt idx="48">
                  <c:v>5405</c:v>
                </c:pt>
                <c:pt idx="49">
                  <c:v>5397</c:v>
                </c:pt>
                <c:pt idx="50">
                  <c:v>5360</c:v>
                </c:pt>
                <c:pt idx="51">
                  <c:v>5397</c:v>
                </c:pt>
              </c:numCache>
            </c:numRef>
          </c:val>
          <c:smooth val="0"/>
        </c:ser>
        <c:ser>
          <c:idx val="10"/>
          <c:order val="10"/>
          <c:tx>
            <c:strRef>
              <c:f>'Sheet1 (13)'!$L$3:$L$4</c:f>
              <c:strCache>
                <c:ptCount val="1"/>
                <c:pt idx="0">
                  <c:v>Opioid_S4+Opioid_S8+Pregabalin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(13)'!$L$5:$L$57</c:f>
              <c:numCache>
                <c:formatCode>General</c:formatCode>
                <c:ptCount val="52"/>
                <c:pt idx="0">
                  <c:v>1800</c:v>
                </c:pt>
                <c:pt idx="1">
                  <c:v>1815</c:v>
                </c:pt>
                <c:pt idx="2">
                  <c:v>1815</c:v>
                </c:pt>
                <c:pt idx="3">
                  <c:v>1837</c:v>
                </c:pt>
                <c:pt idx="4">
                  <c:v>1856</c:v>
                </c:pt>
                <c:pt idx="5">
                  <c:v>1904</c:v>
                </c:pt>
                <c:pt idx="6">
                  <c:v>1900</c:v>
                </c:pt>
                <c:pt idx="7">
                  <c:v>1940</c:v>
                </c:pt>
                <c:pt idx="8">
                  <c:v>1980</c:v>
                </c:pt>
                <c:pt idx="9">
                  <c:v>2026</c:v>
                </c:pt>
                <c:pt idx="10">
                  <c:v>2061</c:v>
                </c:pt>
                <c:pt idx="11">
                  <c:v>2055</c:v>
                </c:pt>
                <c:pt idx="12">
                  <c:v>2081</c:v>
                </c:pt>
                <c:pt idx="13">
                  <c:v>2101</c:v>
                </c:pt>
                <c:pt idx="14">
                  <c:v>2125</c:v>
                </c:pt>
                <c:pt idx="15">
                  <c:v>2159</c:v>
                </c:pt>
                <c:pt idx="16">
                  <c:v>2199</c:v>
                </c:pt>
                <c:pt idx="17">
                  <c:v>2190</c:v>
                </c:pt>
                <c:pt idx="18">
                  <c:v>2218</c:v>
                </c:pt>
                <c:pt idx="19">
                  <c:v>2229</c:v>
                </c:pt>
                <c:pt idx="20">
                  <c:v>2238</c:v>
                </c:pt>
                <c:pt idx="21">
                  <c:v>2262</c:v>
                </c:pt>
                <c:pt idx="22">
                  <c:v>2271</c:v>
                </c:pt>
                <c:pt idx="23">
                  <c:v>2288</c:v>
                </c:pt>
                <c:pt idx="24">
                  <c:v>2333</c:v>
                </c:pt>
                <c:pt idx="25">
                  <c:v>2358</c:v>
                </c:pt>
                <c:pt idx="26">
                  <c:v>2343</c:v>
                </c:pt>
                <c:pt idx="27">
                  <c:v>2326</c:v>
                </c:pt>
                <c:pt idx="28">
                  <c:v>2387</c:v>
                </c:pt>
                <c:pt idx="29">
                  <c:v>2354</c:v>
                </c:pt>
                <c:pt idx="30">
                  <c:v>2387</c:v>
                </c:pt>
                <c:pt idx="31">
                  <c:v>2435</c:v>
                </c:pt>
                <c:pt idx="32">
                  <c:v>2472</c:v>
                </c:pt>
                <c:pt idx="33">
                  <c:v>2532</c:v>
                </c:pt>
                <c:pt idx="34">
                  <c:v>2590</c:v>
                </c:pt>
                <c:pt idx="35">
                  <c:v>2582</c:v>
                </c:pt>
                <c:pt idx="36">
                  <c:v>2638</c:v>
                </c:pt>
                <c:pt idx="37">
                  <c:v>2653</c:v>
                </c:pt>
                <c:pt idx="38">
                  <c:v>2683</c:v>
                </c:pt>
                <c:pt idx="39">
                  <c:v>2706</c:v>
                </c:pt>
                <c:pt idx="40">
                  <c:v>2790</c:v>
                </c:pt>
                <c:pt idx="41">
                  <c:v>2781</c:v>
                </c:pt>
                <c:pt idx="42">
                  <c:v>2678</c:v>
                </c:pt>
                <c:pt idx="43">
                  <c:v>2590</c:v>
                </c:pt>
                <c:pt idx="44">
                  <c:v>2504</c:v>
                </c:pt>
                <c:pt idx="45">
                  <c:v>2451</c:v>
                </c:pt>
                <c:pt idx="46">
                  <c:v>2453</c:v>
                </c:pt>
                <c:pt idx="47">
                  <c:v>2484</c:v>
                </c:pt>
                <c:pt idx="48">
                  <c:v>2570</c:v>
                </c:pt>
                <c:pt idx="49">
                  <c:v>2554</c:v>
                </c:pt>
                <c:pt idx="50">
                  <c:v>2596</c:v>
                </c:pt>
                <c:pt idx="51">
                  <c:v>2566</c:v>
                </c:pt>
              </c:numCache>
            </c:numRef>
          </c:val>
          <c:smooth val="0"/>
        </c:ser>
        <c:ser>
          <c:idx val="11"/>
          <c:order val="11"/>
          <c:tx>
            <c:strRef>
              <c:f>'Sheet1 (13)'!$M$3:$M$4</c:f>
              <c:strCache>
                <c:ptCount val="1"/>
                <c:pt idx="0">
                  <c:v>Opioid_S4+Other_antidepressant+Pregabalin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(13)'!$M$5:$M$57</c:f>
              <c:numCache>
                <c:formatCode>General</c:formatCode>
                <c:ptCount val="52"/>
                <c:pt idx="0">
                  <c:v>1529</c:v>
                </c:pt>
                <c:pt idx="1">
                  <c:v>1547</c:v>
                </c:pt>
                <c:pt idx="2">
                  <c:v>1598</c:v>
                </c:pt>
                <c:pt idx="3">
                  <c:v>1667</c:v>
                </c:pt>
                <c:pt idx="4">
                  <c:v>1716</c:v>
                </c:pt>
                <c:pt idx="5">
                  <c:v>1775</c:v>
                </c:pt>
                <c:pt idx="6">
                  <c:v>1807</c:v>
                </c:pt>
                <c:pt idx="7">
                  <c:v>1808</c:v>
                </c:pt>
                <c:pt idx="8">
                  <c:v>1826</c:v>
                </c:pt>
                <c:pt idx="9">
                  <c:v>1833</c:v>
                </c:pt>
                <c:pt idx="10">
                  <c:v>1867</c:v>
                </c:pt>
                <c:pt idx="11">
                  <c:v>1931</c:v>
                </c:pt>
                <c:pt idx="12">
                  <c:v>1944</c:v>
                </c:pt>
                <c:pt idx="13">
                  <c:v>1951</c:v>
                </c:pt>
                <c:pt idx="14">
                  <c:v>1962</c:v>
                </c:pt>
                <c:pt idx="15">
                  <c:v>2035</c:v>
                </c:pt>
                <c:pt idx="16">
                  <c:v>2014</c:v>
                </c:pt>
                <c:pt idx="17">
                  <c:v>2061</c:v>
                </c:pt>
                <c:pt idx="18">
                  <c:v>2142</c:v>
                </c:pt>
                <c:pt idx="19">
                  <c:v>2144</c:v>
                </c:pt>
                <c:pt idx="20">
                  <c:v>2149</c:v>
                </c:pt>
                <c:pt idx="21">
                  <c:v>2205</c:v>
                </c:pt>
                <c:pt idx="22">
                  <c:v>2192</c:v>
                </c:pt>
                <c:pt idx="23">
                  <c:v>2209</c:v>
                </c:pt>
                <c:pt idx="24">
                  <c:v>2225</c:v>
                </c:pt>
                <c:pt idx="25">
                  <c:v>2231</c:v>
                </c:pt>
                <c:pt idx="26">
                  <c:v>2283</c:v>
                </c:pt>
                <c:pt idx="27">
                  <c:v>2299</c:v>
                </c:pt>
                <c:pt idx="28">
                  <c:v>2297</c:v>
                </c:pt>
                <c:pt idx="29">
                  <c:v>2282</c:v>
                </c:pt>
                <c:pt idx="30">
                  <c:v>2319</c:v>
                </c:pt>
                <c:pt idx="31">
                  <c:v>2393</c:v>
                </c:pt>
                <c:pt idx="32">
                  <c:v>2404</c:v>
                </c:pt>
                <c:pt idx="33">
                  <c:v>2462</c:v>
                </c:pt>
                <c:pt idx="34">
                  <c:v>2463</c:v>
                </c:pt>
                <c:pt idx="35">
                  <c:v>2522</c:v>
                </c:pt>
                <c:pt idx="36">
                  <c:v>2525</c:v>
                </c:pt>
                <c:pt idx="37">
                  <c:v>2555</c:v>
                </c:pt>
                <c:pt idx="38">
                  <c:v>2618</c:v>
                </c:pt>
                <c:pt idx="39">
                  <c:v>2658</c:v>
                </c:pt>
                <c:pt idx="40">
                  <c:v>2665</c:v>
                </c:pt>
                <c:pt idx="41">
                  <c:v>2701</c:v>
                </c:pt>
                <c:pt idx="42">
                  <c:v>2660</c:v>
                </c:pt>
                <c:pt idx="43">
                  <c:v>2593</c:v>
                </c:pt>
                <c:pt idx="44">
                  <c:v>2609</c:v>
                </c:pt>
                <c:pt idx="45">
                  <c:v>2562</c:v>
                </c:pt>
                <c:pt idx="46">
                  <c:v>2460</c:v>
                </c:pt>
                <c:pt idx="47">
                  <c:v>2406</c:v>
                </c:pt>
                <c:pt idx="48">
                  <c:v>2394</c:v>
                </c:pt>
                <c:pt idx="49">
                  <c:v>2373</c:v>
                </c:pt>
                <c:pt idx="50">
                  <c:v>2343</c:v>
                </c:pt>
                <c:pt idx="51">
                  <c:v>2341</c:v>
                </c:pt>
              </c:numCache>
            </c:numRef>
          </c:val>
          <c:smooth val="0"/>
        </c:ser>
        <c:ser>
          <c:idx val="12"/>
          <c:order val="12"/>
          <c:tx>
            <c:strRef>
              <c:f>'Sheet1 (13)'!$N$3:$N$4</c:f>
              <c:strCache>
                <c:ptCount val="1"/>
                <c:pt idx="0">
                  <c:v>Antiepileptic+Pregabalin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(13)'!$N$5:$N$57</c:f>
              <c:numCache>
                <c:formatCode>General</c:formatCode>
                <c:ptCount val="52"/>
                <c:pt idx="0">
                  <c:v>1310</c:v>
                </c:pt>
                <c:pt idx="1">
                  <c:v>1338</c:v>
                </c:pt>
                <c:pt idx="2">
                  <c:v>1365</c:v>
                </c:pt>
                <c:pt idx="3">
                  <c:v>1409</c:v>
                </c:pt>
                <c:pt idx="4">
                  <c:v>1442</c:v>
                </c:pt>
                <c:pt idx="5">
                  <c:v>1466</c:v>
                </c:pt>
                <c:pt idx="6">
                  <c:v>1471</c:v>
                </c:pt>
                <c:pt idx="7">
                  <c:v>1477</c:v>
                </c:pt>
                <c:pt idx="8">
                  <c:v>1491</c:v>
                </c:pt>
                <c:pt idx="9">
                  <c:v>1515</c:v>
                </c:pt>
                <c:pt idx="10">
                  <c:v>1523</c:v>
                </c:pt>
                <c:pt idx="11">
                  <c:v>1555</c:v>
                </c:pt>
                <c:pt idx="12">
                  <c:v>1587</c:v>
                </c:pt>
                <c:pt idx="13">
                  <c:v>1577</c:v>
                </c:pt>
                <c:pt idx="14">
                  <c:v>1581</c:v>
                </c:pt>
                <c:pt idx="15">
                  <c:v>1623</c:v>
                </c:pt>
                <c:pt idx="16">
                  <c:v>1639</c:v>
                </c:pt>
                <c:pt idx="17">
                  <c:v>1652</c:v>
                </c:pt>
                <c:pt idx="18">
                  <c:v>1690</c:v>
                </c:pt>
                <c:pt idx="19">
                  <c:v>1716</c:v>
                </c:pt>
                <c:pt idx="20">
                  <c:v>1725</c:v>
                </c:pt>
                <c:pt idx="21">
                  <c:v>1720</c:v>
                </c:pt>
                <c:pt idx="22">
                  <c:v>1745</c:v>
                </c:pt>
                <c:pt idx="23">
                  <c:v>1776</c:v>
                </c:pt>
                <c:pt idx="24">
                  <c:v>1807</c:v>
                </c:pt>
                <c:pt idx="25">
                  <c:v>1808</c:v>
                </c:pt>
                <c:pt idx="26">
                  <c:v>1797</c:v>
                </c:pt>
                <c:pt idx="27">
                  <c:v>1823</c:v>
                </c:pt>
                <c:pt idx="28">
                  <c:v>1809</c:v>
                </c:pt>
                <c:pt idx="29">
                  <c:v>1838</c:v>
                </c:pt>
                <c:pt idx="30">
                  <c:v>1891</c:v>
                </c:pt>
                <c:pt idx="31">
                  <c:v>1884</c:v>
                </c:pt>
                <c:pt idx="32">
                  <c:v>1916</c:v>
                </c:pt>
                <c:pt idx="33">
                  <c:v>1947</c:v>
                </c:pt>
                <c:pt idx="34">
                  <c:v>1968</c:v>
                </c:pt>
                <c:pt idx="35">
                  <c:v>1998</c:v>
                </c:pt>
                <c:pt idx="36">
                  <c:v>1984</c:v>
                </c:pt>
                <c:pt idx="37">
                  <c:v>1985</c:v>
                </c:pt>
                <c:pt idx="38">
                  <c:v>1997</c:v>
                </c:pt>
                <c:pt idx="39">
                  <c:v>2004</c:v>
                </c:pt>
                <c:pt idx="40">
                  <c:v>2044</c:v>
                </c:pt>
                <c:pt idx="41">
                  <c:v>2091</c:v>
                </c:pt>
                <c:pt idx="42">
                  <c:v>2113</c:v>
                </c:pt>
                <c:pt idx="43">
                  <c:v>2107</c:v>
                </c:pt>
                <c:pt idx="44">
                  <c:v>2113</c:v>
                </c:pt>
                <c:pt idx="45">
                  <c:v>2061</c:v>
                </c:pt>
                <c:pt idx="46">
                  <c:v>2010</c:v>
                </c:pt>
                <c:pt idx="47">
                  <c:v>1988</c:v>
                </c:pt>
                <c:pt idx="48">
                  <c:v>1980</c:v>
                </c:pt>
                <c:pt idx="49">
                  <c:v>1980</c:v>
                </c:pt>
                <c:pt idx="50">
                  <c:v>1934</c:v>
                </c:pt>
                <c:pt idx="51">
                  <c:v>1934</c:v>
                </c:pt>
              </c:numCache>
            </c:numRef>
          </c:val>
          <c:smooth val="0"/>
        </c:ser>
        <c:ser>
          <c:idx val="13"/>
          <c:order val="13"/>
          <c:tx>
            <c:strRef>
              <c:f>'Sheet1 (13)'!$O$3:$O$4</c:f>
              <c:strCache>
                <c:ptCount val="1"/>
                <c:pt idx="0">
                  <c:v>Opioid_S8+Pregabalin+Tramadol</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(13)'!$O$5:$O$57</c:f>
              <c:numCache>
                <c:formatCode>General</c:formatCode>
                <c:ptCount val="52"/>
                <c:pt idx="0">
                  <c:v>1397</c:v>
                </c:pt>
                <c:pt idx="1">
                  <c:v>1393</c:v>
                </c:pt>
                <c:pt idx="2">
                  <c:v>1394</c:v>
                </c:pt>
                <c:pt idx="3">
                  <c:v>1375</c:v>
                </c:pt>
                <c:pt idx="4">
                  <c:v>1425</c:v>
                </c:pt>
                <c:pt idx="5">
                  <c:v>1440</c:v>
                </c:pt>
                <c:pt idx="6">
                  <c:v>1463</c:v>
                </c:pt>
                <c:pt idx="7">
                  <c:v>1459</c:v>
                </c:pt>
                <c:pt idx="8">
                  <c:v>1479</c:v>
                </c:pt>
                <c:pt idx="9">
                  <c:v>1500</c:v>
                </c:pt>
                <c:pt idx="10">
                  <c:v>1515</c:v>
                </c:pt>
                <c:pt idx="11">
                  <c:v>1518</c:v>
                </c:pt>
                <c:pt idx="12">
                  <c:v>1548</c:v>
                </c:pt>
                <c:pt idx="13">
                  <c:v>1545</c:v>
                </c:pt>
                <c:pt idx="14">
                  <c:v>1581</c:v>
                </c:pt>
                <c:pt idx="15">
                  <c:v>1615</c:v>
                </c:pt>
                <c:pt idx="16">
                  <c:v>1673</c:v>
                </c:pt>
                <c:pt idx="17">
                  <c:v>1674</c:v>
                </c:pt>
                <c:pt idx="18">
                  <c:v>1686</c:v>
                </c:pt>
                <c:pt idx="19">
                  <c:v>1687</c:v>
                </c:pt>
                <c:pt idx="20">
                  <c:v>1693</c:v>
                </c:pt>
                <c:pt idx="21">
                  <c:v>1714</c:v>
                </c:pt>
                <c:pt idx="22">
                  <c:v>1717</c:v>
                </c:pt>
                <c:pt idx="23">
                  <c:v>1739</c:v>
                </c:pt>
                <c:pt idx="24">
                  <c:v>1727</c:v>
                </c:pt>
                <c:pt idx="25">
                  <c:v>1739</c:v>
                </c:pt>
                <c:pt idx="26">
                  <c:v>1747</c:v>
                </c:pt>
                <c:pt idx="27">
                  <c:v>1804</c:v>
                </c:pt>
                <c:pt idx="28">
                  <c:v>1853</c:v>
                </c:pt>
                <c:pt idx="29">
                  <c:v>1834</c:v>
                </c:pt>
                <c:pt idx="30">
                  <c:v>1836</c:v>
                </c:pt>
                <c:pt idx="31">
                  <c:v>1850</c:v>
                </c:pt>
                <c:pt idx="32">
                  <c:v>1868</c:v>
                </c:pt>
                <c:pt idx="33">
                  <c:v>1903</c:v>
                </c:pt>
                <c:pt idx="34">
                  <c:v>1893</c:v>
                </c:pt>
                <c:pt idx="35">
                  <c:v>1937</c:v>
                </c:pt>
                <c:pt idx="36">
                  <c:v>2001</c:v>
                </c:pt>
                <c:pt idx="37">
                  <c:v>2037</c:v>
                </c:pt>
                <c:pt idx="38">
                  <c:v>2040</c:v>
                </c:pt>
                <c:pt idx="39">
                  <c:v>2042</c:v>
                </c:pt>
                <c:pt idx="40">
                  <c:v>2083</c:v>
                </c:pt>
                <c:pt idx="41">
                  <c:v>2101</c:v>
                </c:pt>
                <c:pt idx="42">
                  <c:v>2012</c:v>
                </c:pt>
                <c:pt idx="43">
                  <c:v>1877</c:v>
                </c:pt>
                <c:pt idx="44">
                  <c:v>1822</c:v>
                </c:pt>
                <c:pt idx="45">
                  <c:v>1808</c:v>
                </c:pt>
                <c:pt idx="46">
                  <c:v>1804</c:v>
                </c:pt>
                <c:pt idx="47">
                  <c:v>1824</c:v>
                </c:pt>
                <c:pt idx="48">
                  <c:v>1814</c:v>
                </c:pt>
                <c:pt idx="49">
                  <c:v>1832</c:v>
                </c:pt>
                <c:pt idx="50">
                  <c:v>1836</c:v>
                </c:pt>
                <c:pt idx="51">
                  <c:v>1850</c:v>
                </c:pt>
              </c:numCache>
            </c:numRef>
          </c:val>
          <c:smooth val="0"/>
        </c:ser>
        <c:ser>
          <c:idx val="14"/>
          <c:order val="14"/>
          <c:tx>
            <c:strRef>
              <c:f>'Sheet1 (13)'!$P$3:$P$4</c:f>
              <c:strCache>
                <c:ptCount val="1"/>
                <c:pt idx="0">
                  <c:v>Opioid_S4+Pregabalin+SNRI</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(13)'!$P$5:$P$57</c:f>
              <c:numCache>
                <c:formatCode>General</c:formatCode>
                <c:ptCount val="52"/>
                <c:pt idx="0">
                  <c:v>1053</c:v>
                </c:pt>
                <c:pt idx="1">
                  <c:v>1115</c:v>
                </c:pt>
                <c:pt idx="2">
                  <c:v>1159</c:v>
                </c:pt>
                <c:pt idx="3">
                  <c:v>1156</c:v>
                </c:pt>
                <c:pt idx="4">
                  <c:v>1150</c:v>
                </c:pt>
                <c:pt idx="5">
                  <c:v>1162</c:v>
                </c:pt>
                <c:pt idx="6">
                  <c:v>1176</c:v>
                </c:pt>
                <c:pt idx="7">
                  <c:v>1194</c:v>
                </c:pt>
                <c:pt idx="8">
                  <c:v>1220</c:v>
                </c:pt>
                <c:pt idx="9">
                  <c:v>1244</c:v>
                </c:pt>
                <c:pt idx="10">
                  <c:v>1271</c:v>
                </c:pt>
                <c:pt idx="11">
                  <c:v>1291</c:v>
                </c:pt>
                <c:pt idx="12">
                  <c:v>1285</c:v>
                </c:pt>
                <c:pt idx="13">
                  <c:v>1310</c:v>
                </c:pt>
                <c:pt idx="14">
                  <c:v>1328</c:v>
                </c:pt>
                <c:pt idx="15">
                  <c:v>1364</c:v>
                </c:pt>
                <c:pt idx="16">
                  <c:v>1390</c:v>
                </c:pt>
                <c:pt idx="17">
                  <c:v>1408</c:v>
                </c:pt>
                <c:pt idx="18">
                  <c:v>1436</c:v>
                </c:pt>
                <c:pt idx="19">
                  <c:v>1441</c:v>
                </c:pt>
                <c:pt idx="20">
                  <c:v>1437</c:v>
                </c:pt>
                <c:pt idx="21">
                  <c:v>1455</c:v>
                </c:pt>
                <c:pt idx="22">
                  <c:v>1475</c:v>
                </c:pt>
                <c:pt idx="23">
                  <c:v>1494</c:v>
                </c:pt>
                <c:pt idx="24">
                  <c:v>1502</c:v>
                </c:pt>
                <c:pt idx="25">
                  <c:v>1525</c:v>
                </c:pt>
                <c:pt idx="26">
                  <c:v>1558</c:v>
                </c:pt>
                <c:pt idx="27">
                  <c:v>1550</c:v>
                </c:pt>
                <c:pt idx="28">
                  <c:v>1582</c:v>
                </c:pt>
                <c:pt idx="29">
                  <c:v>1605</c:v>
                </c:pt>
                <c:pt idx="30">
                  <c:v>1616</c:v>
                </c:pt>
                <c:pt idx="31">
                  <c:v>1604</c:v>
                </c:pt>
                <c:pt idx="32">
                  <c:v>1601</c:v>
                </c:pt>
                <c:pt idx="33">
                  <c:v>1580</c:v>
                </c:pt>
                <c:pt idx="34">
                  <c:v>1578</c:v>
                </c:pt>
                <c:pt idx="35">
                  <c:v>1605</c:v>
                </c:pt>
                <c:pt idx="36">
                  <c:v>1628</c:v>
                </c:pt>
                <c:pt idx="37">
                  <c:v>1654</c:v>
                </c:pt>
                <c:pt idx="38">
                  <c:v>1702</c:v>
                </c:pt>
                <c:pt idx="39">
                  <c:v>1713</c:v>
                </c:pt>
                <c:pt idx="40">
                  <c:v>1718</c:v>
                </c:pt>
                <c:pt idx="41">
                  <c:v>1711</c:v>
                </c:pt>
                <c:pt idx="42">
                  <c:v>1727</c:v>
                </c:pt>
                <c:pt idx="43">
                  <c:v>1716</c:v>
                </c:pt>
                <c:pt idx="44">
                  <c:v>1685</c:v>
                </c:pt>
                <c:pt idx="45">
                  <c:v>1635</c:v>
                </c:pt>
                <c:pt idx="46">
                  <c:v>1611</c:v>
                </c:pt>
                <c:pt idx="47">
                  <c:v>1612</c:v>
                </c:pt>
                <c:pt idx="48">
                  <c:v>1588</c:v>
                </c:pt>
                <c:pt idx="49">
                  <c:v>1554</c:v>
                </c:pt>
                <c:pt idx="50">
                  <c:v>1572</c:v>
                </c:pt>
                <c:pt idx="51">
                  <c:v>1590</c:v>
                </c:pt>
              </c:numCache>
            </c:numRef>
          </c:val>
          <c:smooth val="0"/>
        </c:ser>
        <c:ser>
          <c:idx val="15"/>
          <c:order val="15"/>
          <c:tx>
            <c:strRef>
              <c:f>'Sheet1 (13)'!$Q$3:$Q$4</c:f>
              <c:strCache>
                <c:ptCount val="1"/>
                <c:pt idx="0">
                  <c:v>Opioid_S4+Pregabalin+TCA</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(13)'!$Q$5:$Q$57</c:f>
              <c:numCache>
                <c:formatCode>General</c:formatCode>
                <c:ptCount val="52"/>
                <c:pt idx="0">
                  <c:v>1018</c:v>
                </c:pt>
                <c:pt idx="1">
                  <c:v>1053</c:v>
                </c:pt>
                <c:pt idx="2">
                  <c:v>1056</c:v>
                </c:pt>
                <c:pt idx="3">
                  <c:v>1077</c:v>
                </c:pt>
                <c:pt idx="4">
                  <c:v>1094</c:v>
                </c:pt>
                <c:pt idx="5">
                  <c:v>1141</c:v>
                </c:pt>
                <c:pt idx="6">
                  <c:v>1177</c:v>
                </c:pt>
                <c:pt idx="7">
                  <c:v>1200</c:v>
                </c:pt>
                <c:pt idx="8">
                  <c:v>1198</c:v>
                </c:pt>
                <c:pt idx="9">
                  <c:v>1211</c:v>
                </c:pt>
                <c:pt idx="10">
                  <c:v>1257</c:v>
                </c:pt>
                <c:pt idx="11">
                  <c:v>1302</c:v>
                </c:pt>
                <c:pt idx="12">
                  <c:v>1344</c:v>
                </c:pt>
                <c:pt idx="13">
                  <c:v>1327</c:v>
                </c:pt>
                <c:pt idx="14">
                  <c:v>1350</c:v>
                </c:pt>
                <c:pt idx="15">
                  <c:v>1367</c:v>
                </c:pt>
                <c:pt idx="16">
                  <c:v>1357</c:v>
                </c:pt>
                <c:pt idx="17">
                  <c:v>1383</c:v>
                </c:pt>
                <c:pt idx="18">
                  <c:v>1400</c:v>
                </c:pt>
                <c:pt idx="19">
                  <c:v>1406</c:v>
                </c:pt>
                <c:pt idx="20">
                  <c:v>1402</c:v>
                </c:pt>
                <c:pt idx="21">
                  <c:v>1420</c:v>
                </c:pt>
                <c:pt idx="22">
                  <c:v>1465</c:v>
                </c:pt>
                <c:pt idx="23">
                  <c:v>1491</c:v>
                </c:pt>
                <c:pt idx="24">
                  <c:v>1474</c:v>
                </c:pt>
                <c:pt idx="25">
                  <c:v>1521</c:v>
                </c:pt>
                <c:pt idx="26">
                  <c:v>1524</c:v>
                </c:pt>
                <c:pt idx="27">
                  <c:v>1522</c:v>
                </c:pt>
                <c:pt idx="28">
                  <c:v>1517</c:v>
                </c:pt>
                <c:pt idx="29">
                  <c:v>1527</c:v>
                </c:pt>
                <c:pt idx="30">
                  <c:v>1535</c:v>
                </c:pt>
                <c:pt idx="31">
                  <c:v>1547</c:v>
                </c:pt>
                <c:pt idx="32">
                  <c:v>1575</c:v>
                </c:pt>
                <c:pt idx="33">
                  <c:v>1611</c:v>
                </c:pt>
                <c:pt idx="34">
                  <c:v>1627</c:v>
                </c:pt>
                <c:pt idx="35">
                  <c:v>1630</c:v>
                </c:pt>
                <c:pt idx="36">
                  <c:v>1639</c:v>
                </c:pt>
                <c:pt idx="37">
                  <c:v>1636</c:v>
                </c:pt>
                <c:pt idx="38">
                  <c:v>1658</c:v>
                </c:pt>
                <c:pt idx="39">
                  <c:v>1708</c:v>
                </c:pt>
                <c:pt idx="40">
                  <c:v>1721</c:v>
                </c:pt>
                <c:pt idx="41">
                  <c:v>1745</c:v>
                </c:pt>
                <c:pt idx="42">
                  <c:v>1727</c:v>
                </c:pt>
                <c:pt idx="43">
                  <c:v>1696</c:v>
                </c:pt>
                <c:pt idx="44">
                  <c:v>1690</c:v>
                </c:pt>
                <c:pt idx="45">
                  <c:v>1607</c:v>
                </c:pt>
                <c:pt idx="46">
                  <c:v>1547</c:v>
                </c:pt>
                <c:pt idx="47">
                  <c:v>1477</c:v>
                </c:pt>
                <c:pt idx="48">
                  <c:v>1443</c:v>
                </c:pt>
                <c:pt idx="49">
                  <c:v>1456</c:v>
                </c:pt>
                <c:pt idx="50">
                  <c:v>1429</c:v>
                </c:pt>
                <c:pt idx="51">
                  <c:v>1417</c:v>
                </c:pt>
              </c:numCache>
            </c:numRef>
          </c:val>
          <c:smooth val="0"/>
        </c:ser>
        <c:ser>
          <c:idx val="16"/>
          <c:order val="16"/>
          <c:tx>
            <c:strRef>
              <c:f>'Sheet1 (13)'!$R$3:$R$4</c:f>
              <c:strCache>
                <c:ptCount val="1"/>
                <c:pt idx="0">
                  <c:v>Other_antidepressant+Pregabalin+Tramadol</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(13)'!$R$5:$R$57</c:f>
              <c:numCache>
                <c:formatCode>General</c:formatCode>
                <c:ptCount val="52"/>
                <c:pt idx="0">
                  <c:v>978</c:v>
                </c:pt>
                <c:pt idx="1">
                  <c:v>1022</c:v>
                </c:pt>
                <c:pt idx="2">
                  <c:v>1048</c:v>
                </c:pt>
                <c:pt idx="3">
                  <c:v>1059</c:v>
                </c:pt>
                <c:pt idx="4">
                  <c:v>1096</c:v>
                </c:pt>
                <c:pt idx="5">
                  <c:v>1088</c:v>
                </c:pt>
                <c:pt idx="6">
                  <c:v>1115</c:v>
                </c:pt>
                <c:pt idx="7">
                  <c:v>1126</c:v>
                </c:pt>
                <c:pt idx="8">
                  <c:v>1148</c:v>
                </c:pt>
                <c:pt idx="9">
                  <c:v>1185</c:v>
                </c:pt>
                <c:pt idx="10">
                  <c:v>1225</c:v>
                </c:pt>
                <c:pt idx="11">
                  <c:v>1251</c:v>
                </c:pt>
                <c:pt idx="12">
                  <c:v>1276</c:v>
                </c:pt>
                <c:pt idx="13">
                  <c:v>1261</c:v>
                </c:pt>
                <c:pt idx="14">
                  <c:v>1231</c:v>
                </c:pt>
                <c:pt idx="15">
                  <c:v>1283</c:v>
                </c:pt>
                <c:pt idx="16">
                  <c:v>1250</c:v>
                </c:pt>
                <c:pt idx="17">
                  <c:v>1284</c:v>
                </c:pt>
                <c:pt idx="18">
                  <c:v>1290</c:v>
                </c:pt>
                <c:pt idx="19">
                  <c:v>1336</c:v>
                </c:pt>
                <c:pt idx="20">
                  <c:v>1359</c:v>
                </c:pt>
                <c:pt idx="21">
                  <c:v>1367</c:v>
                </c:pt>
                <c:pt idx="22">
                  <c:v>1378</c:v>
                </c:pt>
                <c:pt idx="23">
                  <c:v>1364</c:v>
                </c:pt>
                <c:pt idx="24">
                  <c:v>1379</c:v>
                </c:pt>
                <c:pt idx="25">
                  <c:v>1393</c:v>
                </c:pt>
                <c:pt idx="26">
                  <c:v>1441</c:v>
                </c:pt>
                <c:pt idx="27">
                  <c:v>1435</c:v>
                </c:pt>
                <c:pt idx="28">
                  <c:v>1443</c:v>
                </c:pt>
                <c:pt idx="29">
                  <c:v>1444</c:v>
                </c:pt>
                <c:pt idx="30">
                  <c:v>1454</c:v>
                </c:pt>
                <c:pt idx="31">
                  <c:v>1446</c:v>
                </c:pt>
                <c:pt idx="32">
                  <c:v>1457</c:v>
                </c:pt>
                <c:pt idx="33">
                  <c:v>1454</c:v>
                </c:pt>
                <c:pt idx="34">
                  <c:v>1485</c:v>
                </c:pt>
                <c:pt idx="35">
                  <c:v>1474</c:v>
                </c:pt>
                <c:pt idx="36">
                  <c:v>1521</c:v>
                </c:pt>
                <c:pt idx="37">
                  <c:v>1577</c:v>
                </c:pt>
                <c:pt idx="38">
                  <c:v>1626</c:v>
                </c:pt>
                <c:pt idx="39">
                  <c:v>1647</c:v>
                </c:pt>
                <c:pt idx="40">
                  <c:v>1655</c:v>
                </c:pt>
                <c:pt idx="41">
                  <c:v>1652</c:v>
                </c:pt>
                <c:pt idx="42">
                  <c:v>1637</c:v>
                </c:pt>
                <c:pt idx="43">
                  <c:v>1613</c:v>
                </c:pt>
                <c:pt idx="44">
                  <c:v>1600</c:v>
                </c:pt>
                <c:pt idx="45">
                  <c:v>1584</c:v>
                </c:pt>
                <c:pt idx="46">
                  <c:v>1525</c:v>
                </c:pt>
                <c:pt idx="47">
                  <c:v>1481</c:v>
                </c:pt>
                <c:pt idx="48">
                  <c:v>1473</c:v>
                </c:pt>
                <c:pt idx="49">
                  <c:v>1520</c:v>
                </c:pt>
                <c:pt idx="50">
                  <c:v>1502</c:v>
                </c:pt>
                <c:pt idx="51">
                  <c:v>1502</c:v>
                </c:pt>
              </c:numCache>
            </c:numRef>
          </c:val>
          <c:smooth val="0"/>
        </c:ser>
        <c:ser>
          <c:idx val="17"/>
          <c:order val="17"/>
          <c:tx>
            <c:strRef>
              <c:f>'Sheet1 (13)'!$S$3:$S$4</c:f>
              <c:strCache>
                <c:ptCount val="1"/>
                <c:pt idx="0">
                  <c:v>Pregabalin+TCA+Tramadol</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(13)'!$S$5:$S$57</c:f>
              <c:numCache>
                <c:formatCode>General</c:formatCode>
                <c:ptCount val="52"/>
                <c:pt idx="0">
                  <c:v>907</c:v>
                </c:pt>
                <c:pt idx="1">
                  <c:v>966</c:v>
                </c:pt>
                <c:pt idx="2">
                  <c:v>976</c:v>
                </c:pt>
                <c:pt idx="3">
                  <c:v>1030</c:v>
                </c:pt>
                <c:pt idx="4">
                  <c:v>1041</c:v>
                </c:pt>
                <c:pt idx="5">
                  <c:v>1063</c:v>
                </c:pt>
                <c:pt idx="6">
                  <c:v>1072</c:v>
                </c:pt>
                <c:pt idx="7">
                  <c:v>1074</c:v>
                </c:pt>
                <c:pt idx="8">
                  <c:v>1089</c:v>
                </c:pt>
                <c:pt idx="9">
                  <c:v>1098</c:v>
                </c:pt>
                <c:pt idx="10">
                  <c:v>1127</c:v>
                </c:pt>
                <c:pt idx="11">
                  <c:v>1132</c:v>
                </c:pt>
                <c:pt idx="12">
                  <c:v>1161</c:v>
                </c:pt>
                <c:pt idx="13">
                  <c:v>1158</c:v>
                </c:pt>
                <c:pt idx="14">
                  <c:v>1190</c:v>
                </c:pt>
                <c:pt idx="15">
                  <c:v>1207</c:v>
                </c:pt>
                <c:pt idx="16">
                  <c:v>1222</c:v>
                </c:pt>
                <c:pt idx="17">
                  <c:v>1215</c:v>
                </c:pt>
                <c:pt idx="18">
                  <c:v>1202</c:v>
                </c:pt>
                <c:pt idx="19">
                  <c:v>1215</c:v>
                </c:pt>
                <c:pt idx="20">
                  <c:v>1230</c:v>
                </c:pt>
                <c:pt idx="21">
                  <c:v>1265</c:v>
                </c:pt>
                <c:pt idx="22">
                  <c:v>1289</c:v>
                </c:pt>
                <c:pt idx="23">
                  <c:v>1318</c:v>
                </c:pt>
                <c:pt idx="24">
                  <c:v>1353</c:v>
                </c:pt>
                <c:pt idx="25">
                  <c:v>1352</c:v>
                </c:pt>
                <c:pt idx="26">
                  <c:v>1379</c:v>
                </c:pt>
                <c:pt idx="27">
                  <c:v>1360</c:v>
                </c:pt>
                <c:pt idx="28">
                  <c:v>1365</c:v>
                </c:pt>
                <c:pt idx="29">
                  <c:v>1321</c:v>
                </c:pt>
                <c:pt idx="30">
                  <c:v>1302</c:v>
                </c:pt>
                <c:pt idx="31">
                  <c:v>1345</c:v>
                </c:pt>
                <c:pt idx="32">
                  <c:v>1351</c:v>
                </c:pt>
                <c:pt idx="33">
                  <c:v>1355</c:v>
                </c:pt>
                <c:pt idx="34">
                  <c:v>1363</c:v>
                </c:pt>
                <c:pt idx="35">
                  <c:v>1407</c:v>
                </c:pt>
                <c:pt idx="36">
                  <c:v>1434</c:v>
                </c:pt>
                <c:pt idx="37">
                  <c:v>1422</c:v>
                </c:pt>
                <c:pt idx="38">
                  <c:v>1428</c:v>
                </c:pt>
                <c:pt idx="39">
                  <c:v>1416</c:v>
                </c:pt>
                <c:pt idx="40">
                  <c:v>1430</c:v>
                </c:pt>
                <c:pt idx="41">
                  <c:v>1413</c:v>
                </c:pt>
                <c:pt idx="42">
                  <c:v>1405</c:v>
                </c:pt>
                <c:pt idx="43">
                  <c:v>1379</c:v>
                </c:pt>
                <c:pt idx="44">
                  <c:v>1363</c:v>
                </c:pt>
                <c:pt idx="45">
                  <c:v>1335</c:v>
                </c:pt>
                <c:pt idx="46">
                  <c:v>1288</c:v>
                </c:pt>
                <c:pt idx="47">
                  <c:v>1274</c:v>
                </c:pt>
                <c:pt idx="48">
                  <c:v>1261</c:v>
                </c:pt>
                <c:pt idx="49">
                  <c:v>1250</c:v>
                </c:pt>
                <c:pt idx="50">
                  <c:v>1231</c:v>
                </c:pt>
                <c:pt idx="51">
                  <c:v>1233</c:v>
                </c:pt>
              </c:numCache>
            </c:numRef>
          </c:val>
          <c:smooth val="0"/>
        </c:ser>
        <c:ser>
          <c:idx val="18"/>
          <c:order val="18"/>
          <c:tx>
            <c:strRef>
              <c:f>'Sheet1 (13)'!$T$3:$T$4</c:f>
              <c:strCache>
                <c:ptCount val="1"/>
                <c:pt idx="0">
                  <c:v>Other_antidepressant+Pregabalin+TCA</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(13)'!$T$5:$T$57</c:f>
              <c:numCache>
                <c:formatCode>General</c:formatCode>
                <c:ptCount val="52"/>
                <c:pt idx="0">
                  <c:v>862</c:v>
                </c:pt>
                <c:pt idx="1">
                  <c:v>910</c:v>
                </c:pt>
                <c:pt idx="2">
                  <c:v>936</c:v>
                </c:pt>
                <c:pt idx="3">
                  <c:v>949</c:v>
                </c:pt>
                <c:pt idx="4">
                  <c:v>961</c:v>
                </c:pt>
                <c:pt idx="5">
                  <c:v>992</c:v>
                </c:pt>
                <c:pt idx="6">
                  <c:v>1005</c:v>
                </c:pt>
                <c:pt idx="7">
                  <c:v>1026</c:v>
                </c:pt>
                <c:pt idx="8">
                  <c:v>1039</c:v>
                </c:pt>
                <c:pt idx="9">
                  <c:v>1036</c:v>
                </c:pt>
                <c:pt idx="10">
                  <c:v>1051</c:v>
                </c:pt>
                <c:pt idx="11">
                  <c:v>1059</c:v>
                </c:pt>
                <c:pt idx="12">
                  <c:v>1107</c:v>
                </c:pt>
                <c:pt idx="13">
                  <c:v>1118</c:v>
                </c:pt>
                <c:pt idx="14">
                  <c:v>1124</c:v>
                </c:pt>
                <c:pt idx="15">
                  <c:v>1123</c:v>
                </c:pt>
                <c:pt idx="16">
                  <c:v>1124</c:v>
                </c:pt>
                <c:pt idx="17">
                  <c:v>1131</c:v>
                </c:pt>
                <c:pt idx="18">
                  <c:v>1134</c:v>
                </c:pt>
                <c:pt idx="19">
                  <c:v>1146</c:v>
                </c:pt>
                <c:pt idx="20">
                  <c:v>1135</c:v>
                </c:pt>
                <c:pt idx="21">
                  <c:v>1171</c:v>
                </c:pt>
                <c:pt idx="22">
                  <c:v>1195</c:v>
                </c:pt>
                <c:pt idx="23">
                  <c:v>1225</c:v>
                </c:pt>
                <c:pt idx="24">
                  <c:v>1234</c:v>
                </c:pt>
                <c:pt idx="25">
                  <c:v>1236</c:v>
                </c:pt>
                <c:pt idx="26">
                  <c:v>1236</c:v>
                </c:pt>
                <c:pt idx="27">
                  <c:v>1260</c:v>
                </c:pt>
                <c:pt idx="28">
                  <c:v>1295</c:v>
                </c:pt>
                <c:pt idx="29">
                  <c:v>1303</c:v>
                </c:pt>
                <c:pt idx="30">
                  <c:v>1303</c:v>
                </c:pt>
                <c:pt idx="31">
                  <c:v>1339</c:v>
                </c:pt>
                <c:pt idx="32">
                  <c:v>1360</c:v>
                </c:pt>
                <c:pt idx="33">
                  <c:v>1353</c:v>
                </c:pt>
                <c:pt idx="34">
                  <c:v>1381</c:v>
                </c:pt>
                <c:pt idx="35">
                  <c:v>1387</c:v>
                </c:pt>
                <c:pt idx="36">
                  <c:v>1391</c:v>
                </c:pt>
                <c:pt idx="37">
                  <c:v>1406</c:v>
                </c:pt>
                <c:pt idx="38">
                  <c:v>1411</c:v>
                </c:pt>
                <c:pt idx="39">
                  <c:v>1442</c:v>
                </c:pt>
                <c:pt idx="40">
                  <c:v>1469</c:v>
                </c:pt>
                <c:pt idx="41">
                  <c:v>1491</c:v>
                </c:pt>
                <c:pt idx="42">
                  <c:v>1499</c:v>
                </c:pt>
                <c:pt idx="43">
                  <c:v>1504</c:v>
                </c:pt>
                <c:pt idx="44">
                  <c:v>1521</c:v>
                </c:pt>
                <c:pt idx="45">
                  <c:v>1538</c:v>
                </c:pt>
                <c:pt idx="46">
                  <c:v>1519</c:v>
                </c:pt>
                <c:pt idx="47">
                  <c:v>1491</c:v>
                </c:pt>
                <c:pt idx="48">
                  <c:v>1437</c:v>
                </c:pt>
                <c:pt idx="49">
                  <c:v>1413</c:v>
                </c:pt>
                <c:pt idx="50">
                  <c:v>1357</c:v>
                </c:pt>
                <c:pt idx="51">
                  <c:v>1361</c:v>
                </c:pt>
              </c:numCache>
            </c:numRef>
          </c:val>
          <c:smooth val="0"/>
        </c:ser>
        <c:ser>
          <c:idx val="19"/>
          <c:order val="19"/>
          <c:tx>
            <c:strRef>
              <c:f>'Sheet1 (13)'!$U$3:$U$4</c:f>
              <c:strCache>
                <c:ptCount val="1"/>
                <c:pt idx="0">
                  <c:v>Opioid_S4+Opioid_S8+Other_antidepressant+Pregabalin</c:v>
                </c:pt>
              </c:strCache>
            </c:strRef>
          </c:tx>
          <c:marker>
            <c:symbol val="none"/>
          </c:marker>
          <c:cat>
            <c:strRef>
              <c:f>'Sheet1 (13)'!$A$5:$A$57</c:f>
              <c:strCache>
                <c:ptCount val="52"/>
                <c:pt idx="0">
                  <c:v>5/03/2014</c:v>
                </c:pt>
                <c:pt idx="1">
                  <c:v>12/03/2014</c:v>
                </c:pt>
                <c:pt idx="2">
                  <c:v>19/03/2014</c:v>
                </c:pt>
                <c:pt idx="3">
                  <c:v>26/03/2014</c:v>
                </c:pt>
                <c:pt idx="4">
                  <c:v>2/04/2014</c:v>
                </c:pt>
                <c:pt idx="5">
                  <c:v>9/04/2014</c:v>
                </c:pt>
                <c:pt idx="6">
                  <c:v>16/04/2014</c:v>
                </c:pt>
                <c:pt idx="7">
                  <c:v>23/04/2014</c:v>
                </c:pt>
                <c:pt idx="8">
                  <c:v>30/04/2014</c:v>
                </c:pt>
                <c:pt idx="9">
                  <c:v>7/05/2014</c:v>
                </c:pt>
                <c:pt idx="10">
                  <c:v>14/05/2014</c:v>
                </c:pt>
                <c:pt idx="11">
                  <c:v>21/05/2014</c:v>
                </c:pt>
                <c:pt idx="12">
                  <c:v>28/05/2014</c:v>
                </c:pt>
                <c:pt idx="13">
                  <c:v>4/06/2014</c:v>
                </c:pt>
                <c:pt idx="14">
                  <c:v>11/06/2014</c:v>
                </c:pt>
                <c:pt idx="15">
                  <c:v>18/06/2014</c:v>
                </c:pt>
                <c:pt idx="16">
                  <c:v>25/06/2014</c:v>
                </c:pt>
                <c:pt idx="17">
                  <c:v>2/07/2014</c:v>
                </c:pt>
                <c:pt idx="18">
                  <c:v>9/07/2014</c:v>
                </c:pt>
                <c:pt idx="19">
                  <c:v>16/07/2014</c:v>
                </c:pt>
                <c:pt idx="20">
                  <c:v>23/07/2014</c:v>
                </c:pt>
                <c:pt idx="21">
                  <c:v>30/07/2014</c:v>
                </c:pt>
                <c:pt idx="22">
                  <c:v>6/08/2014</c:v>
                </c:pt>
                <c:pt idx="23">
                  <c:v>13/08/2014</c:v>
                </c:pt>
                <c:pt idx="24">
                  <c:v>20/08/2014</c:v>
                </c:pt>
                <c:pt idx="25">
                  <c:v>27/08/2014</c:v>
                </c:pt>
                <c:pt idx="26">
                  <c:v>3/09/2014</c:v>
                </c:pt>
                <c:pt idx="27">
                  <c:v>10/09/2014</c:v>
                </c:pt>
                <c:pt idx="28">
                  <c:v>17/09/2014</c:v>
                </c:pt>
                <c:pt idx="29">
                  <c:v>24/09/2014</c:v>
                </c:pt>
                <c:pt idx="30">
                  <c:v>1/10/2014</c:v>
                </c:pt>
                <c:pt idx="31">
                  <c:v>8/10/2014</c:v>
                </c:pt>
                <c:pt idx="32">
                  <c:v>15/10/2014</c:v>
                </c:pt>
                <c:pt idx="33">
                  <c:v>22/10/2014</c:v>
                </c:pt>
                <c:pt idx="34">
                  <c:v>29/10/2014</c:v>
                </c:pt>
                <c:pt idx="35">
                  <c:v>5/11/2014</c:v>
                </c:pt>
                <c:pt idx="36">
                  <c:v>12/11/2014</c:v>
                </c:pt>
                <c:pt idx="37">
                  <c:v>19/11/2014</c:v>
                </c:pt>
                <c:pt idx="38">
                  <c:v>26/11/2014</c:v>
                </c:pt>
                <c:pt idx="39">
                  <c:v>3/12/2014</c:v>
                </c:pt>
                <c:pt idx="40">
                  <c:v>10/12/2014</c:v>
                </c:pt>
                <c:pt idx="41">
                  <c:v>17/12/2014</c:v>
                </c:pt>
                <c:pt idx="42">
                  <c:v>24/12/2014</c:v>
                </c:pt>
                <c:pt idx="43">
                  <c:v>31/12/2014</c:v>
                </c:pt>
                <c:pt idx="44">
                  <c:v>7/01/2015</c:v>
                </c:pt>
                <c:pt idx="45">
                  <c:v>14/01/2015</c:v>
                </c:pt>
                <c:pt idx="46">
                  <c:v>21/01/2015</c:v>
                </c:pt>
                <c:pt idx="47">
                  <c:v>28/01/2015</c:v>
                </c:pt>
                <c:pt idx="48">
                  <c:v>4/02/2015</c:v>
                </c:pt>
                <c:pt idx="49">
                  <c:v>11/02/2015</c:v>
                </c:pt>
                <c:pt idx="50">
                  <c:v>18/02/2015</c:v>
                </c:pt>
                <c:pt idx="51">
                  <c:v>25/02/2015</c:v>
                </c:pt>
              </c:strCache>
            </c:strRef>
          </c:cat>
          <c:val>
            <c:numRef>
              <c:f>'Sheet1 (13)'!$U$5:$U$57</c:f>
              <c:numCache>
                <c:formatCode>General</c:formatCode>
                <c:ptCount val="52"/>
                <c:pt idx="0">
                  <c:v>919</c:v>
                </c:pt>
                <c:pt idx="1">
                  <c:v>947</c:v>
                </c:pt>
                <c:pt idx="2">
                  <c:v>976</c:v>
                </c:pt>
                <c:pt idx="3">
                  <c:v>999</c:v>
                </c:pt>
                <c:pt idx="4">
                  <c:v>986</c:v>
                </c:pt>
                <c:pt idx="5">
                  <c:v>983</c:v>
                </c:pt>
                <c:pt idx="6">
                  <c:v>983</c:v>
                </c:pt>
                <c:pt idx="7">
                  <c:v>1019</c:v>
                </c:pt>
                <c:pt idx="8">
                  <c:v>1058</c:v>
                </c:pt>
                <c:pt idx="9">
                  <c:v>1073</c:v>
                </c:pt>
                <c:pt idx="10">
                  <c:v>1090</c:v>
                </c:pt>
                <c:pt idx="11">
                  <c:v>1103</c:v>
                </c:pt>
                <c:pt idx="12">
                  <c:v>1102</c:v>
                </c:pt>
                <c:pt idx="13">
                  <c:v>1125</c:v>
                </c:pt>
                <c:pt idx="14">
                  <c:v>1139</c:v>
                </c:pt>
                <c:pt idx="15">
                  <c:v>1134</c:v>
                </c:pt>
                <c:pt idx="16">
                  <c:v>1140</c:v>
                </c:pt>
                <c:pt idx="17">
                  <c:v>1125</c:v>
                </c:pt>
                <c:pt idx="18">
                  <c:v>1154</c:v>
                </c:pt>
                <c:pt idx="19">
                  <c:v>1175</c:v>
                </c:pt>
                <c:pt idx="20">
                  <c:v>1174</c:v>
                </c:pt>
                <c:pt idx="21">
                  <c:v>1170</c:v>
                </c:pt>
                <c:pt idx="22">
                  <c:v>1174</c:v>
                </c:pt>
                <c:pt idx="23">
                  <c:v>1210</c:v>
                </c:pt>
                <c:pt idx="24">
                  <c:v>1217</c:v>
                </c:pt>
                <c:pt idx="25">
                  <c:v>1238</c:v>
                </c:pt>
                <c:pt idx="26">
                  <c:v>1271</c:v>
                </c:pt>
                <c:pt idx="27">
                  <c:v>1281</c:v>
                </c:pt>
                <c:pt idx="28">
                  <c:v>1273</c:v>
                </c:pt>
                <c:pt idx="29">
                  <c:v>1299</c:v>
                </c:pt>
                <c:pt idx="30">
                  <c:v>1302</c:v>
                </c:pt>
                <c:pt idx="31">
                  <c:v>1331</c:v>
                </c:pt>
                <c:pt idx="32">
                  <c:v>1345</c:v>
                </c:pt>
                <c:pt idx="33">
                  <c:v>1337</c:v>
                </c:pt>
                <c:pt idx="34">
                  <c:v>1359</c:v>
                </c:pt>
                <c:pt idx="35">
                  <c:v>1381</c:v>
                </c:pt>
                <c:pt idx="36">
                  <c:v>1408</c:v>
                </c:pt>
                <c:pt idx="37">
                  <c:v>1417</c:v>
                </c:pt>
                <c:pt idx="38">
                  <c:v>1465</c:v>
                </c:pt>
                <c:pt idx="39">
                  <c:v>1481</c:v>
                </c:pt>
                <c:pt idx="40">
                  <c:v>1464</c:v>
                </c:pt>
                <c:pt idx="41">
                  <c:v>1458</c:v>
                </c:pt>
                <c:pt idx="42">
                  <c:v>1461</c:v>
                </c:pt>
                <c:pt idx="43">
                  <c:v>1440</c:v>
                </c:pt>
                <c:pt idx="44">
                  <c:v>1384</c:v>
                </c:pt>
                <c:pt idx="45">
                  <c:v>1372</c:v>
                </c:pt>
                <c:pt idx="46">
                  <c:v>1338</c:v>
                </c:pt>
                <c:pt idx="47">
                  <c:v>1324</c:v>
                </c:pt>
                <c:pt idx="48">
                  <c:v>1321</c:v>
                </c:pt>
                <c:pt idx="49">
                  <c:v>1331</c:v>
                </c:pt>
                <c:pt idx="50">
                  <c:v>1340</c:v>
                </c:pt>
                <c:pt idx="51">
                  <c:v>1322</c:v>
                </c:pt>
              </c:numCache>
            </c:numRef>
          </c:val>
          <c:smooth val="0"/>
        </c:ser>
        <c:dLbls>
          <c:showLegendKey val="0"/>
          <c:showVal val="0"/>
          <c:showCatName val="0"/>
          <c:showSerName val="0"/>
          <c:showPercent val="0"/>
          <c:showBubbleSize val="0"/>
        </c:dLbls>
        <c:marker val="1"/>
        <c:smooth val="0"/>
        <c:axId val="351278976"/>
        <c:axId val="351297536"/>
      </c:lineChart>
      <c:catAx>
        <c:axId val="351278976"/>
        <c:scaling>
          <c:orientation val="minMax"/>
        </c:scaling>
        <c:delete val="0"/>
        <c:axPos val="b"/>
        <c:title>
          <c:tx>
            <c:rich>
              <a:bodyPr/>
              <a:lstStyle/>
              <a:p>
                <a:pPr>
                  <a:defRPr sz="800" b="0"/>
                </a:pPr>
                <a:r>
                  <a:rPr lang="en-AU" sz="800" b="0"/>
                  <a:t>Calendar</a:t>
                </a:r>
                <a:r>
                  <a:rPr lang="en-AU" sz="800" b="0" baseline="0"/>
                  <a:t> Week Starting</a:t>
                </a:r>
                <a:endParaRPr lang="en-AU" sz="800" b="0"/>
              </a:p>
            </c:rich>
          </c:tx>
          <c:layout/>
          <c:overlay val="0"/>
        </c:title>
        <c:majorTickMark val="none"/>
        <c:minorTickMark val="none"/>
        <c:tickLblPos val="nextTo"/>
        <c:txPr>
          <a:bodyPr/>
          <a:lstStyle/>
          <a:p>
            <a:pPr>
              <a:defRPr sz="800"/>
            </a:pPr>
            <a:endParaRPr lang="en-US"/>
          </a:p>
        </c:txPr>
        <c:crossAx val="351297536"/>
        <c:crosses val="autoZero"/>
        <c:auto val="1"/>
        <c:lblAlgn val="ctr"/>
        <c:lblOffset val="100"/>
        <c:noMultiLvlLbl val="0"/>
      </c:catAx>
      <c:valAx>
        <c:axId val="351297536"/>
        <c:scaling>
          <c:orientation val="minMax"/>
        </c:scaling>
        <c:delete val="0"/>
        <c:axPos val="l"/>
        <c:majorGridlines/>
        <c:title>
          <c:tx>
            <c:rich>
              <a:bodyPr rot="-5400000" vert="horz"/>
              <a:lstStyle/>
              <a:p>
                <a:pPr>
                  <a:defRPr/>
                </a:pPr>
                <a:r>
                  <a:rPr lang="en-AU" b="0"/>
                  <a:t>Patients</a:t>
                </a:r>
              </a:p>
            </c:rich>
          </c:tx>
          <c:layout/>
          <c:overlay val="0"/>
        </c:title>
        <c:numFmt formatCode="#,##0" sourceLinked="0"/>
        <c:majorTickMark val="none"/>
        <c:minorTickMark val="none"/>
        <c:tickLblPos val="nextTo"/>
        <c:txPr>
          <a:bodyPr/>
          <a:lstStyle/>
          <a:p>
            <a:pPr>
              <a:defRPr sz="800"/>
            </a:pPr>
            <a:endParaRPr lang="en-US"/>
          </a:p>
        </c:txPr>
        <c:crossAx val="351278976"/>
        <c:crosses val="autoZero"/>
        <c:crossBetween val="between"/>
      </c:valAx>
    </c:plotArea>
    <c:legend>
      <c:legendPos val="r"/>
      <c:layout>
        <c:manualLayout>
          <c:xMode val="edge"/>
          <c:yMode val="edge"/>
          <c:x val="0.62212816438923058"/>
          <c:y val="5.0176840840193533E-2"/>
          <c:w val="0.37459741763337345"/>
          <c:h val="0.89964631831961295"/>
        </c:manualLayout>
      </c:layout>
      <c:overlay val="0"/>
      <c:txPr>
        <a:bodyPr/>
        <a:lstStyle/>
        <a:p>
          <a:pPr>
            <a:defRPr sz="800"/>
          </a:pPr>
          <a:endParaRPr lang="en-US"/>
        </a:p>
      </c:txPr>
    </c:legend>
    <c:plotVisOnly val="1"/>
    <c:dispBlanksAs val="gap"/>
    <c:showDLblsOverMax val="0"/>
  </c:chart>
  <c:spPr>
    <a:ln>
      <a:no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[D866 DOSE_FREQ using episode lot &amp; qty - 20mg bins + cohorts.xlsx]Sheet1 (3)!PivotTable1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s>
    <c:plotArea>
      <c:layout/>
      <c:lineChart>
        <c:grouping val="standard"/>
        <c:varyColors val="0"/>
        <c:ser>
          <c:idx val="0"/>
          <c:order val="0"/>
          <c:tx>
            <c:strRef>
              <c:f>'Sheet1 (3)'!$B$4:$B$5</c:f>
              <c:strCache>
                <c:ptCount val="1"/>
                <c:pt idx="0">
                  <c:v>Initiated in 1st 6 months after listing</c:v>
                </c:pt>
              </c:strCache>
            </c:strRef>
          </c:tx>
          <c:marker>
            <c:symbol val="none"/>
          </c:marker>
          <c:cat>
            <c:strRef>
              <c:f>'Sheet1 (3)'!$A$6:$A$38</c:f>
              <c:strCache>
                <c:ptCount val="32"/>
                <c:pt idx="0">
                  <c:v>0 to  19 mg</c:v>
                </c:pt>
                <c:pt idx="1">
                  <c:v>20 to  39 mg</c:v>
                </c:pt>
                <c:pt idx="2">
                  <c:v>40 to  59 mg</c:v>
                </c:pt>
                <c:pt idx="3">
                  <c:v>60 to  79 mg</c:v>
                </c:pt>
                <c:pt idx="4">
                  <c:v>80 to  99 mg</c:v>
                </c:pt>
                <c:pt idx="5">
                  <c:v>100 to 119 mg</c:v>
                </c:pt>
                <c:pt idx="6">
                  <c:v>120 to 139 mg</c:v>
                </c:pt>
                <c:pt idx="7">
                  <c:v>140 to 159 mg</c:v>
                </c:pt>
                <c:pt idx="8">
                  <c:v>160 to 179 mg</c:v>
                </c:pt>
                <c:pt idx="9">
                  <c:v>180 to 199 mg</c:v>
                </c:pt>
                <c:pt idx="10">
                  <c:v>200 to 219 mg</c:v>
                </c:pt>
                <c:pt idx="11">
                  <c:v>220 to 239 mg</c:v>
                </c:pt>
                <c:pt idx="12">
                  <c:v>240 to 259 mg</c:v>
                </c:pt>
                <c:pt idx="13">
                  <c:v>260 to 279 mg</c:v>
                </c:pt>
                <c:pt idx="14">
                  <c:v>280 to 299 mg</c:v>
                </c:pt>
                <c:pt idx="15">
                  <c:v>300 to 319 mg</c:v>
                </c:pt>
                <c:pt idx="16">
                  <c:v>320 to 339 mg</c:v>
                </c:pt>
                <c:pt idx="17">
                  <c:v>340 to 359 mg</c:v>
                </c:pt>
                <c:pt idx="18">
                  <c:v>360 to 379 mg</c:v>
                </c:pt>
                <c:pt idx="19">
                  <c:v>380 to 399 mg</c:v>
                </c:pt>
                <c:pt idx="20">
                  <c:v>400 to 419 mg</c:v>
                </c:pt>
                <c:pt idx="21">
                  <c:v>420 to 439 mg</c:v>
                </c:pt>
                <c:pt idx="22">
                  <c:v>440 to 459 mg</c:v>
                </c:pt>
                <c:pt idx="23">
                  <c:v>460 to 479 mg</c:v>
                </c:pt>
                <c:pt idx="24">
                  <c:v>480 to 499 mg</c:v>
                </c:pt>
                <c:pt idx="25">
                  <c:v>500 to 519 mg</c:v>
                </c:pt>
                <c:pt idx="26">
                  <c:v>520 to 539 mg</c:v>
                </c:pt>
                <c:pt idx="27">
                  <c:v>540 to 559 mg</c:v>
                </c:pt>
                <c:pt idx="28">
                  <c:v>560 to 579 mg</c:v>
                </c:pt>
                <c:pt idx="29">
                  <c:v>580 to 599 mg</c:v>
                </c:pt>
                <c:pt idx="30">
                  <c:v>600 to 619 mg</c:v>
                </c:pt>
                <c:pt idx="31">
                  <c:v>620 to 639 mg</c:v>
                </c:pt>
              </c:strCache>
            </c:strRef>
          </c:cat>
          <c:val>
            <c:numRef>
              <c:f>'Sheet1 (3)'!$B$6:$B$38</c:f>
              <c:numCache>
                <c:formatCode>0.00%</c:formatCode>
                <c:ptCount val="32"/>
                <c:pt idx="0">
                  <c:v>9.6987885664092527E-4</c:v>
                </c:pt>
                <c:pt idx="1">
                  <c:v>2.0556551867169294E-2</c:v>
                </c:pt>
                <c:pt idx="2">
                  <c:v>0.11464090082836194</c:v>
                </c:pt>
                <c:pt idx="3">
                  <c:v>2.6760116629457476E-2</c:v>
                </c:pt>
                <c:pt idx="4">
                  <c:v>5.913821078700484E-2</c:v>
                </c:pt>
                <c:pt idx="5">
                  <c:v>5.421561809952543E-2</c:v>
                </c:pt>
                <c:pt idx="6">
                  <c:v>6.5048981932193883E-2</c:v>
                </c:pt>
                <c:pt idx="7">
                  <c:v>0.31145311032219497</c:v>
                </c:pt>
                <c:pt idx="8">
                  <c:v>3.0377337774036527E-2</c:v>
                </c:pt>
                <c:pt idx="9">
                  <c:v>2.9206163305639937E-2</c:v>
                </c:pt>
                <c:pt idx="10">
                  <c:v>2.4734960777855041E-2</c:v>
                </c:pt>
                <c:pt idx="11">
                  <c:v>3.0432236577242616E-2</c:v>
                </c:pt>
                <c:pt idx="12">
                  <c:v>2.4637362905488659E-2</c:v>
                </c:pt>
                <c:pt idx="13">
                  <c:v>2.4131073942588052E-2</c:v>
                </c:pt>
                <c:pt idx="14">
                  <c:v>5.9888494430821407E-2</c:v>
                </c:pt>
                <c:pt idx="15">
                  <c:v>1.7549317424880136E-2</c:v>
                </c:pt>
                <c:pt idx="16">
                  <c:v>1.0882162768851639E-2</c:v>
                </c:pt>
                <c:pt idx="17">
                  <c:v>8.9729043906842838E-3</c:v>
                </c:pt>
                <c:pt idx="18">
                  <c:v>8.8326074491576079E-3</c:v>
                </c:pt>
                <c:pt idx="19">
                  <c:v>6.8928497358757583E-3</c:v>
                </c:pt>
                <c:pt idx="20">
                  <c:v>6.3865607729751495E-3</c:v>
                </c:pt>
                <c:pt idx="21">
                  <c:v>7.9969256670204582E-3</c:v>
                </c:pt>
                <c:pt idx="22">
                  <c:v>6.8867498688528588E-3</c:v>
                </c:pt>
                <c:pt idx="23">
                  <c:v>5.5752784589295952E-3</c:v>
                </c:pt>
                <c:pt idx="24">
                  <c:v>5.0079908257999973E-3</c:v>
                </c:pt>
                <c:pt idx="25">
                  <c:v>5.0506898949602896E-3</c:v>
                </c:pt>
                <c:pt idx="26">
                  <c:v>4.9408922885481096E-3</c:v>
                </c:pt>
                <c:pt idx="27">
                  <c:v>4.7334968097695468E-3</c:v>
                </c:pt>
                <c:pt idx="28">
                  <c:v>9.2107992045773399E-3</c:v>
                </c:pt>
                <c:pt idx="29">
                  <c:v>6.7830521294635774E-3</c:v>
                </c:pt>
                <c:pt idx="30">
                  <c:v>5.2702851077846505E-3</c:v>
                </c:pt>
                <c:pt idx="31">
                  <c:v>2.836438165647989E-3</c:v>
                </c:pt>
              </c:numCache>
            </c:numRef>
          </c:val>
          <c:smooth val="0"/>
        </c:ser>
        <c:ser>
          <c:idx val="1"/>
          <c:order val="1"/>
          <c:tx>
            <c:strRef>
              <c:f>'Sheet1 (3)'!$C$4:$C$5</c:f>
              <c:strCache>
                <c:ptCount val="1"/>
                <c:pt idx="0">
                  <c:v>Initiated in 2nd 6 months after listing</c:v>
                </c:pt>
              </c:strCache>
            </c:strRef>
          </c:tx>
          <c:marker>
            <c:symbol val="none"/>
          </c:marker>
          <c:cat>
            <c:strRef>
              <c:f>'Sheet1 (3)'!$A$6:$A$38</c:f>
              <c:strCache>
                <c:ptCount val="32"/>
                <c:pt idx="0">
                  <c:v>0 to  19 mg</c:v>
                </c:pt>
                <c:pt idx="1">
                  <c:v>20 to  39 mg</c:v>
                </c:pt>
                <c:pt idx="2">
                  <c:v>40 to  59 mg</c:v>
                </c:pt>
                <c:pt idx="3">
                  <c:v>60 to  79 mg</c:v>
                </c:pt>
                <c:pt idx="4">
                  <c:v>80 to  99 mg</c:v>
                </c:pt>
                <c:pt idx="5">
                  <c:v>100 to 119 mg</c:v>
                </c:pt>
                <c:pt idx="6">
                  <c:v>120 to 139 mg</c:v>
                </c:pt>
                <c:pt idx="7">
                  <c:v>140 to 159 mg</c:v>
                </c:pt>
                <c:pt idx="8">
                  <c:v>160 to 179 mg</c:v>
                </c:pt>
                <c:pt idx="9">
                  <c:v>180 to 199 mg</c:v>
                </c:pt>
                <c:pt idx="10">
                  <c:v>200 to 219 mg</c:v>
                </c:pt>
                <c:pt idx="11">
                  <c:v>220 to 239 mg</c:v>
                </c:pt>
                <c:pt idx="12">
                  <c:v>240 to 259 mg</c:v>
                </c:pt>
                <c:pt idx="13">
                  <c:v>260 to 279 mg</c:v>
                </c:pt>
                <c:pt idx="14">
                  <c:v>280 to 299 mg</c:v>
                </c:pt>
                <c:pt idx="15">
                  <c:v>300 to 319 mg</c:v>
                </c:pt>
                <c:pt idx="16">
                  <c:v>320 to 339 mg</c:v>
                </c:pt>
                <c:pt idx="17">
                  <c:v>340 to 359 mg</c:v>
                </c:pt>
                <c:pt idx="18">
                  <c:v>360 to 379 mg</c:v>
                </c:pt>
                <c:pt idx="19">
                  <c:v>380 to 399 mg</c:v>
                </c:pt>
                <c:pt idx="20">
                  <c:v>400 to 419 mg</c:v>
                </c:pt>
                <c:pt idx="21">
                  <c:v>420 to 439 mg</c:v>
                </c:pt>
                <c:pt idx="22">
                  <c:v>440 to 459 mg</c:v>
                </c:pt>
                <c:pt idx="23">
                  <c:v>460 to 479 mg</c:v>
                </c:pt>
                <c:pt idx="24">
                  <c:v>480 to 499 mg</c:v>
                </c:pt>
                <c:pt idx="25">
                  <c:v>500 to 519 mg</c:v>
                </c:pt>
                <c:pt idx="26">
                  <c:v>520 to 539 mg</c:v>
                </c:pt>
                <c:pt idx="27">
                  <c:v>540 to 559 mg</c:v>
                </c:pt>
                <c:pt idx="28">
                  <c:v>560 to 579 mg</c:v>
                </c:pt>
                <c:pt idx="29">
                  <c:v>580 to 599 mg</c:v>
                </c:pt>
                <c:pt idx="30">
                  <c:v>600 to 619 mg</c:v>
                </c:pt>
                <c:pt idx="31">
                  <c:v>620 to 639 mg</c:v>
                </c:pt>
              </c:strCache>
            </c:strRef>
          </c:cat>
          <c:val>
            <c:numRef>
              <c:f>'Sheet1 (3)'!$C$6:$C$38</c:f>
              <c:numCache>
                <c:formatCode>0.00%</c:formatCode>
                <c:ptCount val="32"/>
                <c:pt idx="0">
                  <c:v>1.9108677679504579E-3</c:v>
                </c:pt>
                <c:pt idx="1">
                  <c:v>2.8678615439811567E-2</c:v>
                </c:pt>
                <c:pt idx="2">
                  <c:v>0.18331071489852901</c:v>
                </c:pt>
                <c:pt idx="3">
                  <c:v>3.0059119908902303E-2</c:v>
                </c:pt>
                <c:pt idx="4">
                  <c:v>6.3269221769853529E-2</c:v>
                </c:pt>
                <c:pt idx="5">
                  <c:v>5.20146005896392E-2</c:v>
                </c:pt>
                <c:pt idx="6">
                  <c:v>6.0734397179715162E-2</c:v>
                </c:pt>
                <c:pt idx="7">
                  <c:v>0.3506169373079383</c:v>
                </c:pt>
                <c:pt idx="8">
                  <c:v>2.4131530098117211E-2</c:v>
                </c:pt>
                <c:pt idx="9">
                  <c:v>2.3242391626499447E-2</c:v>
                </c:pt>
                <c:pt idx="10">
                  <c:v>1.8305333270937651E-2</c:v>
                </c:pt>
                <c:pt idx="11">
                  <c:v>2.4412310668101768E-2</c:v>
                </c:pt>
                <c:pt idx="12">
                  <c:v>1.6940427722401608E-2</c:v>
                </c:pt>
                <c:pt idx="13">
                  <c:v>1.5130952938056686E-2</c:v>
                </c:pt>
                <c:pt idx="14">
                  <c:v>4.4027953265634016E-2</c:v>
                </c:pt>
                <c:pt idx="15">
                  <c:v>8.680799288689223E-3</c:v>
                </c:pt>
                <c:pt idx="16">
                  <c:v>6.3331617452072313E-3</c:v>
                </c:pt>
                <c:pt idx="17">
                  <c:v>5.1164459419408177E-3</c:v>
                </c:pt>
                <c:pt idx="18">
                  <c:v>4.8356653719562603E-3</c:v>
                </c:pt>
                <c:pt idx="19">
                  <c:v>3.8373344564556133E-3</c:v>
                </c:pt>
                <c:pt idx="20">
                  <c:v>3.4239630617561266E-3</c:v>
                </c:pt>
                <c:pt idx="21">
                  <c:v>4.7576707691827725E-3</c:v>
                </c:pt>
                <c:pt idx="22">
                  <c:v>3.7749387742368229E-3</c:v>
                </c:pt>
                <c:pt idx="23">
                  <c:v>2.6752148751306411E-3</c:v>
                </c:pt>
                <c:pt idx="24">
                  <c:v>2.6284181134665482E-3</c:v>
                </c:pt>
                <c:pt idx="25">
                  <c:v>2.3944343051460837E-3</c:v>
                </c:pt>
                <c:pt idx="26">
                  <c:v>2.0668569734974339E-3</c:v>
                </c:pt>
                <c:pt idx="27">
                  <c:v>2.3164397023725958E-3</c:v>
                </c:pt>
                <c:pt idx="28">
                  <c:v>4.7264729280733775E-3</c:v>
                </c:pt>
                <c:pt idx="29">
                  <c:v>2.6518164942985947E-3</c:v>
                </c:pt>
                <c:pt idx="30">
                  <c:v>1.7548785624034817E-3</c:v>
                </c:pt>
                <c:pt idx="31">
                  <c:v>1.2401141840984605E-3</c:v>
                </c:pt>
              </c:numCache>
            </c:numRef>
          </c:val>
          <c:smooth val="0"/>
        </c:ser>
        <c:ser>
          <c:idx val="2"/>
          <c:order val="2"/>
          <c:tx>
            <c:strRef>
              <c:f>'Sheet1 (3)'!$D$4:$D$5</c:f>
              <c:strCache>
                <c:ptCount val="1"/>
                <c:pt idx="0">
                  <c:v>Initiated in 3rd 6 months after listing</c:v>
                </c:pt>
              </c:strCache>
            </c:strRef>
          </c:tx>
          <c:marker>
            <c:symbol val="none"/>
          </c:marker>
          <c:cat>
            <c:strRef>
              <c:f>'Sheet1 (3)'!$A$6:$A$38</c:f>
              <c:strCache>
                <c:ptCount val="32"/>
                <c:pt idx="0">
                  <c:v>0 to  19 mg</c:v>
                </c:pt>
                <c:pt idx="1">
                  <c:v>20 to  39 mg</c:v>
                </c:pt>
                <c:pt idx="2">
                  <c:v>40 to  59 mg</c:v>
                </c:pt>
                <c:pt idx="3">
                  <c:v>60 to  79 mg</c:v>
                </c:pt>
                <c:pt idx="4">
                  <c:v>80 to  99 mg</c:v>
                </c:pt>
                <c:pt idx="5">
                  <c:v>100 to 119 mg</c:v>
                </c:pt>
                <c:pt idx="6">
                  <c:v>120 to 139 mg</c:v>
                </c:pt>
                <c:pt idx="7">
                  <c:v>140 to 159 mg</c:v>
                </c:pt>
                <c:pt idx="8">
                  <c:v>160 to 179 mg</c:v>
                </c:pt>
                <c:pt idx="9">
                  <c:v>180 to 199 mg</c:v>
                </c:pt>
                <c:pt idx="10">
                  <c:v>200 to 219 mg</c:v>
                </c:pt>
                <c:pt idx="11">
                  <c:v>220 to 239 mg</c:v>
                </c:pt>
                <c:pt idx="12">
                  <c:v>240 to 259 mg</c:v>
                </c:pt>
                <c:pt idx="13">
                  <c:v>260 to 279 mg</c:v>
                </c:pt>
                <c:pt idx="14">
                  <c:v>280 to 299 mg</c:v>
                </c:pt>
                <c:pt idx="15">
                  <c:v>300 to 319 mg</c:v>
                </c:pt>
                <c:pt idx="16">
                  <c:v>320 to 339 mg</c:v>
                </c:pt>
                <c:pt idx="17">
                  <c:v>340 to 359 mg</c:v>
                </c:pt>
                <c:pt idx="18">
                  <c:v>360 to 379 mg</c:v>
                </c:pt>
                <c:pt idx="19">
                  <c:v>380 to 399 mg</c:v>
                </c:pt>
                <c:pt idx="20">
                  <c:v>400 to 419 mg</c:v>
                </c:pt>
                <c:pt idx="21">
                  <c:v>420 to 439 mg</c:v>
                </c:pt>
                <c:pt idx="22">
                  <c:v>440 to 459 mg</c:v>
                </c:pt>
                <c:pt idx="23">
                  <c:v>460 to 479 mg</c:v>
                </c:pt>
                <c:pt idx="24">
                  <c:v>480 to 499 mg</c:v>
                </c:pt>
                <c:pt idx="25">
                  <c:v>500 to 519 mg</c:v>
                </c:pt>
                <c:pt idx="26">
                  <c:v>520 to 539 mg</c:v>
                </c:pt>
                <c:pt idx="27">
                  <c:v>540 to 559 mg</c:v>
                </c:pt>
                <c:pt idx="28">
                  <c:v>560 to 579 mg</c:v>
                </c:pt>
                <c:pt idx="29">
                  <c:v>580 to 599 mg</c:v>
                </c:pt>
                <c:pt idx="30">
                  <c:v>600 to 619 mg</c:v>
                </c:pt>
                <c:pt idx="31">
                  <c:v>620 to 639 mg</c:v>
                </c:pt>
              </c:strCache>
            </c:strRef>
          </c:cat>
          <c:val>
            <c:numRef>
              <c:f>'Sheet1 (3)'!$D$6:$D$38</c:f>
              <c:numCache>
                <c:formatCode>0.00%</c:formatCode>
                <c:ptCount val="32"/>
                <c:pt idx="0">
                  <c:v>2.4912880184852068E-3</c:v>
                </c:pt>
                <c:pt idx="1">
                  <c:v>3.3184558530215333E-2</c:v>
                </c:pt>
                <c:pt idx="2">
                  <c:v>0.2026523561864477</c:v>
                </c:pt>
                <c:pt idx="3">
                  <c:v>3.0316943016490672E-2</c:v>
                </c:pt>
                <c:pt idx="4">
                  <c:v>6.3110120951656967E-2</c:v>
                </c:pt>
                <c:pt idx="5">
                  <c:v>5.2475105936189911E-2</c:v>
                </c:pt>
                <c:pt idx="6">
                  <c:v>5.6178168489346168E-2</c:v>
                </c:pt>
                <c:pt idx="7">
                  <c:v>0.35132429645574764</c:v>
                </c:pt>
                <c:pt idx="8">
                  <c:v>2.5785959973807605E-2</c:v>
                </c:pt>
                <c:pt idx="9">
                  <c:v>2.2782866561796736E-2</c:v>
                </c:pt>
                <c:pt idx="10">
                  <c:v>1.6144449545772713E-2</c:v>
                </c:pt>
                <c:pt idx="11">
                  <c:v>2.1616251326554422E-2</c:v>
                </c:pt>
                <c:pt idx="12">
                  <c:v>1.4443449267290367E-2</c:v>
                </c:pt>
                <c:pt idx="13">
                  <c:v>1.3404785380429465E-2</c:v>
                </c:pt>
                <c:pt idx="14">
                  <c:v>3.9491807350428634E-2</c:v>
                </c:pt>
                <c:pt idx="15">
                  <c:v>8.4974748425069441E-3</c:v>
                </c:pt>
                <c:pt idx="16">
                  <c:v>5.8932885754498995E-3</c:v>
                </c:pt>
                <c:pt idx="17">
                  <c:v>4.8997839880177323E-3</c:v>
                </c:pt>
                <c:pt idx="18">
                  <c:v>4.4782971933495404E-3</c:v>
                </c:pt>
                <c:pt idx="19">
                  <c:v>3.2138368093449642E-3</c:v>
                </c:pt>
                <c:pt idx="20">
                  <c:v>2.8074031144863505E-3</c:v>
                </c:pt>
                <c:pt idx="21">
                  <c:v>3.9213325003951442E-3</c:v>
                </c:pt>
                <c:pt idx="22">
                  <c:v>3.1837306097258077E-3</c:v>
                </c:pt>
                <c:pt idx="23">
                  <c:v>2.3031242708654778E-3</c:v>
                </c:pt>
                <c:pt idx="24">
                  <c:v>2.3106508207702673E-3</c:v>
                </c:pt>
                <c:pt idx="25">
                  <c:v>2.0171153744834905E-3</c:v>
                </c:pt>
                <c:pt idx="26">
                  <c:v>1.783792327435027E-3</c:v>
                </c:pt>
                <c:pt idx="27">
                  <c:v>1.618208229529666E-3</c:v>
                </c:pt>
                <c:pt idx="28">
                  <c:v>3.6579032537275239E-3</c:v>
                </c:pt>
                <c:pt idx="29">
                  <c:v>2.137540172960117E-3</c:v>
                </c:pt>
                <c:pt idx="30">
                  <c:v>1.204247984766263E-3</c:v>
                </c:pt>
                <c:pt idx="31">
                  <c:v>6.6986294152623384E-4</c:v>
                </c:pt>
              </c:numCache>
            </c:numRef>
          </c:val>
          <c:smooth val="0"/>
        </c:ser>
        <c:dLbls>
          <c:showLegendKey val="0"/>
          <c:showVal val="0"/>
          <c:showCatName val="0"/>
          <c:showSerName val="0"/>
          <c:showPercent val="0"/>
          <c:showBubbleSize val="0"/>
        </c:dLbls>
        <c:marker val="1"/>
        <c:smooth val="0"/>
        <c:axId val="346521984"/>
        <c:axId val="346523904"/>
      </c:lineChart>
      <c:catAx>
        <c:axId val="346521984"/>
        <c:scaling>
          <c:orientation val="minMax"/>
        </c:scaling>
        <c:delete val="0"/>
        <c:axPos val="b"/>
        <c:title>
          <c:tx>
            <c:rich>
              <a:bodyPr/>
              <a:lstStyle/>
              <a:p>
                <a:pPr>
                  <a:defRPr b="0"/>
                </a:pPr>
                <a:r>
                  <a:rPr lang="en-AU" b="0"/>
                  <a:t>Daily dose range</a:t>
                </a:r>
              </a:p>
            </c:rich>
          </c:tx>
          <c:layout/>
          <c:overlay val="0"/>
        </c:title>
        <c:majorTickMark val="out"/>
        <c:minorTickMark val="none"/>
        <c:tickLblPos val="nextTo"/>
        <c:txPr>
          <a:bodyPr rot="-5400000" vert="horz"/>
          <a:lstStyle/>
          <a:p>
            <a:pPr>
              <a:defRPr sz="800"/>
            </a:pPr>
            <a:endParaRPr lang="en-US"/>
          </a:p>
        </c:txPr>
        <c:crossAx val="346523904"/>
        <c:crosses val="autoZero"/>
        <c:auto val="1"/>
        <c:lblAlgn val="ctr"/>
        <c:lblOffset val="100"/>
        <c:noMultiLvlLbl val="0"/>
      </c:catAx>
      <c:valAx>
        <c:axId val="346523904"/>
        <c:scaling>
          <c:orientation val="minMax"/>
        </c:scaling>
        <c:delete val="0"/>
        <c:axPos val="l"/>
        <c:majorGridlines/>
        <c:title>
          <c:tx>
            <c:rich>
              <a:bodyPr rot="-5400000" vert="horz"/>
              <a:lstStyle/>
              <a:p>
                <a:pPr>
                  <a:defRPr b="0"/>
                </a:pPr>
                <a:r>
                  <a:rPr lang="en-AU" b="0"/>
                  <a:t>% Patient Episodes</a:t>
                </a:r>
              </a:p>
            </c:rich>
          </c:tx>
          <c:layout/>
          <c:overlay val="0"/>
        </c:title>
        <c:numFmt formatCode="0%" sourceLinked="0"/>
        <c:majorTickMark val="out"/>
        <c:minorTickMark val="none"/>
        <c:tickLblPos val="nextTo"/>
        <c:crossAx val="346521984"/>
        <c:crosses val="autoZero"/>
        <c:crossBetween val="between"/>
      </c:valAx>
    </c:plotArea>
    <c:legend>
      <c:legendPos val="b"/>
      <c:layout/>
      <c:overlay val="0"/>
    </c:legend>
    <c:plotVisOnly val="1"/>
    <c:dispBlanksAs val="gap"/>
    <c:showDLblsOverMax val="0"/>
  </c:chart>
  <c:spPr>
    <a:ln>
      <a:noFill/>
    </a:ln>
  </c:spPr>
  <c:txPr>
    <a:bodyPr/>
    <a:lstStyle/>
    <a:p>
      <a:pPr>
        <a:defRPr sz="900"/>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0.11044</cdr:x>
      <cdr:y>0.90629</cdr:y>
    </cdr:from>
    <cdr:to>
      <cdr:x>0.9233</cdr:x>
      <cdr:y>0.90743</cdr:y>
    </cdr:to>
    <cdr:cxnSp macro="">
      <cdr:nvCxnSpPr>
        <cdr:cNvPr id="3" name="Straight Connector 2"/>
        <cdr:cNvCxnSpPr/>
      </cdr:nvCxnSpPr>
      <cdr:spPr>
        <a:xfrm xmlns:a="http://schemas.openxmlformats.org/drawingml/2006/main" flipV="1">
          <a:off x="628153" y="3359150"/>
          <a:ext cx="4623297" cy="425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0.13552</cdr:x>
      <cdr:y>0.84093</cdr:y>
    </cdr:from>
    <cdr:to>
      <cdr:x>0.26282</cdr:x>
      <cdr:y>0.90314</cdr:y>
    </cdr:to>
    <cdr:sp macro="" textlink="">
      <cdr:nvSpPr>
        <cdr:cNvPr id="5" name="TextBox 4"/>
        <cdr:cNvSpPr txBox="1"/>
      </cdr:nvSpPr>
      <cdr:spPr>
        <a:xfrm xmlns:a="http://schemas.openxmlformats.org/drawingml/2006/main">
          <a:off x="770790" y="3116911"/>
          <a:ext cx="724056" cy="2305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PBS items</a:t>
          </a:r>
        </a:p>
      </cdr:txBody>
    </cdr:sp>
  </cdr:relSizeAnchor>
  <cdr:relSizeAnchor xmlns:cdr="http://schemas.openxmlformats.org/drawingml/2006/chartDrawing">
    <cdr:from>
      <cdr:x>0.13626</cdr:x>
      <cdr:y>0.91172</cdr:y>
    </cdr:from>
    <cdr:to>
      <cdr:x>0.28659</cdr:x>
      <cdr:y>0.9675</cdr:y>
    </cdr:to>
    <cdr:sp macro="" textlink="">
      <cdr:nvSpPr>
        <cdr:cNvPr id="6" name="TextBox 1"/>
        <cdr:cNvSpPr txBox="1"/>
      </cdr:nvSpPr>
      <cdr:spPr>
        <a:xfrm xmlns:a="http://schemas.openxmlformats.org/drawingml/2006/main">
          <a:off x="774997" y="3379304"/>
          <a:ext cx="855019" cy="2067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RPBS items</a:t>
          </a:r>
        </a:p>
      </cdr:txBody>
    </cdr:sp>
  </cdr:relSizeAnchor>
</c:userShapes>
</file>

<file path=word/drawings/drawing2.xml><?xml version="1.0" encoding="utf-8"?>
<c:userShapes xmlns:c="http://schemas.openxmlformats.org/drawingml/2006/chart">
  <cdr:relSizeAnchor xmlns:cdr="http://schemas.openxmlformats.org/drawingml/2006/chartDrawing">
    <cdr:from>
      <cdr:x>0.03391</cdr:x>
      <cdr:y>0.89829</cdr:y>
    </cdr:from>
    <cdr:to>
      <cdr:x>0.16579</cdr:x>
      <cdr:y>0.94312</cdr:y>
    </cdr:to>
    <cdr:sp macro="" textlink="">
      <cdr:nvSpPr>
        <cdr:cNvPr id="5" name="TextBox 4"/>
        <cdr:cNvSpPr txBox="1"/>
      </cdr:nvSpPr>
      <cdr:spPr>
        <a:xfrm xmlns:a="http://schemas.openxmlformats.org/drawingml/2006/main">
          <a:off x="192885" y="3329509"/>
          <a:ext cx="750090" cy="1661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t>PBS items</a:t>
          </a:r>
        </a:p>
      </cdr:txBody>
    </cdr:sp>
  </cdr:relSizeAnchor>
</c:userShapes>
</file>

<file path=word/drawings/drawing3.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0.65941</cdr:x>
      <cdr:y>0.49113</cdr:y>
    </cdr:from>
    <cdr:to>
      <cdr:x>0.99314</cdr:x>
      <cdr:y>0.49151</cdr:y>
    </cdr:to>
    <cdr:cxnSp macro="">
      <cdr:nvCxnSpPr>
        <cdr:cNvPr id="8" name="Straight Connector 7"/>
        <cdr:cNvCxnSpPr/>
      </cdr:nvCxnSpPr>
      <cdr:spPr>
        <a:xfrm xmlns:a="http://schemas.openxmlformats.org/drawingml/2006/main" flipV="1">
          <a:off x="4100985" y="1906437"/>
          <a:ext cx="2075528" cy="147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0.65941</cdr:x>
      <cdr:y>0.49113</cdr:y>
    </cdr:from>
    <cdr:to>
      <cdr:x>0.99314</cdr:x>
      <cdr:y>0.49151</cdr:y>
    </cdr:to>
    <cdr:cxnSp macro="">
      <cdr:nvCxnSpPr>
        <cdr:cNvPr id="8" name="Straight Connector 7"/>
        <cdr:cNvCxnSpPr/>
      </cdr:nvCxnSpPr>
      <cdr:spPr>
        <a:xfrm xmlns:a="http://schemas.openxmlformats.org/drawingml/2006/main" flipV="1">
          <a:off x="4100985" y="1906437"/>
          <a:ext cx="2075528" cy="147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A450-185B-4CDA-A161-3AEDE380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12690</Words>
  <Characters>72338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2016-02-03T03:15:00Z</dcterms:created>
  <dcterms:modified xsi:type="dcterms:W3CDTF">2016-02-03T03:16:00Z</dcterms:modified>
</cp:coreProperties>
</file>