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474315" w:rsidP="00FE645A">
      <w:pPr>
        <w:pStyle w:val="Title"/>
      </w:pPr>
      <w:r>
        <w:t>bDMARDs for ankylosing spondylitis: utilisation analysis</w:t>
      </w:r>
      <w:r w:rsidR="00DF6B68">
        <w:t xml:space="preserve"> </w:t>
      </w:r>
    </w:p>
    <w:p w:rsidR="00736041" w:rsidRDefault="009053D3" w:rsidP="00A35800">
      <w:pPr>
        <w:pStyle w:val="Heading1"/>
      </w:pPr>
      <w:r>
        <w:t>D</w:t>
      </w:r>
      <w:r w:rsidR="00832324" w:rsidRPr="0063631C">
        <w:t xml:space="preserve">rug utilisation sub-committee </w:t>
      </w:r>
      <w:r w:rsidR="00832324">
        <w:t>(DUSC)</w:t>
      </w:r>
    </w:p>
    <w:p w:rsidR="009053D3" w:rsidRPr="00C91494" w:rsidRDefault="0003159C" w:rsidP="003C5D85">
      <w:pPr>
        <w:pStyle w:val="Heading2"/>
        <w:rPr>
          <w:i/>
        </w:rPr>
      </w:pPr>
      <w:r w:rsidRPr="00C91494">
        <w:rPr>
          <w:i/>
        </w:rPr>
        <w:t>February 2016</w:t>
      </w:r>
    </w:p>
    <w:p w:rsidR="005C6661" w:rsidRPr="00C91494" w:rsidRDefault="005C6661" w:rsidP="009A1948">
      <w:pPr>
        <w:pStyle w:val="Heading4"/>
        <w:rPr>
          <w:i w:val="0"/>
        </w:rPr>
      </w:pPr>
      <w:r w:rsidRPr="00C91494">
        <w:rPr>
          <w:i w:val="0"/>
        </w:rPr>
        <w:t>Abstract</w:t>
      </w:r>
    </w:p>
    <w:p w:rsidR="005C6661" w:rsidRPr="00C91494" w:rsidRDefault="005C6661" w:rsidP="003C5D85">
      <w:pPr>
        <w:pStyle w:val="Heading2"/>
        <w:rPr>
          <w:i/>
        </w:rPr>
      </w:pPr>
      <w:r w:rsidRPr="00C91494">
        <w:rPr>
          <w:i/>
        </w:rPr>
        <w:t>Purpose</w:t>
      </w:r>
    </w:p>
    <w:p w:rsidR="004014CC" w:rsidRPr="004014CC" w:rsidRDefault="00375727" w:rsidP="004014CC">
      <w:r>
        <w:t xml:space="preserve">To examine the PBS use of biological disease modifying anti-rheumatic drugs (bDMARDs) used to treat </w:t>
      </w:r>
      <w:r w:rsidR="00D041B3">
        <w:t>ankylosing spondylitis</w:t>
      </w:r>
      <w:r>
        <w:t xml:space="preserve">. </w:t>
      </w:r>
    </w:p>
    <w:p w:rsidR="002D144A" w:rsidRPr="00C91494" w:rsidRDefault="002D144A" w:rsidP="003C5D85">
      <w:pPr>
        <w:pStyle w:val="Heading2"/>
        <w:rPr>
          <w:i/>
        </w:rPr>
      </w:pPr>
      <w:r w:rsidRPr="00C91494">
        <w:rPr>
          <w:i/>
        </w:rPr>
        <w:t>Date of listing on the P</w:t>
      </w:r>
      <w:r w:rsidR="00A95FA5" w:rsidRPr="00C91494">
        <w:rPr>
          <w:i/>
        </w:rPr>
        <w:t xml:space="preserve">harmaceutical </w:t>
      </w:r>
      <w:r w:rsidRPr="00C91494">
        <w:rPr>
          <w:i/>
        </w:rPr>
        <w:t>B</w:t>
      </w:r>
      <w:r w:rsidR="00A95FA5" w:rsidRPr="00C91494">
        <w:rPr>
          <w:i/>
        </w:rPr>
        <w:t xml:space="preserve">enefits </w:t>
      </w:r>
      <w:r w:rsidRPr="00C91494">
        <w:rPr>
          <w:i/>
        </w:rPr>
        <w:t>S</w:t>
      </w:r>
      <w:r w:rsidR="00A95FA5" w:rsidRPr="00C91494">
        <w:rPr>
          <w:i/>
        </w:rPr>
        <w:t>cheme (PBS)</w:t>
      </w:r>
      <w:r w:rsidR="00474315" w:rsidRPr="00C91494">
        <w:rPr>
          <w:i/>
        </w:rPr>
        <w:t xml:space="preserve"> for this indication</w:t>
      </w:r>
    </w:p>
    <w:p w:rsidR="0067508B" w:rsidRDefault="0067508B" w:rsidP="0067508B">
      <w:pPr>
        <w:pStyle w:val="ListParagraph"/>
        <w:numPr>
          <w:ilvl w:val="0"/>
          <w:numId w:val="8"/>
        </w:numPr>
      </w:pPr>
      <w:r>
        <w:t>Infliximab: 1 August 2004</w:t>
      </w:r>
    </w:p>
    <w:p w:rsidR="0067508B" w:rsidRDefault="0067508B" w:rsidP="0067508B">
      <w:pPr>
        <w:pStyle w:val="ListParagraph"/>
        <w:numPr>
          <w:ilvl w:val="0"/>
          <w:numId w:val="8"/>
        </w:numPr>
      </w:pPr>
      <w:r>
        <w:t>Etanercept: 1 April 2005</w:t>
      </w:r>
    </w:p>
    <w:p w:rsidR="00063E33" w:rsidRDefault="00063E33" w:rsidP="00063E33">
      <w:pPr>
        <w:pStyle w:val="ListParagraph"/>
        <w:numPr>
          <w:ilvl w:val="0"/>
          <w:numId w:val="8"/>
        </w:numPr>
      </w:pPr>
      <w:r>
        <w:t>Adalimumab: 1 March 2007</w:t>
      </w:r>
    </w:p>
    <w:p w:rsidR="00063E33" w:rsidRDefault="00063E33" w:rsidP="00063E33">
      <w:pPr>
        <w:pStyle w:val="ListParagraph"/>
        <w:numPr>
          <w:ilvl w:val="0"/>
          <w:numId w:val="8"/>
        </w:numPr>
      </w:pPr>
      <w:r>
        <w:t>Golimumab: 1 August 2010</w:t>
      </w:r>
    </w:p>
    <w:p w:rsidR="00063E33" w:rsidRPr="00497333" w:rsidRDefault="00063E33" w:rsidP="00063E33">
      <w:pPr>
        <w:pStyle w:val="ListParagraph"/>
        <w:numPr>
          <w:ilvl w:val="0"/>
          <w:numId w:val="8"/>
        </w:numPr>
      </w:pPr>
      <w:r>
        <w:t>Certolizumab pegol: 1 September 2014</w:t>
      </w:r>
    </w:p>
    <w:p w:rsidR="005C6661" w:rsidRPr="00C91494" w:rsidRDefault="005C6661" w:rsidP="003C5D85">
      <w:pPr>
        <w:pStyle w:val="Heading2"/>
        <w:rPr>
          <w:i/>
        </w:rPr>
      </w:pPr>
      <w:r w:rsidRPr="00C91494">
        <w:rPr>
          <w:i/>
        </w:rPr>
        <w:t>Data Source / methodology</w:t>
      </w:r>
    </w:p>
    <w:p w:rsidR="0093416F" w:rsidRPr="0093416F" w:rsidRDefault="0093416F" w:rsidP="0093416F">
      <w:r>
        <w:t xml:space="preserve">The Department of Human Services (DHS) Authority Approvals database was used for </w:t>
      </w:r>
      <w:r w:rsidR="005D1505">
        <w:t>most patient level analyses (eg. patient counts, continuation rates</w:t>
      </w:r>
      <w:r w:rsidR="00086C1B">
        <w:t xml:space="preserve"> and drug sequence</w:t>
      </w:r>
      <w:r w:rsidR="005D1505">
        <w:t>)</w:t>
      </w:r>
      <w:r>
        <w:t xml:space="preserve">. The DHS prescription </w:t>
      </w:r>
      <w:r w:rsidR="00953909">
        <w:t xml:space="preserve">claims </w:t>
      </w:r>
      <w:r>
        <w:t xml:space="preserve">database and </w:t>
      </w:r>
      <w:r w:rsidR="00086C1B">
        <w:t xml:space="preserve">the </w:t>
      </w:r>
      <w:r>
        <w:t xml:space="preserve">DUSC Highly Specialised Drugs database were used for prescription count and expenditure analyses. </w:t>
      </w:r>
    </w:p>
    <w:p w:rsidR="005C6661" w:rsidRPr="00C91494" w:rsidRDefault="005C6661" w:rsidP="003C5D85">
      <w:pPr>
        <w:pStyle w:val="Heading2"/>
        <w:rPr>
          <w:i/>
        </w:rPr>
      </w:pPr>
      <w:r w:rsidRPr="00C91494">
        <w:rPr>
          <w:i/>
        </w:rPr>
        <w:t>Key Findings</w:t>
      </w:r>
    </w:p>
    <w:p w:rsidR="00F1343F" w:rsidRPr="006A7D55" w:rsidRDefault="00F1343F" w:rsidP="00F1343F">
      <w:pPr>
        <w:pStyle w:val="NoSpacing"/>
        <w:numPr>
          <w:ilvl w:val="0"/>
          <w:numId w:val="16"/>
        </w:numPr>
      </w:pPr>
      <w:r w:rsidRPr="006A7D55">
        <w:t xml:space="preserve">The number of patients on bDMARD treatment for </w:t>
      </w:r>
      <w:r w:rsidR="006A7D55" w:rsidRPr="006A7D55">
        <w:t>ankylosing spondylitis</w:t>
      </w:r>
      <w:r w:rsidR="00025EC2">
        <w:t xml:space="preserve"> (AS) </w:t>
      </w:r>
      <w:r w:rsidRPr="006A7D55">
        <w:t>has increased from the time of</w:t>
      </w:r>
      <w:r w:rsidR="006A7D55" w:rsidRPr="006A7D55">
        <w:t xml:space="preserve"> listing, from </w:t>
      </w:r>
      <w:r w:rsidR="00872902">
        <w:t>628</w:t>
      </w:r>
      <w:r w:rsidR="006A7D55" w:rsidRPr="006A7D55">
        <w:t xml:space="preserve"> in 200</w:t>
      </w:r>
      <w:r w:rsidR="00872902">
        <w:t>5</w:t>
      </w:r>
      <w:r w:rsidR="006A7D55" w:rsidRPr="006A7D55">
        <w:t xml:space="preserve"> to 6,</w:t>
      </w:r>
      <w:r w:rsidR="00872902">
        <w:t>106</w:t>
      </w:r>
      <w:r w:rsidRPr="006A7D55">
        <w:t xml:space="preserve"> in 2014</w:t>
      </w:r>
      <w:r w:rsidR="00872902">
        <w:t xml:space="preserve"> </w:t>
      </w:r>
      <w:r w:rsidR="00872902" w:rsidRPr="006A7D55">
        <w:t xml:space="preserve">with no indication of </w:t>
      </w:r>
      <w:r w:rsidR="003F2131">
        <w:t>plateauing</w:t>
      </w:r>
      <w:r w:rsidR="00872902">
        <w:t>.</w:t>
      </w:r>
    </w:p>
    <w:p w:rsidR="00F1343F" w:rsidRPr="006A7D55" w:rsidRDefault="00F1343F" w:rsidP="00F1343F">
      <w:pPr>
        <w:pStyle w:val="NoSpacing"/>
        <w:numPr>
          <w:ilvl w:val="0"/>
          <w:numId w:val="16"/>
        </w:numPr>
      </w:pPr>
      <w:r w:rsidRPr="006A7D55">
        <w:t xml:space="preserve">The number of patients </w:t>
      </w:r>
      <w:r w:rsidR="00025EC2">
        <w:t xml:space="preserve">initiating </w:t>
      </w:r>
      <w:r w:rsidR="00025EC2" w:rsidRPr="006A7D55">
        <w:t xml:space="preserve">bDMARD treatment for </w:t>
      </w:r>
      <w:r w:rsidR="00025EC2">
        <w:t xml:space="preserve">AS </w:t>
      </w:r>
      <w:r w:rsidRPr="006A7D55">
        <w:t xml:space="preserve">per year has </w:t>
      </w:r>
      <w:r w:rsidR="006A7D55" w:rsidRPr="006A7D55">
        <w:t>increased from 4</w:t>
      </w:r>
      <w:r w:rsidR="00872902">
        <w:t>53</w:t>
      </w:r>
      <w:r w:rsidR="006A7D55" w:rsidRPr="006A7D55">
        <w:t xml:space="preserve"> in 200</w:t>
      </w:r>
      <w:r w:rsidR="00872902">
        <w:t>5</w:t>
      </w:r>
      <w:r w:rsidR="006A7D55" w:rsidRPr="006A7D55">
        <w:t xml:space="preserve"> to 1,</w:t>
      </w:r>
      <w:r w:rsidR="00872902">
        <w:t>190</w:t>
      </w:r>
      <w:r w:rsidRPr="006A7D55">
        <w:t xml:space="preserve"> in 2014.</w:t>
      </w:r>
      <w:r w:rsidR="00025EC2">
        <w:t xml:space="preserve"> Each time a new drug is listed on the PBS there </w:t>
      </w:r>
      <w:r w:rsidR="005F728B">
        <w:t>was</w:t>
      </w:r>
      <w:r w:rsidR="00025EC2">
        <w:t xml:space="preserve"> a slight step up in the number of initiating patients followed by a plateauing.</w:t>
      </w:r>
      <w:r w:rsidR="000F7997">
        <w:t xml:space="preserve"> This may be influenced by patient access programs and grandfathering of patients to PBS </w:t>
      </w:r>
      <w:r w:rsidR="00A803E7">
        <w:t>subsidised</w:t>
      </w:r>
      <w:r w:rsidR="000F7997">
        <w:t xml:space="preserve"> supply following listing.</w:t>
      </w:r>
    </w:p>
    <w:p w:rsidR="00F1343F" w:rsidRPr="006A7D55" w:rsidRDefault="00F1343F" w:rsidP="00F1343F">
      <w:pPr>
        <w:pStyle w:val="NoSpacing"/>
        <w:numPr>
          <w:ilvl w:val="0"/>
          <w:numId w:val="16"/>
        </w:numPr>
      </w:pPr>
      <w:r w:rsidRPr="006A7D55">
        <w:t xml:space="preserve">Adalimumab is the most commonly used bDMARD, followed by etanercept </w:t>
      </w:r>
      <w:r w:rsidR="00872902">
        <w:t xml:space="preserve">and </w:t>
      </w:r>
      <w:r w:rsidRPr="006A7D55">
        <w:t>golimumab.</w:t>
      </w:r>
      <w:r w:rsidR="006A7D55" w:rsidRPr="006A7D55">
        <w:t xml:space="preserve"> </w:t>
      </w:r>
      <w:r w:rsidRPr="006A7D55">
        <w:t xml:space="preserve">Infliximab has low and stable use. Certolizumab pegol was only recently listed and has yet to establish market share. </w:t>
      </w:r>
    </w:p>
    <w:p w:rsidR="00F1343F" w:rsidRPr="006A7D55" w:rsidRDefault="00F1343F" w:rsidP="00F1343F">
      <w:pPr>
        <w:pStyle w:val="NoSpacing"/>
        <w:numPr>
          <w:ilvl w:val="0"/>
          <w:numId w:val="16"/>
        </w:numPr>
      </w:pPr>
      <w:r w:rsidRPr="006A7D55">
        <w:t>Treatm</w:t>
      </w:r>
      <w:r w:rsidR="006A7D55" w:rsidRPr="006A7D55">
        <w:t>ent continuation is high with 69</w:t>
      </w:r>
      <w:r w:rsidRPr="006A7D55">
        <w:t xml:space="preserve">-84% of new patients receiving a second authority approval </w:t>
      </w:r>
      <w:r w:rsidR="006A7D55" w:rsidRPr="006A7D55">
        <w:t>for their initial bDMARD, and 91</w:t>
      </w:r>
      <w:r w:rsidRPr="006A7D55">
        <w:t xml:space="preserve">% receiving a second approval for </w:t>
      </w:r>
      <w:r w:rsidRPr="006A7D55">
        <w:lastRenderedPageBreak/>
        <w:t xml:space="preserve">any bDMARD. </w:t>
      </w:r>
      <w:r w:rsidR="003A56A6">
        <w:t>This is higher than anticipated based on response rates in the key clinical trials.</w:t>
      </w:r>
    </w:p>
    <w:p w:rsidR="00F1343F" w:rsidRDefault="00F1343F" w:rsidP="00F1343F">
      <w:pPr>
        <w:pStyle w:val="NoSpacing"/>
        <w:numPr>
          <w:ilvl w:val="0"/>
          <w:numId w:val="16"/>
        </w:numPr>
      </w:pPr>
      <w:r w:rsidRPr="006A7D55">
        <w:t>The majority of people remain on bDMARD therapy for</w:t>
      </w:r>
      <w:r w:rsidR="00872902">
        <w:t xml:space="preserve"> long durations. For example, 72</w:t>
      </w:r>
      <w:r w:rsidRPr="006A7D55">
        <w:t>% of patients who began treatment in 2009 have received at least 10 authority approvals.</w:t>
      </w:r>
    </w:p>
    <w:p w:rsidR="00D54DC8" w:rsidRPr="006A7D55" w:rsidRDefault="00D54DC8" w:rsidP="00D54DC8">
      <w:pPr>
        <w:pStyle w:val="NoSpacing"/>
        <w:numPr>
          <w:ilvl w:val="0"/>
          <w:numId w:val="16"/>
        </w:numPr>
      </w:pPr>
      <w:r>
        <w:t>62</w:t>
      </w:r>
      <w:r w:rsidRPr="006A7D55">
        <w:t xml:space="preserve">% of patients who commenced bDMARD therapy prior to 2014 have received an authority for a single bDMARD, with </w:t>
      </w:r>
      <w:r w:rsidR="00236B8D">
        <w:t>27</w:t>
      </w:r>
      <w:r w:rsidRPr="006A7D55">
        <w:t xml:space="preserve">% receiving authority approvals for </w:t>
      </w:r>
      <w:r w:rsidR="00236B8D">
        <w:t>two</w:t>
      </w:r>
      <w:r w:rsidRPr="006A7D55">
        <w:t xml:space="preserve"> bDMARD</w:t>
      </w:r>
      <w:r w:rsidR="00236B8D">
        <w:t>s</w:t>
      </w:r>
      <w:r w:rsidRPr="006A7D55">
        <w:t xml:space="preserve">, </w:t>
      </w:r>
      <w:r w:rsidR="00236B8D">
        <w:t>9.2</w:t>
      </w:r>
      <w:r w:rsidRPr="006A7D55">
        <w:t xml:space="preserve">% for </w:t>
      </w:r>
      <w:r w:rsidR="00236B8D">
        <w:t xml:space="preserve">three </w:t>
      </w:r>
      <w:r w:rsidRPr="006A7D55">
        <w:t xml:space="preserve">bDMARDs, and </w:t>
      </w:r>
      <w:r w:rsidR="00236B8D">
        <w:t xml:space="preserve">2.2% </w:t>
      </w:r>
      <w:r w:rsidR="00661534">
        <w:t xml:space="preserve">for </w:t>
      </w:r>
      <w:r w:rsidRPr="006A7D55">
        <w:t>more</w:t>
      </w:r>
      <w:r w:rsidR="00236B8D">
        <w:t xml:space="preserve"> than three</w:t>
      </w:r>
      <w:r w:rsidRPr="006A7D55">
        <w:t xml:space="preserve"> bDMARDs. </w:t>
      </w:r>
    </w:p>
    <w:p w:rsidR="00F1343F" w:rsidRPr="00855EA3" w:rsidRDefault="00F1343F" w:rsidP="00F1343F">
      <w:pPr>
        <w:pStyle w:val="NoSpacing"/>
        <w:numPr>
          <w:ilvl w:val="0"/>
          <w:numId w:val="16"/>
        </w:numPr>
      </w:pPr>
      <w:r w:rsidRPr="00855EA3">
        <w:t>Commonwealth exp</w:t>
      </w:r>
      <w:r w:rsidR="00855EA3" w:rsidRPr="00855EA3">
        <w:t xml:space="preserve">enditure </w:t>
      </w:r>
      <w:r w:rsidR="009209D6">
        <w:t xml:space="preserve">on </w:t>
      </w:r>
      <w:r w:rsidR="00761456">
        <w:t>bDMARDs</w:t>
      </w:r>
      <w:r w:rsidR="009209D6">
        <w:t xml:space="preserve"> for ankylosing spondylitis has increased each year, reaching $107.4 million in 2014. </w:t>
      </w:r>
    </w:p>
    <w:p w:rsidR="006537D9" w:rsidRPr="00C91494" w:rsidRDefault="00736041" w:rsidP="003C5D85">
      <w:pPr>
        <w:pStyle w:val="Heading4"/>
        <w:rPr>
          <w:i w:val="0"/>
        </w:rPr>
      </w:pPr>
      <w:r w:rsidRPr="00C91494">
        <w:rPr>
          <w:i w:val="0"/>
        </w:rPr>
        <w:t>Background</w:t>
      </w:r>
    </w:p>
    <w:p w:rsidR="007247B9" w:rsidRPr="002C06BA" w:rsidRDefault="007247B9" w:rsidP="003C5D85">
      <w:pPr>
        <w:pStyle w:val="Heading3"/>
        <w:rPr>
          <w:i w:val="0"/>
        </w:rPr>
      </w:pPr>
      <w:r w:rsidRPr="002C06BA">
        <w:rPr>
          <w:i w:val="0"/>
          <w:sz w:val="28"/>
        </w:rPr>
        <w:t>Pharmacology</w:t>
      </w:r>
    </w:p>
    <w:p w:rsidR="00473FF3" w:rsidRDefault="0054726B" w:rsidP="00AE4BAC">
      <w:r>
        <w:t>Adalimumab, etanercept, golimumab, infliximab and certolizumab</w:t>
      </w:r>
      <w:r w:rsidR="0098615A">
        <w:t xml:space="preserve"> pegol</w:t>
      </w:r>
      <w:r>
        <w:t xml:space="preserve"> are biologic therapies that bind to tumour necrosis factor (TNF-alpha) or its cell surface targets and inhibit its inflammatory action.</w:t>
      </w:r>
      <w:r w:rsidR="0093416F">
        <w:t xml:space="preserve"> </w:t>
      </w:r>
      <w:r>
        <w:rPr>
          <w:rStyle w:val="FootnoteReference"/>
        </w:rPr>
        <w:footnoteReference w:id="1"/>
      </w:r>
      <w:r w:rsidR="0093416F" w:rsidRPr="00C86712">
        <w:rPr>
          <w:vertAlign w:val="superscript"/>
        </w:rPr>
        <w:t>,</w:t>
      </w:r>
      <w:r w:rsidRPr="002E75EF">
        <w:rPr>
          <w:rStyle w:val="FootnoteReference"/>
        </w:rPr>
        <w:footnoteReference w:id="2"/>
      </w:r>
      <w:r w:rsidRPr="00C86712">
        <w:rPr>
          <w:vertAlign w:val="superscript"/>
        </w:rPr>
        <w:t>,</w:t>
      </w:r>
      <w:r w:rsidRPr="002E75EF">
        <w:rPr>
          <w:rStyle w:val="FootnoteReference"/>
        </w:rPr>
        <w:footnoteReference w:id="3"/>
      </w:r>
      <w:r w:rsidRPr="00C86712">
        <w:rPr>
          <w:vertAlign w:val="superscript"/>
        </w:rPr>
        <w:t>,</w:t>
      </w:r>
      <w:r w:rsidRPr="002E75EF">
        <w:rPr>
          <w:rStyle w:val="FootnoteReference"/>
        </w:rPr>
        <w:footnoteReference w:id="4"/>
      </w:r>
      <w:r w:rsidRPr="00C86712">
        <w:rPr>
          <w:vertAlign w:val="superscript"/>
        </w:rPr>
        <w:t>,</w:t>
      </w:r>
      <w:r w:rsidRPr="002E75EF">
        <w:rPr>
          <w:rStyle w:val="FootnoteReference"/>
        </w:rPr>
        <w:footnoteReference w:id="5"/>
      </w:r>
    </w:p>
    <w:p w:rsidR="001420B3" w:rsidRPr="00046382" w:rsidRDefault="00A52918" w:rsidP="003C5D85">
      <w:pPr>
        <w:pStyle w:val="Heading3"/>
        <w:rPr>
          <w:i w:val="0"/>
          <w:sz w:val="28"/>
        </w:rPr>
      </w:pPr>
      <w:r w:rsidRPr="00046382">
        <w:rPr>
          <w:i w:val="0"/>
          <w:sz w:val="28"/>
        </w:rPr>
        <w:t>Therapeutic Goods Administration (</w:t>
      </w:r>
      <w:r w:rsidR="001420B3" w:rsidRPr="00046382">
        <w:rPr>
          <w:i w:val="0"/>
          <w:sz w:val="28"/>
        </w:rPr>
        <w:t>TGA</w:t>
      </w:r>
      <w:r w:rsidRPr="00046382">
        <w:rPr>
          <w:i w:val="0"/>
          <w:sz w:val="28"/>
        </w:rPr>
        <w:t>)</w:t>
      </w:r>
      <w:r w:rsidR="001420B3" w:rsidRPr="00046382">
        <w:rPr>
          <w:i w:val="0"/>
          <w:sz w:val="28"/>
        </w:rPr>
        <w:t xml:space="preserve"> approved indications</w:t>
      </w:r>
    </w:p>
    <w:p w:rsidR="0078744F" w:rsidRDefault="0078744F" w:rsidP="00A35800">
      <w:r>
        <w:t xml:space="preserve">Adalimumab is indicated for </w:t>
      </w:r>
      <w:r w:rsidR="0054726B">
        <w:t>reducing signs and symptoms in patients with active ankylosing spondylitis.</w:t>
      </w:r>
    </w:p>
    <w:p w:rsidR="0078744F" w:rsidRDefault="0078744F" w:rsidP="00A35800">
      <w:r>
        <w:t>Cert</w:t>
      </w:r>
      <w:r w:rsidR="0054726B">
        <w:t>olizumab pegol is indicated in the treatment of adult patients with active ankylosing spondylitis who have been intolerant or had inadequate response to at least one non</w:t>
      </w:r>
      <w:r w:rsidR="0054726B">
        <w:noBreakHyphen/>
        <w:t>steroidal anti-inflammatory drug (NSAID).</w:t>
      </w:r>
    </w:p>
    <w:p w:rsidR="0078744F" w:rsidRDefault="00157BB0" w:rsidP="00A35800">
      <w:r>
        <w:t xml:space="preserve">Etanercept is indicated for </w:t>
      </w:r>
      <w:r w:rsidR="0054726B">
        <w:t>the signs and symptoms of active ankylosing spondylitis in adults.</w:t>
      </w:r>
    </w:p>
    <w:p w:rsidR="00157BB0" w:rsidRDefault="00157BB0" w:rsidP="00A35800">
      <w:r>
        <w:t>Golimumab is indic</w:t>
      </w:r>
      <w:r w:rsidR="00375727">
        <w:t xml:space="preserve">ated for </w:t>
      </w:r>
      <w:r w:rsidR="0054726B">
        <w:t>the treatment of active ankylosing spondylitis in adults.</w:t>
      </w:r>
    </w:p>
    <w:p w:rsidR="00157BB0" w:rsidRDefault="00157BB0" w:rsidP="00A35800">
      <w:r>
        <w:t xml:space="preserve">Infliximab is indicated for </w:t>
      </w:r>
      <w:r w:rsidR="0054726B">
        <w:t>the reduction of signs and symptoms and improvement in physical function in patients with active ankylosing spondylitis.</w:t>
      </w:r>
    </w:p>
    <w:p w:rsidR="00F1343F" w:rsidRDefault="00F1343F" w:rsidP="00F1343F">
      <w:r>
        <w:t>All of the drugs are also indicated for the treatment of other inflammatory conditions.</w:t>
      </w:r>
    </w:p>
    <w:p w:rsidR="002C06BA" w:rsidRDefault="002C06BA" w:rsidP="003C5D85">
      <w:pPr>
        <w:pStyle w:val="Heading3"/>
      </w:pPr>
    </w:p>
    <w:p w:rsidR="006B709B" w:rsidRPr="00046382" w:rsidRDefault="006B709B" w:rsidP="003C5D85">
      <w:pPr>
        <w:pStyle w:val="Heading3"/>
        <w:rPr>
          <w:i w:val="0"/>
          <w:sz w:val="28"/>
        </w:rPr>
      </w:pPr>
      <w:r w:rsidRPr="00046382">
        <w:rPr>
          <w:i w:val="0"/>
          <w:sz w:val="28"/>
        </w:rPr>
        <w:lastRenderedPageBreak/>
        <w:t>Dosage and administration</w:t>
      </w:r>
    </w:p>
    <w:p w:rsidR="003370D0" w:rsidRPr="00765F04" w:rsidRDefault="00FE4487" w:rsidP="003C5D85">
      <w:pPr>
        <w:pStyle w:val="Tabletitle"/>
        <w:rPr>
          <w:i w:val="0"/>
        </w:rPr>
      </w:pPr>
      <w:r w:rsidRPr="00765F04">
        <w:rPr>
          <w:i w:val="0"/>
        </w:rPr>
        <w:t>Table 1</w:t>
      </w:r>
      <w:r w:rsidR="003370D0" w:rsidRPr="00765F04">
        <w:rPr>
          <w:i w:val="0"/>
        </w:rPr>
        <w:t xml:space="preserve">: </w:t>
      </w:r>
      <w:r w:rsidR="00670300" w:rsidRPr="00765F04">
        <w:rPr>
          <w:i w:val="0"/>
        </w:rPr>
        <w:t>Dos</w:t>
      </w:r>
      <w:r w:rsidR="009663B6" w:rsidRPr="00765F04">
        <w:rPr>
          <w:i w:val="0"/>
        </w:rPr>
        <w:t xml:space="preserve">e and administration of </w:t>
      </w:r>
      <w:r w:rsidR="00670300" w:rsidRPr="00765F04">
        <w:rPr>
          <w:i w:val="0"/>
        </w:rPr>
        <w:t>bDMARDs</w:t>
      </w:r>
      <w:r w:rsidR="00E03D4B" w:rsidRPr="00765F04">
        <w:rPr>
          <w:i w:val="0"/>
        </w:rPr>
        <w:t xml:space="preserve"> for </w:t>
      </w:r>
      <w:r w:rsidR="00D7426F" w:rsidRPr="00765F04">
        <w:rPr>
          <w:i w:val="0"/>
        </w:rPr>
        <w:t>ankylosing spondylitis</w:t>
      </w:r>
      <w:r w:rsidR="00BE116C" w:rsidRPr="00765F04">
        <w:rPr>
          <w:rStyle w:val="FootnoteReference"/>
          <w:i w:val="0"/>
        </w:rPr>
        <w:footnoteReference w:id="6"/>
      </w:r>
    </w:p>
    <w:tbl>
      <w:tblPr>
        <w:tblStyle w:val="TableGrid"/>
        <w:tblW w:w="5000" w:type="pct"/>
        <w:tblLook w:val="04A0" w:firstRow="1" w:lastRow="0" w:firstColumn="1" w:lastColumn="0" w:noHBand="0" w:noVBand="1"/>
        <w:tblCaption w:val="Table 1: Dose and administration of bDMARDs for ankylosing spondylitis"/>
      </w:tblPr>
      <w:tblGrid>
        <w:gridCol w:w="2943"/>
        <w:gridCol w:w="6230"/>
      </w:tblGrid>
      <w:tr w:rsidR="00C5281A" w:rsidRPr="00A35800" w:rsidTr="0094280A">
        <w:trPr>
          <w:tblHeader/>
        </w:trPr>
        <w:tc>
          <w:tcPr>
            <w:tcW w:w="1604" w:type="pct"/>
            <w:shd w:val="clear" w:color="auto" w:fill="BFBFBF" w:themeFill="background1" w:themeFillShade="BF"/>
          </w:tcPr>
          <w:p w:rsidR="00C5281A" w:rsidRPr="00A35800" w:rsidRDefault="00C5281A" w:rsidP="00A35800">
            <w:pPr>
              <w:pStyle w:val="Tableheading"/>
              <w:rPr>
                <w:sz w:val="20"/>
                <w:szCs w:val="20"/>
              </w:rPr>
            </w:pPr>
            <w:r>
              <w:rPr>
                <w:sz w:val="20"/>
                <w:szCs w:val="20"/>
              </w:rPr>
              <w:t>Drug, b</w:t>
            </w:r>
            <w:r w:rsidRPr="00A35800">
              <w:rPr>
                <w:sz w:val="20"/>
                <w:szCs w:val="20"/>
              </w:rPr>
              <w:t>rand name and sponsor</w:t>
            </w:r>
          </w:p>
        </w:tc>
        <w:tc>
          <w:tcPr>
            <w:tcW w:w="3396" w:type="pct"/>
            <w:shd w:val="clear" w:color="auto" w:fill="BFBFBF" w:themeFill="background1" w:themeFillShade="BF"/>
          </w:tcPr>
          <w:p w:rsidR="00C5281A" w:rsidRPr="00A35800" w:rsidRDefault="00C5281A" w:rsidP="00A35800">
            <w:pPr>
              <w:pStyle w:val="Tableheading"/>
              <w:rPr>
                <w:sz w:val="20"/>
                <w:szCs w:val="20"/>
              </w:rPr>
            </w:pPr>
            <w:r w:rsidRPr="00A35800">
              <w:rPr>
                <w:sz w:val="20"/>
                <w:szCs w:val="20"/>
              </w:rPr>
              <w:t xml:space="preserve">Dose and frequency of administration </w:t>
            </w:r>
          </w:p>
        </w:tc>
      </w:tr>
      <w:tr w:rsidR="00C5281A" w:rsidRPr="00A35800" w:rsidTr="0094280A">
        <w:tc>
          <w:tcPr>
            <w:tcW w:w="1604" w:type="pct"/>
          </w:tcPr>
          <w:p w:rsidR="00C5281A" w:rsidRDefault="00C5281A" w:rsidP="00A35800">
            <w:pPr>
              <w:pStyle w:val="Tablewriting"/>
            </w:pPr>
            <w:r>
              <w:t>Adalimumab</w:t>
            </w:r>
          </w:p>
          <w:p w:rsidR="00C5281A" w:rsidRPr="00A35800" w:rsidRDefault="00C5281A" w:rsidP="00A35800">
            <w:pPr>
              <w:pStyle w:val="Tablewriting"/>
            </w:pPr>
            <w:r>
              <w:t>Humira®, AbbVie Pty Ltd</w:t>
            </w:r>
          </w:p>
        </w:tc>
        <w:tc>
          <w:tcPr>
            <w:tcW w:w="3396" w:type="pct"/>
          </w:tcPr>
          <w:p w:rsidR="00C5281A" w:rsidRPr="00A35800" w:rsidRDefault="00C5281A" w:rsidP="0060074D">
            <w:pPr>
              <w:pStyle w:val="Tablewriting"/>
            </w:pPr>
            <w:r>
              <w:t>40mg solution in pre-filled syringe or cartridge for once-fortnightly subcutaneous administration.</w:t>
            </w:r>
          </w:p>
        </w:tc>
      </w:tr>
      <w:tr w:rsidR="00C5281A" w:rsidRPr="00A35800" w:rsidTr="0094280A">
        <w:tc>
          <w:tcPr>
            <w:tcW w:w="1604" w:type="pct"/>
          </w:tcPr>
          <w:p w:rsidR="00C5281A" w:rsidRDefault="00C5281A" w:rsidP="00A35800">
            <w:pPr>
              <w:pStyle w:val="Tablewriting"/>
            </w:pPr>
            <w:r>
              <w:t>Certolizumab pegol</w:t>
            </w:r>
          </w:p>
          <w:p w:rsidR="00C5281A" w:rsidRDefault="00C5281A" w:rsidP="00A35800">
            <w:pPr>
              <w:pStyle w:val="Tablewriting"/>
            </w:pPr>
            <w:r>
              <w:t>Cimzia</w:t>
            </w:r>
            <w:r>
              <w:rPr>
                <w:rFonts w:ascii="Calibri" w:hAnsi="Calibri"/>
              </w:rPr>
              <w:t>®</w:t>
            </w:r>
            <w:r>
              <w:t>, UCB Australia Pty Ltd</w:t>
            </w:r>
          </w:p>
        </w:tc>
        <w:tc>
          <w:tcPr>
            <w:tcW w:w="3396" w:type="pct"/>
          </w:tcPr>
          <w:p w:rsidR="00C5281A" w:rsidRDefault="00C5281A" w:rsidP="00A35800">
            <w:pPr>
              <w:pStyle w:val="Tablewriting"/>
            </w:pPr>
            <w:r>
              <w:t>200mg/mL solution in pre-filled syringe for fortnightly subcutaneous administration</w:t>
            </w:r>
            <w:r w:rsidR="00145BC5">
              <w:t>.</w:t>
            </w:r>
          </w:p>
          <w:p w:rsidR="00C5281A" w:rsidRPr="00A35800" w:rsidRDefault="00C5281A" w:rsidP="00A35800">
            <w:pPr>
              <w:pStyle w:val="Tablewriting"/>
            </w:pPr>
            <w:r>
              <w:t>Loading dose of 400mg (2 subcutaneous injections) at weeks 0, 2 and 4.</w:t>
            </w:r>
          </w:p>
        </w:tc>
      </w:tr>
      <w:tr w:rsidR="00C5281A" w:rsidRPr="00A35800" w:rsidTr="0094280A">
        <w:tc>
          <w:tcPr>
            <w:tcW w:w="1604" w:type="pct"/>
          </w:tcPr>
          <w:p w:rsidR="00C5281A" w:rsidRDefault="00C5281A" w:rsidP="00A35800">
            <w:pPr>
              <w:pStyle w:val="Tablewriting"/>
            </w:pPr>
            <w:r>
              <w:t>Etanercept</w:t>
            </w:r>
          </w:p>
          <w:p w:rsidR="00C5281A" w:rsidRDefault="00C5281A" w:rsidP="00A35800">
            <w:pPr>
              <w:pStyle w:val="Tablewriting"/>
            </w:pPr>
            <w:r>
              <w:t>Enbrel</w:t>
            </w:r>
            <w:r>
              <w:rPr>
                <w:rFonts w:ascii="Calibri" w:hAnsi="Calibri"/>
              </w:rPr>
              <w:t>®</w:t>
            </w:r>
            <w:r>
              <w:t>, Pfizer Australia Pty Ltd</w:t>
            </w:r>
          </w:p>
        </w:tc>
        <w:tc>
          <w:tcPr>
            <w:tcW w:w="3396" w:type="pct"/>
          </w:tcPr>
          <w:p w:rsidR="00C5281A" w:rsidRDefault="00C5281A" w:rsidP="00A35800">
            <w:pPr>
              <w:pStyle w:val="Tablewriting"/>
            </w:pPr>
            <w:r>
              <w:t>25mg solution in pre-filled syringe for twice-weekly subcutaneous administration</w:t>
            </w:r>
            <w:r w:rsidR="00145BC5">
              <w:t>.</w:t>
            </w:r>
          </w:p>
          <w:p w:rsidR="00C5281A" w:rsidRPr="00A35800" w:rsidRDefault="00C5281A" w:rsidP="0060074D">
            <w:pPr>
              <w:pStyle w:val="Tablewriting"/>
            </w:pPr>
            <w:r>
              <w:t>50mg solution for injection, as pre-filled syringe or cartridge for auto-injector for once-weekly subcutaneous administration.</w:t>
            </w:r>
          </w:p>
        </w:tc>
      </w:tr>
      <w:tr w:rsidR="00C5281A" w:rsidRPr="00A35800" w:rsidTr="0094280A">
        <w:tc>
          <w:tcPr>
            <w:tcW w:w="1604" w:type="pct"/>
          </w:tcPr>
          <w:p w:rsidR="00C5281A" w:rsidRDefault="00C5281A" w:rsidP="00A35800">
            <w:pPr>
              <w:pStyle w:val="Tablewriting"/>
            </w:pPr>
            <w:r>
              <w:t>Golimumab</w:t>
            </w:r>
          </w:p>
          <w:p w:rsidR="00C5281A" w:rsidRDefault="00C5281A" w:rsidP="00A35800">
            <w:pPr>
              <w:pStyle w:val="Tablewriting"/>
            </w:pPr>
            <w:r>
              <w:t>Simponi</w:t>
            </w:r>
            <w:r>
              <w:rPr>
                <w:rFonts w:ascii="Calibri" w:hAnsi="Calibri"/>
              </w:rPr>
              <w:t>®</w:t>
            </w:r>
            <w:r>
              <w:t>, Janssen-Cilag Pty Ltd</w:t>
            </w:r>
          </w:p>
        </w:tc>
        <w:tc>
          <w:tcPr>
            <w:tcW w:w="3396" w:type="pct"/>
          </w:tcPr>
          <w:p w:rsidR="00C5281A" w:rsidRPr="00241074" w:rsidRDefault="00C5281A" w:rsidP="00241074">
            <w:pPr>
              <w:pStyle w:val="Tablewriting"/>
            </w:pPr>
            <w:r>
              <w:t>50mg solution for injection, as pre-filled syringe or injection pen for once-monthly subcutaneous administration.</w:t>
            </w:r>
          </w:p>
        </w:tc>
      </w:tr>
      <w:tr w:rsidR="00C5281A" w:rsidRPr="00A35800" w:rsidTr="0094280A">
        <w:tc>
          <w:tcPr>
            <w:tcW w:w="1604" w:type="pct"/>
          </w:tcPr>
          <w:p w:rsidR="00C5281A" w:rsidRDefault="00C5281A" w:rsidP="00A35800">
            <w:pPr>
              <w:pStyle w:val="Tablewriting"/>
            </w:pPr>
            <w:r>
              <w:t>Infliximab</w:t>
            </w:r>
          </w:p>
          <w:p w:rsidR="00C5281A" w:rsidRDefault="00C5281A" w:rsidP="00A35800">
            <w:pPr>
              <w:pStyle w:val="Tablewriting"/>
            </w:pPr>
            <w:r>
              <w:t>Remicade®, Janssen-Cilag Pty Ltd</w:t>
            </w:r>
          </w:p>
          <w:p w:rsidR="003C1EF5" w:rsidRDefault="003C1EF5" w:rsidP="003C1EF5">
            <w:pPr>
              <w:pStyle w:val="Tablewriting"/>
            </w:pPr>
            <w:r>
              <w:t xml:space="preserve">Inflecta®, </w:t>
            </w:r>
            <w:r w:rsidRPr="003C1EF5">
              <w:t>Hospira Pty L</w:t>
            </w:r>
            <w:r>
              <w:t>td</w:t>
            </w:r>
          </w:p>
        </w:tc>
        <w:tc>
          <w:tcPr>
            <w:tcW w:w="3396" w:type="pct"/>
          </w:tcPr>
          <w:p w:rsidR="00C5281A" w:rsidRPr="00A35800" w:rsidRDefault="00C5281A" w:rsidP="00546A02">
            <w:pPr>
              <w:pStyle w:val="Tablewriting"/>
            </w:pPr>
            <w:r>
              <w:t xml:space="preserve">5mg/kg given as IV infusion followed by 5mg/kg doses at 2 and 6 weeks after initiation, then every </w:t>
            </w:r>
            <w:r w:rsidR="00546A02">
              <w:t>6</w:t>
            </w:r>
            <w:r>
              <w:t xml:space="preserve"> weeks after.</w:t>
            </w:r>
          </w:p>
        </w:tc>
      </w:tr>
    </w:tbl>
    <w:p w:rsidR="00F17D4B" w:rsidRDefault="00F17D4B" w:rsidP="00AF30C6">
      <w:pPr>
        <w:spacing w:before="60"/>
      </w:pPr>
      <w:r w:rsidRPr="002F61CA">
        <w:t xml:space="preserve">The current Product Information (PI) and Consumer Medicine Information (CMI) are available from </w:t>
      </w:r>
      <w:r w:rsidRPr="00181529">
        <w:t>the TGA (Product Information)</w:t>
      </w:r>
      <w:r>
        <w:t xml:space="preserve"> and </w:t>
      </w:r>
      <w:r w:rsidRPr="00181529">
        <w:t>the TGA (Consumer Medicines Information)</w:t>
      </w:r>
      <w:r>
        <w:t>.</w:t>
      </w:r>
    </w:p>
    <w:p w:rsidR="007C5F57" w:rsidRDefault="007C5F57" w:rsidP="00AF30C6">
      <w:pPr>
        <w:spacing w:before="60"/>
      </w:pPr>
    </w:p>
    <w:p w:rsidR="0094280A" w:rsidRDefault="0094280A">
      <w:pPr>
        <w:spacing w:line="276" w:lineRule="auto"/>
        <w:rPr>
          <w:b/>
          <w:i/>
          <w:szCs w:val="28"/>
        </w:rPr>
      </w:pPr>
      <w:r>
        <w:br w:type="page"/>
      </w:r>
    </w:p>
    <w:p w:rsidR="00DF0B13" w:rsidRPr="00046382" w:rsidRDefault="00DF0B13" w:rsidP="003C5D85">
      <w:pPr>
        <w:pStyle w:val="Heading3"/>
        <w:rPr>
          <w:i w:val="0"/>
          <w:sz w:val="28"/>
        </w:rPr>
      </w:pPr>
      <w:r w:rsidRPr="00046382">
        <w:rPr>
          <w:i w:val="0"/>
          <w:sz w:val="28"/>
        </w:rPr>
        <w:lastRenderedPageBreak/>
        <w:t>PBS listing details</w:t>
      </w:r>
      <w:r w:rsidR="001B51D9" w:rsidRPr="00046382">
        <w:rPr>
          <w:i w:val="0"/>
          <w:sz w:val="28"/>
        </w:rPr>
        <w:t xml:space="preserve"> (as at 1 </w:t>
      </w:r>
      <w:r w:rsidR="002A7C7D" w:rsidRPr="00046382">
        <w:rPr>
          <w:i w:val="0"/>
          <w:sz w:val="28"/>
        </w:rPr>
        <w:t xml:space="preserve">December </w:t>
      </w:r>
      <w:r w:rsidR="00497333" w:rsidRPr="00046382">
        <w:rPr>
          <w:i w:val="0"/>
          <w:sz w:val="28"/>
        </w:rPr>
        <w:t>2015</w:t>
      </w:r>
      <w:r w:rsidR="00D151EB" w:rsidRPr="00046382">
        <w:rPr>
          <w:i w:val="0"/>
          <w:sz w:val="28"/>
        </w:rPr>
        <w:t>)</w:t>
      </w:r>
    </w:p>
    <w:p w:rsidR="00070CBC" w:rsidRPr="00B53D13" w:rsidRDefault="001420B3" w:rsidP="003C5D85">
      <w:pPr>
        <w:pStyle w:val="Tabletitle"/>
        <w:rPr>
          <w:i w:val="0"/>
        </w:rPr>
      </w:pPr>
      <w:r w:rsidRPr="00B53D13">
        <w:rPr>
          <w:i w:val="0"/>
        </w:rPr>
        <w:t>T</w:t>
      </w:r>
      <w:r w:rsidR="00FE4487" w:rsidRPr="00B53D13">
        <w:rPr>
          <w:i w:val="0"/>
        </w:rPr>
        <w:t>able 2</w:t>
      </w:r>
      <w:r w:rsidRPr="00B53D13">
        <w:rPr>
          <w:i w:val="0"/>
        </w:rPr>
        <w:t xml:space="preserve">: </w:t>
      </w:r>
      <w:r w:rsidR="00070CBC" w:rsidRPr="00B53D13">
        <w:rPr>
          <w:i w:val="0"/>
        </w:rPr>
        <w:t>Summary of PBS listed bDMARDs for ankylosing spondylitis</w:t>
      </w:r>
    </w:p>
    <w:tbl>
      <w:tblPr>
        <w:tblStyle w:val="TableGrid"/>
        <w:tblW w:w="9214" w:type="dxa"/>
        <w:tblInd w:w="-176" w:type="dxa"/>
        <w:tblLayout w:type="fixed"/>
        <w:tblLook w:val="04A0" w:firstRow="1" w:lastRow="0" w:firstColumn="1" w:lastColumn="0" w:noHBand="0" w:noVBand="1"/>
        <w:tblCaption w:val="Table 2: Summary of PBS listed bDMARDs for ankylosing spondylitis"/>
      </w:tblPr>
      <w:tblGrid>
        <w:gridCol w:w="1560"/>
        <w:gridCol w:w="1843"/>
        <w:gridCol w:w="2324"/>
        <w:gridCol w:w="1134"/>
        <w:gridCol w:w="992"/>
        <w:gridCol w:w="1361"/>
      </w:tblGrid>
      <w:tr w:rsidR="00070CBC" w:rsidRPr="00A35800" w:rsidTr="0094280A">
        <w:trPr>
          <w:trHeight w:val="694"/>
          <w:tblHeader/>
        </w:trPr>
        <w:tc>
          <w:tcPr>
            <w:tcW w:w="1560" w:type="dxa"/>
            <w:shd w:val="clear" w:color="auto" w:fill="BFBFBF" w:themeFill="background1" w:themeFillShade="BF"/>
          </w:tcPr>
          <w:p w:rsidR="00070CBC" w:rsidRPr="00A35800" w:rsidRDefault="00070CBC" w:rsidP="00481814">
            <w:pPr>
              <w:pStyle w:val="Tableheading"/>
              <w:rPr>
                <w:sz w:val="20"/>
                <w:szCs w:val="20"/>
              </w:rPr>
            </w:pPr>
            <w:r>
              <w:rPr>
                <w:sz w:val="20"/>
                <w:szCs w:val="20"/>
              </w:rPr>
              <w:t>Name</w:t>
            </w:r>
          </w:p>
        </w:tc>
        <w:tc>
          <w:tcPr>
            <w:tcW w:w="1843" w:type="dxa"/>
            <w:shd w:val="clear" w:color="auto" w:fill="BFBFBF" w:themeFill="background1" w:themeFillShade="BF"/>
          </w:tcPr>
          <w:p w:rsidR="00070CBC" w:rsidRPr="00A35800" w:rsidRDefault="00070CBC" w:rsidP="00481814">
            <w:pPr>
              <w:pStyle w:val="Tableheading"/>
              <w:rPr>
                <w:sz w:val="20"/>
                <w:szCs w:val="20"/>
              </w:rPr>
            </w:pPr>
            <w:r>
              <w:rPr>
                <w:sz w:val="20"/>
                <w:szCs w:val="20"/>
              </w:rPr>
              <w:t>Item Codes</w:t>
            </w:r>
          </w:p>
        </w:tc>
        <w:tc>
          <w:tcPr>
            <w:tcW w:w="2324" w:type="dxa"/>
            <w:shd w:val="clear" w:color="auto" w:fill="BFBFBF" w:themeFill="background1" w:themeFillShade="BF"/>
          </w:tcPr>
          <w:p w:rsidR="00070CBC" w:rsidRPr="00A35800" w:rsidRDefault="00070CBC" w:rsidP="00481814">
            <w:pPr>
              <w:pStyle w:val="Tableheading"/>
              <w:rPr>
                <w:sz w:val="20"/>
                <w:szCs w:val="20"/>
              </w:rPr>
            </w:pPr>
            <w:r>
              <w:rPr>
                <w:sz w:val="20"/>
                <w:szCs w:val="20"/>
              </w:rPr>
              <w:t>Forms and strengths</w:t>
            </w:r>
            <w:r w:rsidRPr="00A35800">
              <w:rPr>
                <w:sz w:val="20"/>
                <w:szCs w:val="20"/>
              </w:rPr>
              <w:t xml:space="preserve"> </w:t>
            </w:r>
          </w:p>
        </w:tc>
        <w:tc>
          <w:tcPr>
            <w:tcW w:w="1134" w:type="dxa"/>
            <w:shd w:val="clear" w:color="auto" w:fill="BFBFBF" w:themeFill="background1" w:themeFillShade="BF"/>
          </w:tcPr>
          <w:p w:rsidR="00070CBC" w:rsidRPr="00A35800" w:rsidRDefault="00070CBC" w:rsidP="00481814">
            <w:pPr>
              <w:pStyle w:val="Tableheading"/>
              <w:rPr>
                <w:sz w:val="20"/>
                <w:szCs w:val="20"/>
              </w:rPr>
            </w:pPr>
            <w:r>
              <w:rPr>
                <w:sz w:val="20"/>
                <w:szCs w:val="20"/>
              </w:rPr>
              <w:t>Qty and Rpts</w:t>
            </w:r>
          </w:p>
        </w:tc>
        <w:tc>
          <w:tcPr>
            <w:tcW w:w="992" w:type="dxa"/>
            <w:shd w:val="clear" w:color="auto" w:fill="BFBFBF" w:themeFill="background1" w:themeFillShade="BF"/>
          </w:tcPr>
          <w:p w:rsidR="00070CBC" w:rsidRPr="00A35800" w:rsidRDefault="00070CBC" w:rsidP="00481814">
            <w:pPr>
              <w:pStyle w:val="Tableheading"/>
              <w:rPr>
                <w:sz w:val="20"/>
                <w:szCs w:val="20"/>
              </w:rPr>
            </w:pPr>
            <w:r w:rsidRPr="00A35800">
              <w:rPr>
                <w:sz w:val="20"/>
                <w:szCs w:val="20"/>
              </w:rPr>
              <w:t>DPMQ</w:t>
            </w:r>
          </w:p>
        </w:tc>
        <w:tc>
          <w:tcPr>
            <w:tcW w:w="1361" w:type="dxa"/>
            <w:shd w:val="clear" w:color="auto" w:fill="BFBFBF" w:themeFill="background1" w:themeFillShade="BF"/>
          </w:tcPr>
          <w:p w:rsidR="00070CBC" w:rsidRPr="00A35800" w:rsidRDefault="00070CBC" w:rsidP="00481814">
            <w:pPr>
              <w:pStyle w:val="Tableheading"/>
              <w:rPr>
                <w:sz w:val="20"/>
                <w:szCs w:val="20"/>
              </w:rPr>
            </w:pPr>
            <w:r w:rsidRPr="00A35800">
              <w:rPr>
                <w:sz w:val="20"/>
                <w:szCs w:val="20"/>
              </w:rPr>
              <w:t>Brand name and manufacturer</w:t>
            </w:r>
          </w:p>
        </w:tc>
      </w:tr>
      <w:tr w:rsidR="00070CBC" w:rsidRPr="00A35800" w:rsidTr="0094280A">
        <w:trPr>
          <w:trHeight w:val="552"/>
          <w:tblHeader/>
        </w:trPr>
        <w:tc>
          <w:tcPr>
            <w:tcW w:w="1560" w:type="dxa"/>
            <w:shd w:val="clear" w:color="auto" w:fill="auto"/>
          </w:tcPr>
          <w:p w:rsidR="00070CBC" w:rsidRPr="00A35800" w:rsidRDefault="00070CBC" w:rsidP="00481814">
            <w:pPr>
              <w:pStyle w:val="Tablewriting"/>
            </w:pPr>
            <w:r>
              <w:t>ADALIMUMAB</w:t>
            </w:r>
          </w:p>
        </w:tc>
        <w:tc>
          <w:tcPr>
            <w:tcW w:w="1843" w:type="dxa"/>
            <w:shd w:val="clear" w:color="auto" w:fill="auto"/>
          </w:tcPr>
          <w:p w:rsidR="00070CBC" w:rsidRDefault="00070CBC" w:rsidP="00481814">
            <w:pPr>
              <w:pStyle w:val="Tablewriting"/>
            </w:pPr>
            <w:r>
              <w:t>Initial:</w:t>
            </w:r>
          </w:p>
          <w:p w:rsidR="00070CBC" w:rsidRDefault="00070CBC" w:rsidP="00481814">
            <w:pPr>
              <w:pStyle w:val="Tablewriting"/>
            </w:pPr>
            <w:r>
              <w:t>9077R; 9103D;</w:t>
            </w:r>
          </w:p>
          <w:p w:rsidR="00070CBC" w:rsidRDefault="00070CBC" w:rsidP="00481814">
            <w:pPr>
              <w:pStyle w:val="Tablewriting"/>
            </w:pPr>
            <w:r>
              <w:t>Continuing:</w:t>
            </w:r>
          </w:p>
          <w:p w:rsidR="00070CBC" w:rsidRPr="00A35800" w:rsidRDefault="00145BC5" w:rsidP="00481814">
            <w:pPr>
              <w:pStyle w:val="Tablewriting"/>
            </w:pPr>
            <w:r>
              <w:t>9078T; 9104E</w:t>
            </w:r>
            <w:r w:rsidR="00070CBC">
              <w:t xml:space="preserve"> </w:t>
            </w:r>
          </w:p>
        </w:tc>
        <w:tc>
          <w:tcPr>
            <w:tcW w:w="2324" w:type="dxa"/>
            <w:shd w:val="clear" w:color="auto" w:fill="auto"/>
          </w:tcPr>
          <w:p w:rsidR="00070CBC" w:rsidRDefault="00070CBC" w:rsidP="00481814">
            <w:pPr>
              <w:pStyle w:val="Tablewriting"/>
            </w:pPr>
            <w:r>
              <w:t xml:space="preserve">40mg/0.8mL injection, 2x 0.8mL </w:t>
            </w:r>
          </w:p>
          <w:p w:rsidR="00070CBC" w:rsidRPr="00A35800" w:rsidRDefault="00070CBC" w:rsidP="00481814">
            <w:pPr>
              <w:pStyle w:val="Tablewriting"/>
            </w:pPr>
            <w:r>
              <w:t>Available as syringe or cartridge</w:t>
            </w:r>
          </w:p>
        </w:tc>
        <w:tc>
          <w:tcPr>
            <w:tcW w:w="1134" w:type="dxa"/>
            <w:shd w:val="clear" w:color="auto" w:fill="auto"/>
          </w:tcPr>
          <w:p w:rsidR="00070CBC" w:rsidRDefault="00070CBC" w:rsidP="00481814">
            <w:pPr>
              <w:pStyle w:val="Tablewriting"/>
            </w:pPr>
            <w:r>
              <w:t>Max Qty: 1</w:t>
            </w:r>
          </w:p>
          <w:p w:rsidR="00070CBC" w:rsidRDefault="00070CBC" w:rsidP="00481814">
            <w:pPr>
              <w:pStyle w:val="Tablewriting"/>
            </w:pPr>
            <w:r>
              <w:t>Repeats:</w:t>
            </w:r>
          </w:p>
          <w:p w:rsidR="00070CBC" w:rsidRDefault="00070CBC" w:rsidP="00481814">
            <w:pPr>
              <w:pStyle w:val="Tablewriting"/>
            </w:pPr>
            <w:r>
              <w:t>Initial: 3</w:t>
            </w:r>
          </w:p>
          <w:p w:rsidR="00070CBC" w:rsidRPr="00A35800" w:rsidRDefault="00070CBC" w:rsidP="00481814">
            <w:pPr>
              <w:pStyle w:val="Tablewriting"/>
            </w:pPr>
            <w:r>
              <w:t>Cont: 5</w:t>
            </w:r>
          </w:p>
        </w:tc>
        <w:tc>
          <w:tcPr>
            <w:tcW w:w="992" w:type="dxa"/>
            <w:shd w:val="clear" w:color="auto" w:fill="auto"/>
          </w:tcPr>
          <w:p w:rsidR="00070CBC" w:rsidRPr="00A35800" w:rsidRDefault="00070CBC" w:rsidP="00481814">
            <w:pPr>
              <w:pStyle w:val="Tablewriting"/>
            </w:pPr>
            <w:r>
              <w:t>$</w:t>
            </w:r>
            <w:r w:rsidR="00037EA5" w:rsidRPr="00037EA5">
              <w:t>1763.56</w:t>
            </w:r>
          </w:p>
        </w:tc>
        <w:tc>
          <w:tcPr>
            <w:tcW w:w="1361" w:type="dxa"/>
            <w:shd w:val="clear" w:color="auto" w:fill="auto"/>
          </w:tcPr>
          <w:p w:rsidR="00070CBC" w:rsidRDefault="00070CBC" w:rsidP="00481814">
            <w:pPr>
              <w:pStyle w:val="Tablewriting"/>
            </w:pPr>
            <w:r>
              <w:t>Humira</w:t>
            </w:r>
            <w:r>
              <w:rPr>
                <w:rFonts w:ascii="Calibri" w:hAnsi="Calibri"/>
              </w:rPr>
              <w:t>®</w:t>
            </w:r>
          </w:p>
          <w:p w:rsidR="00070CBC" w:rsidRPr="00A35800" w:rsidRDefault="00070CBC" w:rsidP="00481814">
            <w:pPr>
              <w:pStyle w:val="Tablewriting"/>
            </w:pPr>
            <w:r>
              <w:t>AbbVie Pty Ltd</w:t>
            </w:r>
          </w:p>
        </w:tc>
      </w:tr>
      <w:tr w:rsidR="00070CBC" w:rsidRPr="00A35800" w:rsidTr="0094280A">
        <w:trPr>
          <w:trHeight w:val="552"/>
          <w:tblHeader/>
        </w:trPr>
        <w:tc>
          <w:tcPr>
            <w:tcW w:w="1560" w:type="dxa"/>
            <w:shd w:val="clear" w:color="auto" w:fill="auto"/>
          </w:tcPr>
          <w:p w:rsidR="00070CBC" w:rsidRDefault="00070CBC" w:rsidP="00481814">
            <w:pPr>
              <w:pStyle w:val="Tablewriting"/>
            </w:pPr>
            <w:r>
              <w:t>CERTOLIZUMAB PEGOL</w:t>
            </w:r>
          </w:p>
        </w:tc>
        <w:tc>
          <w:tcPr>
            <w:tcW w:w="1843" w:type="dxa"/>
            <w:shd w:val="clear" w:color="auto" w:fill="auto"/>
          </w:tcPr>
          <w:p w:rsidR="00070CBC" w:rsidRDefault="004F6441" w:rsidP="00481814">
            <w:pPr>
              <w:pStyle w:val="Tablewriting"/>
            </w:pPr>
            <w:r>
              <w:t>10137M</w:t>
            </w:r>
          </w:p>
        </w:tc>
        <w:tc>
          <w:tcPr>
            <w:tcW w:w="2324" w:type="dxa"/>
            <w:shd w:val="clear" w:color="auto" w:fill="auto"/>
          </w:tcPr>
          <w:p w:rsidR="00070CBC" w:rsidRDefault="004F6441" w:rsidP="00481814">
            <w:pPr>
              <w:pStyle w:val="Tablewriting"/>
            </w:pPr>
            <w:r>
              <w:t>200mg/mL injection, 2x 1mL syringes</w:t>
            </w:r>
          </w:p>
        </w:tc>
        <w:tc>
          <w:tcPr>
            <w:tcW w:w="1134" w:type="dxa"/>
            <w:shd w:val="clear" w:color="auto" w:fill="auto"/>
          </w:tcPr>
          <w:p w:rsidR="00070CBC" w:rsidRDefault="004F6441" w:rsidP="00481814">
            <w:pPr>
              <w:pStyle w:val="Tablewriting"/>
            </w:pPr>
            <w:r>
              <w:t>Max Qty: 1</w:t>
            </w:r>
          </w:p>
          <w:p w:rsidR="004F6441" w:rsidRDefault="004F6441" w:rsidP="00481814">
            <w:pPr>
              <w:pStyle w:val="Tablewriting"/>
            </w:pPr>
            <w:r>
              <w:t>Repeats: 5</w:t>
            </w:r>
          </w:p>
        </w:tc>
        <w:tc>
          <w:tcPr>
            <w:tcW w:w="992" w:type="dxa"/>
            <w:shd w:val="clear" w:color="auto" w:fill="auto"/>
          </w:tcPr>
          <w:p w:rsidR="00070CBC" w:rsidRDefault="004F6441" w:rsidP="00481814">
            <w:pPr>
              <w:pStyle w:val="Tablewriting"/>
            </w:pPr>
            <w:r>
              <w:t>$</w:t>
            </w:r>
            <w:r w:rsidR="00037EA5" w:rsidRPr="00037EA5">
              <w:t>1698.16</w:t>
            </w:r>
          </w:p>
        </w:tc>
        <w:tc>
          <w:tcPr>
            <w:tcW w:w="1361" w:type="dxa"/>
            <w:shd w:val="clear" w:color="auto" w:fill="auto"/>
          </w:tcPr>
          <w:p w:rsidR="004F6441" w:rsidRDefault="004F6441" w:rsidP="004F6441">
            <w:pPr>
              <w:pStyle w:val="Tablewriting"/>
            </w:pPr>
            <w:r>
              <w:t>Cimzia</w:t>
            </w:r>
            <w:r>
              <w:rPr>
                <w:rFonts w:ascii="Calibri" w:hAnsi="Calibri"/>
              </w:rPr>
              <w:t>®</w:t>
            </w:r>
          </w:p>
          <w:p w:rsidR="00070CBC" w:rsidRDefault="004F6441" w:rsidP="004F6441">
            <w:pPr>
              <w:pStyle w:val="Tablewriting"/>
            </w:pPr>
            <w:r>
              <w:t>UCB Australia Pty Ltd</w:t>
            </w:r>
          </w:p>
        </w:tc>
      </w:tr>
      <w:tr w:rsidR="00242053" w:rsidRPr="00A35800" w:rsidTr="0094280A">
        <w:trPr>
          <w:trHeight w:val="552"/>
          <w:tblHeader/>
        </w:trPr>
        <w:tc>
          <w:tcPr>
            <w:tcW w:w="1560" w:type="dxa"/>
            <w:shd w:val="clear" w:color="auto" w:fill="auto"/>
          </w:tcPr>
          <w:p w:rsidR="00242053" w:rsidRDefault="00242053" w:rsidP="00481814">
            <w:pPr>
              <w:pStyle w:val="Tablewriting"/>
            </w:pPr>
            <w:r>
              <w:t>ETANERCEPT</w:t>
            </w:r>
          </w:p>
        </w:tc>
        <w:tc>
          <w:tcPr>
            <w:tcW w:w="1843" w:type="dxa"/>
            <w:shd w:val="clear" w:color="auto" w:fill="auto"/>
          </w:tcPr>
          <w:p w:rsidR="00242053" w:rsidRDefault="00242053" w:rsidP="00481814">
            <w:pPr>
              <w:pStyle w:val="Tablewriting"/>
            </w:pPr>
            <w:r>
              <w:t>Initial:</w:t>
            </w:r>
          </w:p>
          <w:p w:rsidR="00242053" w:rsidRDefault="00242053" w:rsidP="00481814">
            <w:pPr>
              <w:pStyle w:val="Tablewriting"/>
            </w:pPr>
            <w:r>
              <w:t>8778B; 9085E; 9455P</w:t>
            </w:r>
          </w:p>
          <w:p w:rsidR="00242053" w:rsidRDefault="00242053" w:rsidP="00481814">
            <w:pPr>
              <w:pStyle w:val="Tablewriting"/>
            </w:pPr>
            <w:r>
              <w:t>Continuing:</w:t>
            </w:r>
          </w:p>
          <w:p w:rsidR="00242053" w:rsidRDefault="00242053" w:rsidP="00481814">
            <w:pPr>
              <w:pStyle w:val="Tablewriting"/>
            </w:pPr>
            <w:r>
              <w:t>8779C; 9086F; 9456Q</w:t>
            </w:r>
          </w:p>
        </w:tc>
        <w:tc>
          <w:tcPr>
            <w:tcW w:w="2324" w:type="dxa"/>
            <w:shd w:val="clear" w:color="auto" w:fill="auto"/>
          </w:tcPr>
          <w:p w:rsidR="00242053" w:rsidRDefault="00242053" w:rsidP="00481814">
            <w:pPr>
              <w:pStyle w:val="Tablewriting"/>
            </w:pPr>
            <w:r>
              <w:t>25mg injection (4x 25mg vials) &amp; inert substance diluent (4x 1mL syringes)</w:t>
            </w:r>
          </w:p>
          <w:p w:rsidR="00242053" w:rsidRDefault="00242053" w:rsidP="00481814">
            <w:pPr>
              <w:pStyle w:val="Tablewriting"/>
            </w:pPr>
            <w:r>
              <w:t>50mg injection (4x 25mg vials) &amp; inert substance diluent (4x 1mL syringes)</w:t>
            </w:r>
          </w:p>
          <w:p w:rsidR="00242053" w:rsidRDefault="00242053" w:rsidP="00481814">
            <w:pPr>
              <w:pStyle w:val="Tablewriting"/>
            </w:pPr>
            <w:r>
              <w:t>50mg injection in 1mL single use auto-injector</w:t>
            </w:r>
          </w:p>
        </w:tc>
        <w:tc>
          <w:tcPr>
            <w:tcW w:w="1134" w:type="dxa"/>
            <w:shd w:val="clear" w:color="auto" w:fill="auto"/>
          </w:tcPr>
          <w:p w:rsidR="00995E7C" w:rsidRDefault="00995E7C" w:rsidP="00995E7C">
            <w:pPr>
              <w:pStyle w:val="Tablewriting"/>
            </w:pPr>
            <w:r>
              <w:t>Max Qty:</w:t>
            </w:r>
          </w:p>
          <w:p w:rsidR="00995E7C" w:rsidRDefault="00995E7C" w:rsidP="00995E7C">
            <w:pPr>
              <w:pStyle w:val="Tablewriting"/>
            </w:pPr>
            <w:r>
              <w:t>25mg: 2</w:t>
            </w:r>
          </w:p>
          <w:p w:rsidR="00995E7C" w:rsidRDefault="00995E7C" w:rsidP="00995E7C">
            <w:pPr>
              <w:pStyle w:val="Tablewriting"/>
            </w:pPr>
            <w:r>
              <w:t>50mg: 1</w:t>
            </w:r>
          </w:p>
          <w:p w:rsidR="00995E7C" w:rsidRDefault="00995E7C" w:rsidP="00995E7C">
            <w:pPr>
              <w:pStyle w:val="Tablewriting"/>
            </w:pPr>
            <w:r>
              <w:t>Repeats:</w:t>
            </w:r>
          </w:p>
          <w:p w:rsidR="00995E7C" w:rsidRDefault="00995E7C" w:rsidP="00995E7C">
            <w:pPr>
              <w:pStyle w:val="Tablewriting"/>
            </w:pPr>
            <w:r>
              <w:t>Initial: 3</w:t>
            </w:r>
          </w:p>
          <w:p w:rsidR="00242053" w:rsidRDefault="00995E7C" w:rsidP="00995E7C">
            <w:pPr>
              <w:pStyle w:val="Tablewriting"/>
            </w:pPr>
            <w:r>
              <w:t>Cont: 5</w:t>
            </w:r>
          </w:p>
        </w:tc>
        <w:tc>
          <w:tcPr>
            <w:tcW w:w="992" w:type="dxa"/>
            <w:shd w:val="clear" w:color="auto" w:fill="auto"/>
          </w:tcPr>
          <w:p w:rsidR="00242053" w:rsidRDefault="00242053" w:rsidP="00481814">
            <w:pPr>
              <w:pStyle w:val="Tablewriting"/>
            </w:pPr>
            <w:r>
              <w:t>$</w:t>
            </w:r>
            <w:r w:rsidR="00037EA5" w:rsidRPr="00037EA5">
              <w:t>1763.55</w:t>
            </w:r>
          </w:p>
        </w:tc>
        <w:tc>
          <w:tcPr>
            <w:tcW w:w="1361" w:type="dxa"/>
            <w:shd w:val="clear" w:color="auto" w:fill="auto"/>
          </w:tcPr>
          <w:p w:rsidR="00242053" w:rsidRDefault="00242053" w:rsidP="00242053">
            <w:pPr>
              <w:pStyle w:val="Tablewriting"/>
            </w:pPr>
            <w:r>
              <w:t>Enbrel®</w:t>
            </w:r>
          </w:p>
          <w:p w:rsidR="00242053" w:rsidRDefault="00242053" w:rsidP="00242053">
            <w:pPr>
              <w:pStyle w:val="Tablewriting"/>
            </w:pPr>
            <w:r>
              <w:t>Pfizer Australia Pty Ltd</w:t>
            </w:r>
          </w:p>
        </w:tc>
      </w:tr>
      <w:tr w:rsidR="00242053" w:rsidRPr="00A35800" w:rsidTr="0094280A">
        <w:trPr>
          <w:trHeight w:val="552"/>
          <w:tblHeader/>
        </w:trPr>
        <w:tc>
          <w:tcPr>
            <w:tcW w:w="1560" w:type="dxa"/>
            <w:shd w:val="clear" w:color="auto" w:fill="auto"/>
          </w:tcPr>
          <w:p w:rsidR="00242053" w:rsidRDefault="00242053" w:rsidP="00481814">
            <w:pPr>
              <w:pStyle w:val="Tablewriting"/>
            </w:pPr>
            <w:r>
              <w:t>GOLIMUMAB</w:t>
            </w:r>
          </w:p>
        </w:tc>
        <w:tc>
          <w:tcPr>
            <w:tcW w:w="1843" w:type="dxa"/>
            <w:shd w:val="clear" w:color="auto" w:fill="auto"/>
          </w:tcPr>
          <w:p w:rsidR="00242053" w:rsidRDefault="007017F6" w:rsidP="00481814">
            <w:pPr>
              <w:pStyle w:val="Tablewriting"/>
            </w:pPr>
            <w:r>
              <w:t>Initial:</w:t>
            </w:r>
          </w:p>
          <w:p w:rsidR="007017F6" w:rsidRDefault="007017F6" w:rsidP="00481814">
            <w:pPr>
              <w:pStyle w:val="Tablewriting"/>
            </w:pPr>
            <w:r>
              <w:t>3434R; 3435T</w:t>
            </w:r>
          </w:p>
          <w:p w:rsidR="007017F6" w:rsidRDefault="007017F6" w:rsidP="00481814">
            <w:pPr>
              <w:pStyle w:val="Tablewriting"/>
            </w:pPr>
            <w:r>
              <w:t>Continuing:</w:t>
            </w:r>
          </w:p>
          <w:p w:rsidR="007017F6" w:rsidRDefault="007017F6" w:rsidP="00481814">
            <w:pPr>
              <w:pStyle w:val="Tablewriting"/>
            </w:pPr>
            <w:r>
              <w:t>3436W; 3437X</w:t>
            </w:r>
          </w:p>
        </w:tc>
        <w:tc>
          <w:tcPr>
            <w:tcW w:w="2324" w:type="dxa"/>
            <w:shd w:val="clear" w:color="auto" w:fill="auto"/>
          </w:tcPr>
          <w:p w:rsidR="007017F6" w:rsidRDefault="007017F6" w:rsidP="007017F6">
            <w:pPr>
              <w:pStyle w:val="Tablewriting"/>
            </w:pPr>
            <w:r>
              <w:t>50mg/0.5mL injection,</w:t>
            </w:r>
          </w:p>
          <w:p w:rsidR="00242053" w:rsidRDefault="007017F6" w:rsidP="007017F6">
            <w:pPr>
              <w:pStyle w:val="Tablewriting"/>
            </w:pPr>
            <w:r>
              <w:t>1x 0.5mL syringe</w:t>
            </w:r>
          </w:p>
        </w:tc>
        <w:tc>
          <w:tcPr>
            <w:tcW w:w="1134" w:type="dxa"/>
            <w:shd w:val="clear" w:color="auto" w:fill="auto"/>
          </w:tcPr>
          <w:p w:rsidR="00242053" w:rsidRDefault="007017F6" w:rsidP="00481814">
            <w:pPr>
              <w:pStyle w:val="Tablewriting"/>
            </w:pPr>
            <w:r>
              <w:t>Max Qty: 2</w:t>
            </w:r>
          </w:p>
          <w:p w:rsidR="007017F6" w:rsidRDefault="007017F6" w:rsidP="00481814">
            <w:pPr>
              <w:pStyle w:val="Tablewriting"/>
            </w:pPr>
            <w:r>
              <w:t>Repeats:</w:t>
            </w:r>
          </w:p>
          <w:p w:rsidR="007017F6" w:rsidRDefault="007017F6" w:rsidP="00481814">
            <w:pPr>
              <w:pStyle w:val="Tablewriting"/>
            </w:pPr>
            <w:r>
              <w:t>Initial: 3</w:t>
            </w:r>
          </w:p>
          <w:p w:rsidR="007017F6" w:rsidRDefault="007017F6" w:rsidP="00481814">
            <w:pPr>
              <w:pStyle w:val="Tablewriting"/>
            </w:pPr>
            <w:r>
              <w:t>Cont: 5</w:t>
            </w:r>
          </w:p>
        </w:tc>
        <w:tc>
          <w:tcPr>
            <w:tcW w:w="992" w:type="dxa"/>
            <w:shd w:val="clear" w:color="auto" w:fill="auto"/>
          </w:tcPr>
          <w:p w:rsidR="00242053" w:rsidRDefault="00242053" w:rsidP="00481814">
            <w:pPr>
              <w:pStyle w:val="Tablewriting"/>
            </w:pPr>
            <w:r>
              <w:t>$</w:t>
            </w:r>
            <w:r w:rsidR="00037EA5" w:rsidRPr="00037EA5">
              <w:t>1766.48</w:t>
            </w:r>
          </w:p>
        </w:tc>
        <w:tc>
          <w:tcPr>
            <w:tcW w:w="1361" w:type="dxa"/>
            <w:shd w:val="clear" w:color="auto" w:fill="auto"/>
          </w:tcPr>
          <w:p w:rsidR="007017F6" w:rsidRDefault="007017F6" w:rsidP="004F6441">
            <w:pPr>
              <w:pStyle w:val="Tablewriting"/>
            </w:pPr>
            <w:r>
              <w:t>Simponi</w:t>
            </w:r>
            <w:r>
              <w:rPr>
                <w:rFonts w:ascii="Calibri" w:hAnsi="Calibri"/>
              </w:rPr>
              <w:t>®</w:t>
            </w:r>
          </w:p>
          <w:p w:rsidR="00242053" w:rsidRDefault="00242053" w:rsidP="004F6441">
            <w:pPr>
              <w:pStyle w:val="Tablewriting"/>
            </w:pPr>
            <w:r>
              <w:t>Janssen-Cilag Pty Ltd</w:t>
            </w:r>
          </w:p>
        </w:tc>
      </w:tr>
      <w:tr w:rsidR="00242053" w:rsidRPr="00A35800" w:rsidTr="0094280A">
        <w:trPr>
          <w:trHeight w:val="552"/>
          <w:tblHeader/>
        </w:trPr>
        <w:tc>
          <w:tcPr>
            <w:tcW w:w="1560" w:type="dxa"/>
            <w:shd w:val="clear" w:color="auto" w:fill="auto"/>
          </w:tcPr>
          <w:p w:rsidR="00242053" w:rsidRDefault="00242053" w:rsidP="00481814">
            <w:pPr>
              <w:pStyle w:val="Tablewriting"/>
            </w:pPr>
            <w:r>
              <w:t>INFLIXIMAB</w:t>
            </w:r>
            <w:r w:rsidR="002A7C7D">
              <w:rPr>
                <w:rStyle w:val="FootnoteReference"/>
              </w:rPr>
              <w:footnoteReference w:id="7"/>
            </w:r>
          </w:p>
        </w:tc>
        <w:tc>
          <w:tcPr>
            <w:tcW w:w="1843" w:type="dxa"/>
            <w:shd w:val="clear" w:color="auto" w:fill="auto"/>
          </w:tcPr>
          <w:p w:rsidR="00242053" w:rsidRDefault="007017F6" w:rsidP="00481814">
            <w:pPr>
              <w:pStyle w:val="Tablewriting"/>
            </w:pPr>
            <w:r>
              <w:t>S100 Public</w:t>
            </w:r>
            <w:r w:rsidR="000C4EAE">
              <w:t xml:space="preserve"> Hospital</w:t>
            </w:r>
            <w:r>
              <w:t>:</w:t>
            </w:r>
          </w:p>
          <w:p w:rsidR="007017F6" w:rsidRDefault="007017F6" w:rsidP="00481814">
            <w:pPr>
              <w:pStyle w:val="Tablewriting"/>
            </w:pPr>
            <w:r>
              <w:t>5753T</w:t>
            </w:r>
          </w:p>
          <w:p w:rsidR="007017F6" w:rsidRDefault="007017F6" w:rsidP="00481814">
            <w:pPr>
              <w:pStyle w:val="Tablewriting"/>
            </w:pPr>
            <w:r>
              <w:t>S100 Private</w:t>
            </w:r>
            <w:r w:rsidR="000C4EAE">
              <w:t xml:space="preserve"> Hospital</w:t>
            </w:r>
            <w:r>
              <w:t>:</w:t>
            </w:r>
          </w:p>
          <w:p w:rsidR="007017F6" w:rsidRDefault="007017F6" w:rsidP="00481814">
            <w:pPr>
              <w:pStyle w:val="Tablewriting"/>
            </w:pPr>
            <w:r>
              <w:t>6448J</w:t>
            </w:r>
          </w:p>
        </w:tc>
        <w:tc>
          <w:tcPr>
            <w:tcW w:w="2324" w:type="dxa"/>
            <w:shd w:val="clear" w:color="auto" w:fill="auto"/>
          </w:tcPr>
          <w:p w:rsidR="00242053" w:rsidRDefault="007017F6" w:rsidP="00481814">
            <w:pPr>
              <w:pStyle w:val="Tablewriting"/>
            </w:pPr>
            <w:r>
              <w:t>100mg injection, 1x 100mg vial</w:t>
            </w:r>
          </w:p>
        </w:tc>
        <w:tc>
          <w:tcPr>
            <w:tcW w:w="1134" w:type="dxa"/>
            <w:shd w:val="clear" w:color="auto" w:fill="auto"/>
          </w:tcPr>
          <w:p w:rsidR="00242053" w:rsidRDefault="007017F6" w:rsidP="00481814">
            <w:pPr>
              <w:pStyle w:val="Tablewriting"/>
            </w:pPr>
            <w:r>
              <w:t>Max Qty: 1</w:t>
            </w:r>
          </w:p>
          <w:p w:rsidR="007017F6" w:rsidRDefault="007017F6" w:rsidP="00481814">
            <w:pPr>
              <w:pStyle w:val="Tablewriting"/>
            </w:pPr>
            <w:r>
              <w:t>Repeats: 0</w:t>
            </w:r>
            <w:r w:rsidR="003217A4">
              <w:rPr>
                <w:rStyle w:val="FootnoteReference"/>
              </w:rPr>
              <w:footnoteReference w:id="8"/>
            </w:r>
          </w:p>
        </w:tc>
        <w:tc>
          <w:tcPr>
            <w:tcW w:w="992" w:type="dxa"/>
            <w:shd w:val="clear" w:color="auto" w:fill="auto"/>
          </w:tcPr>
          <w:p w:rsidR="007017F6" w:rsidRDefault="007017F6" w:rsidP="00481814">
            <w:pPr>
              <w:pStyle w:val="Tablewriting"/>
            </w:pPr>
            <w:r>
              <w:t>Public</w:t>
            </w:r>
            <w:r w:rsidR="000C4EAE">
              <w:t xml:space="preserve"> Hospital</w:t>
            </w:r>
            <w:r>
              <w:t>:</w:t>
            </w:r>
          </w:p>
          <w:p w:rsidR="00242053" w:rsidRDefault="007017F6" w:rsidP="00481814">
            <w:pPr>
              <w:pStyle w:val="Tablewriting"/>
            </w:pPr>
            <w:r>
              <w:t>$</w:t>
            </w:r>
            <w:r w:rsidR="002A7C7D">
              <w:t>574.85</w:t>
            </w:r>
          </w:p>
          <w:p w:rsidR="007017F6" w:rsidRDefault="007017F6" w:rsidP="00481814">
            <w:pPr>
              <w:pStyle w:val="Tablewriting"/>
            </w:pPr>
            <w:r>
              <w:t>Private</w:t>
            </w:r>
            <w:r w:rsidR="000C4EAE">
              <w:t xml:space="preserve"> Hospital</w:t>
            </w:r>
            <w:r>
              <w:t>:</w:t>
            </w:r>
          </w:p>
          <w:p w:rsidR="007017F6" w:rsidRDefault="007017F6" w:rsidP="002A7C7D">
            <w:pPr>
              <w:pStyle w:val="Tablewriting"/>
            </w:pPr>
            <w:r>
              <w:t>$</w:t>
            </w:r>
            <w:r w:rsidR="002A7C7D">
              <w:t>604</w:t>
            </w:r>
            <w:r>
              <w:t>.7</w:t>
            </w:r>
            <w:r w:rsidR="002A7C7D">
              <w:t>7</w:t>
            </w:r>
          </w:p>
        </w:tc>
        <w:tc>
          <w:tcPr>
            <w:tcW w:w="1361" w:type="dxa"/>
            <w:shd w:val="clear" w:color="auto" w:fill="auto"/>
          </w:tcPr>
          <w:p w:rsidR="007017F6" w:rsidRDefault="007017F6" w:rsidP="007017F6">
            <w:pPr>
              <w:pStyle w:val="Tablewriting"/>
            </w:pPr>
            <w:r>
              <w:t>Remicade</w:t>
            </w:r>
            <w:r>
              <w:rPr>
                <w:rFonts w:ascii="Calibri" w:hAnsi="Calibri"/>
              </w:rPr>
              <w:t>®</w:t>
            </w:r>
          </w:p>
          <w:p w:rsidR="00242053" w:rsidRDefault="007017F6" w:rsidP="004F6441">
            <w:pPr>
              <w:pStyle w:val="Tablewriting"/>
            </w:pPr>
            <w:r>
              <w:t>Janssen-Cilag Pty Ltd</w:t>
            </w:r>
          </w:p>
        </w:tc>
      </w:tr>
    </w:tbl>
    <w:p w:rsidR="007247B9" w:rsidRPr="00A35800" w:rsidRDefault="00D151EB" w:rsidP="007017F6">
      <w:pPr>
        <w:pStyle w:val="Figurecaption"/>
      </w:pPr>
      <w:r>
        <w:t xml:space="preserve"> </w:t>
      </w:r>
      <w:r w:rsidR="007408C7" w:rsidRPr="00A35800">
        <w:t xml:space="preserve">Source: </w:t>
      </w:r>
      <w:r w:rsidR="001624D7">
        <w:t xml:space="preserve">the </w:t>
      </w:r>
      <w:r w:rsidR="001624D7" w:rsidRPr="00181529">
        <w:t>PBS website</w:t>
      </w:r>
      <w:r w:rsidR="001624D7">
        <w:t>.</w:t>
      </w:r>
      <w:r w:rsidR="00AF30C6">
        <w:t xml:space="preserve"> Abbreviations: Qty = Quantity; Rpts = Repeats; DPMQ = Dispensed price maximum quantity; Cont = Continuing; S100 = Available under Section 100 special arrangements</w:t>
      </w:r>
    </w:p>
    <w:p w:rsidR="004C3186" w:rsidRPr="00046382" w:rsidRDefault="004C3186" w:rsidP="003C5D85">
      <w:pPr>
        <w:pStyle w:val="Heading2"/>
        <w:rPr>
          <w:i/>
        </w:rPr>
      </w:pPr>
      <w:r w:rsidRPr="00046382">
        <w:rPr>
          <w:i/>
        </w:rPr>
        <w:t>Restriction</w:t>
      </w:r>
      <w:r w:rsidR="001F6806" w:rsidRPr="00046382">
        <w:rPr>
          <w:i/>
        </w:rPr>
        <w:t xml:space="preserve"> (abridged)</w:t>
      </w:r>
    </w:p>
    <w:p w:rsidR="00E86486" w:rsidRPr="006044BC" w:rsidRDefault="00E86486" w:rsidP="00A35800">
      <w:pPr>
        <w:rPr>
          <w:u w:val="single"/>
        </w:rPr>
      </w:pPr>
      <w:r w:rsidRPr="006044BC">
        <w:rPr>
          <w:u w:val="single"/>
        </w:rPr>
        <w:t>Restrictions for initiating treatment</w:t>
      </w:r>
      <w:r w:rsidR="00E96C2B" w:rsidRPr="006044BC">
        <w:rPr>
          <w:u w:val="single"/>
        </w:rPr>
        <w:t>:</w:t>
      </w:r>
    </w:p>
    <w:p w:rsidR="00E31192" w:rsidRPr="00E31192" w:rsidRDefault="00E31192" w:rsidP="00A35800">
      <w:r>
        <w:t xml:space="preserve">There are </w:t>
      </w:r>
      <w:r w:rsidR="00670300">
        <w:t>two initial restrictions</w:t>
      </w:r>
      <w:r>
        <w:t xml:space="preserve"> for patient</w:t>
      </w:r>
      <w:r w:rsidR="00896BB5">
        <w:t>s</w:t>
      </w:r>
      <w:r>
        <w:t xml:space="preserve"> commencing therapy on biological medicines for </w:t>
      </w:r>
      <w:r w:rsidR="00481814">
        <w:t>ankylosing spondylitis</w:t>
      </w:r>
      <w:r>
        <w:t>: Initial 1, for patients new to therapy or commencing a new treatment cycle; and Initial 2, for patients switching therapy within a treatment cycle.</w:t>
      </w:r>
    </w:p>
    <w:p w:rsidR="00F1343F" w:rsidRDefault="00F1343F" w:rsidP="00F1343F">
      <w:r>
        <w:lastRenderedPageBreak/>
        <w:t>A treatment cycle is the period where patients have either failed or ceased to sustain a response to three PBS subsidised bDMARDs, and must have, at minimum, a 5 year break in PBS-subsidised biological therapy. Patients who complete a treatment cycle and wait the requisite timeframe are considered to be initiating (Initial 1) patients if they recommence therapy. Both types of initial restriction are shared under single PBS item numbers for each medicine.</w:t>
      </w:r>
    </w:p>
    <w:p w:rsidR="001F6806" w:rsidRDefault="00021ECF" w:rsidP="00A35800">
      <w:r>
        <w:t xml:space="preserve">For patients initiating therapy for all </w:t>
      </w:r>
      <w:r w:rsidR="00670300">
        <w:t>drugs listed in Table 1</w:t>
      </w:r>
      <w:r>
        <w:t xml:space="preserve"> under </w:t>
      </w:r>
      <w:r w:rsidRPr="00670300">
        <w:t>the Initial 1</w:t>
      </w:r>
      <w:r>
        <w:t xml:space="preserve"> restriction, patients must have </w:t>
      </w:r>
      <w:r w:rsidR="00D7426F">
        <w:t>diagnostically confirmed ankylosing spondylitis</w:t>
      </w:r>
      <w:r>
        <w:t xml:space="preserve"> and meet the following criteria:</w:t>
      </w:r>
    </w:p>
    <w:p w:rsidR="00021ECF" w:rsidRDefault="00021ECF" w:rsidP="00021ECF">
      <w:pPr>
        <w:pStyle w:val="ListParagraph"/>
        <w:numPr>
          <w:ilvl w:val="0"/>
          <w:numId w:val="4"/>
        </w:numPr>
      </w:pPr>
      <w:r>
        <w:t>Treatment is to be initiated by a rheumatologist;</w:t>
      </w:r>
    </w:p>
    <w:p w:rsidR="00021ECF" w:rsidRDefault="00BC2CF5" w:rsidP="00021ECF">
      <w:pPr>
        <w:pStyle w:val="ListParagraph"/>
        <w:numPr>
          <w:ilvl w:val="0"/>
          <w:numId w:val="4"/>
        </w:numPr>
      </w:pPr>
      <w:r>
        <w:t>Patients must have radiographically (plain X-ray) confirmed Grade II bilateral sacroiliitis or Grade III unilateral sacroiliitis;</w:t>
      </w:r>
    </w:p>
    <w:p w:rsidR="00021ECF" w:rsidRDefault="00BC2CF5" w:rsidP="00021ECF">
      <w:pPr>
        <w:pStyle w:val="ListParagraph"/>
        <w:numPr>
          <w:ilvl w:val="0"/>
          <w:numId w:val="4"/>
        </w:numPr>
      </w:pPr>
      <w:r>
        <w:t>Patients must have at least two of the following:</w:t>
      </w:r>
    </w:p>
    <w:p w:rsidR="00BC2CF5" w:rsidRDefault="00BC2CF5" w:rsidP="00BC2CF5">
      <w:pPr>
        <w:pStyle w:val="ListParagraph"/>
        <w:numPr>
          <w:ilvl w:val="1"/>
          <w:numId w:val="4"/>
        </w:numPr>
      </w:pPr>
      <w:r>
        <w:t>Low back pain and stiffness for 3 or more months that is relieved by exercise but not by rest;</w:t>
      </w:r>
    </w:p>
    <w:p w:rsidR="00BC2CF5" w:rsidRDefault="00063E33" w:rsidP="00BC2CF5">
      <w:pPr>
        <w:pStyle w:val="ListParagraph"/>
        <w:numPr>
          <w:ilvl w:val="1"/>
          <w:numId w:val="4"/>
        </w:numPr>
      </w:pPr>
      <w:r>
        <w:t>Limitation of motion of the lumbar spine in the sagittal and frontal planes as determined by a score of at least 1 on each of the lumbar flexion and lumbar side flexion measurements of the Bath Ankylosing Spondylitis Metrology Index (BASMI); or</w:t>
      </w:r>
    </w:p>
    <w:p w:rsidR="00021ECF" w:rsidRDefault="00063E33" w:rsidP="00063E33">
      <w:pPr>
        <w:pStyle w:val="ListParagraph"/>
        <w:numPr>
          <w:ilvl w:val="1"/>
          <w:numId w:val="4"/>
        </w:numPr>
      </w:pPr>
      <w:r>
        <w:t>Limitation of chest expansion relative to the normal values for age and gender;</w:t>
      </w:r>
    </w:p>
    <w:p w:rsidR="00063E33" w:rsidRDefault="00063E33" w:rsidP="00063E33">
      <w:pPr>
        <w:pStyle w:val="ListParagraph"/>
        <w:numPr>
          <w:ilvl w:val="0"/>
          <w:numId w:val="4"/>
        </w:numPr>
      </w:pPr>
      <w:r>
        <w:t>Patient must have failed to achieve an adequate response following treatment with at least 2 non-steroidal anti-inflammatory drugs (NSAIDs), whilst completing an appropriate exercise programme for a total period of three months.</w:t>
      </w:r>
    </w:p>
    <w:p w:rsidR="00021ECF" w:rsidRDefault="00021ECF" w:rsidP="00021ECF">
      <w:r>
        <w:t xml:space="preserve">Consideration may be given if </w:t>
      </w:r>
      <w:r w:rsidR="00481814">
        <w:t>patients are contraindicated to</w:t>
      </w:r>
      <w:r w:rsidR="00063E33">
        <w:t xml:space="preserve"> NSAID treatment</w:t>
      </w:r>
      <w:r w:rsidR="00AA1799">
        <w:t>, by means of written application</w:t>
      </w:r>
      <w:r w:rsidR="00063E33">
        <w:t xml:space="preserve">. </w:t>
      </w:r>
    </w:p>
    <w:p w:rsidR="00021ECF" w:rsidRDefault="00021ECF" w:rsidP="00021ECF">
      <w:r>
        <w:t xml:space="preserve">For patients commencing therapy under the </w:t>
      </w:r>
      <w:r w:rsidRPr="00670300">
        <w:t>Initial 2</w:t>
      </w:r>
      <w:r>
        <w:t xml:space="preserve"> </w:t>
      </w:r>
      <w:r w:rsidR="006044BC" w:rsidRPr="006044BC">
        <w:t>(change or recommencement for all patients)</w:t>
      </w:r>
      <w:r w:rsidR="006044BC">
        <w:t xml:space="preserve"> </w:t>
      </w:r>
      <w:r>
        <w:t>restriction, patients must have a d</w:t>
      </w:r>
      <w:r w:rsidR="002E12C7">
        <w:t>ocumented history of ankylosing spondylitis</w:t>
      </w:r>
      <w:r>
        <w:t xml:space="preserve">, </w:t>
      </w:r>
      <w:r w:rsidR="006044BC" w:rsidRPr="006044BC">
        <w:t>have received prior PBS-subsidised bDMARD treatment for this condition in this treatment cycle</w:t>
      </w:r>
      <w:r w:rsidR="006044BC">
        <w:t xml:space="preserve"> </w:t>
      </w:r>
      <w:r>
        <w:t xml:space="preserve">and </w:t>
      </w:r>
      <w:r w:rsidR="00670300">
        <w:t>have not already failed or ceased to respond to treatment with that bDMARD during the treatment cycle.</w:t>
      </w:r>
    </w:p>
    <w:p w:rsidR="00157DB2" w:rsidRDefault="00021ECF" w:rsidP="00021ECF">
      <w:r>
        <w:t>Patients are able to access a maximum of 16 weeks treatment for adalimumab, etanercept and golimumab,</w:t>
      </w:r>
      <w:r w:rsidR="00E86486">
        <w:t xml:space="preserve"> 18-20 weeks for certolizumab pegol (depending on dosage regimen),</w:t>
      </w:r>
      <w:r>
        <w:t xml:space="preserve"> and up to </w:t>
      </w:r>
      <w:r w:rsidR="006044BC">
        <w:t>18</w:t>
      </w:r>
      <w:r>
        <w:t xml:space="preserve"> weeks treatment with infliximab under this restriction.</w:t>
      </w:r>
      <w:r w:rsidR="00E86486">
        <w:t xml:space="preserve"> </w:t>
      </w:r>
    </w:p>
    <w:p w:rsidR="003448F1" w:rsidRPr="006044BC" w:rsidRDefault="003448F1" w:rsidP="00021ECF">
      <w:pPr>
        <w:rPr>
          <w:u w:val="single"/>
        </w:rPr>
      </w:pPr>
      <w:r w:rsidRPr="006044BC">
        <w:rPr>
          <w:u w:val="single"/>
        </w:rPr>
        <w:t>Restrictions for continuing treatment</w:t>
      </w:r>
      <w:r w:rsidR="00E96C2B" w:rsidRPr="006044BC">
        <w:rPr>
          <w:u w:val="single"/>
        </w:rPr>
        <w:t>:</w:t>
      </w:r>
    </w:p>
    <w:p w:rsidR="003448F1" w:rsidRDefault="004B5B41" w:rsidP="00021ECF">
      <w:r>
        <w:t>To be eligible for ongoing treatment for all t</w:t>
      </w:r>
      <w:r w:rsidR="00EF1FD6">
        <w:t>herapies</w:t>
      </w:r>
      <w:r>
        <w:t xml:space="preserve">, patients are required to demonstrate </w:t>
      </w:r>
      <w:r w:rsidR="00AA1799">
        <w:t>an adequate response to treatment defined as</w:t>
      </w:r>
      <w:r>
        <w:t>:</w:t>
      </w:r>
    </w:p>
    <w:p w:rsidR="00063E33" w:rsidRDefault="00063E33" w:rsidP="004B5B41">
      <w:pPr>
        <w:pStyle w:val="ListParagraph"/>
        <w:numPr>
          <w:ilvl w:val="0"/>
          <w:numId w:val="6"/>
        </w:numPr>
      </w:pPr>
      <w:r>
        <w:t>An improvement from baseline of at least 2 on the BASDAI scale and at least 1 of:</w:t>
      </w:r>
    </w:p>
    <w:p w:rsidR="00063E33" w:rsidRDefault="004B5B41" w:rsidP="00063E33">
      <w:pPr>
        <w:pStyle w:val="ListParagraph"/>
        <w:numPr>
          <w:ilvl w:val="1"/>
          <w:numId w:val="6"/>
        </w:numPr>
      </w:pPr>
      <w:r>
        <w:t xml:space="preserve">An </w:t>
      </w:r>
      <w:r w:rsidR="002A39EA">
        <w:t>erythrocyte sedimentation rate (</w:t>
      </w:r>
      <w:r>
        <w:t>ESR</w:t>
      </w:r>
      <w:r w:rsidR="002A39EA">
        <w:t>)</w:t>
      </w:r>
      <w:r>
        <w:t xml:space="preserve"> of ≤25mm/hr</w:t>
      </w:r>
      <w:r w:rsidR="00063E33">
        <w:t>;</w:t>
      </w:r>
      <w:r>
        <w:t xml:space="preserve"> or</w:t>
      </w:r>
    </w:p>
    <w:p w:rsidR="004B5B41" w:rsidRDefault="002A39EA" w:rsidP="00063E33">
      <w:pPr>
        <w:pStyle w:val="ListParagraph"/>
        <w:numPr>
          <w:ilvl w:val="1"/>
          <w:numId w:val="6"/>
        </w:numPr>
      </w:pPr>
      <w:r>
        <w:t>C-reactive protein (</w:t>
      </w:r>
      <w:r w:rsidR="004B5B41">
        <w:t>CRP</w:t>
      </w:r>
      <w:r>
        <w:t>)</w:t>
      </w:r>
      <w:r w:rsidR="004B5B41">
        <w:t xml:space="preserve"> of ≤15mg/L; or</w:t>
      </w:r>
    </w:p>
    <w:p w:rsidR="00063E33" w:rsidRDefault="004B5B41" w:rsidP="00063E33">
      <w:pPr>
        <w:pStyle w:val="ListParagraph"/>
        <w:numPr>
          <w:ilvl w:val="1"/>
          <w:numId w:val="6"/>
        </w:numPr>
      </w:pPr>
      <w:r>
        <w:t xml:space="preserve">A minimum reduction of 20% of </w:t>
      </w:r>
      <w:r w:rsidR="002E12C7">
        <w:t>ESR or CRP from baseline levels.</w:t>
      </w:r>
    </w:p>
    <w:p w:rsidR="00AA1799" w:rsidRDefault="00AA1799" w:rsidP="004B5B41">
      <w:r>
        <w:lastRenderedPageBreak/>
        <w:t>Continuing treatment authority approvals provide up to 24 weeks of treatment.</w:t>
      </w:r>
    </w:p>
    <w:p w:rsidR="0094280A" w:rsidRDefault="00BF692F" w:rsidP="004B5B41">
      <w:r>
        <w:t xml:space="preserve">There is no provision in the restriction for a break in treatment. </w:t>
      </w:r>
      <w:r w:rsidR="0094280A">
        <w:t xml:space="preserve"> The restriction contains the following paragraphs.</w:t>
      </w:r>
    </w:p>
    <w:p w:rsidR="0094280A" w:rsidRDefault="0094280A" w:rsidP="0094280A">
      <w:pPr>
        <w:rPr>
          <w:rFonts w:ascii="Arial" w:hAnsi="Arial" w:cs="Arial"/>
          <w:i/>
          <w:iCs/>
          <w:color w:val="222222"/>
          <w:sz w:val="20"/>
          <w:szCs w:val="20"/>
        </w:rPr>
      </w:pPr>
      <w:r>
        <w:rPr>
          <w:rFonts w:ascii="Arial" w:hAnsi="Arial" w:cs="Arial"/>
          <w:i/>
          <w:iCs/>
          <w:color w:val="222222"/>
          <w:sz w:val="20"/>
          <w:szCs w:val="20"/>
        </w:rPr>
        <w:t>All applications for continuing treatment with this drug must include a measurement of response to the prior course of therapy. This assessment must be submitted no later than 4 weeks from the cessation of that treatment course. If the application is the first application for continuing treatment following an initial treatment course it must be made following a minimum of 12 weeks of treatment with this drug. If the response assessment is not submitted within these timeframes, the patient will be deemed to have failed this course of treatment.</w:t>
      </w:r>
    </w:p>
    <w:p w:rsidR="0094280A" w:rsidRDefault="0094280A" w:rsidP="0094280A">
      <w:r>
        <w:rPr>
          <w:rFonts w:ascii="Arial" w:hAnsi="Arial" w:cs="Arial"/>
          <w:i/>
          <w:iCs/>
          <w:color w:val="222222"/>
          <w:sz w:val="20"/>
          <w:szCs w:val="20"/>
        </w:rPr>
        <w:t>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bDMARD was approved in this cycle and the date of the first application under a new cycle.</w:t>
      </w:r>
    </w:p>
    <w:p w:rsidR="0033635C" w:rsidRDefault="0033635C" w:rsidP="004B5B41">
      <w:r>
        <w:t>There is a limit of three different bDMARDs in a treatment cycle.</w:t>
      </w:r>
      <w:r w:rsidR="00044802">
        <w:t xml:space="preserve"> The notes section of the restriction states;</w:t>
      </w:r>
    </w:p>
    <w:p w:rsidR="00044802" w:rsidRPr="006875B7" w:rsidRDefault="006875B7" w:rsidP="004B5B41">
      <w:pPr>
        <w:rPr>
          <w:rFonts w:ascii="Arial" w:hAnsi="Arial" w:cs="Arial"/>
          <w:i/>
          <w:iCs/>
          <w:color w:val="222222"/>
          <w:sz w:val="20"/>
          <w:szCs w:val="20"/>
        </w:rPr>
      </w:pPr>
      <w:r w:rsidRPr="006875B7">
        <w:rPr>
          <w:rFonts w:ascii="Arial" w:hAnsi="Arial" w:cs="Arial"/>
          <w:i/>
          <w:iCs/>
          <w:color w:val="222222"/>
          <w:sz w:val="20"/>
          <w:szCs w:val="20"/>
        </w:rPr>
        <w:t>Once a patient has either failed or ceased to respond to treatment 3 times, they are deemed to have completed a treatment cycle and they must have, at a minimum, a 5-year break in PBS-subsidised bDMARD therapy before they are eligible to commence the next cycle. The 5-year break is measured from the date of the last approval for PBS-subsidised bDMARD treatment in the most recent cycle to the date of the first application for initial treatment with a bDMARD under the new treatment cycle.</w:t>
      </w:r>
    </w:p>
    <w:p w:rsidR="004B5B41" w:rsidRPr="003448F1" w:rsidRDefault="004B5B41" w:rsidP="004B5B41">
      <w:r>
        <w:t xml:space="preserve">For an example of a full restriction text for listings, refer to the </w:t>
      </w:r>
      <w:r w:rsidRPr="00181529">
        <w:t>initial treatment item for adalimumab</w:t>
      </w:r>
      <w:r>
        <w:t xml:space="preserve"> and the </w:t>
      </w:r>
      <w:r w:rsidRPr="00181529">
        <w:t>continuing treatment item for adalimumab</w:t>
      </w:r>
      <w:r>
        <w:t>.</w:t>
      </w:r>
    </w:p>
    <w:p w:rsidR="007C5F57" w:rsidRPr="007C5F57" w:rsidRDefault="006775F1" w:rsidP="00A35800">
      <w:pPr>
        <w:rPr>
          <w:color w:val="0000FF" w:themeColor="hyperlink"/>
          <w:u w:val="single"/>
        </w:rPr>
      </w:pPr>
      <w:r w:rsidRPr="006775F1">
        <w:t xml:space="preserve">For </w:t>
      </w:r>
      <w:r w:rsidR="00835337">
        <w:t>details of the current PBS listing</w:t>
      </w:r>
      <w:r w:rsidR="008103F6">
        <w:t>s</w:t>
      </w:r>
      <w:r w:rsidR="00835337">
        <w:t xml:space="preserve"> refer to the </w:t>
      </w:r>
      <w:r w:rsidR="00835337" w:rsidRPr="00181529">
        <w:t>PBS website</w:t>
      </w:r>
      <w:r w:rsidR="00835337">
        <w:rPr>
          <w:rStyle w:val="Hyperlink"/>
        </w:rPr>
        <w:t>.</w:t>
      </w:r>
    </w:p>
    <w:p w:rsidR="009C35F2" w:rsidRPr="00046382" w:rsidRDefault="009C35F2" w:rsidP="003C5D85">
      <w:pPr>
        <w:pStyle w:val="Heading2"/>
        <w:rPr>
          <w:i/>
        </w:rPr>
      </w:pPr>
      <w:r w:rsidRPr="00046382">
        <w:rPr>
          <w:i/>
        </w:rPr>
        <w:t>Date of listing on PBS</w:t>
      </w:r>
      <w:r w:rsidR="00497333" w:rsidRPr="00046382">
        <w:rPr>
          <w:i/>
        </w:rPr>
        <w:t xml:space="preserve"> for </w:t>
      </w:r>
      <w:r w:rsidR="00D7426F" w:rsidRPr="00046382">
        <w:rPr>
          <w:i/>
        </w:rPr>
        <w:t>ankylosing spondylitis</w:t>
      </w:r>
    </w:p>
    <w:p w:rsidR="00481814" w:rsidRDefault="00481814" w:rsidP="00481814">
      <w:pPr>
        <w:pStyle w:val="ListParagraph"/>
        <w:numPr>
          <w:ilvl w:val="0"/>
          <w:numId w:val="8"/>
        </w:numPr>
      </w:pPr>
      <w:r>
        <w:t>Infliximab: 1 August 2004</w:t>
      </w:r>
    </w:p>
    <w:p w:rsidR="00481814" w:rsidRDefault="00481814" w:rsidP="00481814">
      <w:pPr>
        <w:pStyle w:val="ListParagraph"/>
        <w:numPr>
          <w:ilvl w:val="0"/>
          <w:numId w:val="8"/>
        </w:numPr>
      </w:pPr>
      <w:r>
        <w:t>Etanercept: 1 April 2005</w:t>
      </w:r>
    </w:p>
    <w:p w:rsidR="00481814" w:rsidRDefault="00481814" w:rsidP="00481814">
      <w:pPr>
        <w:pStyle w:val="ListParagraph"/>
        <w:numPr>
          <w:ilvl w:val="0"/>
          <w:numId w:val="8"/>
        </w:numPr>
      </w:pPr>
      <w:r>
        <w:t>Adalimumab: 1 March 2007</w:t>
      </w:r>
    </w:p>
    <w:p w:rsidR="00481814" w:rsidRDefault="00481814" w:rsidP="00481814">
      <w:pPr>
        <w:pStyle w:val="ListParagraph"/>
        <w:numPr>
          <w:ilvl w:val="0"/>
          <w:numId w:val="8"/>
        </w:numPr>
      </w:pPr>
      <w:r>
        <w:t>Golimumab: 1 August 2010</w:t>
      </w:r>
    </w:p>
    <w:p w:rsidR="00481814" w:rsidRPr="00497333" w:rsidRDefault="00481814" w:rsidP="00481814">
      <w:pPr>
        <w:pStyle w:val="ListParagraph"/>
        <w:numPr>
          <w:ilvl w:val="0"/>
          <w:numId w:val="8"/>
        </w:numPr>
      </w:pPr>
      <w:r>
        <w:t>Certolizumab pegol: 1 September 2014</w:t>
      </w:r>
    </w:p>
    <w:p w:rsidR="00675BB1" w:rsidRPr="00046382" w:rsidRDefault="00675BB1" w:rsidP="003C5D85">
      <w:pPr>
        <w:pStyle w:val="Heading2"/>
        <w:rPr>
          <w:i/>
        </w:rPr>
      </w:pPr>
      <w:r w:rsidRPr="00046382">
        <w:rPr>
          <w:i/>
        </w:rPr>
        <w:t>Changes to listing</w:t>
      </w:r>
    </w:p>
    <w:p w:rsidR="004B6BF1" w:rsidRDefault="004B6BF1" w:rsidP="004B6BF1">
      <w:r>
        <w:t>Infliximab and etanercept were first listed with a single initial restriction, which was split into initial 1 and initial 2 restrictions on 1 August 2008. These were applied to all subsequently listed bDMARDs.</w:t>
      </w:r>
    </w:p>
    <w:p w:rsidR="004B6BF1" w:rsidRDefault="00DC7BE1" w:rsidP="004B6BF1">
      <w:r>
        <w:t>The clinical criteria for all bDMARDs, including BASDAI scores, prior use of NSAIDs and ongoing ESR and CRP measurements have not changed since the first listing of infliximab.</w:t>
      </w:r>
    </w:p>
    <w:p w:rsidR="004B6BF1" w:rsidRDefault="00886FEA" w:rsidP="004B6BF1">
      <w:r>
        <w:t>All bDMARDs for ankylosing spondylitis</w:t>
      </w:r>
      <w:r w:rsidR="00DC7BE1">
        <w:t xml:space="preserve"> were listed with grandfathering restrictions that were removed after several years from each bDMARD. The grandfathering restrictions are still current for golimumab and certolizumab pegol.</w:t>
      </w:r>
    </w:p>
    <w:p w:rsidR="004859FC" w:rsidRDefault="004B6BF1" w:rsidP="00BF544D">
      <w:r>
        <w:lastRenderedPageBreak/>
        <w:t xml:space="preserve">There have been a number of minor restriction text changes as new medicines have become available, and the listing of new presentations such as auto-injectors. </w:t>
      </w:r>
    </w:p>
    <w:p w:rsidR="00BF544D" w:rsidRDefault="00BF544D" w:rsidP="00BF544D">
      <w:r w:rsidRPr="002F61CA">
        <w:t xml:space="preserve">Current PBS listing details are available from </w:t>
      </w:r>
      <w:r>
        <w:t xml:space="preserve">the </w:t>
      </w:r>
      <w:r w:rsidRPr="00181529">
        <w:t>PBS website</w:t>
      </w:r>
      <w:r>
        <w:t>.</w:t>
      </w:r>
    </w:p>
    <w:p w:rsidR="007C5F57" w:rsidRPr="00046382" w:rsidRDefault="007C5F57" w:rsidP="003C5D85">
      <w:pPr>
        <w:pStyle w:val="Heading3"/>
        <w:rPr>
          <w:i w:val="0"/>
          <w:sz w:val="28"/>
        </w:rPr>
      </w:pPr>
      <w:r w:rsidRPr="00046382">
        <w:rPr>
          <w:i w:val="0"/>
          <w:sz w:val="28"/>
        </w:rPr>
        <w:t>Clinical Guidelines</w:t>
      </w:r>
    </w:p>
    <w:p w:rsidR="007C5F57" w:rsidRDefault="007C5F57" w:rsidP="007C5F57">
      <w:r>
        <w:t>The Australian Rheumatology Association’s (ARA) published recommendations</w:t>
      </w:r>
      <w:r w:rsidR="00AA1799">
        <w:t xml:space="preserve"> for the use of biologicals for the treatment of ankylosing spondylitis recommend clinicians consider a number of factors when determining appropriate treatment regimens. The ARA acknowledges that its recommended indications and criteria differ from the current eligibility for PBS-subsidised bDMARDs. The most recent advice on the use of bDMARDs differs in the following key ways from the PBS restrictions</w:t>
      </w:r>
      <w:r>
        <w:rPr>
          <w:rStyle w:val="FootnoteReference"/>
        </w:rPr>
        <w:footnoteReference w:id="9"/>
      </w:r>
      <w:r>
        <w:t>:</w:t>
      </w:r>
    </w:p>
    <w:p w:rsidR="00FA335E" w:rsidRDefault="00EB1C92" w:rsidP="00525CEF">
      <w:pPr>
        <w:pStyle w:val="ListParagraph"/>
        <w:numPr>
          <w:ilvl w:val="0"/>
          <w:numId w:val="1"/>
        </w:numPr>
      </w:pPr>
      <w:r>
        <w:t xml:space="preserve">The initiation criteria in the guidelines are </w:t>
      </w:r>
      <w:r w:rsidR="00525CEF">
        <w:t>“</w:t>
      </w:r>
      <w:r w:rsidR="00525CEF">
        <w:rPr>
          <w:rFonts w:hint="eastAsia"/>
        </w:rPr>
        <w:t>TNF</w:t>
      </w:r>
      <w:r w:rsidR="00525CEF">
        <w:t>I</w:t>
      </w:r>
      <w:r w:rsidR="00525CEF" w:rsidRPr="00525CEF">
        <w:rPr>
          <w:rFonts w:hint="eastAsia"/>
        </w:rPr>
        <w:t>s</w:t>
      </w:r>
      <w:r w:rsidR="00C35D46">
        <w:t xml:space="preserve"> (Tumour necrosis factor inhibitors)</w:t>
      </w:r>
      <w:r w:rsidR="00525CEF" w:rsidRPr="00525CEF">
        <w:rPr>
          <w:rFonts w:hint="eastAsia"/>
        </w:rPr>
        <w:t xml:space="preserve"> should be given to AS patients with persistently high disease activity, (BASDAI </w:t>
      </w:r>
      <w:r w:rsidR="00525CEF" w:rsidRPr="00525CEF">
        <w:rPr>
          <w:rFonts w:hint="eastAsia"/>
        </w:rPr>
        <w:t>≧</w:t>
      </w:r>
      <w:r w:rsidR="00525CEF" w:rsidRPr="00525CEF">
        <w:rPr>
          <w:rFonts w:hint="eastAsia"/>
        </w:rPr>
        <w:t xml:space="preserve">4) who have failed conventional treatments according to ASAS </w:t>
      </w:r>
      <w:r w:rsidR="00525CEF">
        <w:t xml:space="preserve">(Assessment in Ankylosing Spondylitis Working Group) </w:t>
      </w:r>
      <w:r w:rsidR="00525CEF" w:rsidRPr="00525CEF">
        <w:rPr>
          <w:rFonts w:hint="eastAsia"/>
        </w:rPr>
        <w:t>recommendations</w:t>
      </w:r>
      <w:r w:rsidR="00525CEF">
        <w:t>”. The PBS restriction initiation criteria were summarised on page 6 of</w:t>
      </w:r>
      <w:r w:rsidR="005067A6">
        <w:t xml:space="preserve"> this report. The only common element between the two sets of criteria is the requirement to have failed to achieve response with NSAIDs.</w:t>
      </w:r>
    </w:p>
    <w:p w:rsidR="002B71AB" w:rsidRPr="00A803E7" w:rsidRDefault="00BC37D6" w:rsidP="00A803E7">
      <w:pPr>
        <w:pStyle w:val="ListParagraph"/>
        <w:numPr>
          <w:ilvl w:val="0"/>
          <w:numId w:val="1"/>
        </w:numPr>
        <w:spacing w:before="240" w:after="240" w:line="300" w:lineRule="atLeast"/>
      </w:pPr>
      <w:r>
        <w:t xml:space="preserve">In the guidelines, </w:t>
      </w:r>
      <w:r w:rsidR="00FA335E">
        <w:t xml:space="preserve">lack of response </w:t>
      </w:r>
      <w:r w:rsidR="00EB1C92">
        <w:t xml:space="preserve">to a bDMARD </w:t>
      </w:r>
      <w:r w:rsidR="00FA335E">
        <w:t>is defined as 50% improvement or 2</w:t>
      </w:r>
      <w:r w:rsidR="003876D7">
        <w:t> </w:t>
      </w:r>
      <w:r w:rsidR="00FA335E">
        <w:t>point improvement of baseline BASDAI when assessed between 6-12 weeks</w:t>
      </w:r>
      <w:r w:rsidR="00EB1C92">
        <w:t xml:space="preserve">. </w:t>
      </w:r>
      <w:r w:rsidR="00AA1799">
        <w:t xml:space="preserve">The guidelines </w:t>
      </w:r>
      <w:r w:rsidR="008B7E5A">
        <w:t xml:space="preserve">do </w:t>
      </w:r>
      <w:r w:rsidR="00AA1799">
        <w:t>not recommend the use of erythrocyte sedimentation rate (ESR) or C-reactive protein (CRP) levels when assessing ankylosing spondylitis.</w:t>
      </w:r>
      <w:r w:rsidR="002B71AB">
        <w:t xml:space="preserve"> The PBS restriction defines an </w:t>
      </w:r>
      <w:r w:rsidR="002B71AB" w:rsidRPr="00A803E7">
        <w:t>adequate response as an improvement from baseline of at least 2 of the BASDAI and 1 of an ESR &lt; 25 mm per hour; or a CRP &lt; 10 mg per L; or ESR or CRP reduced by at least 20% from baseline.</w:t>
      </w:r>
    </w:p>
    <w:p w:rsidR="00736041" w:rsidRPr="00046382" w:rsidRDefault="00394AEE" w:rsidP="003C5D85">
      <w:pPr>
        <w:pStyle w:val="Heading3"/>
        <w:rPr>
          <w:i w:val="0"/>
          <w:sz w:val="28"/>
        </w:rPr>
      </w:pPr>
      <w:r w:rsidRPr="00046382">
        <w:rPr>
          <w:i w:val="0"/>
          <w:sz w:val="28"/>
        </w:rPr>
        <w:t>Relevant aspects of</w:t>
      </w:r>
      <w:r w:rsidR="00736041" w:rsidRPr="00046382">
        <w:rPr>
          <w:i w:val="0"/>
          <w:sz w:val="28"/>
        </w:rPr>
        <w:t xml:space="preserve"> consideration</w:t>
      </w:r>
      <w:r w:rsidRPr="00046382">
        <w:rPr>
          <w:i w:val="0"/>
          <w:sz w:val="28"/>
        </w:rPr>
        <w:t xml:space="preserve"> by the Pharmaceutical Benefits Advisory Committee (PBAC)</w:t>
      </w:r>
    </w:p>
    <w:p w:rsidR="002C7461" w:rsidRDefault="002C7461" w:rsidP="00A35800">
      <w:r w:rsidRPr="00AA1799">
        <w:rPr>
          <w:u w:val="single"/>
        </w:rPr>
        <w:t>Infliximab:</w:t>
      </w:r>
      <w:r>
        <w:t xml:space="preserve"> In December 2003,</w:t>
      </w:r>
      <w:r w:rsidR="005B4D66" w:rsidDel="005B4D66">
        <w:t xml:space="preserve"> </w:t>
      </w:r>
      <w:r w:rsidR="007817BE">
        <w:t>t</w:t>
      </w:r>
      <w:r w:rsidR="005B4D66" w:rsidRPr="005B4D66">
        <w:t>he PBAC accepted the submission's claims for clinical effectiveness and cost-effectiveness, but deferred its final decision to allow consultation between the stakeholders to address uncertainty regarding the wording of the restriction for PBS listing, for consideration at the March 2004 PBAC meeting.</w:t>
      </w:r>
      <w:r w:rsidR="004C3189">
        <w:t xml:space="preserve"> </w:t>
      </w:r>
      <w:r w:rsidR="005B4D66">
        <w:t xml:space="preserve"> In March 2004, t</w:t>
      </w:r>
      <w:r w:rsidR="005B4D66" w:rsidRPr="005B4D66">
        <w:t>he PBAC recommended the listing of infliximab for ankylosing spondylitis on the basis of acceptable cost-effectiveness, noting that the reasons for deferral at the December 2003 meeting (specifically, the development of an appropriate restriction) had now been satisfactorily addressed.</w:t>
      </w:r>
      <w:r w:rsidR="005B4D66">
        <w:t xml:space="preserve"> </w:t>
      </w:r>
    </w:p>
    <w:p w:rsidR="00E4738E" w:rsidRDefault="00E4738E" w:rsidP="00A35800">
      <w:r w:rsidRPr="00AA1799">
        <w:rPr>
          <w:u w:val="single"/>
        </w:rPr>
        <w:t>Etanercept:</w:t>
      </w:r>
      <w:r>
        <w:t xml:space="preserve"> </w:t>
      </w:r>
      <w:r w:rsidR="00292777">
        <w:t>R</w:t>
      </w:r>
      <w:r w:rsidR="0021408E">
        <w:t>ecommended at the July 2004 PBAC meeting on a cost-minimisation basis with infliximab</w:t>
      </w:r>
      <w:r w:rsidR="002C7461">
        <w:t>.</w:t>
      </w:r>
    </w:p>
    <w:p w:rsidR="005573F4" w:rsidRDefault="005573F4" w:rsidP="00A35800">
      <w:r w:rsidRPr="00AA1799">
        <w:rPr>
          <w:u w:val="single"/>
        </w:rPr>
        <w:lastRenderedPageBreak/>
        <w:t>Adal</w:t>
      </w:r>
      <w:r w:rsidR="002C7461" w:rsidRPr="00AA1799">
        <w:rPr>
          <w:u w:val="single"/>
        </w:rPr>
        <w:t>imumab:</w:t>
      </w:r>
      <w:r w:rsidR="002C7461">
        <w:t xml:space="preserve"> </w:t>
      </w:r>
      <w:r w:rsidR="00155CE0">
        <w:t>Recommended</w:t>
      </w:r>
      <w:r w:rsidR="002C7461">
        <w:t xml:space="preserve"> at the </w:t>
      </w:r>
      <w:r w:rsidR="002C7461" w:rsidRPr="00181529">
        <w:t>November 2006 PBAC</w:t>
      </w:r>
      <w:r w:rsidR="002C7461">
        <w:t xml:space="preserve"> meeting on a cost-min</w:t>
      </w:r>
      <w:r w:rsidR="007A0502">
        <w:t>imisation basis with etanercept</w:t>
      </w:r>
      <w:r w:rsidR="00047053">
        <w:t xml:space="preserve">. </w:t>
      </w:r>
      <w:r w:rsidR="00155CE0">
        <w:t>The PBAC considered</w:t>
      </w:r>
      <w:r w:rsidR="007A0502">
        <w:t xml:space="preserve"> that the </w:t>
      </w:r>
      <w:r w:rsidR="00D7426F">
        <w:t>rules regarding interchangeability be similar to existing</w:t>
      </w:r>
      <w:r w:rsidR="00047053">
        <w:t xml:space="preserve"> bDMARD</w:t>
      </w:r>
      <w:r w:rsidR="00D7426F">
        <w:t xml:space="preserve"> switching rules in place for rheumatoid arthritis and psoriatic arthritis.</w:t>
      </w:r>
    </w:p>
    <w:p w:rsidR="000C66F2" w:rsidRDefault="000C66F2" w:rsidP="00A35800">
      <w:r w:rsidRPr="00AA1799">
        <w:rPr>
          <w:u w:val="single"/>
        </w:rPr>
        <w:t>Golimumab:</w:t>
      </w:r>
      <w:r>
        <w:t xml:space="preserve"> </w:t>
      </w:r>
      <w:r w:rsidR="00292777">
        <w:t>R</w:t>
      </w:r>
      <w:r>
        <w:t xml:space="preserve">ecommended at the </w:t>
      </w:r>
      <w:r w:rsidRPr="00181529">
        <w:t>March 2010</w:t>
      </w:r>
      <w:r>
        <w:t xml:space="preserve"> meeting, on a cost-min</w:t>
      </w:r>
      <w:r w:rsidR="00155CE0">
        <w:t>imisation basis with etanercept</w:t>
      </w:r>
      <w:r w:rsidR="00F41D92">
        <w:t>.</w:t>
      </w:r>
    </w:p>
    <w:p w:rsidR="00E30833" w:rsidRDefault="000C66F2" w:rsidP="00A35800">
      <w:r w:rsidRPr="005203CF">
        <w:rPr>
          <w:u w:val="single"/>
        </w:rPr>
        <w:t>Certolizumab p</w:t>
      </w:r>
      <w:r w:rsidR="00E30833" w:rsidRPr="005203CF">
        <w:rPr>
          <w:u w:val="single"/>
        </w:rPr>
        <w:t>egol:</w:t>
      </w:r>
      <w:r w:rsidR="00E30833">
        <w:t xml:space="preserve"> </w:t>
      </w:r>
      <w:r w:rsidR="00761456">
        <w:t>Recommended at</w:t>
      </w:r>
      <w:r w:rsidR="00E30833">
        <w:t xml:space="preserve"> the </w:t>
      </w:r>
      <w:r w:rsidR="00E30833" w:rsidRPr="00181529">
        <w:t>March 2014</w:t>
      </w:r>
      <w:r w:rsidR="00E30833">
        <w:t xml:space="preserve"> meeting on a cost-min</w:t>
      </w:r>
      <w:r w:rsidR="00155CE0">
        <w:t>imisation basis with adalimumab.</w:t>
      </w:r>
    </w:p>
    <w:p w:rsidR="00A57004" w:rsidRDefault="00A57004" w:rsidP="00A35800">
      <w:r w:rsidRPr="00A57004">
        <w:t xml:space="preserve">At the July 2014 meeting, the PBAC deferred a decision on whether to recommend </w:t>
      </w:r>
      <w:r>
        <w:t>a c</w:t>
      </w:r>
      <w:r w:rsidRPr="00A57004">
        <w:t>hange to the second and subsequent continuing treatment authorities for golimumab</w:t>
      </w:r>
      <w:r>
        <w:t xml:space="preserve"> and</w:t>
      </w:r>
      <w:r w:rsidRPr="00A57004">
        <w:t xml:space="preserve"> infliximab from complex written authority to telephone authority items, pending the outcomes of a post-market review into PBS Authorities.</w:t>
      </w:r>
    </w:p>
    <w:p w:rsidR="000F2F51" w:rsidRPr="003934B7" w:rsidRDefault="00ED633B" w:rsidP="003C5D85">
      <w:pPr>
        <w:pStyle w:val="Heading3"/>
      </w:pPr>
      <w:r w:rsidRPr="003934B7">
        <w:t>A</w:t>
      </w:r>
      <w:r w:rsidR="000F2F51" w:rsidRPr="003934B7">
        <w:t xml:space="preserve">pproach </w:t>
      </w:r>
      <w:r w:rsidRPr="003934B7">
        <w:t xml:space="preserve">taken to </w:t>
      </w:r>
      <w:r w:rsidR="000F2F51" w:rsidRPr="003934B7">
        <w:t>estimat</w:t>
      </w:r>
      <w:r w:rsidRPr="003934B7">
        <w:t>e</w:t>
      </w:r>
      <w:r w:rsidR="000F2F51" w:rsidRPr="003934B7">
        <w:t xml:space="preserve"> utilisation</w:t>
      </w:r>
    </w:p>
    <w:p w:rsidR="00DA13FE" w:rsidRDefault="00A57004" w:rsidP="00A35800">
      <w:r w:rsidRPr="00FA100D">
        <w:t>The submissions for infliximab and etanercept took an epidemiological approach to estimate utilisation</w:t>
      </w:r>
      <w:r w:rsidR="00F8687A" w:rsidRPr="00FA100D">
        <w:t xml:space="preserve">. Submissions estimates for adalimumab, golimumab and certolizumab were based on a market share approach. </w:t>
      </w:r>
    </w:p>
    <w:p w:rsidR="00DA13FE" w:rsidRDefault="00DA13FE" w:rsidP="00DA13FE">
      <w:r>
        <w:t>Key assumptions in the infliximab</w:t>
      </w:r>
      <w:r w:rsidRPr="00DA13FE">
        <w:t xml:space="preserve"> </w:t>
      </w:r>
      <w:r>
        <w:t xml:space="preserve">for </w:t>
      </w:r>
      <w:r w:rsidRPr="00DA13FE">
        <w:t xml:space="preserve">ankylosing spondylitis </w:t>
      </w:r>
      <w:r>
        <w:t>s</w:t>
      </w:r>
      <w:r w:rsidRPr="00DA13FE">
        <w:t>ubmission</w:t>
      </w:r>
      <w:r>
        <w:t xml:space="preserve"> to the December</w:t>
      </w:r>
      <w:r w:rsidR="003876D7">
        <w:t> </w:t>
      </w:r>
      <w:r w:rsidRPr="00DA13FE">
        <w:t>200</w:t>
      </w:r>
      <w:r>
        <w:t>3</w:t>
      </w:r>
      <w:r w:rsidRPr="00FA100D">
        <w:t xml:space="preserve"> </w:t>
      </w:r>
      <w:r>
        <w:t>PBAC were;</w:t>
      </w:r>
    </w:p>
    <w:p w:rsidR="005634D8" w:rsidRDefault="005634D8" w:rsidP="00DB6975">
      <w:pPr>
        <w:spacing w:after="0"/>
        <w:ind w:left="357" w:hanging="357"/>
        <w:rPr>
          <w:rFonts w:ascii="Symbol" w:hAnsi="Symbol"/>
          <w:noProof/>
          <w:color w:val="000000"/>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5634D8" w:rsidRDefault="005634D8" w:rsidP="00DB6975">
      <w:pPr>
        <w:spacing w:after="0"/>
        <w:ind w:left="357" w:hanging="357"/>
        <w:rPr>
          <w:rFonts w:ascii="Symbol" w:hAnsi="Symbol"/>
          <w:noProof/>
          <w:color w:val="00000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5634D8" w:rsidRPr="00181529" w:rsidRDefault="005634D8" w:rsidP="00DB6975">
      <w:pPr>
        <w:spacing w:after="0"/>
        <w:ind w:left="357" w:hanging="357"/>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5634D8" w:rsidRDefault="005634D8" w:rsidP="00DB6975">
      <w:pPr>
        <w:spacing w:after="0"/>
        <w:ind w:left="357" w:hanging="357"/>
        <w:rPr>
          <w:rFonts w:ascii="Symbol" w:hAnsi="Symbol"/>
          <w:noProof/>
          <w:color w:val="00000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DB6975" w:rsidRDefault="00DB6975" w:rsidP="00DB6975">
      <w:pPr>
        <w:spacing w:after="0"/>
        <w:ind w:left="357" w:hanging="357"/>
        <w:rPr>
          <w:rFonts w:ascii="Symbol" w:hAnsi="Symbol"/>
          <w:noProof/>
          <w:color w:val="00000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DB6975" w:rsidRDefault="00DB6975" w:rsidP="00DB6975">
      <w:pPr>
        <w:spacing w:after="0"/>
        <w:ind w:left="357" w:hanging="357"/>
        <w:rPr>
          <w:rFonts w:ascii="Symbol" w:hAnsi="Symbol"/>
          <w:noProof/>
          <w:color w:val="000000"/>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DB6975" w:rsidRPr="00181529" w:rsidRDefault="00DB6975" w:rsidP="00DB6975">
      <w:pPr>
        <w:spacing w:after="0"/>
        <w:ind w:left="357" w:hanging="357"/>
        <w:rPr>
          <w:highlight w:val="black"/>
        </w:rPr>
      </w:pPr>
    </w:p>
    <w:p w:rsidR="00A57004" w:rsidRDefault="00DA13FE" w:rsidP="00A35800">
      <w:r>
        <w:t>Key assumptions in the e</w:t>
      </w:r>
      <w:r w:rsidRPr="00DA13FE">
        <w:t xml:space="preserve">tanercept </w:t>
      </w:r>
      <w:r>
        <w:t xml:space="preserve">for </w:t>
      </w:r>
      <w:r w:rsidRPr="00DA13FE">
        <w:t xml:space="preserve">ankylosing spondylitis </w:t>
      </w:r>
      <w:r>
        <w:t>s</w:t>
      </w:r>
      <w:r w:rsidRPr="00DA13FE">
        <w:t>ubmission</w:t>
      </w:r>
      <w:r>
        <w:t xml:space="preserve"> to the </w:t>
      </w:r>
      <w:r w:rsidRPr="00DA13FE">
        <w:t>July 2004</w:t>
      </w:r>
      <w:r w:rsidR="00F8687A" w:rsidRPr="00FA100D">
        <w:t xml:space="preserve"> </w:t>
      </w:r>
      <w:r>
        <w:t>PBAC were;</w:t>
      </w:r>
    </w:p>
    <w:p w:rsidR="00FB7E8C" w:rsidRPr="00ED456D" w:rsidRDefault="00FB7E8C" w:rsidP="00FB7E8C">
      <w:pPr>
        <w:pStyle w:val="ListParagraph"/>
        <w:numPr>
          <w:ilvl w:val="0"/>
          <w:numId w:val="11"/>
        </w:numPr>
      </w:pPr>
      <w:r w:rsidRPr="00ED456D">
        <w:t>A 0.1% prevalence of ankylosing spondylitis in the Australian population;</w:t>
      </w:r>
    </w:p>
    <w:p w:rsidR="00FB7E8C" w:rsidRPr="00ED456D" w:rsidRDefault="00FB7E8C" w:rsidP="00FB7E8C">
      <w:pPr>
        <w:pStyle w:val="ListParagraph"/>
        <w:numPr>
          <w:ilvl w:val="0"/>
          <w:numId w:val="11"/>
        </w:numPr>
      </w:pPr>
      <w:r w:rsidRPr="00ED456D">
        <w:t>A 0.0069% incidence rate of ankylosing spondylitis in the Australian population;</w:t>
      </w:r>
    </w:p>
    <w:p w:rsidR="00FB7E8C" w:rsidRPr="00ED456D" w:rsidRDefault="00FB7E8C" w:rsidP="00FB7E8C">
      <w:pPr>
        <w:pStyle w:val="ListParagraph"/>
        <w:numPr>
          <w:ilvl w:val="0"/>
          <w:numId w:val="11"/>
        </w:numPr>
      </w:pPr>
      <w:r w:rsidRPr="00ED456D">
        <w:t>5% of ankylosing spondylitis patients will be suitable for treatment with a TNF inhibitor;</w:t>
      </w:r>
    </w:p>
    <w:p w:rsidR="00FB7E8C" w:rsidRPr="00ED456D" w:rsidRDefault="00FB7E8C" w:rsidP="00FB7E8C">
      <w:pPr>
        <w:pStyle w:val="ListParagraph"/>
        <w:numPr>
          <w:ilvl w:val="0"/>
          <w:numId w:val="11"/>
        </w:numPr>
      </w:pPr>
      <w:r w:rsidRPr="00ED456D">
        <w:t>100% of eligible patients will commence treatment with etanercept;</w:t>
      </w:r>
    </w:p>
    <w:p w:rsidR="00FB7E8C" w:rsidRPr="00ED456D" w:rsidRDefault="00FB7E8C" w:rsidP="00FB7E8C">
      <w:pPr>
        <w:pStyle w:val="ListParagraph"/>
        <w:numPr>
          <w:ilvl w:val="0"/>
          <w:numId w:val="11"/>
        </w:numPr>
      </w:pPr>
      <w:r w:rsidRPr="00ED456D">
        <w:t>A discontinuation rate of 4% for non-efficacy reasons per year during the initial 12-16 weeks for new patients; and</w:t>
      </w:r>
    </w:p>
    <w:p w:rsidR="00FB7E8C" w:rsidRPr="00ED456D" w:rsidRDefault="00FB7E8C" w:rsidP="00FB7E8C">
      <w:pPr>
        <w:pStyle w:val="ListParagraph"/>
        <w:numPr>
          <w:ilvl w:val="0"/>
          <w:numId w:val="11"/>
        </w:numPr>
      </w:pPr>
      <w:r w:rsidRPr="00ED456D">
        <w:t>53% of patients will meet the criteria to continue treatment.</w:t>
      </w:r>
    </w:p>
    <w:p w:rsidR="00094DCF" w:rsidRPr="001B1F2E" w:rsidRDefault="00ED633B" w:rsidP="003C5D85">
      <w:pPr>
        <w:pStyle w:val="Heading3"/>
        <w:rPr>
          <w:i w:val="0"/>
          <w:sz w:val="28"/>
        </w:rPr>
      </w:pPr>
      <w:r w:rsidRPr="001B1F2E">
        <w:rPr>
          <w:i w:val="0"/>
          <w:sz w:val="28"/>
        </w:rPr>
        <w:t xml:space="preserve">Previous reviews by </w:t>
      </w:r>
      <w:r w:rsidR="00177B86" w:rsidRPr="001B1F2E">
        <w:rPr>
          <w:i w:val="0"/>
          <w:sz w:val="28"/>
        </w:rPr>
        <w:t xml:space="preserve">the </w:t>
      </w:r>
      <w:r w:rsidRPr="001B1F2E">
        <w:rPr>
          <w:i w:val="0"/>
          <w:sz w:val="28"/>
        </w:rPr>
        <w:t>DUSC</w:t>
      </w:r>
    </w:p>
    <w:p w:rsidR="00FC6A0B" w:rsidRDefault="00FC6A0B" w:rsidP="00FC6A0B">
      <w:r w:rsidRPr="005203CF">
        <w:t xml:space="preserve">The DUSC reviewed the utilisation of </w:t>
      </w:r>
      <w:r w:rsidR="00761456" w:rsidRPr="005203CF">
        <w:t>bDMARDs</w:t>
      </w:r>
      <w:r w:rsidRPr="005203CF">
        <w:t xml:space="preserve"> for ankylosing spondylitis at the February</w:t>
      </w:r>
      <w:r w:rsidR="003876D7">
        <w:t> </w:t>
      </w:r>
      <w:r w:rsidRPr="005203CF">
        <w:t>2009 meeting. The review found that initial approvals for adalimumab had almost immediately exceeded those for etanercept.  Infliximab h</w:t>
      </w:r>
      <w:r w:rsidR="005203CF" w:rsidRPr="005203CF">
        <w:t>ad consistently taken a smaller</w:t>
      </w:r>
      <w:r w:rsidRPr="005203CF">
        <w:t xml:space="preserve"> </w:t>
      </w:r>
      <w:r w:rsidRPr="005203CF">
        <w:lastRenderedPageBreak/>
        <w:t>market share for this indication for the entire period of listing. First time continuations were found to be in the range of 65-80%.</w:t>
      </w:r>
      <w:r>
        <w:t xml:space="preserve"> </w:t>
      </w:r>
    </w:p>
    <w:p w:rsidR="00E677DD" w:rsidRPr="001B1F2E" w:rsidRDefault="00E677DD" w:rsidP="003C5D85">
      <w:pPr>
        <w:pStyle w:val="Heading4"/>
        <w:rPr>
          <w:i w:val="0"/>
        </w:rPr>
      </w:pPr>
      <w:r w:rsidRPr="001B1F2E">
        <w:rPr>
          <w:i w:val="0"/>
        </w:rPr>
        <w:t>Method</w:t>
      </w:r>
      <w:r w:rsidR="001B5D37" w:rsidRPr="001B1F2E">
        <w:rPr>
          <w:i w:val="0"/>
        </w:rPr>
        <w:t>s</w:t>
      </w:r>
    </w:p>
    <w:p w:rsidR="00AB67BC" w:rsidRPr="00AF6ACC" w:rsidRDefault="00AB67BC" w:rsidP="00AB67BC">
      <w:pPr>
        <w:rPr>
          <w:rFonts w:eastAsia="Calibri" w:cs="Times New Roman"/>
        </w:rPr>
      </w:pPr>
      <w:r>
        <w:rPr>
          <w:rFonts w:eastAsia="Calibri" w:cs="Times New Roman"/>
        </w:rPr>
        <w:t xml:space="preserve">PBS and </w:t>
      </w:r>
      <w:r w:rsidRPr="00AF6ACC">
        <w:rPr>
          <w:rFonts w:eastAsia="Calibri" w:cs="Times New Roman"/>
        </w:rPr>
        <w:t>RPBS prescription</w:t>
      </w:r>
      <w:r>
        <w:rPr>
          <w:rFonts w:eastAsia="Calibri" w:cs="Times New Roman"/>
        </w:rPr>
        <w:t xml:space="preserve"> approvals </w:t>
      </w:r>
      <w:r w:rsidRPr="00AF6ACC">
        <w:rPr>
          <w:rFonts w:eastAsia="Calibri" w:cs="Times New Roman"/>
        </w:rPr>
        <w:t xml:space="preserve">for </w:t>
      </w:r>
      <w:r>
        <w:rPr>
          <w:rFonts w:eastAsia="Calibri" w:cs="Times New Roman"/>
        </w:rPr>
        <w:t>the bDMARD medicines</w:t>
      </w:r>
      <w:r w:rsidRPr="00AF6ACC">
        <w:rPr>
          <w:rFonts w:eastAsia="Calibri" w:cs="Times New Roman"/>
        </w:rPr>
        <w:t xml:space="preserve"> were extracted from the Department of Human Services (DHS) PBS </w:t>
      </w:r>
      <w:r>
        <w:rPr>
          <w:rFonts w:eastAsia="Calibri" w:cs="Times New Roman"/>
        </w:rPr>
        <w:t xml:space="preserve">Authority Approval </w:t>
      </w:r>
      <w:r w:rsidRPr="00AF6ACC">
        <w:rPr>
          <w:rFonts w:eastAsia="Calibri" w:cs="Times New Roman"/>
        </w:rPr>
        <w:t xml:space="preserve">database for the period </w:t>
      </w:r>
      <w:r>
        <w:rPr>
          <w:rFonts w:eastAsia="Calibri" w:cs="Times New Roman"/>
        </w:rPr>
        <w:t xml:space="preserve">August </w:t>
      </w:r>
      <w:r w:rsidRPr="00AF6ACC">
        <w:rPr>
          <w:rFonts w:eastAsia="Calibri" w:cs="Times New Roman"/>
        </w:rPr>
        <w:t>20</w:t>
      </w:r>
      <w:r>
        <w:rPr>
          <w:rFonts w:eastAsia="Calibri" w:cs="Times New Roman"/>
        </w:rPr>
        <w:t>04</w:t>
      </w:r>
      <w:r w:rsidRPr="00AF6ACC">
        <w:rPr>
          <w:rFonts w:eastAsia="Calibri" w:cs="Times New Roman"/>
        </w:rPr>
        <w:t xml:space="preserve"> </w:t>
      </w:r>
      <w:r>
        <w:rPr>
          <w:rFonts w:eastAsia="Calibri" w:cs="Times New Roman"/>
        </w:rPr>
        <w:t xml:space="preserve">(month of listing of the first bDMARD, infliximab) </w:t>
      </w:r>
      <w:r w:rsidRPr="00AF6ACC">
        <w:rPr>
          <w:rFonts w:eastAsia="Calibri" w:cs="Times New Roman"/>
        </w:rPr>
        <w:t xml:space="preserve">to </w:t>
      </w:r>
      <w:r w:rsidR="00D75C9B">
        <w:rPr>
          <w:rFonts w:eastAsia="Calibri" w:cs="Times New Roman"/>
        </w:rPr>
        <w:t xml:space="preserve">September </w:t>
      </w:r>
      <w:r w:rsidRPr="00AF6ACC">
        <w:rPr>
          <w:rFonts w:eastAsia="Calibri" w:cs="Times New Roman"/>
        </w:rPr>
        <w:t>201</w:t>
      </w:r>
      <w:r>
        <w:rPr>
          <w:rFonts w:eastAsia="Calibri" w:cs="Times New Roman"/>
        </w:rPr>
        <w:t>5</w:t>
      </w:r>
      <w:r w:rsidRPr="00AF6ACC">
        <w:rPr>
          <w:rFonts w:eastAsia="Calibri" w:cs="Times New Roman"/>
        </w:rPr>
        <w:t xml:space="preserve"> inclusive, based on the date that the prescription was </w:t>
      </w:r>
      <w:r>
        <w:rPr>
          <w:rFonts w:eastAsia="Calibri" w:cs="Times New Roman"/>
        </w:rPr>
        <w:t>approved</w:t>
      </w:r>
      <w:r w:rsidRPr="00AF6ACC">
        <w:rPr>
          <w:rFonts w:eastAsia="Calibri" w:cs="Times New Roman"/>
        </w:rPr>
        <w:t xml:space="preserve">. </w:t>
      </w:r>
    </w:p>
    <w:p w:rsidR="007A68A0" w:rsidRDefault="007C5F57" w:rsidP="007C5F57">
      <w:r w:rsidRPr="00177EFC">
        <w:t xml:space="preserve">The </w:t>
      </w:r>
      <w:r>
        <w:t xml:space="preserve">DHS </w:t>
      </w:r>
      <w:r w:rsidRPr="00177EFC">
        <w:t xml:space="preserve">Authority Approvals database was used to determine the number of patients, </w:t>
      </w:r>
      <w:r>
        <w:t>proportion of patients continuing treatment after their initial course of therapy, and the</w:t>
      </w:r>
      <w:r w:rsidRPr="00177EFC">
        <w:t xml:space="preserve"> sequence of bDMARD</w:t>
      </w:r>
      <w:r>
        <w:t xml:space="preserve"> use</w:t>
      </w:r>
      <w:r w:rsidR="00D75C9B">
        <w:t>.</w:t>
      </w:r>
    </w:p>
    <w:p w:rsidR="00D34A06" w:rsidRPr="00391448" w:rsidRDefault="007A68A0" w:rsidP="00D34A06">
      <w:pPr>
        <w:rPr>
          <w:rFonts w:eastAsia="Calibri" w:cs="Times New Roman"/>
        </w:rPr>
      </w:pPr>
      <w:r w:rsidRPr="00AF6ACC">
        <w:rPr>
          <w:rFonts w:eastAsia="Calibri" w:cs="Times New Roman"/>
        </w:rPr>
        <w:t xml:space="preserve">The number of </w:t>
      </w:r>
      <w:r>
        <w:rPr>
          <w:rFonts w:eastAsia="Calibri" w:cs="Times New Roman"/>
        </w:rPr>
        <w:t xml:space="preserve">prevalent </w:t>
      </w:r>
      <w:r w:rsidRPr="00AF6ACC">
        <w:rPr>
          <w:rFonts w:eastAsia="Calibri" w:cs="Times New Roman"/>
        </w:rPr>
        <w:t>patients was determined by counting the number of person</w:t>
      </w:r>
      <w:r>
        <w:rPr>
          <w:rFonts w:eastAsia="Calibri" w:cs="Times New Roman"/>
        </w:rPr>
        <w:t xml:space="preserve"> specific</w:t>
      </w:r>
      <w:r w:rsidRPr="00AF6ACC">
        <w:rPr>
          <w:rFonts w:eastAsia="Calibri" w:cs="Times New Roman"/>
        </w:rPr>
        <w:t xml:space="preserve"> numbers</w:t>
      </w:r>
      <w:r>
        <w:rPr>
          <w:rFonts w:eastAsia="Calibri" w:cs="Times New Roman"/>
        </w:rPr>
        <w:t xml:space="preserve"> (non</w:t>
      </w:r>
      <w:r w:rsidRPr="00AF6ACC">
        <w:rPr>
          <w:rFonts w:eastAsia="Calibri" w:cs="Times New Roman"/>
        </w:rPr>
        <w:t>-identif</w:t>
      </w:r>
      <w:r>
        <w:rPr>
          <w:rFonts w:eastAsia="Calibri" w:cs="Times New Roman"/>
        </w:rPr>
        <w:t>ying)</w:t>
      </w:r>
      <w:r w:rsidR="00391448">
        <w:rPr>
          <w:rFonts w:eastAsia="Calibri" w:cs="Times New Roman"/>
        </w:rPr>
        <w:t xml:space="preserve"> </w:t>
      </w:r>
      <w:r w:rsidRPr="00AF6ACC">
        <w:rPr>
          <w:rFonts w:eastAsia="Calibri" w:cs="Times New Roman"/>
        </w:rPr>
        <w:t xml:space="preserve">in the </w:t>
      </w:r>
      <w:r>
        <w:rPr>
          <w:rFonts w:eastAsia="Calibri" w:cs="Times New Roman"/>
        </w:rPr>
        <w:t>authority approval data</w:t>
      </w:r>
      <w:r w:rsidRPr="00AF6ACC">
        <w:rPr>
          <w:rFonts w:eastAsia="Calibri" w:cs="Times New Roman"/>
        </w:rPr>
        <w:t xml:space="preserve"> for the specified time period. </w:t>
      </w:r>
      <w:r>
        <w:rPr>
          <w:rFonts w:eastAsia="Calibri" w:cs="Times New Roman"/>
        </w:rPr>
        <w:t>A</w:t>
      </w:r>
      <w:r w:rsidRPr="001D2C1E">
        <w:rPr>
          <w:rFonts w:eastAsia="Calibri" w:cs="Times New Roman"/>
        </w:rPr>
        <w:t xml:space="preserve">uthority approvals data </w:t>
      </w:r>
      <w:r>
        <w:rPr>
          <w:rFonts w:eastAsia="Calibri" w:cs="Times New Roman"/>
        </w:rPr>
        <w:t xml:space="preserve">was used rather than prescription supply data </w:t>
      </w:r>
      <w:r w:rsidRPr="001D2C1E">
        <w:rPr>
          <w:rFonts w:eastAsia="Calibri" w:cs="Times New Roman"/>
        </w:rPr>
        <w:t>as the latter is incomplete with respect to patient level supply history for</w:t>
      </w:r>
      <w:r>
        <w:rPr>
          <w:rFonts w:eastAsia="Calibri" w:cs="Times New Roman"/>
        </w:rPr>
        <w:t xml:space="preserve"> infliximab</w:t>
      </w:r>
      <w:r w:rsidR="00D75C9B">
        <w:rPr>
          <w:rFonts w:eastAsia="Calibri" w:cs="Times New Roman"/>
        </w:rPr>
        <w:t xml:space="preserve"> </w:t>
      </w:r>
      <w:r w:rsidRPr="001D2C1E">
        <w:rPr>
          <w:rFonts w:eastAsia="Calibri" w:cs="Times New Roman"/>
        </w:rPr>
        <w:t>prior to July 2013</w:t>
      </w:r>
      <w:r>
        <w:rPr>
          <w:rFonts w:eastAsia="Calibri" w:cs="Times New Roman"/>
        </w:rPr>
        <w:t>.</w:t>
      </w:r>
      <w:r w:rsidR="00D75C9B">
        <w:rPr>
          <w:rFonts w:eastAsia="Calibri" w:cs="Times New Roman"/>
        </w:rPr>
        <w:t xml:space="preserve"> </w:t>
      </w:r>
      <w:r w:rsidR="00D75C9B" w:rsidRPr="00391448">
        <w:rPr>
          <w:rFonts w:eastAsia="Calibri" w:cs="Times New Roman"/>
        </w:rPr>
        <w:t xml:space="preserve">As infliximab is part of the Highly Specialised Drugs (HSD) Schedule, some utilisation data </w:t>
      </w:r>
      <w:r w:rsidR="003876D7">
        <w:rPr>
          <w:rFonts w:eastAsia="Calibri" w:cs="Times New Roman"/>
        </w:rPr>
        <w:t>are</w:t>
      </w:r>
      <w:r w:rsidR="003876D7" w:rsidRPr="00391448">
        <w:rPr>
          <w:rFonts w:eastAsia="Calibri" w:cs="Times New Roman"/>
        </w:rPr>
        <w:t xml:space="preserve"> </w:t>
      </w:r>
      <w:r w:rsidR="00D75C9B" w:rsidRPr="00391448">
        <w:rPr>
          <w:rFonts w:eastAsia="Calibri" w:cs="Times New Roman"/>
        </w:rPr>
        <w:t xml:space="preserve">missing from the DHS prescription database prior to July 2013 because it was processed via an offline system that did not record the data at the </w:t>
      </w:r>
      <w:r w:rsidR="003876D7">
        <w:rPr>
          <w:rFonts w:eastAsia="Calibri" w:cs="Times New Roman"/>
        </w:rPr>
        <w:t>prescription</w:t>
      </w:r>
      <w:r w:rsidR="003876D7" w:rsidRPr="00391448">
        <w:rPr>
          <w:rFonts w:eastAsia="Calibri" w:cs="Times New Roman"/>
        </w:rPr>
        <w:t xml:space="preserve"> </w:t>
      </w:r>
      <w:r w:rsidR="00D75C9B" w:rsidRPr="00391448">
        <w:rPr>
          <w:rFonts w:eastAsia="Calibri" w:cs="Times New Roman"/>
        </w:rPr>
        <w:t xml:space="preserve">and patient level. </w:t>
      </w:r>
      <w:r w:rsidR="00D34A06" w:rsidRPr="00391448">
        <w:rPr>
          <w:rFonts w:eastAsia="Calibri" w:cs="Times New Roman"/>
        </w:rPr>
        <w:t xml:space="preserve">The analysis period for patient counts was “per calendar year” because it </w:t>
      </w:r>
      <w:r w:rsidR="00086C1B" w:rsidRPr="00391448">
        <w:rPr>
          <w:rFonts w:eastAsia="Calibri" w:cs="Times New Roman"/>
        </w:rPr>
        <w:t>wa</w:t>
      </w:r>
      <w:r w:rsidR="007C5F57" w:rsidRPr="00391448">
        <w:rPr>
          <w:rFonts w:eastAsia="Calibri" w:cs="Times New Roman"/>
        </w:rPr>
        <w:t xml:space="preserve">s assumed </w:t>
      </w:r>
      <w:r w:rsidR="00086C1B" w:rsidRPr="00391448">
        <w:rPr>
          <w:rFonts w:eastAsia="Calibri" w:cs="Times New Roman"/>
        </w:rPr>
        <w:t xml:space="preserve">that </w:t>
      </w:r>
      <w:r w:rsidR="007C5F57" w:rsidRPr="00391448">
        <w:rPr>
          <w:rFonts w:eastAsia="Calibri" w:cs="Times New Roman"/>
        </w:rPr>
        <w:t xml:space="preserve">patients </w:t>
      </w:r>
      <w:r w:rsidR="00D34A06" w:rsidRPr="00391448">
        <w:rPr>
          <w:rFonts w:eastAsia="Calibri" w:cs="Times New Roman"/>
        </w:rPr>
        <w:t xml:space="preserve">would </w:t>
      </w:r>
      <w:r w:rsidR="007C5F57" w:rsidRPr="00391448">
        <w:rPr>
          <w:rFonts w:eastAsia="Calibri" w:cs="Times New Roman"/>
        </w:rPr>
        <w:t>receive at least one approval a year as no more than 24</w:t>
      </w:r>
      <w:r w:rsidR="003876D7">
        <w:rPr>
          <w:rFonts w:eastAsia="Calibri" w:cs="Times New Roman"/>
        </w:rPr>
        <w:t> </w:t>
      </w:r>
      <w:r w:rsidR="007C5F57" w:rsidRPr="00391448">
        <w:rPr>
          <w:rFonts w:eastAsia="Calibri" w:cs="Times New Roman"/>
        </w:rPr>
        <w:t xml:space="preserve">weeks of treatment is approved </w:t>
      </w:r>
      <w:r w:rsidR="00D34A06" w:rsidRPr="00391448">
        <w:rPr>
          <w:rFonts w:eastAsia="Calibri" w:cs="Times New Roman"/>
        </w:rPr>
        <w:t>at a time fo</w:t>
      </w:r>
      <w:r w:rsidR="007C5F57" w:rsidRPr="00391448">
        <w:rPr>
          <w:rFonts w:eastAsia="Calibri" w:cs="Times New Roman"/>
        </w:rPr>
        <w:t xml:space="preserve">r ankylosing spondylitis. </w:t>
      </w:r>
    </w:p>
    <w:p w:rsidR="00336FD7" w:rsidRDefault="007C5F57" w:rsidP="007C5F57">
      <w:r>
        <w:t xml:space="preserve">The DHS prescription </w:t>
      </w:r>
      <w:r w:rsidR="00D75C9B">
        <w:t xml:space="preserve">claim </w:t>
      </w:r>
      <w:r>
        <w:t xml:space="preserve">database was used for the number of dispensed prescriptions and expenditure. </w:t>
      </w:r>
      <w:r w:rsidR="00D34A06">
        <w:t>Due to the infliximab data limitation t</w:t>
      </w:r>
      <w:r>
        <w:t xml:space="preserve">he </w:t>
      </w:r>
      <w:r w:rsidR="005A7774">
        <w:t xml:space="preserve">DUSC </w:t>
      </w:r>
      <w:r>
        <w:t xml:space="preserve">Highly Specialised Drugs Database was used </w:t>
      </w:r>
      <w:r w:rsidR="006C3F92">
        <w:t xml:space="preserve">to supplement the </w:t>
      </w:r>
      <w:r w:rsidR="00D34A06">
        <w:t xml:space="preserve">data. </w:t>
      </w:r>
      <w:r w:rsidR="006C3F92">
        <w:rPr>
          <w:rFonts w:eastAsia="Calibri" w:cs="Times New Roman"/>
        </w:rPr>
        <w:t xml:space="preserve">This </w:t>
      </w:r>
      <w:r w:rsidR="00336FD7">
        <w:rPr>
          <w:rFonts w:eastAsia="Calibri" w:cs="Times New Roman"/>
        </w:rPr>
        <w:t>database combines Public Hospital prescribed offline processed data with Public and Private Hospital prescribed online processed data to give a complete picture of HSD drug utilisation.</w:t>
      </w:r>
    </w:p>
    <w:p w:rsidR="00562A47" w:rsidRDefault="00562A47" w:rsidP="00562A47">
      <w:r>
        <w:rPr>
          <w:rFonts w:eastAsia="Calibri" w:cs="Times New Roman"/>
        </w:rPr>
        <w:t>Patient counts for more recent period</w:t>
      </w:r>
      <w:r w:rsidR="00782A1A">
        <w:rPr>
          <w:rFonts w:eastAsia="Calibri" w:cs="Times New Roman"/>
        </w:rPr>
        <w:t>s</w:t>
      </w:r>
      <w:r>
        <w:rPr>
          <w:rFonts w:eastAsia="Calibri" w:cs="Times New Roman"/>
        </w:rPr>
        <w:t xml:space="preserve"> were done using prescription data from the </w:t>
      </w:r>
      <w:r>
        <w:t xml:space="preserve">DHS prescription </w:t>
      </w:r>
      <w:r w:rsidR="00D75C9B">
        <w:t xml:space="preserve">claims </w:t>
      </w:r>
      <w:r>
        <w:t xml:space="preserve">database. </w:t>
      </w:r>
      <w:r w:rsidR="003876D7">
        <w:t xml:space="preserve">These </w:t>
      </w:r>
      <w:r>
        <w:t xml:space="preserve">data </w:t>
      </w:r>
      <w:r w:rsidR="003876D7">
        <w:t xml:space="preserve">are </w:t>
      </w:r>
      <w:r>
        <w:t xml:space="preserve">complete for infliximab from July 2013 and enable reporting of prevalent </w:t>
      </w:r>
      <w:r w:rsidR="00782A1A">
        <w:t>patients using a shorter time period (i.e.</w:t>
      </w:r>
      <w:r>
        <w:t xml:space="preserve"> quarter) because a p</w:t>
      </w:r>
      <w:r w:rsidR="00782A1A">
        <w:t>atient</w:t>
      </w:r>
      <w:r>
        <w:t xml:space="preserve"> is expected to have a prescription every month. </w:t>
      </w:r>
      <w:r w:rsidR="003876D7">
        <w:t xml:space="preserve">These </w:t>
      </w:r>
      <w:r>
        <w:t xml:space="preserve">data </w:t>
      </w:r>
      <w:r w:rsidR="003876D7">
        <w:t xml:space="preserve">are </w:t>
      </w:r>
      <w:r w:rsidR="00861752">
        <w:t>present</w:t>
      </w:r>
      <w:r w:rsidR="00815F1B">
        <w:t>ed</w:t>
      </w:r>
      <w:r w:rsidR="00861752">
        <w:t xml:space="preserve"> in Appendix A</w:t>
      </w:r>
      <w:r w:rsidR="003B5773">
        <w:t xml:space="preserve"> </w:t>
      </w:r>
      <w:r>
        <w:t>to determine the uptake trend of cer</w:t>
      </w:r>
      <w:r w:rsidR="00815F1B">
        <w:t>t</w:t>
      </w:r>
      <w:r>
        <w:t>olizumab</w:t>
      </w:r>
      <w:r w:rsidR="003B5773">
        <w:t xml:space="preserve"> </w:t>
      </w:r>
      <w:r>
        <w:t>pegol (listed 1</w:t>
      </w:r>
      <w:r w:rsidR="003876D7">
        <w:t> </w:t>
      </w:r>
      <w:r>
        <w:t>August</w:t>
      </w:r>
      <w:r w:rsidR="003876D7">
        <w:t> </w:t>
      </w:r>
      <w:r>
        <w:t xml:space="preserve">2014) which was not possible using the annual patient counts </w:t>
      </w:r>
      <w:r w:rsidR="002438DD">
        <w:t xml:space="preserve">based on </w:t>
      </w:r>
      <w:r>
        <w:t>the Authority Approval data.</w:t>
      </w:r>
    </w:p>
    <w:p w:rsidR="00691D99" w:rsidRPr="00042595" w:rsidRDefault="00691D99" w:rsidP="00691D99">
      <w:pPr>
        <w:rPr>
          <w:b/>
          <w:i/>
        </w:rPr>
      </w:pPr>
      <w:r w:rsidRPr="00042595">
        <w:rPr>
          <w:b/>
          <w:i/>
        </w:rPr>
        <w:t>Number and Sequence of bDMARDs</w:t>
      </w:r>
    </w:p>
    <w:p w:rsidR="008771AE" w:rsidRDefault="00691D99" w:rsidP="00C55D66">
      <w:r w:rsidRPr="00997E5B">
        <w:t>The analysis counted patients who received their first bDMARD approval before 1</w:t>
      </w:r>
      <w:r w:rsidR="003876D7">
        <w:t> </w:t>
      </w:r>
      <w:r w:rsidRPr="00997E5B">
        <w:t>January</w:t>
      </w:r>
      <w:r w:rsidR="003876D7">
        <w:t> </w:t>
      </w:r>
      <w:r w:rsidRPr="00997E5B">
        <w:t>2014. When this analysis was performed the authority approval data was complete until the end of November 2015 (based on date of approval), thus each patient had a minimum follow</w:t>
      </w:r>
      <w:r w:rsidR="008771AE" w:rsidRPr="00997E5B">
        <w:t xml:space="preserve"> </w:t>
      </w:r>
      <w:r w:rsidRPr="00997E5B">
        <w:t>up period of 23 months to receive authority approvals for</w:t>
      </w:r>
      <w:r>
        <w:t xml:space="preserve"> alternative</w:t>
      </w:r>
      <w:r w:rsidRPr="001C6B49">
        <w:t xml:space="preserve"> bDMARDs. </w:t>
      </w:r>
      <w:r w:rsidR="008771AE">
        <w:t xml:space="preserve">The follow up period was limited to a maximum of 5 years from </w:t>
      </w:r>
      <w:r w:rsidR="00272ED5">
        <w:t xml:space="preserve">each patient’s </w:t>
      </w:r>
      <w:r w:rsidR="008771AE" w:rsidRPr="001C6B49">
        <w:t>first bDMARD approval</w:t>
      </w:r>
      <w:r w:rsidR="008771AE">
        <w:t>. This means that patients who initiated prior to December</w:t>
      </w:r>
      <w:r w:rsidR="003876D7">
        <w:t> </w:t>
      </w:r>
      <w:r w:rsidR="008771AE">
        <w:t>2010 had their approval history truncated at 5 years post initiation.</w:t>
      </w:r>
    </w:p>
    <w:p w:rsidR="00691D99" w:rsidRDefault="00691D99" w:rsidP="00C55D66">
      <w:r>
        <w:lastRenderedPageBreak/>
        <w:t>C</w:t>
      </w:r>
      <w:r w:rsidRPr="001C6B49">
        <w:t xml:space="preserve">ertolizumab pegol </w:t>
      </w:r>
      <w:r>
        <w:t xml:space="preserve">(listed on 1 September 2014) </w:t>
      </w:r>
      <w:r w:rsidRPr="001C6B49">
        <w:t>approvals for this cohort</w:t>
      </w:r>
      <w:r>
        <w:t xml:space="preserve"> were included in the analysis. This means that patient</w:t>
      </w:r>
      <w:r w:rsidR="004B51E1">
        <w:t>s who initiate therapy on certolizumab are not included in the analysis</w:t>
      </w:r>
      <w:r w:rsidR="006B42B6">
        <w:t xml:space="preserve"> </w:t>
      </w:r>
      <w:r w:rsidR="004B51E1">
        <w:t>but patients who switch to</w:t>
      </w:r>
      <w:r>
        <w:t xml:space="preserve"> c</w:t>
      </w:r>
      <w:r w:rsidRPr="001C6B49">
        <w:t>ertolizumab pegol</w:t>
      </w:r>
      <w:r>
        <w:t xml:space="preserve"> </w:t>
      </w:r>
      <w:r w:rsidR="004B51E1">
        <w:t>are included</w:t>
      </w:r>
      <w:r w:rsidRPr="001C6B49">
        <w:t>.</w:t>
      </w:r>
    </w:p>
    <w:p w:rsidR="00C55D66" w:rsidRDefault="00C55D66" w:rsidP="00C55D66">
      <w:r w:rsidRPr="00AF6ACC">
        <w:rPr>
          <w:rFonts w:eastAsia="Calibri" w:cs="Times New Roman"/>
        </w:rPr>
        <w:t xml:space="preserve">Data </w:t>
      </w:r>
      <w:r>
        <w:rPr>
          <w:rFonts w:eastAsia="Calibri" w:cs="Times New Roman"/>
        </w:rPr>
        <w:t xml:space="preserve">analysis </w:t>
      </w:r>
      <w:r w:rsidRPr="00AF6ACC">
        <w:rPr>
          <w:rFonts w:eastAsia="Calibri" w:cs="Times New Roman"/>
        </w:rPr>
        <w:t>was undertaken using SAS.</w:t>
      </w:r>
      <w:r w:rsidRPr="00683A1F">
        <w:rPr>
          <w:rFonts w:eastAsia="Calibri" w:cs="Times New Roman"/>
        </w:rPr>
        <w:t xml:space="preserve"> </w:t>
      </w:r>
      <w:r>
        <w:t>As this analysis uses date of supply prescription data, there may be small differences compared with publicly available Department of Human Services (DHS) PBS date of processing data.</w:t>
      </w:r>
      <w:r>
        <w:rPr>
          <w:rStyle w:val="FootnoteReference"/>
        </w:rPr>
        <w:footnoteReference w:id="10"/>
      </w:r>
      <w:r>
        <w:t xml:space="preserve"> </w:t>
      </w:r>
    </w:p>
    <w:p w:rsidR="009E4862" w:rsidRDefault="009E4862">
      <w:pPr>
        <w:spacing w:line="276" w:lineRule="auto"/>
        <w:rPr>
          <w:b/>
          <w:i/>
          <w:sz w:val="32"/>
          <w:szCs w:val="32"/>
        </w:rPr>
      </w:pPr>
      <w:r>
        <w:br w:type="page"/>
      </w:r>
    </w:p>
    <w:p w:rsidR="00C714D0" w:rsidRPr="001B1F2E" w:rsidRDefault="00C714D0" w:rsidP="003C5D85">
      <w:pPr>
        <w:pStyle w:val="Heading4"/>
        <w:rPr>
          <w:i w:val="0"/>
        </w:rPr>
      </w:pPr>
      <w:r w:rsidRPr="001B1F2E">
        <w:rPr>
          <w:i w:val="0"/>
        </w:rPr>
        <w:lastRenderedPageBreak/>
        <w:t>Results</w:t>
      </w:r>
    </w:p>
    <w:p w:rsidR="00736041" w:rsidRPr="001B1F2E" w:rsidRDefault="001B5D37" w:rsidP="003C5D85">
      <w:pPr>
        <w:pStyle w:val="Heading3"/>
        <w:rPr>
          <w:i w:val="0"/>
          <w:sz w:val="28"/>
        </w:rPr>
      </w:pPr>
      <w:r w:rsidRPr="001B1F2E">
        <w:rPr>
          <w:i w:val="0"/>
          <w:sz w:val="28"/>
        </w:rPr>
        <w:t xml:space="preserve">Analysis </w:t>
      </w:r>
      <w:r w:rsidR="00736041" w:rsidRPr="001B1F2E">
        <w:rPr>
          <w:i w:val="0"/>
          <w:sz w:val="28"/>
        </w:rPr>
        <w:t xml:space="preserve">of </w:t>
      </w:r>
      <w:r w:rsidR="0063631C" w:rsidRPr="001B1F2E">
        <w:rPr>
          <w:i w:val="0"/>
          <w:sz w:val="28"/>
        </w:rPr>
        <w:t>d</w:t>
      </w:r>
      <w:r w:rsidR="00E677DD" w:rsidRPr="001B1F2E">
        <w:rPr>
          <w:i w:val="0"/>
          <w:sz w:val="28"/>
        </w:rPr>
        <w:t xml:space="preserve">rug </w:t>
      </w:r>
      <w:r w:rsidR="0063631C" w:rsidRPr="001B1F2E">
        <w:rPr>
          <w:i w:val="0"/>
          <w:sz w:val="28"/>
        </w:rPr>
        <w:t>u</w:t>
      </w:r>
      <w:r w:rsidR="00E677DD" w:rsidRPr="001B1F2E">
        <w:rPr>
          <w:i w:val="0"/>
          <w:sz w:val="28"/>
        </w:rPr>
        <w:t>tilisation</w:t>
      </w:r>
    </w:p>
    <w:p w:rsidR="00133CDC" w:rsidRPr="001B1F2E" w:rsidRDefault="00133CDC" w:rsidP="003C5D85">
      <w:pPr>
        <w:pStyle w:val="Heading2"/>
        <w:rPr>
          <w:i/>
        </w:rPr>
      </w:pPr>
      <w:r w:rsidRPr="001B1F2E">
        <w:rPr>
          <w:i/>
        </w:rPr>
        <w:t>Prescription Counts</w:t>
      </w:r>
    </w:p>
    <w:p w:rsidR="00133CDC" w:rsidRDefault="00133CDC" w:rsidP="00133CDC">
      <w:r>
        <w:t xml:space="preserve">Figure 1 </w:t>
      </w:r>
      <w:r w:rsidR="00C55D66">
        <w:t>shows</w:t>
      </w:r>
      <w:r w:rsidR="00391448">
        <w:t xml:space="preserve"> </w:t>
      </w:r>
      <w:r>
        <w:t xml:space="preserve">the total number of prescriptions dispensed for the </w:t>
      </w:r>
      <w:r w:rsidR="00C55D66">
        <w:t xml:space="preserve">five </w:t>
      </w:r>
      <w:r>
        <w:t xml:space="preserve">bDMARDs listed on the PBS for ankylosing spondylitis </w:t>
      </w:r>
      <w:r w:rsidR="00C55D66">
        <w:t xml:space="preserve">up until the end of September </w:t>
      </w:r>
      <w:r>
        <w:t xml:space="preserve">2015. As infliximab is listed in Section 100, data on </w:t>
      </w:r>
      <w:r w:rsidR="00C55D66">
        <w:t xml:space="preserve">prescriptions supplied in </w:t>
      </w:r>
      <w:r>
        <w:t>public hospital</w:t>
      </w:r>
      <w:r w:rsidR="00C55D66">
        <w:t>s was</w:t>
      </w:r>
      <w:r>
        <w:t xml:space="preserve"> only available from quarter 3 2013. </w:t>
      </w:r>
      <w:r w:rsidR="00C55D66">
        <w:t>Prior to this</w:t>
      </w:r>
      <w:r>
        <w:t xml:space="preserve"> </w:t>
      </w:r>
      <w:r w:rsidR="00C55D66">
        <w:t xml:space="preserve">the number </w:t>
      </w:r>
      <w:r>
        <w:t>of public hospital prescriptions</w:t>
      </w:r>
      <w:r w:rsidR="00C55D66">
        <w:t xml:space="preserve"> was estimated based</w:t>
      </w:r>
      <w:r>
        <w:t xml:space="preserve"> on </w:t>
      </w:r>
      <w:r w:rsidR="00C55D66">
        <w:t xml:space="preserve">the number of packs recorded in the DUSC HSD </w:t>
      </w:r>
      <w:r w:rsidR="00422B69">
        <w:t>database</w:t>
      </w:r>
      <w:r>
        <w:t>.</w:t>
      </w:r>
    </w:p>
    <w:p w:rsidR="00027F55" w:rsidRPr="00027F55" w:rsidRDefault="00027F55" w:rsidP="00027F55">
      <w:r w:rsidRPr="00027F55">
        <w:rPr>
          <w:noProof/>
          <w:sz w:val="22"/>
        </w:rPr>
        <w:drawing>
          <wp:inline distT="0" distB="0" distL="0" distR="0" wp14:anchorId="47F42C08" wp14:editId="7D4A0871">
            <wp:extent cx="5411972" cy="4125433"/>
            <wp:effectExtent l="0" t="0" r="17780" b="27940"/>
            <wp:docPr id="19" name="Chart 19" title="Figure 1 – bDMARD prescriptions for ankylosing spondylitis, 2004-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3CDC" w:rsidRPr="003F50BC" w:rsidRDefault="00133CDC" w:rsidP="003F50BC">
      <w:pPr>
        <w:pStyle w:val="Figuretitle"/>
      </w:pPr>
      <w:r w:rsidRPr="003F50BC">
        <w:t>Figure 1 – bDMARD prescriptions for ankylosing spondylitis, 2004-2015</w:t>
      </w:r>
    </w:p>
    <w:p w:rsidR="00133CDC" w:rsidRDefault="00133CDC" w:rsidP="001B1F2E">
      <w:pPr>
        <w:pStyle w:val="Figurecaption"/>
        <w:spacing w:before="0" w:after="200"/>
      </w:pPr>
      <w:r>
        <w:t xml:space="preserve">Source: </w:t>
      </w:r>
      <w:r w:rsidR="007A68A0">
        <w:t xml:space="preserve">DHS </w:t>
      </w:r>
      <w:r w:rsidR="003B5C38">
        <w:t>Prescription</w:t>
      </w:r>
      <w:r w:rsidR="007A68A0">
        <w:t xml:space="preserve"> </w:t>
      </w:r>
      <w:r>
        <w:t>database</w:t>
      </w:r>
      <w:r w:rsidR="00D877E3">
        <w:t>,</w:t>
      </w:r>
      <w:r w:rsidR="007A68A0">
        <w:t xml:space="preserve"> and DUSC HSD database for infliximab packs prior to 2013 Q3 which were used to estimate infliximab prescriptions</w:t>
      </w:r>
      <w:r>
        <w:t xml:space="preserve">, extracted </w:t>
      </w:r>
      <w:r w:rsidR="0098615A">
        <w:t>September</w:t>
      </w:r>
      <w:r>
        <w:t xml:space="preserve"> 2015</w:t>
      </w:r>
    </w:p>
    <w:p w:rsidR="00133CDC" w:rsidRDefault="00133CDC" w:rsidP="00133CDC">
      <w:r>
        <w:t>The figure shows sharp increases for etanercept, adalimumab</w:t>
      </w:r>
      <w:r w:rsidR="00422B69">
        <w:t xml:space="preserve">, </w:t>
      </w:r>
      <w:r>
        <w:t xml:space="preserve">golimumab </w:t>
      </w:r>
      <w:r w:rsidR="00422B69">
        <w:t xml:space="preserve">and certolizumab pegol </w:t>
      </w:r>
      <w:r>
        <w:t xml:space="preserve">in the period immediately after their listing. The increases have continued for adalimumab and golimumab. The number of etanercept </w:t>
      </w:r>
      <w:r w:rsidR="003876D7">
        <w:t xml:space="preserve">prescriptions </w:t>
      </w:r>
      <w:r>
        <w:t xml:space="preserve">decreased in the period immediately before the listing of golimumab, and has increased at a slower rate since that time. </w:t>
      </w:r>
    </w:p>
    <w:p w:rsidR="009E4862" w:rsidRDefault="009E4862">
      <w:pPr>
        <w:spacing w:line="276" w:lineRule="auto"/>
        <w:rPr>
          <w:b/>
        </w:rPr>
      </w:pPr>
      <w:r>
        <w:br w:type="page"/>
      </w:r>
    </w:p>
    <w:p w:rsidR="00F262A7" w:rsidRPr="001B1F2E" w:rsidRDefault="00F262A7" w:rsidP="003C5D85">
      <w:pPr>
        <w:pStyle w:val="Heading2"/>
        <w:rPr>
          <w:i/>
        </w:rPr>
      </w:pPr>
      <w:r w:rsidRPr="001B1F2E">
        <w:rPr>
          <w:i/>
        </w:rPr>
        <w:lastRenderedPageBreak/>
        <w:t>Number of patients</w:t>
      </w:r>
    </w:p>
    <w:p w:rsidR="00F262A7" w:rsidRDefault="00133CDC" w:rsidP="00F262A7">
      <w:pPr>
        <w:spacing w:line="276" w:lineRule="auto"/>
      </w:pPr>
      <w:r>
        <w:t>Figure 2</w:t>
      </w:r>
      <w:r w:rsidR="00F262A7">
        <w:t xml:space="preserve"> provides the number of new and prevalent patients receiving bDMARD treatment for ankylosing spondylitis per calendar year since listing on 1 August 2004.</w:t>
      </w:r>
    </w:p>
    <w:p w:rsidR="00F262A7" w:rsidRDefault="00F262A7" w:rsidP="00F262A7">
      <w:pPr>
        <w:spacing w:line="276" w:lineRule="auto"/>
      </w:pPr>
      <w:r>
        <w:rPr>
          <w:noProof/>
        </w:rPr>
        <w:drawing>
          <wp:inline distT="0" distB="0" distL="0" distR="0" wp14:anchorId="1C32D994" wp14:editId="65D1C646">
            <wp:extent cx="5957047" cy="4007224"/>
            <wp:effectExtent l="0" t="0" r="24765" b="12700"/>
            <wp:docPr id="9" name="Chart 9" title="Figure 2 – New and prevalent patients receiving bDMARD treatment by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6A0B" w:rsidRDefault="00133CDC" w:rsidP="003F50BC">
      <w:pPr>
        <w:pStyle w:val="Figuretitle"/>
      </w:pPr>
      <w:r>
        <w:t>Figure 2</w:t>
      </w:r>
      <w:r w:rsidR="00FC6A0B">
        <w:t xml:space="preserve"> – New and prevalent patients receivin</w:t>
      </w:r>
      <w:r w:rsidR="00F564C4">
        <w:t>g bDMARD treatment by year</w:t>
      </w:r>
    </w:p>
    <w:p w:rsidR="00F262A7" w:rsidRDefault="00F262A7" w:rsidP="001B1F2E">
      <w:pPr>
        <w:pStyle w:val="Figurecaption"/>
        <w:spacing w:before="0" w:after="200"/>
      </w:pPr>
      <w:r>
        <w:t xml:space="preserve">Source: </w:t>
      </w:r>
      <w:r w:rsidR="006C344B">
        <w:t>DHS</w:t>
      </w:r>
      <w:r>
        <w:t xml:space="preserve"> Authorit</w:t>
      </w:r>
      <w:r w:rsidR="006C344B">
        <w:t>y Approvals d</w:t>
      </w:r>
      <w:r>
        <w:t>atabase, extracted August 2015</w:t>
      </w:r>
    </w:p>
    <w:p w:rsidR="0099143A" w:rsidRDefault="00F262A7" w:rsidP="00F262A7">
      <w:r>
        <w:t>The figure shows an increasing number of prevalent patients receiving bDMARD therapy, with no sign</w:t>
      </w:r>
      <w:r w:rsidR="003F2131">
        <w:t>s</w:t>
      </w:r>
      <w:r>
        <w:t xml:space="preserve"> of </w:t>
      </w:r>
      <w:r w:rsidR="003F2131">
        <w:t>plateauing</w:t>
      </w:r>
      <w:r>
        <w:t xml:space="preserve">. </w:t>
      </w:r>
      <w:r w:rsidR="003F2131" w:rsidRPr="006A7D55">
        <w:t xml:space="preserve">The number of patients </w:t>
      </w:r>
      <w:r w:rsidR="003F2131">
        <w:t xml:space="preserve">initiating </w:t>
      </w:r>
      <w:r w:rsidR="003F2131" w:rsidRPr="006A7D55">
        <w:t xml:space="preserve">bDMARD treatment for </w:t>
      </w:r>
      <w:r w:rsidR="003F2131">
        <w:t xml:space="preserve">AS </w:t>
      </w:r>
      <w:r w:rsidR="003F2131" w:rsidRPr="006A7D55">
        <w:t>per year has increased from 4</w:t>
      </w:r>
      <w:r w:rsidR="003F2131">
        <w:t>53</w:t>
      </w:r>
      <w:r w:rsidR="003F2131" w:rsidRPr="006A7D55">
        <w:t xml:space="preserve"> in 200</w:t>
      </w:r>
      <w:r w:rsidR="003F2131">
        <w:t>5</w:t>
      </w:r>
      <w:r w:rsidR="003F2131" w:rsidRPr="006A7D55">
        <w:t xml:space="preserve"> to 1,</w:t>
      </w:r>
      <w:r w:rsidR="003F2131">
        <w:t>190</w:t>
      </w:r>
      <w:r w:rsidR="003F2131" w:rsidRPr="006A7D55">
        <w:t xml:space="preserve"> in 2014.</w:t>
      </w:r>
      <w:r w:rsidR="003F2131">
        <w:t xml:space="preserve"> Each time a new drug is listed on the PBS there is a slight step up in the number of initiating patients followed by a plateauing. </w:t>
      </w:r>
      <w:r w:rsidR="004B51E1" w:rsidRPr="004B51E1">
        <w:t xml:space="preserve">This may be influenced by patient access programs and grandfathering of patients to PBS </w:t>
      </w:r>
      <w:r w:rsidR="006B42B6" w:rsidRPr="004B51E1">
        <w:t>subsidised</w:t>
      </w:r>
      <w:r w:rsidR="004B51E1" w:rsidRPr="004B51E1">
        <w:t xml:space="preserve"> supply following listing.</w:t>
      </w:r>
    </w:p>
    <w:p w:rsidR="00F262A7" w:rsidRPr="002C10A1" w:rsidRDefault="000726FC" w:rsidP="00F262A7">
      <w:r>
        <w:t xml:space="preserve">Figure </w:t>
      </w:r>
      <w:r w:rsidR="00861752">
        <w:t>A</w:t>
      </w:r>
      <w:r>
        <w:t xml:space="preserve">.1 in </w:t>
      </w:r>
      <w:r w:rsidR="0099143A">
        <w:t xml:space="preserve">Appendix </w:t>
      </w:r>
      <w:r w:rsidR="00861752">
        <w:t>A</w:t>
      </w:r>
      <w:r w:rsidR="0099143A">
        <w:t xml:space="preserve"> shows an alternative version of </w:t>
      </w:r>
      <w:r w:rsidR="003F2131">
        <w:t xml:space="preserve">Figure 2 using quarterly data based on supplied </w:t>
      </w:r>
      <w:r w:rsidR="003876D7">
        <w:t xml:space="preserve">prescriptions </w:t>
      </w:r>
      <w:r w:rsidR="003F2131">
        <w:t xml:space="preserve">to give a more detailed picture of the recent trends in 2014 and 2015. </w:t>
      </w:r>
      <w:r w:rsidR="006C344B">
        <w:t xml:space="preserve">The initiating patient increase in 2014 does not appear to be as pronounced in the </w:t>
      </w:r>
      <w:r w:rsidR="006C344B" w:rsidRPr="002C10A1">
        <w:t>quarterly data.</w:t>
      </w:r>
    </w:p>
    <w:p w:rsidR="00F262A7" w:rsidRDefault="00133CDC" w:rsidP="00F262A7">
      <w:r>
        <w:t>Figure 3</w:t>
      </w:r>
      <w:r w:rsidR="00F262A7">
        <w:t xml:space="preserve"> provides the number of patients initiating bDMARD </w:t>
      </w:r>
      <w:r w:rsidR="0006090E">
        <w:t xml:space="preserve">therapy for AS </w:t>
      </w:r>
      <w:r w:rsidR="00F262A7">
        <w:t xml:space="preserve">by </w:t>
      </w:r>
      <w:r w:rsidR="0006090E">
        <w:t xml:space="preserve">the </w:t>
      </w:r>
      <w:r w:rsidR="00F262A7">
        <w:t xml:space="preserve">drug </w:t>
      </w:r>
      <w:r w:rsidR="0006090E">
        <w:t>used to initiate therapy</w:t>
      </w:r>
      <w:r w:rsidR="00F262A7">
        <w:t>.</w:t>
      </w:r>
    </w:p>
    <w:p w:rsidR="00F262A7" w:rsidRDefault="00A90042" w:rsidP="00F262A7">
      <w:r>
        <w:rPr>
          <w:noProof/>
        </w:rPr>
        <w:lastRenderedPageBreak/>
        <w:drawing>
          <wp:inline distT="0" distB="0" distL="0" distR="0" wp14:anchorId="3BB05E85" wp14:editId="7826EE27">
            <wp:extent cx="5687695" cy="3706724"/>
            <wp:effectExtent l="0" t="0" r="27305" b="27305"/>
            <wp:docPr id="12" name="Chart 12" title="Figure 3 – bDMARD therapy initiations for ankylosing spondylitis by drug used to initiate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6A0B" w:rsidRDefault="00133CDC" w:rsidP="003F50BC">
      <w:pPr>
        <w:pStyle w:val="Figuretitle"/>
      </w:pPr>
      <w:r>
        <w:t>Figure 3</w:t>
      </w:r>
      <w:r w:rsidR="00FC6A0B">
        <w:t xml:space="preserve"> –</w:t>
      </w:r>
      <w:r w:rsidR="00C36831">
        <w:t xml:space="preserve"> bDMARD</w:t>
      </w:r>
      <w:r w:rsidR="0006090E">
        <w:t xml:space="preserve"> therapy </w:t>
      </w:r>
      <w:r w:rsidR="00886FEA">
        <w:t>initiations for ankylosing spondylitis</w:t>
      </w:r>
      <w:r w:rsidR="00FC6A0B">
        <w:t xml:space="preserve"> by drug</w:t>
      </w:r>
      <w:r w:rsidR="0006090E">
        <w:t xml:space="preserve"> used to initiate therapy</w:t>
      </w:r>
    </w:p>
    <w:p w:rsidR="00F262A7" w:rsidRDefault="00F262A7" w:rsidP="001B1F2E">
      <w:pPr>
        <w:pStyle w:val="Figurecaption"/>
        <w:spacing w:before="0" w:after="200"/>
      </w:pPr>
      <w:r>
        <w:t xml:space="preserve">Source: </w:t>
      </w:r>
      <w:r w:rsidR="0006090E">
        <w:t>DHS</w:t>
      </w:r>
      <w:r>
        <w:t xml:space="preserve"> Authority Approvals Database, extracted </w:t>
      </w:r>
      <w:r w:rsidR="00A17C5C">
        <w:t>August</w:t>
      </w:r>
      <w:r>
        <w:t xml:space="preserve"> 2015</w:t>
      </w:r>
    </w:p>
    <w:p w:rsidR="00F262A7" w:rsidRDefault="00F262A7" w:rsidP="00C10C2C">
      <w:r>
        <w:t xml:space="preserve">The number of patients initiating a bDMARD for </w:t>
      </w:r>
      <w:r w:rsidR="0006090E">
        <w:t xml:space="preserve">AS on adalimumab or golimumab </w:t>
      </w:r>
      <w:r>
        <w:t>has increased substantially.</w:t>
      </w:r>
      <w:r w:rsidR="00A90042">
        <w:t xml:space="preserve"> </w:t>
      </w:r>
      <w:r w:rsidR="0006090E">
        <w:t xml:space="preserve">The number of patients </w:t>
      </w:r>
      <w:r w:rsidR="00A90042">
        <w:t>ini</w:t>
      </w:r>
      <w:r w:rsidR="00C36831">
        <w:t xml:space="preserve">tiating </w:t>
      </w:r>
      <w:r w:rsidR="0006090E">
        <w:t xml:space="preserve">on </w:t>
      </w:r>
      <w:r w:rsidR="00C36831">
        <w:t xml:space="preserve">etanercept </w:t>
      </w:r>
      <w:r w:rsidR="0006090E">
        <w:t>start</w:t>
      </w:r>
      <w:r w:rsidR="00EB1E1C">
        <w:t>ed</w:t>
      </w:r>
      <w:r w:rsidR="0006090E">
        <w:t xml:space="preserve"> to decline </w:t>
      </w:r>
      <w:r w:rsidR="00EB1E1C">
        <w:t xml:space="preserve">when </w:t>
      </w:r>
      <w:r w:rsidR="00C36831">
        <w:t>adalimumab was listed</w:t>
      </w:r>
      <w:r w:rsidR="00A90042">
        <w:t>.</w:t>
      </w:r>
      <w:r>
        <w:t xml:space="preserve"> Th</w:t>
      </w:r>
      <w:r w:rsidR="00EB1E1C">
        <w:t>e number</w:t>
      </w:r>
      <w:r>
        <w:t xml:space="preserve"> initiating </w:t>
      </w:r>
      <w:r w:rsidR="00EB1E1C">
        <w:t xml:space="preserve">infliximab </w:t>
      </w:r>
      <w:r>
        <w:t xml:space="preserve">has </w:t>
      </w:r>
      <w:r w:rsidR="00427B44">
        <w:t>decreased over time as more subcutaneous bDMARDs</w:t>
      </w:r>
      <w:r w:rsidR="009E35C7">
        <w:t>, with less frequent dosing,</w:t>
      </w:r>
      <w:r w:rsidR="00427B44">
        <w:t xml:space="preserve"> were listed</w:t>
      </w:r>
      <w:r w:rsidR="00EB1E1C">
        <w:t>.</w:t>
      </w:r>
    </w:p>
    <w:p w:rsidR="00C10C2C" w:rsidRDefault="000726FC" w:rsidP="00C10C2C">
      <w:r>
        <w:t xml:space="preserve">Figure </w:t>
      </w:r>
      <w:r w:rsidR="00861752">
        <w:t>A</w:t>
      </w:r>
      <w:r>
        <w:t>.2 in A</w:t>
      </w:r>
      <w:r w:rsidR="00C10C2C">
        <w:t xml:space="preserve">ppendix </w:t>
      </w:r>
      <w:r w:rsidR="00861752">
        <w:t>A</w:t>
      </w:r>
      <w:r w:rsidR="00C10C2C">
        <w:t xml:space="preserve"> shows </w:t>
      </w:r>
      <w:r w:rsidR="00661534">
        <w:t>an</w:t>
      </w:r>
      <w:r w:rsidR="0099143A">
        <w:t xml:space="preserve"> alternative version of </w:t>
      </w:r>
      <w:r w:rsidR="00C10C2C">
        <w:t xml:space="preserve">Figure 3 using quarterly data based on supplied </w:t>
      </w:r>
      <w:r w:rsidR="003876D7">
        <w:t xml:space="preserve">prescriptions </w:t>
      </w:r>
      <w:r w:rsidR="00C10C2C">
        <w:t>to give a more detailed picture of the recent trends in 2014 and 2015.</w:t>
      </w:r>
      <w:r w:rsidR="009E35C7">
        <w:t xml:space="preserve"> </w:t>
      </w:r>
      <w:r w:rsidR="0099143A">
        <w:t xml:space="preserve">It can be seen that the increase in therapy </w:t>
      </w:r>
      <w:r w:rsidR="009E35C7">
        <w:t>initiations</w:t>
      </w:r>
      <w:r w:rsidR="0099143A">
        <w:t xml:space="preserve"> on adalimumab and golimumab occurred just prior to the listing of certolizumab pegol in 2014 Q3.</w:t>
      </w:r>
    </w:p>
    <w:p w:rsidR="00661534" w:rsidRDefault="00661534" w:rsidP="00661534">
      <w:r>
        <w:t>Figure 4 presents the number of prevalent patients on a bDMARD for AS at any time in the calendar year. As patients may be treated with more than one bDMARD in any year, adding patient numbers across drugs will double count some patients. The correct number of total prevalent patients is shown in Figure 2.</w:t>
      </w:r>
    </w:p>
    <w:p w:rsidR="00C10C2C" w:rsidRDefault="00C10C2C" w:rsidP="00C10C2C"/>
    <w:p w:rsidR="00F75746" w:rsidRDefault="00F75746" w:rsidP="00F75746">
      <w:pPr>
        <w:pStyle w:val="Figurecaption"/>
      </w:pPr>
      <w:r>
        <w:rPr>
          <w:noProof/>
          <w:lang w:eastAsia="en-AU"/>
        </w:rPr>
        <w:lastRenderedPageBreak/>
        <w:drawing>
          <wp:inline distT="0" distB="0" distL="0" distR="0" wp14:anchorId="088B4635" wp14:editId="62111247">
            <wp:extent cx="5648325" cy="4295775"/>
            <wp:effectExtent l="0" t="0" r="9525" b="9525"/>
            <wp:docPr id="14" name="Chart 14" title="Figure 4 – Prevalent patients by bDMARD and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6A0B" w:rsidRDefault="00AB4F8E" w:rsidP="003F50BC">
      <w:pPr>
        <w:pStyle w:val="Figuretitle"/>
      </w:pPr>
      <w:r>
        <w:t>Figure 4</w:t>
      </w:r>
      <w:r w:rsidR="00FC6A0B">
        <w:t xml:space="preserve"> – Prevalent patients by bDMARD</w:t>
      </w:r>
      <w:r w:rsidR="00164CCE">
        <w:t xml:space="preserve"> and year</w:t>
      </w:r>
    </w:p>
    <w:p w:rsidR="00F75746" w:rsidRDefault="00F75746" w:rsidP="001B1F2E">
      <w:pPr>
        <w:pStyle w:val="Figurecaption"/>
        <w:spacing w:before="0" w:after="200"/>
      </w:pPr>
      <w:r>
        <w:t xml:space="preserve">Source: </w:t>
      </w:r>
      <w:r w:rsidR="00C10C2C">
        <w:t>DHS</w:t>
      </w:r>
      <w:r>
        <w:t xml:space="preserve"> Authority Approvals database, extracted </w:t>
      </w:r>
      <w:r w:rsidR="00A17C5C">
        <w:t>August</w:t>
      </w:r>
      <w:r>
        <w:t xml:space="preserve"> 2015.</w:t>
      </w:r>
    </w:p>
    <w:p w:rsidR="000726FC" w:rsidRDefault="00F75746" w:rsidP="00F262A7">
      <w:r>
        <w:t xml:space="preserve">The number of patients receiving authorities for all </w:t>
      </w:r>
      <w:r w:rsidR="00997E5B">
        <w:t xml:space="preserve">bDMARDs except infliximab, continue </w:t>
      </w:r>
      <w:r w:rsidR="002C10A1">
        <w:t>to rise and show no sign</w:t>
      </w:r>
      <w:r w:rsidR="00997E5B">
        <w:t>s</w:t>
      </w:r>
      <w:r w:rsidR="002C10A1">
        <w:t xml:space="preserve"> of plateauing.</w:t>
      </w:r>
    </w:p>
    <w:p w:rsidR="000726FC" w:rsidRDefault="00861752" w:rsidP="000726FC">
      <w:r>
        <w:t>Figure A.3 in Appendix A</w:t>
      </w:r>
      <w:r w:rsidR="000726FC">
        <w:t xml:space="preserve"> shows an alternative version of Figure 3 using quarterly data based on supplied </w:t>
      </w:r>
      <w:r w:rsidR="003876D7">
        <w:t xml:space="preserve">prescriptions </w:t>
      </w:r>
      <w:r w:rsidR="000726FC">
        <w:t>to give a more detailed picture of the recent trends in 2014 and 2015. It shows that the prevalent patient trends of the other drugs do not appear to have been impacted by the listing of certoliz</w:t>
      </w:r>
      <w:r w:rsidR="00A95D62">
        <w:t>umab pegol on 1 September 2014.</w:t>
      </w:r>
    </w:p>
    <w:p w:rsidR="00114A42" w:rsidRDefault="00114A42">
      <w:pPr>
        <w:spacing w:line="276" w:lineRule="auto"/>
      </w:pPr>
      <w:r>
        <w:br w:type="page"/>
      </w:r>
    </w:p>
    <w:p w:rsidR="00114A42" w:rsidRPr="00133CDC" w:rsidRDefault="00114A42" w:rsidP="00114A42">
      <w:pPr>
        <w:rPr>
          <w:b/>
          <w:i/>
        </w:rPr>
      </w:pPr>
      <w:r>
        <w:rPr>
          <w:b/>
          <w:i/>
        </w:rPr>
        <w:lastRenderedPageBreak/>
        <w:t>Patient Age and Gender analysis</w:t>
      </w:r>
    </w:p>
    <w:p w:rsidR="003B0809" w:rsidRPr="00F262A7" w:rsidRDefault="00F3145C" w:rsidP="003B0809">
      <w:r>
        <w:rPr>
          <w:noProof/>
        </w:rPr>
        <w:drawing>
          <wp:inline distT="0" distB="0" distL="0" distR="0" wp14:anchorId="43F72262" wp14:editId="7AEED55A">
            <wp:extent cx="5687695" cy="3703686"/>
            <wp:effectExtent l="0" t="0" r="27305" b="11430"/>
            <wp:docPr id="1" name="Chart 1" title="Figure 5 –Patients on bDMARD therapy by age group and gender (supplied a bDMARD prescription in 2015Q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4D45" w:rsidRPr="0048755F" w:rsidRDefault="00F3145C" w:rsidP="001B1F2E">
      <w:pPr>
        <w:pStyle w:val="Figuretitle"/>
        <w:spacing w:before="0" w:after="200"/>
        <w:rPr>
          <w:b w:val="0"/>
          <w:sz w:val="20"/>
        </w:rPr>
      </w:pPr>
      <w:r>
        <w:t>Figure 5 –Patients on bDMARD therapy by age group and gender (supplied a bDMARD prescription in 2015Q3</w:t>
      </w:r>
      <w:r w:rsidR="00761456">
        <w:t xml:space="preserve">) </w:t>
      </w:r>
      <w:r w:rsidR="00164D45">
        <w:br/>
      </w:r>
      <w:r w:rsidR="00164D45" w:rsidRPr="0048755F">
        <w:rPr>
          <w:b w:val="0"/>
          <w:sz w:val="20"/>
        </w:rPr>
        <w:t>Source: DHS Prescriptions Claims database, based on date of supply</w:t>
      </w:r>
    </w:p>
    <w:p w:rsidR="00557960" w:rsidRDefault="00F3145C" w:rsidP="00557960">
      <w:r>
        <w:t>Figure 5 shows that the most common age of patients receiving a supply in 2015 Q3 was 40-44 years. It also shows that the number of female patients (</w:t>
      </w:r>
      <w:r w:rsidR="00AB4F8E">
        <w:t>2</w:t>
      </w:r>
      <w:r w:rsidR="00F92548">
        <w:t>,</w:t>
      </w:r>
      <w:r w:rsidR="00AB4F8E">
        <w:t>000</w:t>
      </w:r>
      <w:r>
        <w:t xml:space="preserve">) was less than </w:t>
      </w:r>
      <w:r w:rsidR="00A206A7">
        <w:t xml:space="preserve">half </w:t>
      </w:r>
      <w:r>
        <w:t>the number of males (4,</w:t>
      </w:r>
      <w:r w:rsidR="00AB4F8E">
        <w:t>207</w:t>
      </w:r>
      <w:r>
        <w:t>)</w:t>
      </w:r>
      <w:r w:rsidR="00186ED5">
        <w:t>, a</w:t>
      </w:r>
      <w:r w:rsidR="00AB4F8E">
        <w:t xml:space="preserve"> male to female prevalence ratio of 2.1</w:t>
      </w:r>
      <w:r w:rsidR="00186ED5">
        <w:t>.</w:t>
      </w:r>
    </w:p>
    <w:p w:rsidR="00557960" w:rsidRDefault="00A206A7" w:rsidP="00557960">
      <w:r>
        <w:t>F</w:t>
      </w:r>
      <w:r w:rsidR="00F3145C">
        <w:t xml:space="preserve">igure </w:t>
      </w:r>
      <w:r w:rsidR="00AB4F8E">
        <w:t>6</w:t>
      </w:r>
      <w:r w:rsidR="00F3145C">
        <w:t xml:space="preserve"> show</w:t>
      </w:r>
      <w:r>
        <w:t>s</w:t>
      </w:r>
      <w:r w:rsidR="00F3145C">
        <w:t xml:space="preserve"> the number of initiation</w:t>
      </w:r>
      <w:r>
        <w:t>s</w:t>
      </w:r>
      <w:r w:rsidR="00F3145C">
        <w:t xml:space="preserve"> to bDMARD therapy in the 12 months from 2014 Q4 to 2015 Q3.</w:t>
      </w:r>
      <w:r w:rsidR="00557960">
        <w:t xml:space="preserve"> The number of males (</w:t>
      </w:r>
      <w:r w:rsidR="00AB4F8E">
        <w:t>721</w:t>
      </w:r>
      <w:r w:rsidR="00557960">
        <w:t xml:space="preserve">) is only slightly more </w:t>
      </w:r>
      <w:r w:rsidR="00F862C5">
        <w:t xml:space="preserve">than </w:t>
      </w:r>
      <w:r w:rsidR="00557960">
        <w:t>the number of females (63</w:t>
      </w:r>
      <w:r w:rsidR="00AB4F8E">
        <w:t>2</w:t>
      </w:r>
      <w:r w:rsidR="00557960">
        <w:t>)</w:t>
      </w:r>
      <w:r w:rsidR="00186ED5">
        <w:t xml:space="preserve">, a male to female </w:t>
      </w:r>
      <w:r w:rsidR="00661534">
        <w:t>incidence</w:t>
      </w:r>
      <w:r w:rsidR="00186ED5">
        <w:t xml:space="preserve"> ratio of 1.1.</w:t>
      </w:r>
    </w:p>
    <w:p w:rsidR="00186ED5" w:rsidRPr="0048755F" w:rsidRDefault="00186ED5" w:rsidP="00186ED5">
      <w:pPr>
        <w:rPr>
          <w:sz w:val="20"/>
        </w:rPr>
      </w:pPr>
      <w:r>
        <w:rPr>
          <w:noProof/>
        </w:rPr>
        <w:lastRenderedPageBreak/>
        <w:drawing>
          <wp:inline distT="0" distB="0" distL="0" distR="0" wp14:anchorId="377BD009" wp14:editId="23E8CA27">
            <wp:extent cx="5687695" cy="3703686"/>
            <wp:effectExtent l="0" t="0" r="27305" b="11430"/>
            <wp:docPr id="5" name="Chart 5" title="Figure 6 –Patients initiating to bDMARD therapy by age group and gender in the 12 months from 2014 Q4 to 2015 Q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86ED5">
        <w:rPr>
          <w:b/>
        </w:rPr>
        <w:t>Figure 6 –Patients initiating to bDMARD therapy by age group and gender in the 12</w:t>
      </w:r>
      <w:r w:rsidR="00D877E3">
        <w:rPr>
          <w:b/>
        </w:rPr>
        <w:t> </w:t>
      </w:r>
      <w:r w:rsidRPr="00186ED5">
        <w:rPr>
          <w:b/>
        </w:rPr>
        <w:t>months from 2014 Q4 to 2015 Q3</w:t>
      </w:r>
      <w:r w:rsidRPr="00186ED5">
        <w:rPr>
          <w:b/>
        </w:rPr>
        <w:br/>
      </w:r>
      <w:r w:rsidRPr="0048755F">
        <w:rPr>
          <w:sz w:val="20"/>
        </w:rPr>
        <w:t>Source: DHS Prescriptions Claims database, based on date of supply</w:t>
      </w:r>
    </w:p>
    <w:p w:rsidR="00985DFE" w:rsidRDefault="00557960" w:rsidP="00557960">
      <w:r>
        <w:t xml:space="preserve">The reason for the difference in gender proportion between prevalent and initiating patients </w:t>
      </w:r>
      <w:r w:rsidR="00114A42">
        <w:t>is not known but may be due to</w:t>
      </w:r>
      <w:r w:rsidR="00985DFE">
        <w:t>;</w:t>
      </w:r>
    </w:p>
    <w:p w:rsidR="00557960" w:rsidRDefault="00557960" w:rsidP="00985DFE">
      <w:pPr>
        <w:pStyle w:val="ListParagraph"/>
        <w:numPr>
          <w:ilvl w:val="0"/>
          <w:numId w:val="25"/>
        </w:numPr>
      </w:pPr>
      <w:r>
        <w:t>the incidence of AS increasing for fema</w:t>
      </w:r>
      <w:r w:rsidR="00164D45">
        <w:t>les relative to males over time</w:t>
      </w:r>
      <w:r w:rsidR="00985DFE">
        <w:t>; or</w:t>
      </w:r>
    </w:p>
    <w:p w:rsidR="00A95D62" w:rsidRDefault="00A95D62" w:rsidP="00985DFE">
      <w:pPr>
        <w:pStyle w:val="ListParagraph"/>
        <w:numPr>
          <w:ilvl w:val="0"/>
          <w:numId w:val="25"/>
        </w:numPr>
      </w:pPr>
      <w:r>
        <w:t>the diagnosis and treatment rate increasing for females relative to males over time; or</w:t>
      </w:r>
    </w:p>
    <w:p w:rsidR="00985DFE" w:rsidRDefault="00985DFE" w:rsidP="00985DFE">
      <w:pPr>
        <w:pStyle w:val="ListParagraph"/>
        <w:numPr>
          <w:ilvl w:val="0"/>
          <w:numId w:val="25"/>
        </w:numPr>
      </w:pPr>
      <w:r>
        <w:t>males continuing on treatment for longer than females.</w:t>
      </w:r>
    </w:p>
    <w:p w:rsidR="00A95D62" w:rsidRDefault="00655B50" w:rsidP="00655B50">
      <w:r>
        <w:t xml:space="preserve">At the time that </w:t>
      </w:r>
      <w:r w:rsidR="00761456">
        <w:t>bDMARDs</w:t>
      </w:r>
      <w:r>
        <w:t xml:space="preserve"> were first available on the PBS it was understood that the prevalence of ankylosing spondylitis was higher in males than females. Although the condition is recognised as most frequently developing in young men, the male:female ratio has more recently been reported as 2-3:1</w:t>
      </w:r>
      <w:r>
        <w:rPr>
          <w:rStyle w:val="FootnoteReference"/>
        </w:rPr>
        <w:footnoteReference w:id="11"/>
      </w:r>
    </w:p>
    <w:p w:rsidR="00557960" w:rsidRDefault="00557960" w:rsidP="00970CC1"/>
    <w:p w:rsidR="00557960" w:rsidRDefault="00557960">
      <w:pPr>
        <w:spacing w:line="276" w:lineRule="auto"/>
        <w:rPr>
          <w:b/>
          <w:i/>
        </w:rPr>
      </w:pPr>
      <w:r>
        <w:rPr>
          <w:b/>
          <w:i/>
        </w:rPr>
        <w:br w:type="page"/>
      </w:r>
    </w:p>
    <w:p w:rsidR="00133CDC" w:rsidRPr="00133CDC" w:rsidRDefault="00133CDC" w:rsidP="00133CDC">
      <w:pPr>
        <w:rPr>
          <w:b/>
          <w:i/>
        </w:rPr>
      </w:pPr>
      <w:r w:rsidRPr="00133CDC">
        <w:rPr>
          <w:b/>
          <w:i/>
        </w:rPr>
        <w:lastRenderedPageBreak/>
        <w:t>Continuation</w:t>
      </w:r>
    </w:p>
    <w:p w:rsidR="00133CDC" w:rsidRDefault="000A3426" w:rsidP="00133CDC">
      <w:r>
        <w:t>Figure 7</w:t>
      </w:r>
      <w:r w:rsidR="00133CDC" w:rsidRPr="00133CDC">
        <w:t xml:space="preserve"> presents the proportion of bDMARD </w:t>
      </w:r>
      <w:r>
        <w:t xml:space="preserve">therapy initiating </w:t>
      </w:r>
      <w:r w:rsidR="00133CDC" w:rsidRPr="00133CDC">
        <w:t xml:space="preserve">patients who started treatment in 2012 by the number of approvals received. The 2012 calendar year cohort is presented to balance recent practice with an adequate period of follow-up data. A first authority approval generally provides sufficient therapy for 16 weeks (adalimumab, etanercept, golimumab) or </w:t>
      </w:r>
      <w:r w:rsidR="00D75C9B">
        <w:t>18</w:t>
      </w:r>
      <w:r w:rsidR="00133CDC" w:rsidRPr="00133CDC">
        <w:t xml:space="preserve"> weeks (infliximab). Continuing authority approvals generally provide 24 weeks of treatment.</w:t>
      </w:r>
    </w:p>
    <w:p w:rsidR="00A7640D" w:rsidRPr="00133CDC" w:rsidRDefault="00A7640D" w:rsidP="00133CDC">
      <w:r>
        <w:rPr>
          <w:noProof/>
        </w:rPr>
        <w:drawing>
          <wp:inline distT="0" distB="0" distL="0" distR="0" wp14:anchorId="34A00EB0" wp14:editId="7B604B94">
            <wp:extent cx="5687695" cy="2960518"/>
            <wp:effectExtent l="0" t="0" r="27305" b="11430"/>
            <wp:docPr id="17" name="Chart 17" title="Figure 7 - Continuation of bDMARDs for ankylosing spondylitis – patients initiating in 2012 (n=7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3CDC" w:rsidRPr="00D925A0" w:rsidRDefault="000A3426" w:rsidP="00133CDC">
      <w:pPr>
        <w:rPr>
          <w:rStyle w:val="FigurecaptionChar"/>
        </w:rPr>
      </w:pPr>
      <w:r>
        <w:rPr>
          <w:b/>
          <w:lang w:val="en-US"/>
        </w:rPr>
        <w:t>Figure 7</w:t>
      </w:r>
      <w:r w:rsidR="00BD7DFA">
        <w:rPr>
          <w:b/>
          <w:lang w:val="en-US"/>
        </w:rPr>
        <w:t xml:space="preserve"> -</w:t>
      </w:r>
      <w:r w:rsidR="00133CDC" w:rsidRPr="00133CDC">
        <w:rPr>
          <w:b/>
          <w:lang w:val="en-US"/>
        </w:rPr>
        <w:t xml:space="preserve"> Continuation of bDMARDs for </w:t>
      </w:r>
      <w:r w:rsidR="001C6B49">
        <w:rPr>
          <w:b/>
          <w:lang w:val="en-US"/>
        </w:rPr>
        <w:t>ankylosing spondylitis</w:t>
      </w:r>
      <w:r w:rsidR="00133CDC" w:rsidRPr="00133CDC">
        <w:rPr>
          <w:b/>
          <w:lang w:val="en-US"/>
        </w:rPr>
        <w:t xml:space="preserve"> – </w:t>
      </w:r>
      <w:r>
        <w:rPr>
          <w:b/>
          <w:lang w:val="en-US"/>
        </w:rPr>
        <w:t>patient</w:t>
      </w:r>
      <w:r w:rsidR="00655B50">
        <w:rPr>
          <w:b/>
          <w:lang w:val="en-US"/>
        </w:rPr>
        <w:t>s</w:t>
      </w:r>
      <w:r>
        <w:rPr>
          <w:b/>
          <w:lang w:val="en-US"/>
        </w:rPr>
        <w:t xml:space="preserve"> initiating in 2012 </w:t>
      </w:r>
      <w:r w:rsidR="00133CDC" w:rsidRPr="00133CDC">
        <w:rPr>
          <w:b/>
          <w:lang w:val="en-US"/>
        </w:rPr>
        <w:t>(n=</w:t>
      </w:r>
      <w:r w:rsidR="001C6B49">
        <w:rPr>
          <w:b/>
          <w:lang w:val="en-US"/>
        </w:rPr>
        <w:t>780</w:t>
      </w:r>
      <w:r w:rsidR="00761456" w:rsidRPr="00133CDC">
        <w:rPr>
          <w:b/>
          <w:lang w:val="en-US"/>
        </w:rPr>
        <w:t xml:space="preserve">) </w:t>
      </w:r>
      <w:r w:rsidR="00133CDC" w:rsidRPr="00133CDC">
        <w:br/>
      </w:r>
      <w:r w:rsidR="00133CDC" w:rsidRPr="00133CDC">
        <w:rPr>
          <w:rStyle w:val="FigurecaptionChar"/>
        </w:rPr>
        <w:t xml:space="preserve">Source: DHS Authority Approvals database, </w:t>
      </w:r>
      <w:r w:rsidR="0087142C">
        <w:rPr>
          <w:rStyle w:val="FigurecaptionChar"/>
        </w:rPr>
        <w:t>approval date up until the end of October</w:t>
      </w:r>
      <w:r w:rsidR="00133CDC" w:rsidRPr="00133CDC">
        <w:rPr>
          <w:rStyle w:val="FigurecaptionChar"/>
        </w:rPr>
        <w:t xml:space="preserve"> 2015</w:t>
      </w:r>
      <w:r w:rsidR="00133CDC" w:rsidRPr="00133CDC">
        <w:br/>
      </w:r>
      <w:r w:rsidR="00133CDC" w:rsidRPr="00C00409">
        <w:rPr>
          <w:rStyle w:val="FigurecaptionChar"/>
        </w:rPr>
        <w:t xml:space="preserve">Note: Analysis </w:t>
      </w:r>
      <w:r>
        <w:rPr>
          <w:rStyle w:val="FigurecaptionChar"/>
        </w:rPr>
        <w:t xml:space="preserve">truncated </w:t>
      </w:r>
      <w:r w:rsidR="00133CDC" w:rsidRPr="00C00409">
        <w:rPr>
          <w:rStyle w:val="FigurecaptionChar"/>
        </w:rPr>
        <w:t xml:space="preserve">at </w:t>
      </w:r>
      <w:r w:rsidR="00A7640D">
        <w:rPr>
          <w:rStyle w:val="FigurecaptionChar"/>
        </w:rPr>
        <w:t>fifth</w:t>
      </w:r>
      <w:r>
        <w:rPr>
          <w:rStyle w:val="FigurecaptionChar"/>
        </w:rPr>
        <w:t xml:space="preserve"> a</w:t>
      </w:r>
      <w:r w:rsidR="00133CDC" w:rsidRPr="00C00409">
        <w:rPr>
          <w:rStyle w:val="FigurecaptionChar"/>
        </w:rPr>
        <w:t xml:space="preserve">uthority approval. </w:t>
      </w:r>
      <w:r w:rsidR="00295F69">
        <w:rPr>
          <w:rStyle w:val="FigurecaptionChar"/>
        </w:rPr>
        <w:t>Some p</w:t>
      </w:r>
      <w:r w:rsidR="00133CDC" w:rsidRPr="00C00409">
        <w:rPr>
          <w:rStyle w:val="FigurecaptionChar"/>
        </w:rPr>
        <w:t xml:space="preserve">atients receiving their first approval late in 2012 may not have sufficient time to receive a </w:t>
      </w:r>
      <w:r w:rsidR="00A7640D">
        <w:rPr>
          <w:rStyle w:val="FigurecaptionChar"/>
        </w:rPr>
        <w:t>sixth</w:t>
      </w:r>
      <w:r w:rsidR="00133CDC" w:rsidRPr="00C00409">
        <w:rPr>
          <w:rStyle w:val="FigurecaptionChar"/>
        </w:rPr>
        <w:t xml:space="preserve"> approval by the end of the data period</w:t>
      </w:r>
      <w:r w:rsidR="00A7640D">
        <w:rPr>
          <w:rStyle w:val="FigurecaptionChar"/>
        </w:rPr>
        <w:t xml:space="preserve"> (ie. October 2015)</w:t>
      </w:r>
      <w:r w:rsidR="00133CDC" w:rsidRPr="00C00409">
        <w:rPr>
          <w:rStyle w:val="FigurecaptionChar"/>
        </w:rPr>
        <w:t>.</w:t>
      </w:r>
      <w:r w:rsidR="00133CDC" w:rsidRPr="00D925A0">
        <w:rPr>
          <w:rStyle w:val="FigurecaptionChar"/>
        </w:rPr>
        <w:t xml:space="preserve"> </w:t>
      </w:r>
      <w:r w:rsidR="00D925A0" w:rsidRPr="00D925A0">
        <w:rPr>
          <w:rStyle w:val="FigurecaptionChar"/>
        </w:rPr>
        <w:t xml:space="preserve">Median time to the fifth approval was </w:t>
      </w:r>
      <w:r w:rsidR="0053407E" w:rsidRPr="00D925A0">
        <w:rPr>
          <w:rStyle w:val="FigurecaptionChar"/>
        </w:rPr>
        <w:t>93 weeks</w:t>
      </w:r>
      <w:r w:rsidR="00D925A0" w:rsidRPr="00D925A0">
        <w:rPr>
          <w:rStyle w:val="FigurecaptionChar"/>
        </w:rPr>
        <w:t xml:space="preserve"> (ie. 1.8 years</w:t>
      </w:r>
      <w:r w:rsidR="00F30220">
        <w:rPr>
          <w:rStyle w:val="FigurecaptionChar"/>
        </w:rPr>
        <w:t>). This is</w:t>
      </w:r>
      <w:r>
        <w:rPr>
          <w:rStyle w:val="FigurecaptionChar"/>
        </w:rPr>
        <w:t xml:space="preserve"> an average of</w:t>
      </w:r>
      <w:r w:rsidR="00F30220">
        <w:rPr>
          <w:rStyle w:val="FigurecaptionChar"/>
        </w:rPr>
        <w:t xml:space="preserve"> </w:t>
      </w:r>
      <w:r w:rsidR="00D925A0">
        <w:rPr>
          <w:rStyle w:val="FigurecaptionChar"/>
        </w:rPr>
        <w:t>23</w:t>
      </w:r>
      <w:r w:rsidR="00F30220">
        <w:rPr>
          <w:rStyle w:val="FigurecaptionChar"/>
        </w:rPr>
        <w:t>.3</w:t>
      </w:r>
      <w:r w:rsidR="00D925A0">
        <w:rPr>
          <w:rStyle w:val="FigurecaptionChar"/>
        </w:rPr>
        <w:t xml:space="preserve"> weeks between approvals</w:t>
      </w:r>
      <w:r w:rsidR="00D925A0" w:rsidRPr="00D925A0">
        <w:rPr>
          <w:rStyle w:val="FigurecaptionChar"/>
        </w:rPr>
        <w:t>.</w:t>
      </w:r>
    </w:p>
    <w:p w:rsidR="00133CDC" w:rsidRPr="00133CDC" w:rsidRDefault="00133CDC" w:rsidP="00133CDC">
      <w:r w:rsidRPr="00133CDC">
        <w:t>The rates of continuation are broadly similar across th</w:t>
      </w:r>
      <w:r w:rsidR="001C6B49">
        <w:t xml:space="preserve">e </w:t>
      </w:r>
      <w:r w:rsidR="001D3E2F">
        <w:t xml:space="preserve">three </w:t>
      </w:r>
      <w:r w:rsidR="001C6B49">
        <w:t xml:space="preserve">medicines </w:t>
      </w:r>
      <w:r w:rsidR="001D3E2F">
        <w:t>administered subcutaneously (ie. adalimumab, etanercept or</w:t>
      </w:r>
      <w:r w:rsidR="001D3E2F" w:rsidRPr="00133CDC">
        <w:t xml:space="preserve"> golimumab</w:t>
      </w:r>
      <w:r w:rsidR="001D3E2F">
        <w:t>) with between 7</w:t>
      </w:r>
      <w:r w:rsidR="001C6B49">
        <w:t>9</w:t>
      </w:r>
      <w:r w:rsidRPr="00133CDC">
        <w:t xml:space="preserve">% and 84% of patients receiving a second authority approval for their first </w:t>
      </w:r>
      <w:r w:rsidR="00A17C5C">
        <w:t xml:space="preserve">prescribed bDMARD; and </w:t>
      </w:r>
      <w:r w:rsidR="001D3E2F">
        <w:t>55</w:t>
      </w:r>
      <w:r w:rsidR="00A17C5C">
        <w:t>-</w:t>
      </w:r>
      <w:r w:rsidR="001D3E2F">
        <w:t>62</w:t>
      </w:r>
      <w:r w:rsidRPr="00133CDC">
        <w:t xml:space="preserve">% receiving at least </w:t>
      </w:r>
      <w:r w:rsidR="00A7640D">
        <w:t>five</w:t>
      </w:r>
      <w:r w:rsidRPr="00133CDC">
        <w:t xml:space="preserve"> authority approvals. Continuation with any bDMARD therapy is substantially higher than continuation with </w:t>
      </w:r>
      <w:r w:rsidR="00A17C5C">
        <w:t>any individual medicine, with 91</w:t>
      </w:r>
      <w:r w:rsidRPr="00133CDC">
        <w:t>% of patients starting bDMARD therapy receiving a second authority</w:t>
      </w:r>
      <w:r w:rsidR="00A17C5C">
        <w:t xml:space="preserve"> approval for any drug and </w:t>
      </w:r>
      <w:r w:rsidR="00A7640D">
        <w:t>76</w:t>
      </w:r>
      <w:r w:rsidRPr="00133CDC">
        <w:t xml:space="preserve">% with at least </w:t>
      </w:r>
      <w:r w:rsidR="00A7640D">
        <w:t>five</w:t>
      </w:r>
      <w:r w:rsidRPr="00133CDC">
        <w:t xml:space="preserve"> authority approvals.</w:t>
      </w:r>
    </w:p>
    <w:p w:rsidR="004B163C" w:rsidRDefault="004B163C" w:rsidP="00970CC1">
      <w:r>
        <w:t>The lower rate for infliximab</w:t>
      </w:r>
      <w:r w:rsidR="001D3E2F">
        <w:t xml:space="preserve"> (69% receiving a second authority approval)</w:t>
      </w:r>
      <w:r>
        <w:t xml:space="preserve"> may be related to the fact that it is an infusion </w:t>
      </w:r>
      <w:r w:rsidR="005265BC">
        <w:t>that needs to be administered in</w:t>
      </w:r>
      <w:r>
        <w:t xml:space="preserve"> a hospital or clinic. Switching to </w:t>
      </w:r>
      <w:r w:rsidR="00C33E0F">
        <w:t>one of the other drugs</w:t>
      </w:r>
      <w:r w:rsidR="005265BC">
        <w:t>,</w:t>
      </w:r>
      <w:r w:rsidR="00C33E0F">
        <w:t xml:space="preserve"> which are administered via </w:t>
      </w:r>
      <w:r>
        <w:t>a less bu</w:t>
      </w:r>
      <w:r w:rsidR="00C33E0F">
        <w:t>rdensome subcutaneous injection, may explain the lower continuation rate on infliximab.</w:t>
      </w:r>
    </w:p>
    <w:p w:rsidR="00133CDC" w:rsidRDefault="00133CDC" w:rsidP="00970CC1">
      <w:r w:rsidRPr="00133CDC">
        <w:t>To consider continuation on treatment over</w:t>
      </w:r>
      <w:r w:rsidR="001C6B49">
        <w:t xml:space="preserve"> a longer time period, Figure </w:t>
      </w:r>
      <w:r w:rsidR="000A3426">
        <w:t>8</w:t>
      </w:r>
      <w:r w:rsidR="001C6B49">
        <w:t xml:space="preserve"> </w:t>
      </w:r>
      <w:r w:rsidRPr="00133CDC">
        <w:t xml:space="preserve">presents the rate of continuation with bDMARD treatment for an earlier cohort of patients who started </w:t>
      </w:r>
      <w:r w:rsidRPr="00133CDC">
        <w:lastRenderedPageBreak/>
        <w:t>treatment in 2009. At the time of data extract</w:t>
      </w:r>
      <w:r w:rsidR="00A17C5C">
        <w:t>ion</w:t>
      </w:r>
      <w:r w:rsidRPr="00133CDC">
        <w:t xml:space="preserve">, these patients had sufficient time to receive their tenth authority approval. </w:t>
      </w:r>
    </w:p>
    <w:p w:rsidR="001C6B49" w:rsidRDefault="00927F92" w:rsidP="00970CC1">
      <w:r>
        <w:rPr>
          <w:noProof/>
        </w:rPr>
        <w:drawing>
          <wp:inline distT="0" distB="0" distL="0" distR="0" wp14:anchorId="38405E35" wp14:editId="186AF13F">
            <wp:extent cx="5715000" cy="3523129"/>
            <wp:effectExtent l="0" t="0" r="19050" b="20320"/>
            <wp:docPr id="18" name="Chart 18" title="Figure 8 - Continuation of bDMARDs of ankylosing spondylitis – patients initiating in 2009 (n=660)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3407E" w:rsidRPr="00D925A0" w:rsidRDefault="000A3426" w:rsidP="0053407E">
      <w:pPr>
        <w:rPr>
          <w:rStyle w:val="FigurecaptionChar"/>
        </w:rPr>
      </w:pPr>
      <w:r>
        <w:rPr>
          <w:b/>
          <w:lang w:val="en-US"/>
        </w:rPr>
        <w:t>Figure 8</w:t>
      </w:r>
      <w:r w:rsidR="00BD7DFA">
        <w:rPr>
          <w:b/>
          <w:lang w:val="en-US"/>
        </w:rPr>
        <w:t xml:space="preserve"> -</w:t>
      </w:r>
      <w:r w:rsidR="001C6B49" w:rsidRPr="001C6B49">
        <w:rPr>
          <w:b/>
          <w:lang w:val="en-US"/>
        </w:rPr>
        <w:t xml:space="preserve"> Continuation of bDMARDs of </w:t>
      </w:r>
      <w:r w:rsidR="001C6B49">
        <w:rPr>
          <w:b/>
          <w:lang w:val="en-US"/>
        </w:rPr>
        <w:t xml:space="preserve">ankylosing spondylitis – </w:t>
      </w:r>
      <w:r w:rsidR="00761456">
        <w:rPr>
          <w:b/>
          <w:lang w:val="en-US"/>
        </w:rPr>
        <w:t>patients</w:t>
      </w:r>
      <w:r w:rsidR="00246DA6">
        <w:rPr>
          <w:b/>
          <w:lang w:val="en-US"/>
        </w:rPr>
        <w:t xml:space="preserve"> initiating in </w:t>
      </w:r>
      <w:r w:rsidR="001C6B49">
        <w:rPr>
          <w:b/>
          <w:lang w:val="en-US"/>
        </w:rPr>
        <w:t>2009 (n=660</w:t>
      </w:r>
      <w:r w:rsidR="00761456" w:rsidRPr="001C6B49">
        <w:rPr>
          <w:b/>
          <w:lang w:val="en-US"/>
        </w:rPr>
        <w:t xml:space="preserve">) </w:t>
      </w:r>
      <w:r w:rsidR="001C6B49" w:rsidRPr="001C6B49">
        <w:br/>
      </w:r>
      <w:r w:rsidR="001C6B49" w:rsidRPr="001C6B49">
        <w:rPr>
          <w:rStyle w:val="FigurecaptionChar"/>
        </w:rPr>
        <w:t xml:space="preserve">Source: </w:t>
      </w:r>
      <w:r w:rsidR="00927F92" w:rsidRPr="00133CDC">
        <w:rPr>
          <w:rStyle w:val="FigurecaptionChar"/>
        </w:rPr>
        <w:t xml:space="preserve">DHS Authority Approvals database, </w:t>
      </w:r>
      <w:r w:rsidR="00927F92">
        <w:rPr>
          <w:rStyle w:val="FigurecaptionChar"/>
        </w:rPr>
        <w:t>approval date up until the end of October</w:t>
      </w:r>
      <w:r w:rsidR="00927F92" w:rsidRPr="00133CDC">
        <w:rPr>
          <w:rStyle w:val="FigurecaptionChar"/>
        </w:rPr>
        <w:t xml:space="preserve"> 2015</w:t>
      </w:r>
      <w:r w:rsidR="001C6B49" w:rsidRPr="001C6B49">
        <w:rPr>
          <w:rStyle w:val="FigurecaptionChar"/>
        </w:rPr>
        <w:br/>
      </w:r>
      <w:r w:rsidR="0053407E" w:rsidRPr="00C00409">
        <w:rPr>
          <w:rStyle w:val="FigurecaptionChar"/>
        </w:rPr>
        <w:t xml:space="preserve">Note: Analysis </w:t>
      </w:r>
      <w:r>
        <w:rPr>
          <w:rStyle w:val="FigurecaptionChar"/>
        </w:rPr>
        <w:t xml:space="preserve">is truncated </w:t>
      </w:r>
      <w:r w:rsidR="0053407E" w:rsidRPr="00C00409">
        <w:rPr>
          <w:rStyle w:val="FigurecaptionChar"/>
        </w:rPr>
        <w:t xml:space="preserve">at </w:t>
      </w:r>
      <w:r>
        <w:rPr>
          <w:rStyle w:val="FigurecaptionChar"/>
        </w:rPr>
        <w:t>the 10</w:t>
      </w:r>
      <w:r w:rsidRPr="000A3426">
        <w:rPr>
          <w:rStyle w:val="FigurecaptionChar"/>
          <w:vertAlign w:val="superscript"/>
        </w:rPr>
        <w:t>th</w:t>
      </w:r>
      <w:r>
        <w:rPr>
          <w:rStyle w:val="FigurecaptionChar"/>
        </w:rPr>
        <w:t xml:space="preserve"> a</w:t>
      </w:r>
      <w:r w:rsidR="0053407E" w:rsidRPr="00C00409">
        <w:rPr>
          <w:rStyle w:val="FigurecaptionChar"/>
        </w:rPr>
        <w:t xml:space="preserve">uthority approval. </w:t>
      </w:r>
      <w:r w:rsidR="0053407E">
        <w:rPr>
          <w:rStyle w:val="FigurecaptionChar"/>
        </w:rPr>
        <w:t>Some p</w:t>
      </w:r>
      <w:r w:rsidR="0053407E" w:rsidRPr="00C00409">
        <w:rPr>
          <w:rStyle w:val="FigurecaptionChar"/>
        </w:rPr>
        <w:t>atients receiving their first approval late in 20</w:t>
      </w:r>
      <w:r w:rsidR="0053407E">
        <w:rPr>
          <w:rStyle w:val="FigurecaptionChar"/>
        </w:rPr>
        <w:t>09</w:t>
      </w:r>
      <w:r w:rsidR="0053407E" w:rsidRPr="00C00409">
        <w:rPr>
          <w:rStyle w:val="FigurecaptionChar"/>
        </w:rPr>
        <w:t xml:space="preserve"> may not have sufficient time to receive a</w:t>
      </w:r>
      <w:r w:rsidR="0053407E">
        <w:rPr>
          <w:rStyle w:val="FigurecaptionChar"/>
        </w:rPr>
        <w:t>n 11th</w:t>
      </w:r>
      <w:r w:rsidR="0053407E" w:rsidRPr="00C00409">
        <w:rPr>
          <w:rStyle w:val="FigurecaptionChar"/>
        </w:rPr>
        <w:t xml:space="preserve"> approval by the end of the data period</w:t>
      </w:r>
      <w:r w:rsidR="0053407E">
        <w:rPr>
          <w:rStyle w:val="FigurecaptionChar"/>
        </w:rPr>
        <w:t xml:space="preserve"> (ie. October 2015)</w:t>
      </w:r>
      <w:r w:rsidR="0053407E" w:rsidRPr="00C00409">
        <w:rPr>
          <w:rStyle w:val="FigurecaptionChar"/>
        </w:rPr>
        <w:t>.</w:t>
      </w:r>
      <w:r w:rsidR="0053407E" w:rsidRPr="00D925A0">
        <w:rPr>
          <w:rStyle w:val="FigurecaptionChar"/>
        </w:rPr>
        <w:t xml:space="preserve"> Median time to the </w:t>
      </w:r>
      <w:r w:rsidR="0053407E">
        <w:rPr>
          <w:rStyle w:val="FigurecaptionChar"/>
        </w:rPr>
        <w:t>tenth</w:t>
      </w:r>
      <w:r w:rsidR="0053407E" w:rsidRPr="00D925A0">
        <w:rPr>
          <w:rStyle w:val="FigurecaptionChar"/>
        </w:rPr>
        <w:t xml:space="preserve"> approval was </w:t>
      </w:r>
      <w:r w:rsidR="0053407E">
        <w:rPr>
          <w:rStyle w:val="FigurecaptionChar"/>
        </w:rPr>
        <w:t>221</w:t>
      </w:r>
      <w:r w:rsidR="0053407E" w:rsidRPr="00D925A0">
        <w:rPr>
          <w:rStyle w:val="FigurecaptionChar"/>
        </w:rPr>
        <w:t xml:space="preserve"> weeks</w:t>
      </w:r>
      <w:r w:rsidR="0053407E">
        <w:rPr>
          <w:rStyle w:val="FigurecaptionChar"/>
        </w:rPr>
        <w:t xml:space="preserve"> (ie. 4.3</w:t>
      </w:r>
      <w:r w:rsidR="0053407E" w:rsidRPr="00D925A0">
        <w:rPr>
          <w:rStyle w:val="FigurecaptionChar"/>
        </w:rPr>
        <w:t xml:space="preserve"> years</w:t>
      </w:r>
      <w:r w:rsidR="0053407E">
        <w:rPr>
          <w:rStyle w:val="FigurecaptionChar"/>
        </w:rPr>
        <w:t xml:space="preserve">). This is </w:t>
      </w:r>
      <w:r>
        <w:rPr>
          <w:rStyle w:val="FigurecaptionChar"/>
        </w:rPr>
        <w:t xml:space="preserve">an average of </w:t>
      </w:r>
      <w:r w:rsidR="0053407E">
        <w:rPr>
          <w:rStyle w:val="FigurecaptionChar"/>
        </w:rPr>
        <w:t>24.6 weeks between approvals</w:t>
      </w:r>
      <w:r w:rsidR="0053407E" w:rsidRPr="00D925A0">
        <w:rPr>
          <w:rStyle w:val="FigurecaptionChar"/>
        </w:rPr>
        <w:t>.</w:t>
      </w:r>
    </w:p>
    <w:p w:rsidR="001C6B49" w:rsidRPr="001C6B49" w:rsidRDefault="00A7640D" w:rsidP="001C6B49">
      <w:r>
        <w:t>The majority of patients (72</w:t>
      </w:r>
      <w:r w:rsidR="001C6B49" w:rsidRPr="001C6B49">
        <w:t xml:space="preserve">%) who started their first bDMARD for </w:t>
      </w:r>
      <w:r w:rsidR="001C6B49">
        <w:t>ankylosing spondylitis</w:t>
      </w:r>
      <w:r w:rsidR="001C6B49" w:rsidRPr="001C6B49">
        <w:t xml:space="preserve"> in 2009 received a tenth bDMARD authority approval. </w:t>
      </w:r>
    </w:p>
    <w:p w:rsidR="001C6B49" w:rsidRPr="001C6B49" w:rsidRDefault="00DC2848" w:rsidP="001C6B49">
      <w:pPr>
        <w:rPr>
          <w:b/>
          <w:i/>
        </w:rPr>
      </w:pPr>
      <w:r>
        <w:rPr>
          <w:b/>
          <w:i/>
        </w:rPr>
        <w:t xml:space="preserve">Number and </w:t>
      </w:r>
      <w:r w:rsidR="00522F20">
        <w:rPr>
          <w:b/>
          <w:i/>
        </w:rPr>
        <w:t xml:space="preserve">Sequence of </w:t>
      </w:r>
      <w:r>
        <w:rPr>
          <w:b/>
          <w:i/>
        </w:rPr>
        <w:t>bDMARDs</w:t>
      </w:r>
    </w:p>
    <w:p w:rsidR="008A5E42" w:rsidRDefault="009F3619" w:rsidP="008A5E42">
      <w:pPr>
        <w:pStyle w:val="Figuretitle"/>
        <w:rPr>
          <w:b w:val="0"/>
          <w:lang w:val="en-AU"/>
        </w:rPr>
      </w:pPr>
      <w:r>
        <w:rPr>
          <w:b w:val="0"/>
          <w:lang w:val="en-AU"/>
        </w:rPr>
        <w:t>The sequence of bDMARDs for patients receiving their first authority approval before 1 January 2014 is shown in Table 3. As of November 2015, the majority of these patients (61.8%) remain on their first prescribed bDMARD, 26.7% and 9.2% have switched to a second or third bDMARD, respectively. Very few patients</w:t>
      </w:r>
      <w:r w:rsidR="00715B1B">
        <w:rPr>
          <w:b w:val="0"/>
          <w:lang w:val="en-AU"/>
        </w:rPr>
        <w:t xml:space="preserve"> (2.2%)</w:t>
      </w:r>
      <w:r>
        <w:rPr>
          <w:b w:val="0"/>
          <w:lang w:val="en-AU"/>
        </w:rPr>
        <w:t xml:space="preserve"> have progressed to a fourth or fifth agent.</w:t>
      </w:r>
      <w:r w:rsidR="00715B1B" w:rsidRPr="00715B1B">
        <w:t xml:space="preserve"> </w:t>
      </w:r>
    </w:p>
    <w:p w:rsidR="00E5021D" w:rsidRDefault="00E5021D">
      <w:pPr>
        <w:spacing w:line="276" w:lineRule="auto"/>
      </w:pPr>
      <w:r>
        <w:rPr>
          <w:b/>
        </w:rPr>
        <w:br w:type="page"/>
      </w:r>
    </w:p>
    <w:p w:rsidR="008A5E42" w:rsidRDefault="008A5E42" w:rsidP="008A5E42">
      <w:pPr>
        <w:pStyle w:val="Figuretitle"/>
      </w:pPr>
      <w:r>
        <w:lastRenderedPageBreak/>
        <w:t xml:space="preserve">Table 3: </w:t>
      </w:r>
      <w:r w:rsidRPr="006A0A5A">
        <w:t>Number of bDMARDs approved</w:t>
      </w:r>
      <w:r>
        <w:t xml:space="preserve"> by initiating drug</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285"/>
        <w:gridCol w:w="984"/>
        <w:gridCol w:w="979"/>
        <w:gridCol w:w="994"/>
        <w:gridCol w:w="994"/>
        <w:gridCol w:w="994"/>
        <w:gridCol w:w="856"/>
      </w:tblGrid>
      <w:tr w:rsidR="008A5E42" w:rsidRPr="006A0A5A" w:rsidTr="00D04A36">
        <w:trPr>
          <w:trHeight w:val="300"/>
        </w:trPr>
        <w:tc>
          <w:tcPr>
            <w:tcW w:w="1199" w:type="pct"/>
            <w:shd w:val="clear" w:color="DCE6F1" w:fill="BFBFBF" w:themeFill="background1" w:themeFillShade="BF"/>
            <w:noWrap/>
            <w:vAlign w:val="bottom"/>
            <w:hideMark/>
          </w:tcPr>
          <w:p w:rsidR="008A5E42" w:rsidRPr="006A0A5A" w:rsidRDefault="008A5E42" w:rsidP="008A5E42">
            <w:pPr>
              <w:spacing w:after="0"/>
              <w:rPr>
                <w:rFonts w:ascii="Calibri" w:eastAsia="Times New Roman" w:hAnsi="Calibri" w:cs="Times New Roman"/>
                <w:b/>
                <w:bCs/>
                <w:color w:val="000000"/>
                <w:sz w:val="20"/>
                <w:szCs w:val="22"/>
              </w:rPr>
            </w:pPr>
          </w:p>
        </w:tc>
        <w:tc>
          <w:tcPr>
            <w:tcW w:w="689" w:type="pct"/>
            <w:shd w:val="clear" w:color="DCE6F1" w:fill="BFBFBF" w:themeFill="background1" w:themeFillShade="BF"/>
            <w:noWrap/>
            <w:vAlign w:val="center"/>
            <w:hideMark/>
          </w:tcPr>
          <w:p w:rsidR="008A5E42" w:rsidRPr="006A0A5A" w:rsidRDefault="008A5E42" w:rsidP="008A5E42">
            <w:pPr>
              <w:spacing w:after="0"/>
              <w:jc w:val="center"/>
              <w:rPr>
                <w:rFonts w:ascii="Calibri" w:eastAsia="Times New Roman" w:hAnsi="Calibri" w:cs="Times New Roman"/>
                <w:b/>
                <w:bCs/>
                <w:color w:val="000000"/>
                <w:sz w:val="20"/>
                <w:szCs w:val="22"/>
              </w:rPr>
            </w:pPr>
          </w:p>
        </w:tc>
        <w:tc>
          <w:tcPr>
            <w:tcW w:w="3111" w:type="pct"/>
            <w:gridSpan w:val="6"/>
            <w:shd w:val="clear" w:color="DCE6F1" w:fill="BFBFBF" w:themeFill="background1" w:themeFillShade="BF"/>
            <w:noWrap/>
            <w:vAlign w:val="center"/>
            <w:hideMark/>
          </w:tcPr>
          <w:p w:rsidR="008A5E42" w:rsidRPr="006A0A5A" w:rsidRDefault="008A5E42" w:rsidP="008A5E42">
            <w:pPr>
              <w:spacing w:after="0"/>
              <w:jc w:val="center"/>
              <w:rPr>
                <w:rFonts w:ascii="Calibri" w:eastAsia="Times New Roman" w:hAnsi="Calibri" w:cs="Times New Roman"/>
                <w:b/>
                <w:bCs/>
                <w:color w:val="000000"/>
                <w:sz w:val="20"/>
                <w:szCs w:val="22"/>
              </w:rPr>
            </w:pPr>
            <w:r>
              <w:rPr>
                <w:rFonts w:ascii="Calibri" w:eastAsia="Times New Roman" w:hAnsi="Calibri" w:cs="Times New Roman"/>
                <w:b/>
                <w:bCs/>
                <w:color w:val="000000"/>
                <w:sz w:val="20"/>
                <w:szCs w:val="22"/>
              </w:rPr>
              <w:t>Number of bDMARDs approved</w:t>
            </w:r>
          </w:p>
        </w:tc>
      </w:tr>
      <w:tr w:rsidR="008A5E42" w:rsidRPr="006A0A5A" w:rsidTr="00D04A36">
        <w:trPr>
          <w:trHeight w:val="300"/>
        </w:trPr>
        <w:tc>
          <w:tcPr>
            <w:tcW w:w="1199" w:type="pct"/>
            <w:tcBorders>
              <w:bottom w:val="single" w:sz="4" w:space="0" w:color="auto"/>
            </w:tcBorders>
            <w:shd w:val="clear" w:color="DCE6F1" w:fill="BFBFBF" w:themeFill="background1" w:themeFillShade="BF"/>
            <w:noWrap/>
            <w:vAlign w:val="bottom"/>
            <w:hideMark/>
          </w:tcPr>
          <w:p w:rsidR="008A5E42" w:rsidRPr="006A0A5A" w:rsidRDefault="008A5E42" w:rsidP="008A5E42">
            <w:pPr>
              <w:spacing w:after="0"/>
              <w:rPr>
                <w:rFonts w:ascii="Calibri" w:eastAsia="Times New Roman" w:hAnsi="Calibri" w:cs="Times New Roman"/>
                <w:b/>
                <w:bCs/>
                <w:color w:val="000000"/>
                <w:sz w:val="20"/>
                <w:szCs w:val="22"/>
              </w:rPr>
            </w:pPr>
            <w:r>
              <w:rPr>
                <w:rFonts w:ascii="Calibri" w:eastAsia="Times New Roman" w:hAnsi="Calibri" w:cs="Times New Roman"/>
                <w:b/>
                <w:bCs/>
                <w:color w:val="000000"/>
                <w:sz w:val="20"/>
                <w:szCs w:val="22"/>
              </w:rPr>
              <w:t>Initiation drug</w:t>
            </w:r>
          </w:p>
        </w:tc>
        <w:tc>
          <w:tcPr>
            <w:tcW w:w="689" w:type="pct"/>
            <w:shd w:val="clear" w:color="DCE6F1" w:fill="BFBFBF" w:themeFill="background1" w:themeFillShade="BF"/>
            <w:noWrap/>
            <w:vAlign w:val="center"/>
            <w:hideMark/>
          </w:tcPr>
          <w:p w:rsidR="008A5E42" w:rsidRPr="006A0A5A" w:rsidRDefault="008A5E42" w:rsidP="008A5E42">
            <w:pPr>
              <w:spacing w:after="0"/>
              <w:jc w:val="center"/>
              <w:rPr>
                <w:rFonts w:ascii="Calibri" w:eastAsia="Times New Roman" w:hAnsi="Calibri" w:cs="Times New Roman"/>
                <w:b/>
                <w:bCs/>
                <w:color w:val="000000"/>
                <w:sz w:val="20"/>
                <w:szCs w:val="22"/>
              </w:rPr>
            </w:pPr>
          </w:p>
        </w:tc>
        <w:tc>
          <w:tcPr>
            <w:tcW w:w="528" w:type="pct"/>
            <w:shd w:val="clear" w:color="DCE6F1" w:fill="BFBFBF" w:themeFill="background1" w:themeFillShade="BF"/>
            <w:noWrap/>
            <w:vAlign w:val="center"/>
            <w:hideMark/>
          </w:tcPr>
          <w:p w:rsidR="008A5E42" w:rsidRPr="006A0A5A" w:rsidRDefault="008A5E42" w:rsidP="008A5E42">
            <w:pPr>
              <w:spacing w:after="0"/>
              <w:jc w:val="center"/>
              <w:rPr>
                <w:rFonts w:ascii="Calibri" w:eastAsia="Times New Roman" w:hAnsi="Calibri" w:cs="Times New Roman"/>
                <w:b/>
                <w:bCs/>
                <w:color w:val="000000"/>
                <w:sz w:val="20"/>
                <w:szCs w:val="22"/>
              </w:rPr>
            </w:pPr>
            <w:r w:rsidRPr="006A0A5A">
              <w:rPr>
                <w:rFonts w:ascii="Calibri" w:eastAsia="Times New Roman" w:hAnsi="Calibri" w:cs="Times New Roman"/>
                <w:b/>
                <w:bCs/>
                <w:color w:val="000000"/>
                <w:sz w:val="20"/>
                <w:szCs w:val="22"/>
              </w:rPr>
              <w:t>1</w:t>
            </w:r>
          </w:p>
        </w:tc>
        <w:tc>
          <w:tcPr>
            <w:tcW w:w="525" w:type="pct"/>
            <w:shd w:val="clear" w:color="DCE6F1" w:fill="BFBFBF" w:themeFill="background1" w:themeFillShade="BF"/>
            <w:noWrap/>
            <w:vAlign w:val="center"/>
            <w:hideMark/>
          </w:tcPr>
          <w:p w:rsidR="008A5E42" w:rsidRPr="006A0A5A" w:rsidRDefault="008A5E42" w:rsidP="008A5E42">
            <w:pPr>
              <w:spacing w:after="0"/>
              <w:jc w:val="center"/>
              <w:rPr>
                <w:rFonts w:ascii="Calibri" w:eastAsia="Times New Roman" w:hAnsi="Calibri" w:cs="Times New Roman"/>
                <w:b/>
                <w:bCs/>
                <w:color w:val="000000"/>
                <w:sz w:val="20"/>
                <w:szCs w:val="22"/>
              </w:rPr>
            </w:pPr>
            <w:r w:rsidRPr="006A0A5A">
              <w:rPr>
                <w:rFonts w:ascii="Calibri" w:eastAsia="Times New Roman" w:hAnsi="Calibri" w:cs="Times New Roman"/>
                <w:b/>
                <w:bCs/>
                <w:color w:val="000000"/>
                <w:sz w:val="20"/>
                <w:szCs w:val="22"/>
              </w:rPr>
              <w:t>2</w:t>
            </w:r>
          </w:p>
        </w:tc>
        <w:tc>
          <w:tcPr>
            <w:tcW w:w="533" w:type="pct"/>
            <w:shd w:val="clear" w:color="DCE6F1" w:fill="BFBFBF" w:themeFill="background1" w:themeFillShade="BF"/>
            <w:noWrap/>
            <w:vAlign w:val="center"/>
            <w:hideMark/>
          </w:tcPr>
          <w:p w:rsidR="008A5E42" w:rsidRPr="006A0A5A" w:rsidRDefault="008A5E42" w:rsidP="008A5E42">
            <w:pPr>
              <w:spacing w:after="0"/>
              <w:jc w:val="center"/>
              <w:rPr>
                <w:rFonts w:ascii="Calibri" w:eastAsia="Times New Roman" w:hAnsi="Calibri" w:cs="Times New Roman"/>
                <w:b/>
                <w:bCs/>
                <w:color w:val="000000"/>
                <w:sz w:val="20"/>
                <w:szCs w:val="22"/>
              </w:rPr>
            </w:pPr>
            <w:r w:rsidRPr="006A0A5A">
              <w:rPr>
                <w:rFonts w:ascii="Calibri" w:eastAsia="Times New Roman" w:hAnsi="Calibri" w:cs="Times New Roman"/>
                <w:b/>
                <w:bCs/>
                <w:color w:val="000000"/>
                <w:sz w:val="20"/>
                <w:szCs w:val="22"/>
              </w:rPr>
              <w:t>3</w:t>
            </w:r>
          </w:p>
        </w:tc>
        <w:tc>
          <w:tcPr>
            <w:tcW w:w="533" w:type="pct"/>
            <w:shd w:val="clear" w:color="DCE6F1" w:fill="BFBFBF" w:themeFill="background1" w:themeFillShade="BF"/>
            <w:noWrap/>
            <w:vAlign w:val="center"/>
            <w:hideMark/>
          </w:tcPr>
          <w:p w:rsidR="008A5E42" w:rsidRPr="006A0A5A" w:rsidRDefault="008A5E42" w:rsidP="008A5E42">
            <w:pPr>
              <w:spacing w:after="0"/>
              <w:jc w:val="center"/>
              <w:rPr>
                <w:rFonts w:ascii="Calibri" w:eastAsia="Times New Roman" w:hAnsi="Calibri" w:cs="Times New Roman"/>
                <w:b/>
                <w:bCs/>
                <w:color w:val="000000"/>
                <w:sz w:val="20"/>
                <w:szCs w:val="22"/>
              </w:rPr>
            </w:pPr>
            <w:r w:rsidRPr="006A0A5A">
              <w:rPr>
                <w:rFonts w:ascii="Calibri" w:eastAsia="Times New Roman" w:hAnsi="Calibri" w:cs="Times New Roman"/>
                <w:b/>
                <w:bCs/>
                <w:color w:val="000000"/>
                <w:sz w:val="20"/>
                <w:szCs w:val="22"/>
              </w:rPr>
              <w:t>4</w:t>
            </w:r>
          </w:p>
        </w:tc>
        <w:tc>
          <w:tcPr>
            <w:tcW w:w="533" w:type="pct"/>
            <w:shd w:val="clear" w:color="DCE6F1" w:fill="BFBFBF" w:themeFill="background1" w:themeFillShade="BF"/>
            <w:noWrap/>
            <w:vAlign w:val="center"/>
            <w:hideMark/>
          </w:tcPr>
          <w:p w:rsidR="008A5E42" w:rsidRPr="006A0A5A" w:rsidRDefault="008A5E42" w:rsidP="008A5E42">
            <w:pPr>
              <w:spacing w:after="0"/>
              <w:jc w:val="center"/>
              <w:rPr>
                <w:rFonts w:ascii="Calibri" w:eastAsia="Times New Roman" w:hAnsi="Calibri" w:cs="Times New Roman"/>
                <w:b/>
                <w:bCs/>
                <w:color w:val="000000"/>
                <w:sz w:val="20"/>
                <w:szCs w:val="22"/>
              </w:rPr>
            </w:pPr>
            <w:r w:rsidRPr="006A0A5A">
              <w:rPr>
                <w:rFonts w:ascii="Calibri" w:eastAsia="Times New Roman" w:hAnsi="Calibri" w:cs="Times New Roman"/>
                <w:b/>
                <w:bCs/>
                <w:color w:val="000000"/>
                <w:sz w:val="20"/>
                <w:szCs w:val="22"/>
              </w:rPr>
              <w:t>5</w:t>
            </w:r>
          </w:p>
        </w:tc>
        <w:tc>
          <w:tcPr>
            <w:tcW w:w="459" w:type="pct"/>
            <w:shd w:val="clear" w:color="DCE6F1" w:fill="BFBFBF" w:themeFill="background1" w:themeFillShade="BF"/>
            <w:noWrap/>
            <w:vAlign w:val="center"/>
            <w:hideMark/>
          </w:tcPr>
          <w:p w:rsidR="008A5E42" w:rsidRPr="006A0A5A" w:rsidRDefault="008A5E42" w:rsidP="008A5E42">
            <w:pPr>
              <w:spacing w:after="0"/>
              <w:jc w:val="center"/>
              <w:rPr>
                <w:rFonts w:ascii="Calibri" w:eastAsia="Times New Roman" w:hAnsi="Calibri" w:cs="Times New Roman"/>
                <w:b/>
                <w:bCs/>
                <w:color w:val="000000"/>
                <w:sz w:val="20"/>
                <w:szCs w:val="22"/>
              </w:rPr>
            </w:pPr>
            <w:r w:rsidRPr="006A0A5A">
              <w:rPr>
                <w:rFonts w:ascii="Calibri" w:eastAsia="Times New Roman" w:hAnsi="Calibri" w:cs="Times New Roman"/>
                <w:b/>
                <w:bCs/>
                <w:color w:val="000000"/>
                <w:sz w:val="20"/>
                <w:szCs w:val="22"/>
              </w:rPr>
              <w:t>Total</w:t>
            </w:r>
          </w:p>
        </w:tc>
      </w:tr>
      <w:tr w:rsidR="008A5E42" w:rsidRPr="006A0A5A" w:rsidTr="008A5E42">
        <w:trPr>
          <w:trHeight w:val="300"/>
        </w:trPr>
        <w:tc>
          <w:tcPr>
            <w:tcW w:w="1199" w:type="pct"/>
            <w:tcBorders>
              <w:top w:val="single" w:sz="4" w:space="0" w:color="auto"/>
              <w:left w:val="single" w:sz="4" w:space="0" w:color="auto"/>
              <w:bottom w:val="nil"/>
              <w:right w:val="single" w:sz="4" w:space="0" w:color="auto"/>
            </w:tcBorders>
            <w:shd w:val="clear" w:color="auto" w:fill="auto"/>
            <w:noWrap/>
            <w:vAlign w:val="bottom"/>
            <w:hideMark/>
          </w:tcPr>
          <w:p w:rsidR="008A5E42" w:rsidRPr="00D04A36" w:rsidRDefault="008A5E42" w:rsidP="008A5E42">
            <w:pPr>
              <w:spacing w:after="0"/>
              <w:rPr>
                <w:rFonts w:ascii="Calibri" w:eastAsia="Times New Roman" w:hAnsi="Calibri" w:cs="Times New Roman"/>
                <w:b/>
                <w:bCs/>
                <w:color w:val="000000"/>
                <w:sz w:val="20"/>
                <w:szCs w:val="22"/>
              </w:rPr>
            </w:pPr>
            <w:r w:rsidRPr="00D04A36">
              <w:rPr>
                <w:rFonts w:ascii="Calibri" w:hAnsi="Calibri"/>
                <w:b/>
                <w:bCs/>
                <w:color w:val="000000"/>
                <w:sz w:val="20"/>
                <w:szCs w:val="22"/>
              </w:rPr>
              <w:t>ADALIMUMAB</w:t>
            </w:r>
          </w:p>
        </w:tc>
        <w:tc>
          <w:tcPr>
            <w:tcW w:w="689" w:type="pct"/>
            <w:tcBorders>
              <w:left w:val="single" w:sz="4" w:space="0" w:color="auto"/>
            </w:tcBorders>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2"/>
              </w:rPr>
            </w:pPr>
            <w:r w:rsidRPr="006A0A5A">
              <w:rPr>
                <w:rFonts w:ascii="Calibri" w:eastAsia="Times New Roman" w:hAnsi="Calibri" w:cs="Times New Roman"/>
                <w:sz w:val="20"/>
                <w:szCs w:val="22"/>
              </w:rPr>
              <w:t>patients</w:t>
            </w:r>
          </w:p>
        </w:tc>
        <w:tc>
          <w:tcPr>
            <w:tcW w:w="528"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1,701</w:t>
            </w:r>
          </w:p>
        </w:tc>
        <w:tc>
          <w:tcPr>
            <w:tcW w:w="525"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666</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240</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47</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4</w:t>
            </w:r>
          </w:p>
        </w:tc>
        <w:tc>
          <w:tcPr>
            <w:tcW w:w="459"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2,658</w:t>
            </w:r>
          </w:p>
        </w:tc>
      </w:tr>
      <w:tr w:rsidR="008A5E42" w:rsidRPr="006A0A5A" w:rsidTr="008A5E42">
        <w:trPr>
          <w:trHeight w:val="300"/>
        </w:trPr>
        <w:tc>
          <w:tcPr>
            <w:tcW w:w="1199" w:type="pct"/>
            <w:tcBorders>
              <w:top w:val="nil"/>
              <w:left w:val="single" w:sz="4" w:space="0" w:color="auto"/>
              <w:bottom w:val="single" w:sz="4" w:space="0" w:color="auto"/>
              <w:right w:val="single" w:sz="4" w:space="0" w:color="auto"/>
            </w:tcBorders>
            <w:shd w:val="clear" w:color="auto" w:fill="auto"/>
            <w:noWrap/>
            <w:vAlign w:val="bottom"/>
            <w:hideMark/>
          </w:tcPr>
          <w:p w:rsidR="008A5E42" w:rsidRPr="00D04A36" w:rsidRDefault="008A5E42" w:rsidP="008A5E42">
            <w:pPr>
              <w:spacing w:after="0"/>
              <w:rPr>
                <w:rFonts w:ascii="Calibri" w:eastAsia="Times New Roman" w:hAnsi="Calibri" w:cs="Times New Roman"/>
                <w:b/>
                <w:bCs/>
                <w:color w:val="000000"/>
                <w:sz w:val="20"/>
                <w:szCs w:val="22"/>
              </w:rPr>
            </w:pPr>
          </w:p>
        </w:tc>
        <w:tc>
          <w:tcPr>
            <w:tcW w:w="689" w:type="pct"/>
            <w:tcBorders>
              <w:left w:val="single" w:sz="4" w:space="0" w:color="auto"/>
            </w:tcBorders>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2"/>
              </w:rPr>
            </w:pPr>
            <w:r w:rsidRPr="006A0A5A">
              <w:rPr>
                <w:rFonts w:ascii="Calibri" w:eastAsia="Times New Roman" w:hAnsi="Calibri" w:cs="Times New Roman"/>
                <w:sz w:val="20"/>
                <w:szCs w:val="22"/>
              </w:rPr>
              <w:t>% patients</w:t>
            </w:r>
          </w:p>
        </w:tc>
        <w:tc>
          <w:tcPr>
            <w:tcW w:w="528"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64.0%</w:t>
            </w:r>
          </w:p>
        </w:tc>
        <w:tc>
          <w:tcPr>
            <w:tcW w:w="525"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25.1%</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9.0%</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1.8%</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0.2%</w:t>
            </w:r>
          </w:p>
        </w:tc>
        <w:tc>
          <w:tcPr>
            <w:tcW w:w="459"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100.0%</w:t>
            </w:r>
          </w:p>
        </w:tc>
      </w:tr>
      <w:tr w:rsidR="008A5E42" w:rsidRPr="006A0A5A" w:rsidTr="008A5E42">
        <w:trPr>
          <w:trHeight w:val="300"/>
        </w:trPr>
        <w:tc>
          <w:tcPr>
            <w:tcW w:w="1199" w:type="pct"/>
            <w:tcBorders>
              <w:top w:val="single" w:sz="4" w:space="0" w:color="auto"/>
              <w:bottom w:val="nil"/>
            </w:tcBorders>
            <w:shd w:val="clear" w:color="auto" w:fill="auto"/>
            <w:noWrap/>
            <w:vAlign w:val="bottom"/>
            <w:hideMark/>
          </w:tcPr>
          <w:p w:rsidR="008A5E42" w:rsidRPr="00D04A36" w:rsidRDefault="008A5E42" w:rsidP="008A5E42">
            <w:pPr>
              <w:spacing w:after="0"/>
              <w:rPr>
                <w:rFonts w:ascii="Calibri" w:eastAsia="Times New Roman" w:hAnsi="Calibri" w:cs="Times New Roman"/>
                <w:b/>
                <w:bCs/>
                <w:color w:val="000000"/>
                <w:sz w:val="20"/>
                <w:szCs w:val="22"/>
              </w:rPr>
            </w:pPr>
            <w:r w:rsidRPr="00D04A36">
              <w:rPr>
                <w:rFonts w:ascii="Calibri" w:hAnsi="Calibri"/>
                <w:b/>
                <w:bCs/>
                <w:color w:val="000000"/>
                <w:sz w:val="20"/>
                <w:szCs w:val="22"/>
              </w:rPr>
              <w:t>ETANERCEPT</w:t>
            </w:r>
          </w:p>
        </w:tc>
        <w:tc>
          <w:tcPr>
            <w:tcW w:w="689"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2"/>
              </w:rPr>
            </w:pPr>
            <w:r w:rsidRPr="006A0A5A">
              <w:rPr>
                <w:rFonts w:ascii="Calibri" w:eastAsia="Times New Roman" w:hAnsi="Calibri" w:cs="Times New Roman"/>
                <w:sz w:val="20"/>
                <w:szCs w:val="22"/>
              </w:rPr>
              <w:t>patients</w:t>
            </w:r>
          </w:p>
        </w:tc>
        <w:tc>
          <w:tcPr>
            <w:tcW w:w="528"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1,138</w:t>
            </w:r>
          </w:p>
        </w:tc>
        <w:tc>
          <w:tcPr>
            <w:tcW w:w="525"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486</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140</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32</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2</w:t>
            </w:r>
          </w:p>
        </w:tc>
        <w:tc>
          <w:tcPr>
            <w:tcW w:w="459"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1,798</w:t>
            </w:r>
          </w:p>
        </w:tc>
      </w:tr>
      <w:tr w:rsidR="008A5E42" w:rsidRPr="006A0A5A" w:rsidTr="008A5E42">
        <w:trPr>
          <w:trHeight w:val="300"/>
        </w:trPr>
        <w:tc>
          <w:tcPr>
            <w:tcW w:w="1199" w:type="pct"/>
            <w:tcBorders>
              <w:top w:val="nil"/>
              <w:bottom w:val="single" w:sz="4" w:space="0" w:color="auto"/>
            </w:tcBorders>
            <w:shd w:val="clear" w:color="auto" w:fill="auto"/>
            <w:noWrap/>
            <w:vAlign w:val="bottom"/>
            <w:hideMark/>
          </w:tcPr>
          <w:p w:rsidR="008A5E42" w:rsidRPr="00D04A36" w:rsidRDefault="008A5E42" w:rsidP="008A5E42">
            <w:pPr>
              <w:spacing w:after="0"/>
              <w:rPr>
                <w:rFonts w:ascii="Calibri" w:eastAsia="Times New Roman" w:hAnsi="Calibri" w:cs="Times New Roman"/>
                <w:b/>
                <w:bCs/>
                <w:color w:val="000000"/>
                <w:sz w:val="20"/>
                <w:szCs w:val="22"/>
              </w:rPr>
            </w:pPr>
          </w:p>
        </w:tc>
        <w:tc>
          <w:tcPr>
            <w:tcW w:w="689"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2"/>
              </w:rPr>
            </w:pPr>
            <w:r w:rsidRPr="006A0A5A">
              <w:rPr>
                <w:rFonts w:ascii="Calibri" w:eastAsia="Times New Roman" w:hAnsi="Calibri" w:cs="Times New Roman"/>
                <w:sz w:val="20"/>
                <w:szCs w:val="22"/>
              </w:rPr>
              <w:t>% patients</w:t>
            </w:r>
          </w:p>
        </w:tc>
        <w:tc>
          <w:tcPr>
            <w:tcW w:w="528"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63.3%</w:t>
            </w:r>
          </w:p>
        </w:tc>
        <w:tc>
          <w:tcPr>
            <w:tcW w:w="525"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27.0%</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7.8%</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1.8%</w:t>
            </w:r>
          </w:p>
        </w:tc>
        <w:tc>
          <w:tcPr>
            <w:tcW w:w="533"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0.1%</w:t>
            </w:r>
          </w:p>
        </w:tc>
        <w:tc>
          <w:tcPr>
            <w:tcW w:w="459" w:type="pct"/>
            <w:shd w:val="clear" w:color="auto" w:fill="auto"/>
            <w:noWrap/>
            <w:vAlign w:val="center"/>
            <w:hideMark/>
          </w:tcPr>
          <w:p w:rsidR="008A5E42" w:rsidRPr="006A0A5A" w:rsidRDefault="008A5E42" w:rsidP="008A5E42">
            <w:pPr>
              <w:spacing w:after="0"/>
              <w:jc w:val="center"/>
              <w:rPr>
                <w:rFonts w:ascii="Calibri" w:eastAsia="Times New Roman" w:hAnsi="Calibri" w:cs="Times New Roman"/>
                <w:sz w:val="20"/>
                <w:szCs w:val="20"/>
              </w:rPr>
            </w:pPr>
            <w:r w:rsidRPr="000D2E4C">
              <w:rPr>
                <w:rFonts w:ascii="Calibri" w:hAnsi="Calibri"/>
                <w:sz w:val="20"/>
                <w:szCs w:val="20"/>
              </w:rPr>
              <w:t>100.0%</w:t>
            </w:r>
          </w:p>
        </w:tc>
      </w:tr>
      <w:tr w:rsidR="008A5E42" w:rsidRPr="006A0A5A" w:rsidTr="008A5E42">
        <w:trPr>
          <w:trHeight w:val="300"/>
        </w:trPr>
        <w:tc>
          <w:tcPr>
            <w:tcW w:w="1199" w:type="pct"/>
            <w:tcBorders>
              <w:top w:val="single" w:sz="4" w:space="0" w:color="auto"/>
              <w:left w:val="single" w:sz="4" w:space="0" w:color="auto"/>
              <w:bottom w:val="nil"/>
              <w:right w:val="single" w:sz="4" w:space="0" w:color="auto"/>
            </w:tcBorders>
            <w:shd w:val="clear" w:color="auto" w:fill="auto"/>
            <w:noWrap/>
            <w:vAlign w:val="bottom"/>
          </w:tcPr>
          <w:p w:rsidR="008A5E42" w:rsidRPr="00D04A36" w:rsidRDefault="008A5E42" w:rsidP="008A5E42">
            <w:pPr>
              <w:spacing w:after="0"/>
              <w:rPr>
                <w:rFonts w:ascii="Calibri" w:eastAsia="Times New Roman" w:hAnsi="Calibri" w:cs="Times New Roman"/>
                <w:b/>
                <w:bCs/>
                <w:color w:val="000000"/>
                <w:sz w:val="20"/>
                <w:szCs w:val="22"/>
              </w:rPr>
            </w:pPr>
            <w:r w:rsidRPr="00D04A36">
              <w:rPr>
                <w:rFonts w:ascii="Calibri" w:hAnsi="Calibri"/>
                <w:b/>
                <w:bCs/>
                <w:color w:val="000000"/>
                <w:sz w:val="20"/>
                <w:szCs w:val="22"/>
              </w:rPr>
              <w:t>GOLIMUMAB</w:t>
            </w:r>
          </w:p>
        </w:tc>
        <w:tc>
          <w:tcPr>
            <w:tcW w:w="689" w:type="pct"/>
            <w:tcBorders>
              <w:left w:val="single" w:sz="4" w:space="0" w:color="auto"/>
            </w:tcBorders>
            <w:shd w:val="clear" w:color="auto" w:fill="auto"/>
            <w:noWrap/>
            <w:vAlign w:val="center"/>
          </w:tcPr>
          <w:p w:rsidR="008A5E42" w:rsidRPr="006A0A5A" w:rsidRDefault="008A5E42" w:rsidP="008A5E42">
            <w:pPr>
              <w:spacing w:after="0"/>
              <w:jc w:val="center"/>
              <w:rPr>
                <w:rFonts w:ascii="Calibri" w:eastAsia="Times New Roman" w:hAnsi="Calibri" w:cs="Times New Roman"/>
                <w:sz w:val="20"/>
                <w:szCs w:val="22"/>
              </w:rPr>
            </w:pPr>
            <w:r w:rsidRPr="006A0A5A">
              <w:rPr>
                <w:rFonts w:ascii="Calibri" w:eastAsia="Times New Roman" w:hAnsi="Calibri" w:cs="Times New Roman"/>
                <w:sz w:val="20"/>
                <w:szCs w:val="22"/>
              </w:rPr>
              <w:t>patients</w:t>
            </w:r>
          </w:p>
        </w:tc>
        <w:tc>
          <w:tcPr>
            <w:tcW w:w="528"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424</w:t>
            </w:r>
          </w:p>
        </w:tc>
        <w:tc>
          <w:tcPr>
            <w:tcW w:w="525"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126</w:t>
            </w:r>
          </w:p>
        </w:tc>
        <w:tc>
          <w:tcPr>
            <w:tcW w:w="533"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36</w:t>
            </w:r>
          </w:p>
        </w:tc>
        <w:tc>
          <w:tcPr>
            <w:tcW w:w="533"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10</w:t>
            </w:r>
          </w:p>
        </w:tc>
        <w:tc>
          <w:tcPr>
            <w:tcW w:w="533"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4</w:t>
            </w:r>
          </w:p>
        </w:tc>
        <w:tc>
          <w:tcPr>
            <w:tcW w:w="459"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600</w:t>
            </w:r>
          </w:p>
        </w:tc>
      </w:tr>
      <w:tr w:rsidR="008A5E42" w:rsidRPr="006A0A5A" w:rsidTr="008A5E42">
        <w:trPr>
          <w:trHeight w:val="300"/>
        </w:trPr>
        <w:tc>
          <w:tcPr>
            <w:tcW w:w="1199" w:type="pct"/>
            <w:tcBorders>
              <w:top w:val="nil"/>
              <w:left w:val="single" w:sz="4" w:space="0" w:color="auto"/>
              <w:bottom w:val="single" w:sz="4" w:space="0" w:color="auto"/>
              <w:right w:val="single" w:sz="4" w:space="0" w:color="auto"/>
            </w:tcBorders>
            <w:shd w:val="clear" w:color="auto" w:fill="auto"/>
            <w:noWrap/>
            <w:vAlign w:val="bottom"/>
          </w:tcPr>
          <w:p w:rsidR="008A5E42" w:rsidRPr="00D04A36" w:rsidRDefault="008A5E42" w:rsidP="008A5E42">
            <w:pPr>
              <w:spacing w:after="0"/>
              <w:rPr>
                <w:rFonts w:ascii="Calibri" w:eastAsia="Times New Roman" w:hAnsi="Calibri" w:cs="Times New Roman"/>
                <w:b/>
                <w:bCs/>
                <w:color w:val="000000"/>
                <w:sz w:val="20"/>
                <w:szCs w:val="22"/>
              </w:rPr>
            </w:pPr>
          </w:p>
        </w:tc>
        <w:tc>
          <w:tcPr>
            <w:tcW w:w="689" w:type="pct"/>
            <w:tcBorders>
              <w:left w:val="single" w:sz="4" w:space="0" w:color="auto"/>
            </w:tcBorders>
            <w:shd w:val="clear" w:color="auto" w:fill="auto"/>
            <w:noWrap/>
            <w:vAlign w:val="center"/>
          </w:tcPr>
          <w:p w:rsidR="008A5E42" w:rsidRPr="006A0A5A" w:rsidRDefault="008A5E42" w:rsidP="008A5E42">
            <w:pPr>
              <w:spacing w:after="0"/>
              <w:jc w:val="center"/>
              <w:rPr>
                <w:rFonts w:ascii="Calibri" w:eastAsia="Times New Roman" w:hAnsi="Calibri" w:cs="Times New Roman"/>
                <w:sz w:val="20"/>
                <w:szCs w:val="22"/>
              </w:rPr>
            </w:pPr>
            <w:r w:rsidRPr="006A0A5A">
              <w:rPr>
                <w:rFonts w:ascii="Calibri" w:eastAsia="Times New Roman" w:hAnsi="Calibri" w:cs="Times New Roman"/>
                <w:sz w:val="20"/>
                <w:szCs w:val="22"/>
              </w:rPr>
              <w:t>% patients</w:t>
            </w:r>
          </w:p>
        </w:tc>
        <w:tc>
          <w:tcPr>
            <w:tcW w:w="528"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70.7%</w:t>
            </w:r>
          </w:p>
        </w:tc>
        <w:tc>
          <w:tcPr>
            <w:tcW w:w="525"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21.0%</w:t>
            </w:r>
          </w:p>
        </w:tc>
        <w:tc>
          <w:tcPr>
            <w:tcW w:w="533"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6.0%</w:t>
            </w:r>
          </w:p>
        </w:tc>
        <w:tc>
          <w:tcPr>
            <w:tcW w:w="533"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1.7%</w:t>
            </w:r>
          </w:p>
        </w:tc>
        <w:tc>
          <w:tcPr>
            <w:tcW w:w="533"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0.7%</w:t>
            </w:r>
          </w:p>
        </w:tc>
        <w:tc>
          <w:tcPr>
            <w:tcW w:w="459"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100.0%</w:t>
            </w:r>
          </w:p>
        </w:tc>
      </w:tr>
      <w:tr w:rsidR="008A5E42" w:rsidRPr="006A0A5A" w:rsidTr="008A5E42">
        <w:trPr>
          <w:trHeight w:val="300"/>
        </w:trPr>
        <w:tc>
          <w:tcPr>
            <w:tcW w:w="1199" w:type="pct"/>
            <w:tcBorders>
              <w:top w:val="single" w:sz="4" w:space="0" w:color="auto"/>
              <w:bottom w:val="nil"/>
            </w:tcBorders>
            <w:shd w:val="clear" w:color="auto" w:fill="auto"/>
            <w:noWrap/>
            <w:vAlign w:val="bottom"/>
          </w:tcPr>
          <w:p w:rsidR="008A5E42" w:rsidRPr="00D04A36" w:rsidRDefault="008A5E42" w:rsidP="008A5E42">
            <w:pPr>
              <w:spacing w:after="0"/>
              <w:rPr>
                <w:rFonts w:ascii="Calibri" w:eastAsia="Times New Roman" w:hAnsi="Calibri" w:cs="Times New Roman"/>
                <w:b/>
                <w:bCs/>
                <w:color w:val="000000"/>
                <w:sz w:val="20"/>
                <w:szCs w:val="22"/>
              </w:rPr>
            </w:pPr>
            <w:r w:rsidRPr="00D04A36">
              <w:rPr>
                <w:rFonts w:ascii="Calibri" w:hAnsi="Calibri"/>
                <w:b/>
                <w:bCs/>
                <w:color w:val="000000"/>
                <w:sz w:val="20"/>
                <w:szCs w:val="22"/>
              </w:rPr>
              <w:t>INFLIXIMAB</w:t>
            </w:r>
          </w:p>
        </w:tc>
        <w:tc>
          <w:tcPr>
            <w:tcW w:w="689" w:type="pct"/>
            <w:shd w:val="clear" w:color="auto" w:fill="auto"/>
            <w:noWrap/>
            <w:vAlign w:val="center"/>
          </w:tcPr>
          <w:p w:rsidR="008A5E42" w:rsidRPr="006A0A5A" w:rsidRDefault="008A5E42" w:rsidP="008A5E42">
            <w:pPr>
              <w:spacing w:after="0"/>
              <w:jc w:val="center"/>
              <w:rPr>
                <w:rFonts w:ascii="Calibri" w:eastAsia="Times New Roman" w:hAnsi="Calibri" w:cs="Times New Roman"/>
                <w:sz w:val="20"/>
                <w:szCs w:val="22"/>
              </w:rPr>
            </w:pPr>
            <w:r w:rsidRPr="006A0A5A">
              <w:rPr>
                <w:rFonts w:ascii="Calibri" w:eastAsia="Times New Roman" w:hAnsi="Calibri" w:cs="Times New Roman"/>
                <w:sz w:val="20"/>
                <w:szCs w:val="22"/>
              </w:rPr>
              <w:t>patients</w:t>
            </w:r>
          </w:p>
        </w:tc>
        <w:tc>
          <w:tcPr>
            <w:tcW w:w="528"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636</w:t>
            </w:r>
          </w:p>
        </w:tc>
        <w:tc>
          <w:tcPr>
            <w:tcW w:w="525"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408</w:t>
            </w:r>
          </w:p>
        </w:tc>
        <w:tc>
          <w:tcPr>
            <w:tcW w:w="533"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165</w:t>
            </w:r>
          </w:p>
        </w:tc>
        <w:tc>
          <w:tcPr>
            <w:tcW w:w="533"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38</w:t>
            </w:r>
          </w:p>
        </w:tc>
        <w:tc>
          <w:tcPr>
            <w:tcW w:w="533"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3</w:t>
            </w:r>
          </w:p>
        </w:tc>
        <w:tc>
          <w:tcPr>
            <w:tcW w:w="459" w:type="pct"/>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1,250</w:t>
            </w:r>
          </w:p>
        </w:tc>
      </w:tr>
      <w:tr w:rsidR="008A5E42" w:rsidRPr="006A0A5A" w:rsidTr="00D04A36">
        <w:trPr>
          <w:trHeight w:val="300"/>
        </w:trPr>
        <w:tc>
          <w:tcPr>
            <w:tcW w:w="1199" w:type="pct"/>
            <w:tcBorders>
              <w:top w:val="nil"/>
              <w:bottom w:val="single" w:sz="4" w:space="0" w:color="auto"/>
            </w:tcBorders>
            <w:shd w:val="clear" w:color="auto" w:fill="auto"/>
            <w:noWrap/>
            <w:vAlign w:val="bottom"/>
          </w:tcPr>
          <w:p w:rsidR="008A5E42" w:rsidRPr="00D04A36" w:rsidRDefault="008A5E42" w:rsidP="008A5E42">
            <w:pPr>
              <w:spacing w:after="0"/>
              <w:rPr>
                <w:rFonts w:ascii="Calibri" w:eastAsia="Times New Roman" w:hAnsi="Calibri" w:cs="Times New Roman"/>
                <w:b/>
                <w:bCs/>
                <w:color w:val="000000"/>
                <w:sz w:val="20"/>
                <w:szCs w:val="22"/>
              </w:rPr>
            </w:pPr>
          </w:p>
        </w:tc>
        <w:tc>
          <w:tcPr>
            <w:tcW w:w="689" w:type="pct"/>
            <w:tcBorders>
              <w:bottom w:val="single" w:sz="4" w:space="0" w:color="auto"/>
            </w:tcBorders>
            <w:shd w:val="clear" w:color="auto" w:fill="auto"/>
            <w:noWrap/>
            <w:vAlign w:val="center"/>
          </w:tcPr>
          <w:p w:rsidR="008A5E42" w:rsidRPr="006A0A5A" w:rsidRDefault="008A5E42" w:rsidP="008A5E42">
            <w:pPr>
              <w:spacing w:after="0"/>
              <w:jc w:val="center"/>
              <w:rPr>
                <w:rFonts w:ascii="Calibri" w:eastAsia="Times New Roman" w:hAnsi="Calibri" w:cs="Times New Roman"/>
                <w:sz w:val="20"/>
                <w:szCs w:val="22"/>
              </w:rPr>
            </w:pPr>
            <w:r w:rsidRPr="006A0A5A">
              <w:rPr>
                <w:rFonts w:ascii="Calibri" w:eastAsia="Times New Roman" w:hAnsi="Calibri" w:cs="Times New Roman"/>
                <w:sz w:val="20"/>
                <w:szCs w:val="22"/>
              </w:rPr>
              <w:t>% patients</w:t>
            </w:r>
          </w:p>
        </w:tc>
        <w:tc>
          <w:tcPr>
            <w:tcW w:w="528" w:type="pct"/>
            <w:tcBorders>
              <w:bottom w:val="single" w:sz="4" w:space="0" w:color="auto"/>
            </w:tcBorders>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50.9%</w:t>
            </w:r>
          </w:p>
        </w:tc>
        <w:tc>
          <w:tcPr>
            <w:tcW w:w="525" w:type="pct"/>
            <w:tcBorders>
              <w:bottom w:val="single" w:sz="4" w:space="0" w:color="auto"/>
            </w:tcBorders>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32.6%</w:t>
            </w:r>
          </w:p>
        </w:tc>
        <w:tc>
          <w:tcPr>
            <w:tcW w:w="533" w:type="pct"/>
            <w:tcBorders>
              <w:bottom w:val="single" w:sz="4" w:space="0" w:color="auto"/>
            </w:tcBorders>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13.2%</w:t>
            </w:r>
          </w:p>
        </w:tc>
        <w:tc>
          <w:tcPr>
            <w:tcW w:w="533" w:type="pct"/>
            <w:tcBorders>
              <w:bottom w:val="single" w:sz="4" w:space="0" w:color="auto"/>
            </w:tcBorders>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3.0%</w:t>
            </w:r>
          </w:p>
        </w:tc>
        <w:tc>
          <w:tcPr>
            <w:tcW w:w="533" w:type="pct"/>
            <w:tcBorders>
              <w:bottom w:val="single" w:sz="4" w:space="0" w:color="auto"/>
            </w:tcBorders>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0.2%</w:t>
            </w:r>
          </w:p>
        </w:tc>
        <w:tc>
          <w:tcPr>
            <w:tcW w:w="459" w:type="pct"/>
            <w:tcBorders>
              <w:bottom w:val="single" w:sz="4" w:space="0" w:color="auto"/>
            </w:tcBorders>
            <w:shd w:val="clear" w:color="auto" w:fill="auto"/>
            <w:noWrap/>
            <w:vAlign w:val="center"/>
          </w:tcPr>
          <w:p w:rsidR="008A5E42" w:rsidRPr="000D2E4C" w:rsidRDefault="008A5E42" w:rsidP="008A5E42">
            <w:pPr>
              <w:spacing w:after="0"/>
              <w:jc w:val="center"/>
              <w:rPr>
                <w:rFonts w:ascii="Calibri" w:hAnsi="Calibri"/>
                <w:sz w:val="20"/>
                <w:szCs w:val="20"/>
              </w:rPr>
            </w:pPr>
            <w:r w:rsidRPr="000D2E4C">
              <w:rPr>
                <w:rFonts w:ascii="Calibri" w:hAnsi="Calibri"/>
                <w:sz w:val="20"/>
                <w:szCs w:val="20"/>
              </w:rPr>
              <w:t>100.0%</w:t>
            </w:r>
          </w:p>
        </w:tc>
      </w:tr>
      <w:tr w:rsidR="00D04A36" w:rsidRPr="006A0A5A" w:rsidTr="00D04A36">
        <w:trPr>
          <w:trHeight w:val="300"/>
        </w:trPr>
        <w:tc>
          <w:tcPr>
            <w:tcW w:w="1199" w:type="pct"/>
            <w:tcBorders>
              <w:bottom w:val="nil"/>
            </w:tcBorders>
            <w:shd w:val="clear" w:color="DCE6F1" w:fill="auto"/>
            <w:noWrap/>
            <w:vAlign w:val="bottom"/>
            <w:hideMark/>
          </w:tcPr>
          <w:p w:rsidR="00D04A36" w:rsidRPr="006A0A5A" w:rsidRDefault="00D04A36" w:rsidP="008A5E42">
            <w:pPr>
              <w:spacing w:after="0"/>
              <w:rPr>
                <w:rFonts w:ascii="Calibri" w:eastAsia="Times New Roman" w:hAnsi="Calibri" w:cs="Times New Roman"/>
                <w:b/>
                <w:bCs/>
                <w:color w:val="000000"/>
                <w:sz w:val="20"/>
                <w:szCs w:val="22"/>
              </w:rPr>
            </w:pPr>
            <w:r>
              <w:rPr>
                <w:rFonts w:ascii="Calibri" w:eastAsia="Times New Roman" w:hAnsi="Calibri" w:cs="Times New Roman"/>
                <w:b/>
                <w:bCs/>
                <w:color w:val="000000"/>
                <w:sz w:val="20"/>
                <w:szCs w:val="22"/>
              </w:rPr>
              <w:t>Total</w:t>
            </w:r>
          </w:p>
        </w:tc>
        <w:tc>
          <w:tcPr>
            <w:tcW w:w="689"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2"/>
              </w:rPr>
            </w:pPr>
            <w:r w:rsidRPr="006A0A5A">
              <w:rPr>
                <w:rFonts w:ascii="Calibri" w:eastAsia="Times New Roman" w:hAnsi="Calibri" w:cs="Times New Roman"/>
                <w:sz w:val="20"/>
                <w:szCs w:val="22"/>
              </w:rPr>
              <w:t>patients</w:t>
            </w:r>
          </w:p>
        </w:tc>
        <w:tc>
          <w:tcPr>
            <w:tcW w:w="528"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3,899</w:t>
            </w:r>
          </w:p>
        </w:tc>
        <w:tc>
          <w:tcPr>
            <w:tcW w:w="525"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1,686</w:t>
            </w:r>
          </w:p>
        </w:tc>
        <w:tc>
          <w:tcPr>
            <w:tcW w:w="533"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581</w:t>
            </w:r>
          </w:p>
        </w:tc>
        <w:tc>
          <w:tcPr>
            <w:tcW w:w="533"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127</w:t>
            </w:r>
          </w:p>
        </w:tc>
        <w:tc>
          <w:tcPr>
            <w:tcW w:w="533"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13</w:t>
            </w:r>
          </w:p>
        </w:tc>
        <w:tc>
          <w:tcPr>
            <w:tcW w:w="459"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6,306</w:t>
            </w:r>
          </w:p>
        </w:tc>
      </w:tr>
      <w:tr w:rsidR="00D04A36" w:rsidRPr="006A0A5A" w:rsidTr="00D04A36">
        <w:trPr>
          <w:trHeight w:val="300"/>
        </w:trPr>
        <w:tc>
          <w:tcPr>
            <w:tcW w:w="1199" w:type="pct"/>
            <w:tcBorders>
              <w:top w:val="nil"/>
            </w:tcBorders>
            <w:shd w:val="clear" w:color="DCE6F1" w:fill="auto"/>
            <w:noWrap/>
            <w:vAlign w:val="bottom"/>
          </w:tcPr>
          <w:p w:rsidR="00D04A36" w:rsidRPr="006A0A5A" w:rsidRDefault="00D04A36" w:rsidP="008A5E42">
            <w:pPr>
              <w:spacing w:after="0"/>
              <w:rPr>
                <w:rFonts w:ascii="Calibri" w:eastAsia="Times New Roman" w:hAnsi="Calibri" w:cs="Times New Roman"/>
                <w:b/>
                <w:bCs/>
                <w:color w:val="000000"/>
                <w:sz w:val="20"/>
                <w:szCs w:val="22"/>
              </w:rPr>
            </w:pPr>
          </w:p>
        </w:tc>
        <w:tc>
          <w:tcPr>
            <w:tcW w:w="689"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2"/>
              </w:rPr>
            </w:pPr>
            <w:r w:rsidRPr="006A0A5A">
              <w:rPr>
                <w:rFonts w:ascii="Calibri" w:eastAsia="Times New Roman" w:hAnsi="Calibri" w:cs="Times New Roman"/>
                <w:sz w:val="20"/>
                <w:szCs w:val="22"/>
              </w:rPr>
              <w:t>% patients</w:t>
            </w:r>
          </w:p>
        </w:tc>
        <w:tc>
          <w:tcPr>
            <w:tcW w:w="528"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61.8%</w:t>
            </w:r>
          </w:p>
        </w:tc>
        <w:tc>
          <w:tcPr>
            <w:tcW w:w="525"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26.7%</w:t>
            </w:r>
          </w:p>
        </w:tc>
        <w:tc>
          <w:tcPr>
            <w:tcW w:w="533"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9.2%</w:t>
            </w:r>
          </w:p>
        </w:tc>
        <w:tc>
          <w:tcPr>
            <w:tcW w:w="533"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2.0%</w:t>
            </w:r>
          </w:p>
        </w:tc>
        <w:tc>
          <w:tcPr>
            <w:tcW w:w="533"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0.2%</w:t>
            </w:r>
          </w:p>
        </w:tc>
        <w:tc>
          <w:tcPr>
            <w:tcW w:w="459" w:type="pct"/>
            <w:shd w:val="clear" w:color="DCE6F1" w:fill="auto"/>
            <w:noWrap/>
            <w:vAlign w:val="center"/>
            <w:hideMark/>
          </w:tcPr>
          <w:p w:rsidR="00D04A36" w:rsidRPr="006A0A5A" w:rsidRDefault="00D04A36" w:rsidP="008A5E42">
            <w:pPr>
              <w:spacing w:after="0"/>
              <w:jc w:val="center"/>
              <w:rPr>
                <w:rFonts w:ascii="Calibri" w:eastAsia="Times New Roman" w:hAnsi="Calibri" w:cs="Times New Roman"/>
                <w:b/>
                <w:bCs/>
                <w:color w:val="000000"/>
                <w:sz w:val="20"/>
                <w:szCs w:val="20"/>
              </w:rPr>
            </w:pPr>
            <w:r w:rsidRPr="000D2E4C">
              <w:rPr>
                <w:rFonts w:ascii="Calibri" w:hAnsi="Calibri"/>
                <w:b/>
                <w:bCs/>
                <w:color w:val="000000"/>
                <w:sz w:val="20"/>
                <w:szCs w:val="20"/>
              </w:rPr>
              <w:t>100.0%</w:t>
            </w:r>
          </w:p>
        </w:tc>
      </w:tr>
    </w:tbl>
    <w:p w:rsidR="00E5021D" w:rsidRDefault="00E5021D" w:rsidP="008A5E42">
      <w:pPr>
        <w:spacing w:line="276" w:lineRule="auto"/>
      </w:pPr>
    </w:p>
    <w:p w:rsidR="008A5E42" w:rsidRDefault="008A5E42" w:rsidP="008A5E42">
      <w:pPr>
        <w:spacing w:line="276" w:lineRule="auto"/>
      </w:pPr>
      <w:r>
        <w:t>Table 3 shows that more patients who initiated on infliximab had more than 3 bDMARDs (</w:t>
      </w:r>
      <w:r w:rsidR="002B2E0B">
        <w:t>i.e.</w:t>
      </w:r>
      <w:r>
        <w:t xml:space="preserve"> 3% compared to approximately 2% for the other drugs)</w:t>
      </w:r>
      <w:r w:rsidR="002B2E0B">
        <w:t>;</w:t>
      </w:r>
      <w:r>
        <w:t xml:space="preserve"> however the rate is still low. </w:t>
      </w:r>
    </w:p>
    <w:p w:rsidR="009F3619" w:rsidRPr="00F75746" w:rsidRDefault="009F3619" w:rsidP="008A5E42">
      <w:pPr>
        <w:spacing w:line="276" w:lineRule="auto"/>
      </w:pPr>
      <w:r w:rsidRPr="009F3619">
        <w:t xml:space="preserve">Table </w:t>
      </w:r>
      <w:r>
        <w:t>4</w:t>
      </w:r>
      <w:r w:rsidRPr="009F3619">
        <w:t xml:space="preserve"> shows the top 20 bDMARD sequences.</w:t>
      </w:r>
    </w:p>
    <w:p w:rsidR="008A5E42" w:rsidRDefault="008A5E42" w:rsidP="008A5E42">
      <w:pPr>
        <w:pStyle w:val="Figuretitle"/>
      </w:pPr>
      <w:r>
        <w:t xml:space="preserve">Table </w:t>
      </w:r>
      <w:r w:rsidR="009F3619">
        <w:t>4</w:t>
      </w:r>
      <w:r>
        <w:t>: Top 20 bDMARD sequences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897"/>
        <w:gridCol w:w="1088"/>
        <w:gridCol w:w="631"/>
      </w:tblGrid>
      <w:tr w:rsidR="008A5E42" w:rsidRPr="005D0B00" w:rsidTr="008A5E42">
        <w:trPr>
          <w:trHeight w:val="300"/>
        </w:trPr>
        <w:tc>
          <w:tcPr>
            <w:tcW w:w="0" w:type="auto"/>
            <w:shd w:val="clear" w:color="auto" w:fill="BFBFBF" w:themeFill="background1" w:themeFillShade="BF"/>
            <w:noWrap/>
            <w:vAlign w:val="bottom"/>
            <w:hideMark/>
          </w:tcPr>
          <w:p w:rsidR="008A5E42" w:rsidRPr="005D0B00" w:rsidRDefault="008A5E42" w:rsidP="008A5E42">
            <w:pPr>
              <w:spacing w:after="0"/>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bDMARD sequence</w:t>
            </w:r>
          </w:p>
        </w:tc>
        <w:tc>
          <w:tcPr>
            <w:tcW w:w="0" w:type="auto"/>
            <w:shd w:val="clear" w:color="auto" w:fill="BFBFBF" w:themeFill="background1" w:themeFillShade="BF"/>
            <w:noWrap/>
            <w:vAlign w:val="center"/>
            <w:hideMark/>
          </w:tcPr>
          <w:p w:rsidR="008A5E42" w:rsidRPr="005D0B00" w:rsidRDefault="008A5E42" w:rsidP="008A5E42">
            <w:pPr>
              <w:spacing w:after="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P</w:t>
            </w:r>
            <w:r w:rsidRPr="005D0B00">
              <w:rPr>
                <w:rFonts w:ascii="Calibri" w:eastAsia="Times New Roman" w:hAnsi="Calibri" w:cs="Times New Roman"/>
                <w:b/>
                <w:bCs/>
                <w:color w:val="000000"/>
                <w:sz w:val="20"/>
                <w:szCs w:val="20"/>
              </w:rPr>
              <w:t>atients</w:t>
            </w:r>
          </w:p>
        </w:tc>
        <w:tc>
          <w:tcPr>
            <w:tcW w:w="0" w:type="auto"/>
            <w:shd w:val="clear" w:color="auto" w:fill="BFBFBF" w:themeFill="background1" w:themeFillShade="BF"/>
            <w:noWrap/>
            <w:vAlign w:val="center"/>
            <w:hideMark/>
          </w:tcPr>
          <w:p w:rsidR="008A5E42" w:rsidRPr="005D0B00" w:rsidRDefault="008A5E42" w:rsidP="008A5E42">
            <w:pPr>
              <w:spacing w:after="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P</w:t>
            </w:r>
            <w:r w:rsidRPr="005D0B00">
              <w:rPr>
                <w:rFonts w:ascii="Calibri" w:eastAsia="Times New Roman" w:hAnsi="Calibri" w:cs="Times New Roman"/>
                <w:b/>
                <w:bCs/>
                <w:color w:val="000000"/>
                <w:sz w:val="20"/>
                <w:szCs w:val="20"/>
              </w:rPr>
              <w:t>atients</w:t>
            </w:r>
          </w:p>
        </w:tc>
        <w:tc>
          <w:tcPr>
            <w:tcW w:w="0" w:type="auto"/>
            <w:shd w:val="clear" w:color="auto" w:fill="BFBFBF" w:themeFill="background1" w:themeFillShade="BF"/>
            <w:noWrap/>
            <w:vAlign w:val="center"/>
            <w:hideMark/>
          </w:tcPr>
          <w:p w:rsidR="008A5E42" w:rsidRPr="005D0B00" w:rsidRDefault="008A5E42" w:rsidP="008A5E42">
            <w:pPr>
              <w:spacing w:after="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R</w:t>
            </w:r>
            <w:r w:rsidRPr="005D0B00">
              <w:rPr>
                <w:rFonts w:ascii="Calibri" w:eastAsia="Times New Roman" w:hAnsi="Calibri" w:cs="Times New Roman"/>
                <w:b/>
                <w:bCs/>
                <w:color w:val="000000"/>
                <w:sz w:val="20"/>
                <w:szCs w:val="20"/>
              </w:rPr>
              <w:t>ank</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ADALIMUMAB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1701</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27.0%</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ETANERCEPT</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1138</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18.0%</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2</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INFLIXIMAB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636</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10.1%</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3</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GOLIMUMAB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424</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6.7%</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4</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ETANERCEPT -&gt; ADALIMUMAB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343</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5.4%</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5</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ADALIMUMAB -&gt; ETANERCEPT</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316</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5.0%</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6</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ADALIMUMAB -&gt; GOLIMUMAB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240</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3.8%</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7</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INFLIXIMAB -&gt; ADALIMUMAB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189</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3.0%</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8</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INFLIXIMAB -&gt; ETANERCEPT</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175</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2.8%</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9</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ADALIMUMAB -&gt; INFLIXIMAB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88</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1.4%</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10</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ADALIMUMAB -&gt; ETANERCEPT -&gt; GOLIMUMAB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88</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1.4%</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11</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ETANERCEPT -&gt; GOLIMUMAB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73</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1.2%</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12</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GOLIMUMAB -&gt; ADALIMUMAB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71</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1.1%</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13</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INFLIXIMAB -&gt; ETANERCEPT -&gt; ADALIMUMAB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65</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1.0%</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14</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ETANERCEPT -&gt; INFLIXIMAB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64</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1.0%</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15</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INFLIXIMAB -&gt; ADALIMUMAB -&gt; ETANERCEPT</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55</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0.9%</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16</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ADALIMUMAB -&gt; GOLIMUMAB -&gt; ETANERCEPT</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43</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0.7%</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17</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ETANERCEPT -&gt; ADALIMUMAB -&gt; GOLIMUMAB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43</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0.7%</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18</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ETANERCEPT -&gt; ADALIMUMAB -&gt; INFLIXIMAB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43</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0.7%</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19</w:t>
            </w:r>
          </w:p>
        </w:tc>
      </w:tr>
      <w:tr w:rsidR="008A5E42" w:rsidRPr="005D0B00" w:rsidTr="008A5E42">
        <w:trPr>
          <w:trHeight w:val="300"/>
        </w:trPr>
        <w:tc>
          <w:tcPr>
            <w:tcW w:w="0" w:type="auto"/>
            <w:shd w:val="clear" w:color="auto" w:fill="auto"/>
            <w:noWrap/>
            <w:vAlign w:val="bottom"/>
            <w:hideMark/>
          </w:tcPr>
          <w:p w:rsidR="008A5E42" w:rsidRPr="005D0B00" w:rsidRDefault="008A5E42" w:rsidP="008A5E42">
            <w:pPr>
              <w:spacing w:after="0"/>
              <w:rPr>
                <w:rFonts w:ascii="Calibri" w:eastAsia="Times New Roman" w:hAnsi="Calibri" w:cs="Times New Roman"/>
                <w:sz w:val="20"/>
                <w:szCs w:val="20"/>
              </w:rPr>
            </w:pPr>
            <w:r w:rsidRPr="005D0B00">
              <w:rPr>
                <w:rFonts w:ascii="Calibri" w:eastAsia="Times New Roman" w:hAnsi="Calibri" w:cs="Times New Roman"/>
                <w:sz w:val="20"/>
                <w:szCs w:val="20"/>
              </w:rPr>
              <w:t>INFLIXIMAB -&gt; GOLIMUMAB</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42</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0.7%</w:t>
            </w:r>
          </w:p>
        </w:tc>
        <w:tc>
          <w:tcPr>
            <w:tcW w:w="0" w:type="auto"/>
            <w:shd w:val="clear" w:color="auto" w:fill="auto"/>
            <w:noWrap/>
            <w:vAlign w:val="center"/>
            <w:hideMark/>
          </w:tcPr>
          <w:p w:rsidR="008A5E42" w:rsidRPr="005D0B00" w:rsidRDefault="008A5E42" w:rsidP="008A5E42">
            <w:pPr>
              <w:spacing w:after="0"/>
              <w:jc w:val="center"/>
              <w:rPr>
                <w:rFonts w:ascii="Calibri" w:eastAsia="Times New Roman" w:hAnsi="Calibri" w:cs="Times New Roman"/>
                <w:sz w:val="20"/>
                <w:szCs w:val="20"/>
              </w:rPr>
            </w:pPr>
            <w:r w:rsidRPr="005D0B00">
              <w:rPr>
                <w:rFonts w:ascii="Calibri" w:eastAsia="Times New Roman" w:hAnsi="Calibri" w:cs="Times New Roman"/>
                <w:sz w:val="20"/>
                <w:szCs w:val="20"/>
              </w:rPr>
              <w:t>20</w:t>
            </w:r>
          </w:p>
        </w:tc>
      </w:tr>
      <w:tr w:rsidR="008A5E42" w:rsidRPr="005D0B00" w:rsidTr="008A5E42">
        <w:trPr>
          <w:trHeight w:val="300"/>
        </w:trPr>
        <w:tc>
          <w:tcPr>
            <w:tcW w:w="0" w:type="auto"/>
            <w:shd w:val="clear" w:color="auto" w:fill="auto"/>
            <w:noWrap/>
            <w:vAlign w:val="bottom"/>
          </w:tcPr>
          <w:p w:rsidR="008A5E42" w:rsidRPr="005D0B00" w:rsidRDefault="008A5E42" w:rsidP="008A5E42">
            <w:pPr>
              <w:spacing w:after="0"/>
              <w:rPr>
                <w:rFonts w:ascii="Calibri" w:eastAsia="Times New Roman" w:hAnsi="Calibri" w:cs="Times New Roman"/>
                <w:sz w:val="20"/>
                <w:szCs w:val="20"/>
              </w:rPr>
            </w:pPr>
            <w:r>
              <w:rPr>
                <w:rFonts w:ascii="Calibri" w:eastAsia="Times New Roman" w:hAnsi="Calibri" w:cs="Times New Roman"/>
                <w:sz w:val="20"/>
                <w:szCs w:val="20"/>
              </w:rPr>
              <w:t>Other</w:t>
            </w:r>
          </w:p>
        </w:tc>
        <w:tc>
          <w:tcPr>
            <w:tcW w:w="0" w:type="auto"/>
            <w:shd w:val="clear" w:color="auto" w:fill="auto"/>
            <w:noWrap/>
            <w:vAlign w:val="center"/>
          </w:tcPr>
          <w:p w:rsidR="008A5E42" w:rsidRPr="005348D2" w:rsidRDefault="008A5E42" w:rsidP="008A5E42">
            <w:pPr>
              <w:spacing w:after="0"/>
              <w:jc w:val="center"/>
              <w:rPr>
                <w:rFonts w:ascii="Calibri" w:eastAsia="Times New Roman" w:hAnsi="Calibri" w:cs="Times New Roman"/>
                <w:sz w:val="20"/>
                <w:szCs w:val="20"/>
              </w:rPr>
            </w:pPr>
            <w:r w:rsidRPr="005348D2">
              <w:rPr>
                <w:rFonts w:ascii="Calibri" w:hAnsi="Calibri"/>
                <w:sz w:val="20"/>
                <w:szCs w:val="22"/>
              </w:rPr>
              <w:t>469</w:t>
            </w:r>
          </w:p>
        </w:tc>
        <w:tc>
          <w:tcPr>
            <w:tcW w:w="0" w:type="auto"/>
            <w:shd w:val="clear" w:color="auto" w:fill="auto"/>
            <w:noWrap/>
            <w:vAlign w:val="center"/>
          </w:tcPr>
          <w:p w:rsidR="008A5E42" w:rsidRPr="005348D2" w:rsidRDefault="008A5E42" w:rsidP="008A5E42">
            <w:pPr>
              <w:spacing w:after="0"/>
              <w:jc w:val="center"/>
              <w:rPr>
                <w:rFonts w:ascii="Calibri" w:eastAsia="Times New Roman" w:hAnsi="Calibri" w:cs="Times New Roman"/>
                <w:sz w:val="20"/>
                <w:szCs w:val="20"/>
              </w:rPr>
            </w:pPr>
            <w:r w:rsidRPr="005348D2">
              <w:rPr>
                <w:rFonts w:ascii="Calibri" w:hAnsi="Calibri"/>
                <w:sz w:val="20"/>
                <w:szCs w:val="22"/>
              </w:rPr>
              <w:t>7.4%</w:t>
            </w:r>
          </w:p>
        </w:tc>
        <w:tc>
          <w:tcPr>
            <w:tcW w:w="0" w:type="auto"/>
            <w:shd w:val="clear" w:color="auto" w:fill="auto"/>
            <w:noWrap/>
            <w:vAlign w:val="center"/>
          </w:tcPr>
          <w:p w:rsidR="008A5E42" w:rsidRPr="005D0B00" w:rsidRDefault="008A5E42" w:rsidP="008A5E42">
            <w:pPr>
              <w:spacing w:after="0"/>
              <w:jc w:val="center"/>
              <w:rPr>
                <w:rFonts w:ascii="Calibri" w:eastAsia="Times New Roman" w:hAnsi="Calibri" w:cs="Times New Roman"/>
                <w:sz w:val="20"/>
                <w:szCs w:val="20"/>
              </w:rPr>
            </w:pPr>
          </w:p>
        </w:tc>
      </w:tr>
      <w:tr w:rsidR="008A5E42" w:rsidRPr="005D0B00" w:rsidTr="008A5E42">
        <w:trPr>
          <w:trHeight w:val="300"/>
        </w:trPr>
        <w:tc>
          <w:tcPr>
            <w:tcW w:w="0" w:type="auto"/>
            <w:shd w:val="clear" w:color="auto" w:fill="auto"/>
            <w:noWrap/>
            <w:vAlign w:val="bottom"/>
          </w:tcPr>
          <w:p w:rsidR="008A5E42" w:rsidRDefault="008A5E42" w:rsidP="008A5E42">
            <w:pPr>
              <w:spacing w:after="0"/>
              <w:rPr>
                <w:rFonts w:ascii="Calibri" w:eastAsia="Times New Roman" w:hAnsi="Calibri" w:cs="Times New Roman"/>
                <w:sz w:val="20"/>
                <w:szCs w:val="20"/>
              </w:rPr>
            </w:pPr>
            <w:r>
              <w:rPr>
                <w:rFonts w:ascii="Calibri" w:eastAsia="Times New Roman" w:hAnsi="Calibri" w:cs="Times New Roman"/>
                <w:sz w:val="20"/>
                <w:szCs w:val="20"/>
              </w:rPr>
              <w:t>Total</w:t>
            </w:r>
          </w:p>
        </w:tc>
        <w:tc>
          <w:tcPr>
            <w:tcW w:w="0" w:type="auto"/>
            <w:shd w:val="clear" w:color="auto" w:fill="auto"/>
            <w:noWrap/>
            <w:vAlign w:val="center"/>
          </w:tcPr>
          <w:p w:rsidR="008A5E42" w:rsidRPr="005348D2" w:rsidRDefault="008A5E42" w:rsidP="008A5E42">
            <w:pPr>
              <w:spacing w:after="0"/>
              <w:jc w:val="center"/>
              <w:rPr>
                <w:rFonts w:ascii="Calibri" w:eastAsia="Times New Roman" w:hAnsi="Calibri" w:cs="Times New Roman"/>
                <w:sz w:val="20"/>
                <w:szCs w:val="20"/>
              </w:rPr>
            </w:pPr>
            <w:r w:rsidRPr="005348D2">
              <w:rPr>
                <w:rFonts w:ascii="Calibri" w:hAnsi="Calibri"/>
                <w:sz w:val="20"/>
                <w:szCs w:val="22"/>
              </w:rPr>
              <w:t>6,306</w:t>
            </w:r>
          </w:p>
        </w:tc>
        <w:tc>
          <w:tcPr>
            <w:tcW w:w="0" w:type="auto"/>
            <w:shd w:val="clear" w:color="auto" w:fill="auto"/>
            <w:noWrap/>
            <w:vAlign w:val="center"/>
          </w:tcPr>
          <w:p w:rsidR="008A5E42" w:rsidRPr="005348D2" w:rsidRDefault="008A5E42" w:rsidP="008A5E42">
            <w:pPr>
              <w:spacing w:after="0"/>
              <w:jc w:val="center"/>
              <w:rPr>
                <w:rFonts w:ascii="Calibri" w:eastAsia="Times New Roman" w:hAnsi="Calibri" w:cs="Times New Roman"/>
                <w:sz w:val="20"/>
                <w:szCs w:val="20"/>
              </w:rPr>
            </w:pPr>
            <w:r w:rsidRPr="005348D2">
              <w:rPr>
                <w:rFonts w:ascii="Calibri" w:hAnsi="Calibri"/>
                <w:sz w:val="20"/>
                <w:szCs w:val="22"/>
              </w:rPr>
              <w:t>100.0%</w:t>
            </w:r>
          </w:p>
        </w:tc>
        <w:tc>
          <w:tcPr>
            <w:tcW w:w="0" w:type="auto"/>
            <w:shd w:val="clear" w:color="auto" w:fill="auto"/>
            <w:noWrap/>
            <w:vAlign w:val="center"/>
          </w:tcPr>
          <w:p w:rsidR="008A5E42" w:rsidRPr="005D0B00" w:rsidRDefault="008A5E42" w:rsidP="008A5E42">
            <w:pPr>
              <w:spacing w:after="0"/>
              <w:jc w:val="center"/>
              <w:rPr>
                <w:rFonts w:ascii="Calibri" w:eastAsia="Times New Roman" w:hAnsi="Calibri" w:cs="Times New Roman"/>
                <w:sz w:val="20"/>
                <w:szCs w:val="20"/>
              </w:rPr>
            </w:pPr>
          </w:p>
        </w:tc>
      </w:tr>
    </w:tbl>
    <w:p w:rsidR="008A5E42" w:rsidRDefault="008A5E42" w:rsidP="008A5E42">
      <w:r>
        <w:lastRenderedPageBreak/>
        <w:t xml:space="preserve">The two most common single switches were </w:t>
      </w:r>
      <w:r w:rsidRPr="00504523">
        <w:t>etanercept -&gt; adalimumab</w:t>
      </w:r>
      <w:r>
        <w:t xml:space="preserve"> (5.4%) and adalimumab </w:t>
      </w:r>
      <w:r w:rsidRPr="00504523">
        <w:t>-&gt;</w:t>
      </w:r>
      <w:r>
        <w:t xml:space="preserve"> etanercept (5.0%). The two most common double switches were </w:t>
      </w:r>
      <w:r w:rsidRPr="00504523">
        <w:rPr>
          <w:rFonts w:ascii="Calibri" w:eastAsia="Times New Roman" w:hAnsi="Calibri" w:cs="Times New Roman"/>
        </w:rPr>
        <w:t>adalimumab -&gt; etanercept -&gt; golimumab</w:t>
      </w:r>
      <w:r>
        <w:t xml:space="preserve"> (1.4%) and </w:t>
      </w:r>
      <w:r w:rsidRPr="005D0B00">
        <w:rPr>
          <w:rFonts w:ascii="Calibri" w:eastAsia="Times New Roman" w:hAnsi="Calibri" w:cs="Times New Roman"/>
        </w:rPr>
        <w:t>infliximab -&gt; etanercept -&gt; adalimumab</w:t>
      </w:r>
      <w:r>
        <w:t xml:space="preserve"> (1.0%). These patterns probabl</w:t>
      </w:r>
      <w:r w:rsidR="009F3619">
        <w:t>y</w:t>
      </w:r>
      <w:r>
        <w:t xml:space="preserve"> reflect the order and timing of the listing on the medicines on the PBS, as well as preference for subcutaneous administration.</w:t>
      </w:r>
    </w:p>
    <w:p w:rsidR="00F63A67" w:rsidRDefault="00F63A67" w:rsidP="000F46CE"/>
    <w:p w:rsidR="00F63A67" w:rsidRDefault="00F63A67" w:rsidP="000F46CE">
      <w:pPr>
        <w:sectPr w:rsidR="00F63A67" w:rsidSect="002C2A3C">
          <w:footerReference w:type="even" r:id="rId17"/>
          <w:footerReference w:type="default" r:id="rId18"/>
          <w:footerReference w:type="first" r:id="rId19"/>
          <w:pgSz w:w="11906" w:h="16838"/>
          <w:pgMar w:top="1644" w:right="1361" w:bottom="1644" w:left="1588" w:header="709" w:footer="709" w:gutter="0"/>
          <w:cols w:space="708"/>
          <w:docGrid w:linePitch="360"/>
        </w:sectPr>
      </w:pPr>
    </w:p>
    <w:p w:rsidR="00736041" w:rsidRDefault="001B5D37" w:rsidP="003C5D85">
      <w:pPr>
        <w:pStyle w:val="Heading3"/>
      </w:pPr>
      <w:r w:rsidRPr="005E22C2">
        <w:lastRenderedPageBreak/>
        <w:t xml:space="preserve">Analysis </w:t>
      </w:r>
      <w:r w:rsidR="00481108" w:rsidRPr="005E22C2">
        <w:t xml:space="preserve">of </w:t>
      </w:r>
      <w:r w:rsidR="0063631C">
        <w:t>e</w:t>
      </w:r>
      <w:r w:rsidR="00736041" w:rsidRPr="005E22C2">
        <w:t>xpenditure</w:t>
      </w:r>
    </w:p>
    <w:p w:rsidR="00A841B7" w:rsidRPr="00A841B7" w:rsidRDefault="00A841B7" w:rsidP="00A841B7">
      <w:r>
        <w:t>The following table</w:t>
      </w:r>
      <w:r w:rsidR="00765F04">
        <w:t>, Table 6</w:t>
      </w:r>
      <w:r w:rsidR="0098615A">
        <w:t>,</w:t>
      </w:r>
      <w:r>
        <w:t xml:space="preserve"> presents the total benefits paid for bDMARDs used for </w:t>
      </w:r>
      <w:r w:rsidR="00886FEA">
        <w:t>ankylosing spondylitis</w:t>
      </w:r>
      <w:r w:rsidR="00085D29">
        <w:t xml:space="preserve"> per year</w:t>
      </w:r>
      <w:r w:rsidR="00AA2470">
        <w:t>, based on date of supply.</w:t>
      </w:r>
      <w:r w:rsidR="00085D29">
        <w:t xml:space="preserve"> </w:t>
      </w:r>
    </w:p>
    <w:p w:rsidR="00A808A5" w:rsidRDefault="00765F04" w:rsidP="003F50BC">
      <w:pPr>
        <w:pStyle w:val="Figuretitle"/>
      </w:pPr>
      <w:r>
        <w:t>Table 6</w:t>
      </w:r>
      <w:r w:rsidR="00A808A5">
        <w:t xml:space="preserve">: bDMARD expenditure for </w:t>
      </w:r>
      <w:r w:rsidR="00A673F0">
        <w:t>ankylosing spondylitis</w:t>
      </w:r>
      <w:r w:rsidR="00A808A5">
        <w:t xml:space="preserve"> </w:t>
      </w:r>
    </w:p>
    <w:tbl>
      <w:tblPr>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039"/>
        <w:gridCol w:w="1130"/>
        <w:gridCol w:w="1130"/>
        <w:gridCol w:w="1130"/>
        <w:gridCol w:w="1130"/>
        <w:gridCol w:w="1130"/>
        <w:gridCol w:w="1130"/>
        <w:gridCol w:w="1130"/>
        <w:gridCol w:w="1130"/>
        <w:gridCol w:w="1130"/>
        <w:gridCol w:w="1222"/>
        <w:gridCol w:w="1130"/>
      </w:tblGrid>
      <w:tr w:rsidR="00262EFF" w:rsidRPr="009162D2" w:rsidTr="00161B3E">
        <w:trPr>
          <w:trHeight w:val="300"/>
        </w:trPr>
        <w:tc>
          <w:tcPr>
            <w:tcW w:w="0" w:type="auto"/>
            <w:shd w:val="clear" w:color="auto" w:fill="BFBFBF" w:themeFill="background1" w:themeFillShade="BF"/>
          </w:tcPr>
          <w:p w:rsidR="00A808A5" w:rsidRPr="009162D2" w:rsidRDefault="00A808A5" w:rsidP="0093416F">
            <w:pPr>
              <w:pStyle w:val="Tableheading"/>
              <w:rPr>
                <w:sz w:val="18"/>
                <w:szCs w:val="18"/>
              </w:rPr>
            </w:pPr>
            <w:r w:rsidRPr="009162D2">
              <w:rPr>
                <w:sz w:val="18"/>
                <w:szCs w:val="18"/>
              </w:rPr>
              <w:t>Listing years</w:t>
            </w:r>
          </w:p>
        </w:tc>
        <w:tc>
          <w:tcPr>
            <w:tcW w:w="1039" w:type="dxa"/>
            <w:shd w:val="clear" w:color="auto" w:fill="BFBFBF" w:themeFill="background1" w:themeFillShade="BF"/>
            <w:vAlign w:val="center"/>
          </w:tcPr>
          <w:p w:rsidR="00A808A5" w:rsidRPr="009162D2" w:rsidRDefault="00A808A5" w:rsidP="00A808A5">
            <w:pPr>
              <w:pStyle w:val="Tableheading"/>
              <w:rPr>
                <w:sz w:val="18"/>
                <w:szCs w:val="18"/>
              </w:rPr>
            </w:pPr>
            <w:r w:rsidRPr="009162D2">
              <w:rPr>
                <w:sz w:val="18"/>
                <w:szCs w:val="18"/>
              </w:rPr>
              <w:t>2004</w:t>
            </w:r>
            <w:r w:rsidR="00A673F0" w:rsidRPr="009162D2">
              <w:rPr>
                <w:sz w:val="18"/>
                <w:szCs w:val="18"/>
                <w:vertAlign w:val="superscript"/>
              </w:rPr>
              <w:t>a</w:t>
            </w:r>
          </w:p>
        </w:tc>
        <w:tc>
          <w:tcPr>
            <w:tcW w:w="1130" w:type="dxa"/>
            <w:shd w:val="clear" w:color="auto" w:fill="BFBFBF" w:themeFill="background1" w:themeFillShade="BF"/>
            <w:vAlign w:val="center"/>
          </w:tcPr>
          <w:p w:rsidR="00A808A5" w:rsidRPr="009162D2" w:rsidRDefault="00A808A5" w:rsidP="00A808A5">
            <w:pPr>
              <w:pStyle w:val="Tableheading"/>
              <w:rPr>
                <w:sz w:val="18"/>
                <w:szCs w:val="18"/>
              </w:rPr>
            </w:pPr>
            <w:r w:rsidRPr="009162D2">
              <w:rPr>
                <w:sz w:val="18"/>
                <w:szCs w:val="18"/>
              </w:rPr>
              <w:t>2005</w:t>
            </w:r>
          </w:p>
        </w:tc>
        <w:tc>
          <w:tcPr>
            <w:tcW w:w="1130" w:type="dxa"/>
            <w:shd w:val="clear" w:color="auto" w:fill="BFBFBF" w:themeFill="background1" w:themeFillShade="BF"/>
            <w:noWrap/>
            <w:vAlign w:val="center"/>
          </w:tcPr>
          <w:p w:rsidR="00A808A5" w:rsidRPr="009162D2" w:rsidRDefault="00A808A5" w:rsidP="00A673F0">
            <w:pPr>
              <w:pStyle w:val="Tableheading"/>
              <w:rPr>
                <w:sz w:val="18"/>
                <w:szCs w:val="18"/>
                <w:vertAlign w:val="superscript"/>
              </w:rPr>
            </w:pPr>
            <w:r w:rsidRPr="009162D2">
              <w:rPr>
                <w:sz w:val="18"/>
                <w:szCs w:val="18"/>
              </w:rPr>
              <w:t>2006</w:t>
            </w:r>
          </w:p>
        </w:tc>
        <w:tc>
          <w:tcPr>
            <w:tcW w:w="1130" w:type="dxa"/>
            <w:shd w:val="clear" w:color="auto" w:fill="BFBFBF" w:themeFill="background1" w:themeFillShade="BF"/>
            <w:noWrap/>
            <w:vAlign w:val="center"/>
          </w:tcPr>
          <w:p w:rsidR="00A808A5" w:rsidRPr="009162D2" w:rsidRDefault="00A808A5" w:rsidP="0093416F">
            <w:pPr>
              <w:pStyle w:val="Tableheading"/>
              <w:rPr>
                <w:sz w:val="18"/>
                <w:szCs w:val="18"/>
              </w:rPr>
            </w:pPr>
            <w:r w:rsidRPr="009162D2">
              <w:rPr>
                <w:sz w:val="18"/>
                <w:szCs w:val="18"/>
              </w:rPr>
              <w:t>2007</w:t>
            </w:r>
          </w:p>
        </w:tc>
        <w:tc>
          <w:tcPr>
            <w:tcW w:w="1130" w:type="dxa"/>
            <w:shd w:val="clear" w:color="auto" w:fill="BFBFBF" w:themeFill="background1" w:themeFillShade="BF"/>
            <w:noWrap/>
            <w:vAlign w:val="center"/>
          </w:tcPr>
          <w:p w:rsidR="00A808A5" w:rsidRPr="009162D2" w:rsidRDefault="00A808A5" w:rsidP="0093416F">
            <w:pPr>
              <w:pStyle w:val="Tableheading"/>
              <w:rPr>
                <w:sz w:val="18"/>
                <w:szCs w:val="18"/>
              </w:rPr>
            </w:pPr>
            <w:r w:rsidRPr="009162D2">
              <w:rPr>
                <w:sz w:val="18"/>
                <w:szCs w:val="18"/>
              </w:rPr>
              <w:t>2008</w:t>
            </w:r>
          </w:p>
        </w:tc>
        <w:tc>
          <w:tcPr>
            <w:tcW w:w="1130" w:type="dxa"/>
            <w:shd w:val="clear" w:color="auto" w:fill="BFBFBF" w:themeFill="background1" w:themeFillShade="BF"/>
            <w:noWrap/>
            <w:vAlign w:val="center"/>
          </w:tcPr>
          <w:p w:rsidR="00A808A5" w:rsidRPr="009162D2" w:rsidRDefault="00A808A5" w:rsidP="0093416F">
            <w:pPr>
              <w:pStyle w:val="Tableheading"/>
              <w:rPr>
                <w:sz w:val="18"/>
                <w:szCs w:val="18"/>
              </w:rPr>
            </w:pPr>
            <w:r w:rsidRPr="009162D2">
              <w:rPr>
                <w:sz w:val="18"/>
                <w:szCs w:val="18"/>
              </w:rPr>
              <w:t>2009</w:t>
            </w:r>
          </w:p>
        </w:tc>
        <w:tc>
          <w:tcPr>
            <w:tcW w:w="1130" w:type="dxa"/>
            <w:shd w:val="clear" w:color="auto" w:fill="BFBFBF" w:themeFill="background1" w:themeFillShade="BF"/>
            <w:vAlign w:val="center"/>
          </w:tcPr>
          <w:p w:rsidR="00A808A5" w:rsidRPr="009162D2" w:rsidRDefault="00A808A5" w:rsidP="0093416F">
            <w:pPr>
              <w:pStyle w:val="Tableheading"/>
              <w:rPr>
                <w:sz w:val="18"/>
                <w:szCs w:val="18"/>
              </w:rPr>
            </w:pPr>
            <w:r w:rsidRPr="009162D2">
              <w:rPr>
                <w:sz w:val="18"/>
                <w:szCs w:val="18"/>
              </w:rPr>
              <w:t>2010</w:t>
            </w:r>
          </w:p>
        </w:tc>
        <w:tc>
          <w:tcPr>
            <w:tcW w:w="1130" w:type="dxa"/>
            <w:shd w:val="clear" w:color="auto" w:fill="BFBFBF" w:themeFill="background1" w:themeFillShade="BF"/>
            <w:vAlign w:val="center"/>
          </w:tcPr>
          <w:p w:rsidR="00A808A5" w:rsidRPr="009162D2" w:rsidRDefault="00A808A5" w:rsidP="0093416F">
            <w:pPr>
              <w:pStyle w:val="Tableheading"/>
              <w:rPr>
                <w:sz w:val="18"/>
                <w:szCs w:val="18"/>
              </w:rPr>
            </w:pPr>
            <w:r w:rsidRPr="009162D2">
              <w:rPr>
                <w:sz w:val="18"/>
                <w:szCs w:val="18"/>
              </w:rPr>
              <w:t>2011</w:t>
            </w:r>
          </w:p>
        </w:tc>
        <w:tc>
          <w:tcPr>
            <w:tcW w:w="1130" w:type="dxa"/>
            <w:shd w:val="clear" w:color="auto" w:fill="BFBFBF" w:themeFill="background1" w:themeFillShade="BF"/>
            <w:vAlign w:val="center"/>
          </w:tcPr>
          <w:p w:rsidR="00A808A5" w:rsidRPr="009162D2" w:rsidRDefault="00A808A5" w:rsidP="0093416F">
            <w:pPr>
              <w:pStyle w:val="Tableheading"/>
              <w:rPr>
                <w:sz w:val="18"/>
                <w:szCs w:val="18"/>
              </w:rPr>
            </w:pPr>
            <w:r w:rsidRPr="009162D2">
              <w:rPr>
                <w:sz w:val="18"/>
                <w:szCs w:val="18"/>
              </w:rPr>
              <w:t>2012</w:t>
            </w:r>
          </w:p>
        </w:tc>
        <w:tc>
          <w:tcPr>
            <w:tcW w:w="1130" w:type="dxa"/>
            <w:shd w:val="clear" w:color="auto" w:fill="BFBFBF" w:themeFill="background1" w:themeFillShade="BF"/>
            <w:vAlign w:val="center"/>
          </w:tcPr>
          <w:p w:rsidR="00A808A5" w:rsidRPr="009162D2" w:rsidRDefault="00A808A5" w:rsidP="0093416F">
            <w:pPr>
              <w:pStyle w:val="Tableheading"/>
              <w:rPr>
                <w:sz w:val="18"/>
                <w:szCs w:val="18"/>
              </w:rPr>
            </w:pPr>
            <w:r w:rsidRPr="009162D2">
              <w:rPr>
                <w:sz w:val="18"/>
                <w:szCs w:val="18"/>
              </w:rPr>
              <w:t>2013</w:t>
            </w:r>
          </w:p>
        </w:tc>
        <w:tc>
          <w:tcPr>
            <w:tcW w:w="1191" w:type="dxa"/>
            <w:shd w:val="clear" w:color="auto" w:fill="BFBFBF" w:themeFill="background1" w:themeFillShade="BF"/>
            <w:vAlign w:val="center"/>
          </w:tcPr>
          <w:p w:rsidR="00A808A5" w:rsidRPr="009162D2" w:rsidRDefault="00A808A5" w:rsidP="0093416F">
            <w:pPr>
              <w:pStyle w:val="Tableheading"/>
              <w:rPr>
                <w:sz w:val="18"/>
                <w:szCs w:val="18"/>
              </w:rPr>
            </w:pPr>
            <w:r w:rsidRPr="009162D2">
              <w:rPr>
                <w:sz w:val="18"/>
                <w:szCs w:val="18"/>
              </w:rPr>
              <w:t>2014</w:t>
            </w:r>
          </w:p>
        </w:tc>
        <w:tc>
          <w:tcPr>
            <w:tcW w:w="1130" w:type="dxa"/>
            <w:shd w:val="clear" w:color="auto" w:fill="BFBFBF" w:themeFill="background1" w:themeFillShade="BF"/>
            <w:vAlign w:val="center"/>
          </w:tcPr>
          <w:p w:rsidR="00A808A5" w:rsidRPr="009162D2" w:rsidRDefault="00A808A5" w:rsidP="0093416F">
            <w:pPr>
              <w:pStyle w:val="Tableheading"/>
              <w:rPr>
                <w:sz w:val="18"/>
                <w:szCs w:val="18"/>
                <w:vertAlign w:val="superscript"/>
              </w:rPr>
            </w:pPr>
            <w:r w:rsidRPr="009162D2">
              <w:rPr>
                <w:sz w:val="18"/>
                <w:szCs w:val="18"/>
              </w:rPr>
              <w:t>2015</w:t>
            </w:r>
            <w:r w:rsidRPr="009162D2">
              <w:rPr>
                <w:sz w:val="18"/>
                <w:szCs w:val="18"/>
                <w:vertAlign w:val="superscript"/>
              </w:rPr>
              <w:t>b</w:t>
            </w:r>
          </w:p>
        </w:tc>
      </w:tr>
      <w:tr w:rsidR="00E96290" w:rsidRPr="00AE242B" w:rsidTr="00161B3E">
        <w:trPr>
          <w:trHeight w:val="300"/>
        </w:trPr>
        <w:tc>
          <w:tcPr>
            <w:tcW w:w="0" w:type="auto"/>
            <w:vAlign w:val="center"/>
          </w:tcPr>
          <w:p w:rsidR="00E96290" w:rsidRPr="00262EFF" w:rsidRDefault="00E96290" w:rsidP="0093416F">
            <w:pPr>
              <w:pStyle w:val="Tablewriting"/>
              <w:rPr>
                <w:rFonts w:ascii="Calibri" w:eastAsia="Times New Roman" w:hAnsi="Calibri" w:cs="Times New Roman"/>
                <w:b/>
              </w:rPr>
            </w:pPr>
            <w:r w:rsidRPr="00262EFF">
              <w:rPr>
                <w:rFonts w:ascii="Calibri" w:hAnsi="Calibri"/>
              </w:rPr>
              <w:t>Infliximab</w:t>
            </w:r>
          </w:p>
        </w:tc>
        <w:tc>
          <w:tcPr>
            <w:tcW w:w="1039" w:type="dxa"/>
            <w:vAlign w:val="bottom"/>
          </w:tcPr>
          <w:p w:rsidR="00E96290" w:rsidRPr="00880984" w:rsidRDefault="00E96290" w:rsidP="0093416F">
            <w:pPr>
              <w:pStyle w:val="Tablewriting"/>
              <w:jc w:val="right"/>
              <w:rPr>
                <w:sz w:val="18"/>
              </w:rPr>
            </w:pPr>
            <w:r w:rsidRPr="00880984">
              <w:rPr>
                <w:sz w:val="18"/>
              </w:rPr>
              <w:t>$1,133,010</w:t>
            </w:r>
          </w:p>
        </w:tc>
        <w:tc>
          <w:tcPr>
            <w:tcW w:w="1130" w:type="dxa"/>
            <w:vAlign w:val="bottom"/>
          </w:tcPr>
          <w:p w:rsidR="00E96290" w:rsidRPr="00880984" w:rsidRDefault="00E96290" w:rsidP="0093416F">
            <w:pPr>
              <w:pStyle w:val="Tablewriting"/>
              <w:jc w:val="right"/>
              <w:rPr>
                <w:sz w:val="18"/>
              </w:rPr>
            </w:pPr>
            <w:r w:rsidRPr="00880984">
              <w:rPr>
                <w:sz w:val="18"/>
              </w:rPr>
              <w:t>$8,046,084</w:t>
            </w: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r w:rsidRPr="00880984">
              <w:rPr>
                <w:sz w:val="18"/>
              </w:rPr>
              <w:t>$10,281,286</w:t>
            </w: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r w:rsidRPr="00880984">
              <w:rPr>
                <w:sz w:val="18"/>
              </w:rPr>
              <w:t>$12,971,279</w:t>
            </w: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r w:rsidRPr="00880984">
              <w:rPr>
                <w:sz w:val="18"/>
              </w:rPr>
              <w:t>$12,815,772</w:t>
            </w: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r w:rsidRPr="00880984">
              <w:rPr>
                <w:sz w:val="18"/>
              </w:rPr>
              <w:t>$15,408,182</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$16,537,718</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$18,015,040</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$18,219,171</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$18,513,708</w:t>
            </w:r>
          </w:p>
        </w:tc>
        <w:tc>
          <w:tcPr>
            <w:tcW w:w="1191" w:type="dxa"/>
            <w:vAlign w:val="bottom"/>
          </w:tcPr>
          <w:p w:rsidR="00E96290" w:rsidRPr="00880984" w:rsidRDefault="00E96290" w:rsidP="0093416F">
            <w:pPr>
              <w:pStyle w:val="Tablewriting"/>
              <w:jc w:val="right"/>
              <w:rPr>
                <w:rFonts w:eastAsia="Times New Roman" w:cs="Times New Roman"/>
                <w:sz w:val="18"/>
              </w:rPr>
            </w:pPr>
            <w:r w:rsidRPr="00880984">
              <w:rPr>
                <w:sz w:val="18"/>
              </w:rPr>
              <w:t>$18,586,789</w:t>
            </w:r>
          </w:p>
        </w:tc>
        <w:tc>
          <w:tcPr>
            <w:tcW w:w="1130" w:type="dxa"/>
          </w:tcPr>
          <w:p w:rsidR="00E96290" w:rsidRPr="00880984" w:rsidRDefault="00E96290" w:rsidP="00AE242B">
            <w:pPr>
              <w:pStyle w:val="Tablewriting"/>
              <w:jc w:val="right"/>
              <w:rPr>
                <w:sz w:val="18"/>
              </w:rPr>
            </w:pPr>
            <w:r w:rsidRPr="00E96290">
              <w:rPr>
                <w:sz w:val="18"/>
              </w:rPr>
              <w:t xml:space="preserve">$13,680,206 </w:t>
            </w:r>
          </w:p>
        </w:tc>
      </w:tr>
      <w:tr w:rsidR="00E96290" w:rsidRPr="00D34FB1" w:rsidTr="00161B3E">
        <w:trPr>
          <w:trHeight w:val="300"/>
        </w:trPr>
        <w:tc>
          <w:tcPr>
            <w:tcW w:w="0" w:type="auto"/>
            <w:vAlign w:val="center"/>
          </w:tcPr>
          <w:p w:rsidR="00E96290" w:rsidRPr="00262EFF" w:rsidRDefault="00E96290" w:rsidP="0093416F">
            <w:pPr>
              <w:pStyle w:val="Tablewriting"/>
              <w:rPr>
                <w:rFonts w:ascii="Calibri" w:eastAsia="Times New Roman" w:hAnsi="Calibri" w:cs="Times New Roman"/>
                <w:b/>
              </w:rPr>
            </w:pPr>
            <w:r w:rsidRPr="00262EFF">
              <w:rPr>
                <w:rFonts w:ascii="Calibri" w:hAnsi="Calibri"/>
              </w:rPr>
              <w:t>Etanercept</w:t>
            </w:r>
          </w:p>
        </w:tc>
        <w:tc>
          <w:tcPr>
            <w:tcW w:w="1039" w:type="dxa"/>
            <w:vAlign w:val="bottom"/>
          </w:tcPr>
          <w:p w:rsidR="00E96290" w:rsidRPr="00880984" w:rsidRDefault="00E96290" w:rsidP="0093416F">
            <w:pPr>
              <w:pStyle w:val="Tablewriting"/>
              <w:jc w:val="right"/>
              <w:rPr>
                <w:sz w:val="18"/>
              </w:rPr>
            </w:pPr>
          </w:p>
        </w:tc>
        <w:tc>
          <w:tcPr>
            <w:tcW w:w="1130" w:type="dxa"/>
            <w:vAlign w:val="bottom"/>
          </w:tcPr>
          <w:p w:rsidR="00E96290" w:rsidRPr="00880984" w:rsidRDefault="00E96290" w:rsidP="0093416F">
            <w:pPr>
              <w:pStyle w:val="Tablewriting"/>
              <w:jc w:val="right"/>
              <w:rPr>
                <w:sz w:val="18"/>
              </w:rPr>
            </w:pPr>
            <w:r w:rsidRPr="00880984">
              <w:rPr>
                <w:sz w:val="18"/>
              </w:rPr>
              <w:t>$3,765,042</w:t>
            </w: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r w:rsidRPr="00880984">
              <w:rPr>
                <w:sz w:val="18"/>
              </w:rPr>
              <w:t>$8,407,847</w:t>
            </w: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r w:rsidRPr="00880984">
              <w:rPr>
                <w:sz w:val="18"/>
              </w:rPr>
              <w:t>$12,583,346</w:t>
            </w: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r w:rsidRPr="00880984">
              <w:rPr>
                <w:sz w:val="18"/>
              </w:rPr>
              <w:t>$18,381,295</w:t>
            </w: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r w:rsidRPr="00880984">
              <w:rPr>
                <w:sz w:val="18"/>
              </w:rPr>
              <w:t>$21,305,350</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$19,964,885</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$20,708,944</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$23,149,373</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$25,080,226</w:t>
            </w:r>
          </w:p>
        </w:tc>
        <w:tc>
          <w:tcPr>
            <w:tcW w:w="1191" w:type="dxa"/>
            <w:vAlign w:val="bottom"/>
          </w:tcPr>
          <w:p w:rsidR="00E96290" w:rsidRPr="00880984" w:rsidRDefault="00E96290" w:rsidP="0093416F">
            <w:pPr>
              <w:pStyle w:val="Tablewriting"/>
              <w:jc w:val="right"/>
              <w:rPr>
                <w:rFonts w:eastAsia="Times New Roman" w:cs="Times New Roman"/>
                <w:sz w:val="18"/>
              </w:rPr>
            </w:pPr>
            <w:r w:rsidRPr="00880984">
              <w:rPr>
                <w:sz w:val="18"/>
              </w:rPr>
              <w:t>$26,448,083</w:t>
            </w:r>
          </w:p>
        </w:tc>
        <w:tc>
          <w:tcPr>
            <w:tcW w:w="1130" w:type="dxa"/>
          </w:tcPr>
          <w:p w:rsidR="00E96290" w:rsidRPr="00E96290" w:rsidRDefault="00E96290" w:rsidP="0093416F">
            <w:pPr>
              <w:pStyle w:val="Tablewriting"/>
              <w:jc w:val="right"/>
              <w:rPr>
                <w:sz w:val="18"/>
              </w:rPr>
            </w:pPr>
            <w:r w:rsidRPr="00E96290">
              <w:rPr>
                <w:sz w:val="18"/>
              </w:rPr>
              <w:t xml:space="preserve">$20,624,502 </w:t>
            </w:r>
          </w:p>
        </w:tc>
      </w:tr>
      <w:tr w:rsidR="00E96290" w:rsidRPr="00D34FB1" w:rsidTr="00161B3E">
        <w:trPr>
          <w:trHeight w:val="300"/>
        </w:trPr>
        <w:tc>
          <w:tcPr>
            <w:tcW w:w="0" w:type="auto"/>
            <w:vAlign w:val="center"/>
          </w:tcPr>
          <w:p w:rsidR="00E96290" w:rsidRPr="00262EFF" w:rsidRDefault="00E96290" w:rsidP="0093416F">
            <w:pPr>
              <w:pStyle w:val="Tablewriting"/>
              <w:rPr>
                <w:rFonts w:ascii="Calibri" w:eastAsia="Times New Roman" w:hAnsi="Calibri" w:cs="Times New Roman"/>
                <w:b/>
              </w:rPr>
            </w:pPr>
            <w:r w:rsidRPr="00262EFF">
              <w:rPr>
                <w:rFonts w:ascii="Calibri" w:hAnsi="Calibri"/>
              </w:rPr>
              <w:t>Adalimumab</w:t>
            </w:r>
          </w:p>
        </w:tc>
        <w:tc>
          <w:tcPr>
            <w:tcW w:w="1039" w:type="dxa"/>
            <w:vAlign w:val="bottom"/>
          </w:tcPr>
          <w:p w:rsidR="00E96290" w:rsidRPr="00880984" w:rsidRDefault="00E96290" w:rsidP="0093416F">
            <w:pPr>
              <w:pStyle w:val="Tablewriting"/>
              <w:jc w:val="right"/>
              <w:rPr>
                <w:rFonts w:eastAsia="Times New Roman" w:cs="Times New Roman"/>
                <w:sz w:val="18"/>
              </w:rPr>
            </w:pPr>
          </w:p>
        </w:tc>
        <w:tc>
          <w:tcPr>
            <w:tcW w:w="1130" w:type="dxa"/>
            <w:vAlign w:val="center"/>
          </w:tcPr>
          <w:p w:rsidR="00E96290" w:rsidRPr="00880984" w:rsidRDefault="00E96290" w:rsidP="00880984">
            <w:pPr>
              <w:pStyle w:val="Tablewriting"/>
              <w:jc w:val="right"/>
              <w:rPr>
                <w:rFonts w:eastAsia="Times New Roman" w:cs="Times New Roman"/>
                <w:sz w:val="18"/>
              </w:rPr>
            </w:pP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r w:rsidRPr="00880984">
              <w:rPr>
                <w:sz w:val="18"/>
              </w:rPr>
              <w:t>$3,225,894</w:t>
            </w: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r w:rsidRPr="00880984">
              <w:rPr>
                <w:sz w:val="18"/>
              </w:rPr>
              <w:t>$11,404,122</w:t>
            </w: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r w:rsidRPr="00880984">
              <w:rPr>
                <w:sz w:val="18"/>
              </w:rPr>
              <w:t>$18,153,863</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$23,027,515</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$26,436,753</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$30,865,842</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$35,874,030</w:t>
            </w:r>
          </w:p>
        </w:tc>
        <w:tc>
          <w:tcPr>
            <w:tcW w:w="1191" w:type="dxa"/>
            <w:vAlign w:val="bottom"/>
          </w:tcPr>
          <w:p w:rsidR="00E96290" w:rsidRPr="00880984" w:rsidRDefault="00E96290" w:rsidP="0093416F">
            <w:pPr>
              <w:pStyle w:val="Tablewriting"/>
              <w:jc w:val="right"/>
              <w:rPr>
                <w:rFonts w:eastAsia="Times New Roman" w:cs="Times New Roman"/>
                <w:sz w:val="18"/>
              </w:rPr>
            </w:pPr>
            <w:r w:rsidRPr="00880984">
              <w:rPr>
                <w:sz w:val="18"/>
              </w:rPr>
              <w:t>$42,999,153</w:t>
            </w:r>
          </w:p>
        </w:tc>
        <w:tc>
          <w:tcPr>
            <w:tcW w:w="1130" w:type="dxa"/>
          </w:tcPr>
          <w:p w:rsidR="00E96290" w:rsidRPr="00E96290" w:rsidRDefault="00E96290" w:rsidP="0093416F">
            <w:pPr>
              <w:pStyle w:val="Tablewriting"/>
              <w:jc w:val="right"/>
              <w:rPr>
                <w:sz w:val="18"/>
              </w:rPr>
            </w:pPr>
            <w:r w:rsidRPr="00E96290">
              <w:rPr>
                <w:sz w:val="18"/>
              </w:rPr>
              <w:t xml:space="preserve">$35,613,977 </w:t>
            </w:r>
          </w:p>
        </w:tc>
      </w:tr>
      <w:tr w:rsidR="00E96290" w:rsidRPr="00D34FB1" w:rsidTr="00161B3E">
        <w:trPr>
          <w:trHeight w:val="300"/>
        </w:trPr>
        <w:tc>
          <w:tcPr>
            <w:tcW w:w="0" w:type="auto"/>
            <w:vAlign w:val="center"/>
          </w:tcPr>
          <w:p w:rsidR="00E96290" w:rsidRPr="00262EFF" w:rsidRDefault="00E96290" w:rsidP="0093416F">
            <w:pPr>
              <w:pStyle w:val="Tablewriting"/>
              <w:rPr>
                <w:rFonts w:ascii="Calibri" w:eastAsia="Times New Roman" w:hAnsi="Calibri" w:cs="Times New Roman"/>
                <w:b/>
              </w:rPr>
            </w:pPr>
            <w:r w:rsidRPr="00262EFF">
              <w:rPr>
                <w:rFonts w:ascii="Calibri" w:hAnsi="Calibri"/>
              </w:rPr>
              <w:t>Golimumab</w:t>
            </w:r>
          </w:p>
        </w:tc>
        <w:tc>
          <w:tcPr>
            <w:tcW w:w="1039" w:type="dxa"/>
            <w:vAlign w:val="bottom"/>
          </w:tcPr>
          <w:p w:rsidR="00E96290" w:rsidRPr="00880984" w:rsidRDefault="00E96290" w:rsidP="0093416F">
            <w:pPr>
              <w:pStyle w:val="Tablewriting"/>
              <w:jc w:val="right"/>
              <w:rPr>
                <w:sz w:val="18"/>
              </w:rPr>
            </w:pPr>
          </w:p>
        </w:tc>
        <w:tc>
          <w:tcPr>
            <w:tcW w:w="1130" w:type="dxa"/>
            <w:vAlign w:val="bottom"/>
          </w:tcPr>
          <w:p w:rsidR="00E96290" w:rsidRPr="00880984" w:rsidRDefault="00E96290" w:rsidP="0093416F">
            <w:pPr>
              <w:pStyle w:val="Tablewriting"/>
              <w:jc w:val="right"/>
              <w:rPr>
                <w:sz w:val="18"/>
              </w:rPr>
            </w:pP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$1,443,276</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$7,173,522</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$10,482,606</w:t>
            </w:r>
          </w:p>
        </w:tc>
        <w:tc>
          <w:tcPr>
            <w:tcW w:w="1130" w:type="dxa"/>
            <w:vAlign w:val="bottom"/>
          </w:tcPr>
          <w:p w:rsidR="00E96290" w:rsidRPr="00880984" w:rsidRDefault="00E96290" w:rsidP="0093416F">
            <w:pPr>
              <w:pStyle w:val="Tablewriting"/>
              <w:jc w:val="right"/>
              <w:rPr>
                <w:rFonts w:eastAsia="Times New Roman" w:cs="Times New Roman"/>
                <w:sz w:val="18"/>
              </w:rPr>
            </w:pPr>
            <w:r w:rsidRPr="00880984">
              <w:rPr>
                <w:sz w:val="18"/>
              </w:rPr>
              <w:t>$14,566,338</w:t>
            </w:r>
          </w:p>
        </w:tc>
        <w:tc>
          <w:tcPr>
            <w:tcW w:w="1191" w:type="dxa"/>
            <w:vAlign w:val="bottom"/>
          </w:tcPr>
          <w:p w:rsidR="00E96290" w:rsidRPr="00880984" w:rsidRDefault="00E96290" w:rsidP="0093416F">
            <w:pPr>
              <w:pStyle w:val="Tablewriting"/>
              <w:jc w:val="right"/>
              <w:rPr>
                <w:rFonts w:eastAsia="Times New Roman" w:cs="Times New Roman"/>
                <w:sz w:val="18"/>
              </w:rPr>
            </w:pPr>
            <w:r w:rsidRPr="00880984">
              <w:rPr>
                <w:sz w:val="18"/>
              </w:rPr>
              <w:t>$19,037,294</w:t>
            </w:r>
          </w:p>
        </w:tc>
        <w:tc>
          <w:tcPr>
            <w:tcW w:w="1130" w:type="dxa"/>
          </w:tcPr>
          <w:p w:rsidR="00E96290" w:rsidRPr="00E96290" w:rsidRDefault="00E96290" w:rsidP="0093416F">
            <w:pPr>
              <w:pStyle w:val="Tablewriting"/>
              <w:jc w:val="right"/>
              <w:rPr>
                <w:sz w:val="18"/>
              </w:rPr>
            </w:pPr>
            <w:r w:rsidRPr="00E96290">
              <w:rPr>
                <w:sz w:val="18"/>
              </w:rPr>
              <w:t xml:space="preserve">$16,432,512 </w:t>
            </w:r>
          </w:p>
        </w:tc>
      </w:tr>
      <w:tr w:rsidR="00E96290" w:rsidRPr="00D34FB1" w:rsidTr="00161B3E">
        <w:trPr>
          <w:trHeight w:val="300"/>
        </w:trPr>
        <w:tc>
          <w:tcPr>
            <w:tcW w:w="0" w:type="auto"/>
            <w:vAlign w:val="center"/>
          </w:tcPr>
          <w:p w:rsidR="00E96290" w:rsidRPr="00262EFF" w:rsidRDefault="00E96290" w:rsidP="0093416F">
            <w:pPr>
              <w:pStyle w:val="Tablewriting"/>
              <w:rPr>
                <w:rFonts w:ascii="Calibri" w:eastAsia="Times New Roman" w:hAnsi="Calibri" w:cs="Times New Roman"/>
                <w:b/>
              </w:rPr>
            </w:pPr>
            <w:r w:rsidRPr="00262EFF">
              <w:rPr>
                <w:rFonts w:ascii="Calibri" w:hAnsi="Calibri"/>
              </w:rPr>
              <w:t>Certolizumab pegol</w:t>
            </w:r>
          </w:p>
        </w:tc>
        <w:tc>
          <w:tcPr>
            <w:tcW w:w="1039" w:type="dxa"/>
            <w:vAlign w:val="bottom"/>
          </w:tcPr>
          <w:p w:rsidR="00E96290" w:rsidRPr="00880984" w:rsidRDefault="00E96290" w:rsidP="0093416F">
            <w:pPr>
              <w:pStyle w:val="Tablewriting"/>
              <w:jc w:val="right"/>
              <w:rPr>
                <w:sz w:val="18"/>
              </w:rPr>
            </w:pPr>
          </w:p>
        </w:tc>
        <w:tc>
          <w:tcPr>
            <w:tcW w:w="1130" w:type="dxa"/>
            <w:vAlign w:val="bottom"/>
          </w:tcPr>
          <w:p w:rsidR="00E96290" w:rsidRPr="00880984" w:rsidRDefault="00E96290" w:rsidP="0093416F">
            <w:pPr>
              <w:pStyle w:val="Tablewriting"/>
              <w:jc w:val="right"/>
              <w:rPr>
                <w:sz w:val="18"/>
              </w:rPr>
            </w:pP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p>
        </w:tc>
        <w:tc>
          <w:tcPr>
            <w:tcW w:w="1130" w:type="dxa"/>
            <w:shd w:val="clear" w:color="auto" w:fill="auto"/>
            <w:noWrap/>
            <w:vAlign w:val="bottom"/>
          </w:tcPr>
          <w:p w:rsidR="00E96290" w:rsidRPr="00880984" w:rsidRDefault="00E96290" w:rsidP="0093416F">
            <w:pPr>
              <w:pStyle w:val="Tablewriting"/>
              <w:jc w:val="right"/>
              <w:rPr>
                <w:rFonts w:eastAsia="Times New Roman" w:cs="Times New Roman"/>
                <w:sz w:val="18"/>
              </w:rPr>
            </w:pPr>
          </w:p>
        </w:tc>
        <w:tc>
          <w:tcPr>
            <w:tcW w:w="1130" w:type="dxa"/>
            <w:vAlign w:val="bottom"/>
          </w:tcPr>
          <w:p w:rsidR="00E96290" w:rsidRPr="00880984" w:rsidRDefault="00E96290" w:rsidP="0093416F">
            <w:pPr>
              <w:pStyle w:val="Tablewriting"/>
              <w:jc w:val="right"/>
              <w:rPr>
                <w:rFonts w:eastAsia="Times New Roman" w:cs="Times New Roman"/>
                <w:sz w:val="18"/>
              </w:rPr>
            </w:pPr>
          </w:p>
        </w:tc>
        <w:tc>
          <w:tcPr>
            <w:tcW w:w="1130" w:type="dxa"/>
            <w:vAlign w:val="bottom"/>
          </w:tcPr>
          <w:p w:rsidR="00E96290" w:rsidRPr="00880984" w:rsidRDefault="00E96290" w:rsidP="0093416F">
            <w:pPr>
              <w:pStyle w:val="Tablewriting"/>
              <w:jc w:val="right"/>
              <w:rPr>
                <w:rFonts w:eastAsia="Times New Roman" w:cs="Times New Roman"/>
                <w:sz w:val="18"/>
              </w:rPr>
            </w:pPr>
          </w:p>
        </w:tc>
        <w:tc>
          <w:tcPr>
            <w:tcW w:w="1130" w:type="dxa"/>
            <w:vAlign w:val="bottom"/>
          </w:tcPr>
          <w:p w:rsidR="00E96290" w:rsidRPr="00880984" w:rsidRDefault="00E96290" w:rsidP="0093416F">
            <w:pPr>
              <w:pStyle w:val="Tablewriting"/>
              <w:jc w:val="right"/>
              <w:rPr>
                <w:rFonts w:eastAsia="Times New Roman" w:cs="Times New Roman"/>
                <w:sz w:val="18"/>
              </w:rPr>
            </w:pPr>
          </w:p>
        </w:tc>
        <w:tc>
          <w:tcPr>
            <w:tcW w:w="1130" w:type="dxa"/>
            <w:vAlign w:val="bottom"/>
          </w:tcPr>
          <w:p w:rsidR="00E96290" w:rsidRPr="00880984" w:rsidRDefault="00E96290" w:rsidP="0093416F">
            <w:pPr>
              <w:pStyle w:val="Tablewriting"/>
              <w:jc w:val="right"/>
              <w:rPr>
                <w:rFonts w:eastAsia="Times New Roman" w:cs="Times New Roman"/>
                <w:sz w:val="18"/>
              </w:rPr>
            </w:pPr>
          </w:p>
        </w:tc>
        <w:tc>
          <w:tcPr>
            <w:tcW w:w="1191" w:type="dxa"/>
            <w:vAlign w:val="bottom"/>
          </w:tcPr>
          <w:p w:rsidR="00E96290" w:rsidRPr="00880984" w:rsidRDefault="00E96290" w:rsidP="00E96290">
            <w:pPr>
              <w:pStyle w:val="Tablewriting"/>
              <w:jc w:val="right"/>
              <w:rPr>
                <w:rFonts w:eastAsia="Times New Roman" w:cs="Times New Roman"/>
                <w:sz w:val="18"/>
              </w:rPr>
            </w:pPr>
            <w:r w:rsidRPr="00880984">
              <w:rPr>
                <w:sz w:val="18"/>
              </w:rPr>
              <w:t>$374,916</w:t>
            </w:r>
          </w:p>
        </w:tc>
        <w:tc>
          <w:tcPr>
            <w:tcW w:w="1130" w:type="dxa"/>
            <w:vAlign w:val="bottom"/>
          </w:tcPr>
          <w:p w:rsidR="00E96290" w:rsidRPr="00E96290" w:rsidRDefault="00E96290" w:rsidP="00E96290">
            <w:pPr>
              <w:pStyle w:val="Tablewriting"/>
              <w:jc w:val="right"/>
              <w:rPr>
                <w:sz w:val="18"/>
              </w:rPr>
            </w:pPr>
            <w:r w:rsidRPr="00E96290">
              <w:rPr>
                <w:sz w:val="18"/>
              </w:rPr>
              <w:t xml:space="preserve">$2,421,815 </w:t>
            </w:r>
          </w:p>
        </w:tc>
      </w:tr>
      <w:tr w:rsidR="00E96290" w:rsidRPr="00D34FB1" w:rsidTr="00161B3E">
        <w:trPr>
          <w:trHeight w:val="300"/>
        </w:trPr>
        <w:tc>
          <w:tcPr>
            <w:tcW w:w="0" w:type="auto"/>
          </w:tcPr>
          <w:p w:rsidR="00E96290" w:rsidRPr="00262EFF" w:rsidRDefault="00E96290" w:rsidP="0093416F">
            <w:pPr>
              <w:pStyle w:val="Tablewriting"/>
            </w:pPr>
            <w:r w:rsidRPr="00262EFF">
              <w:t>Ankylosing spondylitis total</w:t>
            </w:r>
          </w:p>
        </w:tc>
        <w:tc>
          <w:tcPr>
            <w:tcW w:w="1039" w:type="dxa"/>
            <w:vAlign w:val="bottom"/>
          </w:tcPr>
          <w:p w:rsidR="00E96290" w:rsidRPr="00880984" w:rsidRDefault="00E96290" w:rsidP="0093416F">
            <w:pPr>
              <w:pStyle w:val="Tablewriting"/>
              <w:jc w:val="right"/>
              <w:rPr>
                <w:sz w:val="18"/>
              </w:rPr>
            </w:pPr>
            <w:r w:rsidRPr="00880984">
              <w:rPr>
                <w:b/>
                <w:bCs/>
                <w:sz w:val="18"/>
              </w:rPr>
              <w:t>$1,133,010</w:t>
            </w:r>
          </w:p>
        </w:tc>
        <w:tc>
          <w:tcPr>
            <w:tcW w:w="1130" w:type="dxa"/>
            <w:vAlign w:val="bottom"/>
          </w:tcPr>
          <w:p w:rsidR="00E96290" w:rsidRPr="00880984" w:rsidRDefault="00E96290" w:rsidP="0093416F">
            <w:pPr>
              <w:pStyle w:val="Tablewriting"/>
              <w:jc w:val="right"/>
              <w:rPr>
                <w:sz w:val="18"/>
              </w:rPr>
            </w:pPr>
            <w:r w:rsidRPr="00880984">
              <w:rPr>
                <w:b/>
                <w:bCs/>
                <w:sz w:val="18"/>
              </w:rPr>
              <w:t>$11,811,126</w:t>
            </w:r>
          </w:p>
        </w:tc>
        <w:tc>
          <w:tcPr>
            <w:tcW w:w="1130" w:type="dxa"/>
            <w:shd w:val="clear" w:color="auto" w:fill="auto"/>
            <w:noWrap/>
            <w:vAlign w:val="bottom"/>
          </w:tcPr>
          <w:p w:rsidR="00E96290" w:rsidRPr="00880984" w:rsidRDefault="00E96290" w:rsidP="0093416F">
            <w:pPr>
              <w:pStyle w:val="Tablewriting"/>
              <w:jc w:val="right"/>
              <w:rPr>
                <w:sz w:val="18"/>
              </w:rPr>
            </w:pPr>
            <w:r w:rsidRPr="00880984">
              <w:rPr>
                <w:b/>
                <w:bCs/>
                <w:sz w:val="18"/>
              </w:rPr>
              <w:t>$18,689,133</w:t>
            </w:r>
          </w:p>
        </w:tc>
        <w:tc>
          <w:tcPr>
            <w:tcW w:w="1130" w:type="dxa"/>
            <w:shd w:val="clear" w:color="auto" w:fill="auto"/>
            <w:noWrap/>
            <w:vAlign w:val="bottom"/>
          </w:tcPr>
          <w:p w:rsidR="00E96290" w:rsidRPr="00880984" w:rsidRDefault="00E96290" w:rsidP="0093416F">
            <w:pPr>
              <w:pStyle w:val="Tablewriting"/>
              <w:jc w:val="right"/>
              <w:rPr>
                <w:sz w:val="18"/>
              </w:rPr>
            </w:pPr>
            <w:r w:rsidRPr="00880984">
              <w:rPr>
                <w:b/>
                <w:bCs/>
                <w:sz w:val="18"/>
              </w:rPr>
              <w:t>$28,780,519</w:t>
            </w:r>
          </w:p>
        </w:tc>
        <w:tc>
          <w:tcPr>
            <w:tcW w:w="1130" w:type="dxa"/>
            <w:shd w:val="clear" w:color="auto" w:fill="auto"/>
            <w:noWrap/>
            <w:vAlign w:val="bottom"/>
          </w:tcPr>
          <w:p w:rsidR="00E96290" w:rsidRPr="00880984" w:rsidRDefault="00E96290" w:rsidP="0093416F">
            <w:pPr>
              <w:pStyle w:val="Tablewriting"/>
              <w:jc w:val="right"/>
              <w:rPr>
                <w:sz w:val="18"/>
              </w:rPr>
            </w:pPr>
            <w:r w:rsidRPr="00880984">
              <w:rPr>
                <w:b/>
                <w:bCs/>
                <w:sz w:val="18"/>
              </w:rPr>
              <w:t>$42,601,189</w:t>
            </w:r>
          </w:p>
        </w:tc>
        <w:tc>
          <w:tcPr>
            <w:tcW w:w="1130" w:type="dxa"/>
            <w:shd w:val="clear" w:color="auto" w:fill="auto"/>
            <w:noWrap/>
            <w:vAlign w:val="bottom"/>
          </w:tcPr>
          <w:p w:rsidR="00E96290" w:rsidRPr="00880984" w:rsidRDefault="00E96290" w:rsidP="0093416F">
            <w:pPr>
              <w:pStyle w:val="Tablewriting"/>
              <w:jc w:val="right"/>
              <w:rPr>
                <w:sz w:val="18"/>
              </w:rPr>
            </w:pPr>
            <w:r w:rsidRPr="00880984">
              <w:rPr>
                <w:b/>
                <w:bCs/>
                <w:sz w:val="18"/>
              </w:rPr>
              <w:t>$54,867,395</w:t>
            </w:r>
          </w:p>
        </w:tc>
        <w:tc>
          <w:tcPr>
            <w:tcW w:w="1130" w:type="dxa"/>
            <w:vAlign w:val="bottom"/>
          </w:tcPr>
          <w:p w:rsidR="00E96290" w:rsidRPr="00880984" w:rsidRDefault="00E96290" w:rsidP="0093416F">
            <w:pPr>
              <w:pStyle w:val="Tablewriting"/>
              <w:jc w:val="right"/>
              <w:rPr>
                <w:sz w:val="18"/>
              </w:rPr>
            </w:pPr>
            <w:r w:rsidRPr="00880984">
              <w:rPr>
                <w:b/>
                <w:bCs/>
                <w:sz w:val="18"/>
              </w:rPr>
              <w:t>$60,973,394</w:t>
            </w:r>
          </w:p>
        </w:tc>
        <w:tc>
          <w:tcPr>
            <w:tcW w:w="1130" w:type="dxa"/>
            <w:vAlign w:val="bottom"/>
          </w:tcPr>
          <w:p w:rsidR="00E96290" w:rsidRPr="00880984" w:rsidRDefault="00E96290" w:rsidP="0093416F">
            <w:pPr>
              <w:pStyle w:val="Tablewriting"/>
              <w:jc w:val="right"/>
              <w:rPr>
                <w:sz w:val="18"/>
              </w:rPr>
            </w:pPr>
            <w:r w:rsidRPr="00880984">
              <w:rPr>
                <w:b/>
                <w:bCs/>
                <w:sz w:val="18"/>
              </w:rPr>
              <w:t>$72,334,259</w:t>
            </w:r>
          </w:p>
        </w:tc>
        <w:tc>
          <w:tcPr>
            <w:tcW w:w="1130" w:type="dxa"/>
            <w:vAlign w:val="bottom"/>
          </w:tcPr>
          <w:p w:rsidR="00E96290" w:rsidRPr="00880984" w:rsidRDefault="00E96290" w:rsidP="0093416F">
            <w:pPr>
              <w:pStyle w:val="Tablewriting"/>
              <w:jc w:val="right"/>
              <w:rPr>
                <w:sz w:val="18"/>
              </w:rPr>
            </w:pPr>
            <w:r w:rsidRPr="00880984">
              <w:rPr>
                <w:b/>
                <w:bCs/>
                <w:sz w:val="18"/>
              </w:rPr>
              <w:t>$82,716,993</w:t>
            </w:r>
          </w:p>
        </w:tc>
        <w:tc>
          <w:tcPr>
            <w:tcW w:w="1130" w:type="dxa"/>
            <w:vAlign w:val="bottom"/>
          </w:tcPr>
          <w:p w:rsidR="00E96290" w:rsidRPr="00880984" w:rsidRDefault="00E96290" w:rsidP="0093416F">
            <w:pPr>
              <w:pStyle w:val="Tablewriting"/>
              <w:jc w:val="right"/>
              <w:rPr>
                <w:sz w:val="18"/>
              </w:rPr>
            </w:pPr>
            <w:r w:rsidRPr="00880984">
              <w:rPr>
                <w:b/>
                <w:bCs/>
                <w:sz w:val="18"/>
              </w:rPr>
              <w:t>$94,034,301</w:t>
            </w:r>
          </w:p>
        </w:tc>
        <w:tc>
          <w:tcPr>
            <w:tcW w:w="1191" w:type="dxa"/>
            <w:vAlign w:val="bottom"/>
          </w:tcPr>
          <w:p w:rsidR="00E96290" w:rsidRPr="00880984" w:rsidRDefault="00E96290" w:rsidP="00E96290">
            <w:pPr>
              <w:pStyle w:val="Tablewriting"/>
              <w:jc w:val="right"/>
              <w:rPr>
                <w:sz w:val="18"/>
              </w:rPr>
            </w:pPr>
            <w:r w:rsidRPr="00880984">
              <w:rPr>
                <w:b/>
                <w:bCs/>
                <w:sz w:val="18"/>
              </w:rPr>
              <w:t>$107,446,234</w:t>
            </w:r>
          </w:p>
        </w:tc>
        <w:tc>
          <w:tcPr>
            <w:tcW w:w="1130" w:type="dxa"/>
            <w:vAlign w:val="bottom"/>
          </w:tcPr>
          <w:p w:rsidR="00E96290" w:rsidRPr="00E96290" w:rsidRDefault="00E96290" w:rsidP="00E96290">
            <w:pPr>
              <w:pStyle w:val="Tablewriting"/>
              <w:jc w:val="right"/>
              <w:rPr>
                <w:b/>
                <w:sz w:val="18"/>
              </w:rPr>
            </w:pPr>
            <w:r w:rsidRPr="00E96290">
              <w:rPr>
                <w:b/>
                <w:sz w:val="18"/>
              </w:rPr>
              <w:t xml:space="preserve">$88,773,013 </w:t>
            </w:r>
          </w:p>
        </w:tc>
      </w:tr>
    </w:tbl>
    <w:p w:rsidR="009C572B" w:rsidRPr="009C572B" w:rsidRDefault="00A808A5" w:rsidP="009C572B">
      <w:pPr>
        <w:rPr>
          <w:sz w:val="20"/>
        </w:rPr>
      </w:pPr>
      <w:r w:rsidRPr="009C572B">
        <w:rPr>
          <w:sz w:val="20"/>
        </w:rPr>
        <w:t>Source: DUSC Database</w:t>
      </w:r>
      <w:r w:rsidR="00B26DA6">
        <w:rPr>
          <w:sz w:val="20"/>
        </w:rPr>
        <w:t xml:space="preserve"> and DUSC HSD database</w:t>
      </w:r>
      <w:r w:rsidRPr="009C572B">
        <w:rPr>
          <w:sz w:val="20"/>
        </w:rPr>
        <w:t xml:space="preserve">, extracted </w:t>
      </w:r>
      <w:r w:rsidR="00B26DA6">
        <w:rPr>
          <w:sz w:val="20"/>
        </w:rPr>
        <w:t xml:space="preserve">December </w:t>
      </w:r>
      <w:r w:rsidRPr="009C572B">
        <w:rPr>
          <w:sz w:val="20"/>
        </w:rPr>
        <w:t>2015</w:t>
      </w:r>
      <w:r w:rsidRPr="009C572B">
        <w:rPr>
          <w:sz w:val="20"/>
        </w:rPr>
        <w:br/>
      </w:r>
      <w:r w:rsidRPr="009C572B">
        <w:rPr>
          <w:sz w:val="20"/>
          <w:vertAlign w:val="superscript"/>
        </w:rPr>
        <w:t xml:space="preserve">a </w:t>
      </w:r>
      <w:r w:rsidR="003876D7">
        <w:rPr>
          <w:sz w:val="20"/>
        </w:rPr>
        <w:t>these</w:t>
      </w:r>
      <w:r w:rsidR="003876D7" w:rsidRPr="009C572B">
        <w:rPr>
          <w:sz w:val="20"/>
        </w:rPr>
        <w:t xml:space="preserve"> </w:t>
      </w:r>
      <w:r w:rsidRPr="009C572B">
        <w:rPr>
          <w:sz w:val="20"/>
        </w:rPr>
        <w:t xml:space="preserve">data </w:t>
      </w:r>
      <w:r w:rsidR="003876D7">
        <w:rPr>
          <w:sz w:val="20"/>
        </w:rPr>
        <w:t>are</w:t>
      </w:r>
      <w:r w:rsidR="003876D7" w:rsidRPr="009C572B">
        <w:rPr>
          <w:sz w:val="20"/>
        </w:rPr>
        <w:t xml:space="preserve"> </w:t>
      </w:r>
      <w:r w:rsidRPr="009C572B">
        <w:rPr>
          <w:sz w:val="20"/>
        </w:rPr>
        <w:t xml:space="preserve">for part of the year. The first bDMARD for </w:t>
      </w:r>
      <w:r w:rsidR="004E683E" w:rsidRPr="009C572B">
        <w:rPr>
          <w:sz w:val="20"/>
        </w:rPr>
        <w:t>ankylosing spondylitis</w:t>
      </w:r>
      <w:r w:rsidRPr="009C572B">
        <w:rPr>
          <w:sz w:val="20"/>
        </w:rPr>
        <w:t xml:space="preserve"> was listed on 1 August 2004</w:t>
      </w:r>
      <w:r w:rsidRPr="009C572B">
        <w:rPr>
          <w:sz w:val="20"/>
        </w:rPr>
        <w:br/>
      </w:r>
      <w:r w:rsidRPr="009C572B">
        <w:rPr>
          <w:sz w:val="20"/>
          <w:vertAlign w:val="superscript"/>
        </w:rPr>
        <w:t>b</w:t>
      </w:r>
      <w:r w:rsidR="00593CE5" w:rsidRPr="009C572B">
        <w:rPr>
          <w:sz w:val="20"/>
        </w:rPr>
        <w:t xml:space="preserve"> Data complete to 30 </w:t>
      </w:r>
      <w:r w:rsidR="00880984" w:rsidRPr="009C572B">
        <w:rPr>
          <w:sz w:val="20"/>
        </w:rPr>
        <w:t xml:space="preserve">September </w:t>
      </w:r>
      <w:r w:rsidRPr="009C572B">
        <w:rPr>
          <w:sz w:val="20"/>
        </w:rPr>
        <w:t>2015</w:t>
      </w:r>
    </w:p>
    <w:p w:rsidR="00A841B7" w:rsidRDefault="009A1D86" w:rsidP="009C572B">
      <w:pPr>
        <w:sectPr w:rsidR="00A841B7" w:rsidSect="00A841B7">
          <w:pgSz w:w="16838" w:h="11906" w:orient="landscape"/>
          <w:pgMar w:top="1588" w:right="1644" w:bottom="1361" w:left="1644" w:header="709" w:footer="709" w:gutter="0"/>
          <w:cols w:space="708"/>
          <w:docGrid w:linePitch="360"/>
        </w:sectPr>
      </w:pPr>
      <w:r>
        <w:t>Total expenditure on bDMARDs for ankylosing spondylitis has increased each year since listing, from approximately $1.1 million in 2004 (only infliximab) to $</w:t>
      </w:r>
      <w:r w:rsidR="00880984">
        <w:t>11.8</w:t>
      </w:r>
      <w:r>
        <w:t xml:space="preserve"> million in 2005 (etanercept listed 1 April 2005), to $</w:t>
      </w:r>
      <w:r w:rsidR="00880984">
        <w:t>61.0</w:t>
      </w:r>
      <w:r>
        <w:t xml:space="preserve"> million in 2010 (adalimumab listed 2007, golimumab listed 2010), and reached over $107 million in 2014.</w:t>
      </w:r>
    </w:p>
    <w:p w:rsidR="00591512" w:rsidRPr="007817BE" w:rsidRDefault="00AB3733" w:rsidP="003C5D85">
      <w:pPr>
        <w:pStyle w:val="Heading4"/>
        <w:rPr>
          <w:i w:val="0"/>
        </w:rPr>
      </w:pPr>
      <w:r w:rsidRPr="007817BE">
        <w:rPr>
          <w:i w:val="0"/>
        </w:rPr>
        <w:lastRenderedPageBreak/>
        <w:t>D</w:t>
      </w:r>
      <w:r w:rsidR="007346C7" w:rsidRPr="007817BE">
        <w:rPr>
          <w:i w:val="0"/>
        </w:rPr>
        <w:t>iscussion</w:t>
      </w:r>
      <w:r w:rsidR="004F5606" w:rsidRPr="007817BE">
        <w:rPr>
          <w:i w:val="0"/>
        </w:rPr>
        <w:t xml:space="preserve"> and Secretariat comments</w:t>
      </w:r>
    </w:p>
    <w:p w:rsidR="000D3201" w:rsidRDefault="000D3201" w:rsidP="000D3201">
      <w:r>
        <w:t xml:space="preserve">The number of patients </w:t>
      </w:r>
      <w:r w:rsidR="0016269A">
        <w:t xml:space="preserve">on </w:t>
      </w:r>
      <w:r>
        <w:t>bDMARD therapy for ankylosing spondylitis has increa</w:t>
      </w:r>
      <w:r w:rsidR="0016269A">
        <w:t xml:space="preserve">sed from 628 </w:t>
      </w:r>
      <w:r>
        <w:t>in 200</w:t>
      </w:r>
      <w:r w:rsidR="0016269A">
        <w:t>5</w:t>
      </w:r>
      <w:r>
        <w:t xml:space="preserve"> to </w:t>
      </w:r>
      <w:r w:rsidR="0016269A">
        <w:t xml:space="preserve">6,106 </w:t>
      </w:r>
      <w:r>
        <w:t>in 201</w:t>
      </w:r>
      <w:r w:rsidR="0016269A">
        <w:t>4</w:t>
      </w:r>
      <w:r>
        <w:t>, and shows n</w:t>
      </w:r>
      <w:r w:rsidR="00557960">
        <w:t>o</w:t>
      </w:r>
      <w:r>
        <w:t xml:space="preserve"> indication of </w:t>
      </w:r>
      <w:r w:rsidR="008B0B65">
        <w:t>plateauing</w:t>
      </w:r>
      <w:r>
        <w:t>. A large majority of patients continue treatment with bDMARDs, whilst a majority of patients receiving subcutaneous bDMARDs (adalimumab, etanercept and golimumab) continue treatment on their first bDMARD for long periods</w:t>
      </w:r>
      <w:r w:rsidR="00772260">
        <w:t xml:space="preserve"> (ie. at least 5 authority approvals)</w:t>
      </w:r>
      <w:r w:rsidR="00872902">
        <w:t>.</w:t>
      </w:r>
    </w:p>
    <w:p w:rsidR="001E21BD" w:rsidRDefault="001E21BD" w:rsidP="000D3201">
      <w:r>
        <w:t>The majority of patients (69-84%) who commenced bDMARD</w:t>
      </w:r>
      <w:r w:rsidR="00F862C5">
        <w:t xml:space="preserve"> therapy</w:t>
      </w:r>
      <w:r>
        <w:t xml:space="preserve"> in 2012 received a second authority approval for their first bDMARD, and 91% received a second authority approval for any bDMARD. Continuation rates in practice are generally higher than those observed in the clinical trials used as the basis for PBS listing. </w:t>
      </w:r>
    </w:p>
    <w:p w:rsidR="001E21BD" w:rsidRPr="007817BE" w:rsidRDefault="001E21BD" w:rsidP="000D3201">
      <w:pPr>
        <w:rPr>
          <w:b/>
          <w:i/>
        </w:rPr>
      </w:pPr>
      <w:r w:rsidRPr="007817BE">
        <w:rPr>
          <w:b/>
          <w:i/>
        </w:rPr>
        <w:t>Trials Summary</w:t>
      </w:r>
    </w:p>
    <w:p w:rsidR="00772260" w:rsidRPr="00502770" w:rsidRDefault="00772260" w:rsidP="00772260">
      <w:r w:rsidRPr="00502770">
        <w:rPr>
          <w:i/>
        </w:rPr>
        <w:t xml:space="preserve">Infliximab: </w:t>
      </w:r>
      <w:r w:rsidR="009E5494" w:rsidRPr="00502770">
        <w:rPr>
          <w:i/>
        </w:rPr>
        <w:t>P01522</w:t>
      </w:r>
      <w:r w:rsidRPr="00502770">
        <w:rPr>
          <w:i/>
        </w:rPr>
        <w:t xml:space="preserve"> was the primary trial used in the submission, and used a 50% improvement in BASDAI score (which most closely reflects the restriction) as the primary outcome. The pivotal trial reported at week 12 a response rate of 51.4%. </w:t>
      </w:r>
      <w:r w:rsidR="009E5494" w:rsidRPr="00502770">
        <w:rPr>
          <w:i/>
        </w:rPr>
        <w:t xml:space="preserve"> </w:t>
      </w:r>
      <w:r w:rsidRPr="00502770">
        <w:rPr>
          <w:i/>
        </w:rPr>
        <w:t xml:space="preserve">(Source: Infliximab </w:t>
      </w:r>
      <w:r w:rsidR="009343B6" w:rsidRPr="00502770">
        <w:rPr>
          <w:i/>
        </w:rPr>
        <w:t xml:space="preserve">for </w:t>
      </w:r>
      <w:r w:rsidRPr="00502770">
        <w:rPr>
          <w:i/>
        </w:rPr>
        <w:t xml:space="preserve">AS submission, </w:t>
      </w:r>
      <w:r w:rsidR="009343B6" w:rsidRPr="00502770">
        <w:rPr>
          <w:i/>
        </w:rPr>
        <w:t xml:space="preserve">December </w:t>
      </w:r>
      <w:r w:rsidRPr="00502770">
        <w:rPr>
          <w:i/>
        </w:rPr>
        <w:t>2003</w:t>
      </w:r>
      <w:r w:rsidR="00502770" w:rsidRPr="00502770">
        <w:rPr>
          <w:i/>
        </w:rPr>
        <w:t>. Clin</w:t>
      </w:r>
      <w:r w:rsidR="00502770">
        <w:rPr>
          <w:i/>
        </w:rPr>
        <w:t>ical trial results now published.)</w:t>
      </w:r>
    </w:p>
    <w:p w:rsidR="00772260" w:rsidRPr="00502770" w:rsidRDefault="00772260" w:rsidP="00772260">
      <w:pPr>
        <w:rPr>
          <w:i/>
        </w:rPr>
      </w:pPr>
      <w:r w:rsidRPr="00502770">
        <w:rPr>
          <w:i/>
        </w:rPr>
        <w:t xml:space="preserve">Etanercept: Studies 016.0037 and 016.0626 used ASAS20 </w:t>
      </w:r>
      <w:r w:rsidR="00BB0B46" w:rsidRPr="00502770">
        <w:t>(Assessment in Ankylosing Spondylitis response with at least a 20% improvement)</w:t>
      </w:r>
      <w:r w:rsidR="00BB0B46" w:rsidRPr="00502770">
        <w:rPr>
          <w:i/>
        </w:rPr>
        <w:t xml:space="preserve"> </w:t>
      </w:r>
      <w:r w:rsidRPr="00502770">
        <w:rPr>
          <w:i/>
        </w:rPr>
        <w:t>at 12 weeks to measure response, with etanercept achieving a 60% and 65%</w:t>
      </w:r>
      <w:r w:rsidR="00502770" w:rsidRPr="00502770">
        <w:rPr>
          <w:i/>
        </w:rPr>
        <w:t xml:space="preserve"> </w:t>
      </w:r>
      <w:r w:rsidRPr="00502770">
        <w:rPr>
          <w:i/>
        </w:rPr>
        <w:t xml:space="preserve">response rate, respectively. (Source: Etanercept </w:t>
      </w:r>
      <w:r w:rsidR="00BB0B46" w:rsidRPr="00502770">
        <w:rPr>
          <w:i/>
        </w:rPr>
        <w:t xml:space="preserve">for </w:t>
      </w:r>
      <w:r w:rsidRPr="00502770">
        <w:rPr>
          <w:i/>
        </w:rPr>
        <w:t xml:space="preserve">AS Submission, </w:t>
      </w:r>
      <w:r w:rsidR="00BB0B46" w:rsidRPr="00502770">
        <w:rPr>
          <w:i/>
        </w:rPr>
        <w:t xml:space="preserve">July </w:t>
      </w:r>
      <w:r w:rsidRPr="00502770">
        <w:rPr>
          <w:i/>
        </w:rPr>
        <w:t>2004</w:t>
      </w:r>
      <w:r w:rsidR="00502770">
        <w:rPr>
          <w:i/>
        </w:rPr>
        <w:t xml:space="preserve">. </w:t>
      </w:r>
      <w:r w:rsidR="00502770" w:rsidRPr="00502770">
        <w:rPr>
          <w:i/>
        </w:rPr>
        <w:t>Clin</w:t>
      </w:r>
      <w:r w:rsidR="00502770">
        <w:rPr>
          <w:i/>
        </w:rPr>
        <w:t>ical trial results now published.</w:t>
      </w:r>
      <w:r w:rsidRPr="00502770">
        <w:rPr>
          <w:i/>
        </w:rPr>
        <w:t>)</w:t>
      </w:r>
    </w:p>
    <w:p w:rsidR="00772260" w:rsidRDefault="00772260" w:rsidP="00772260">
      <w:pPr>
        <w:rPr>
          <w:i/>
        </w:rPr>
      </w:pPr>
      <w:r w:rsidRPr="00502770">
        <w:rPr>
          <w:i/>
        </w:rPr>
        <w:t xml:space="preserve">Adalimumab: the majority of trials used ASAS20 at 12 weeks compared to placebo, which reported significantly higher proportions of patients achieving ASAS20 for adalimumab. (Source: Adalimumab </w:t>
      </w:r>
      <w:r w:rsidR="009343B6" w:rsidRPr="00502770">
        <w:rPr>
          <w:i/>
        </w:rPr>
        <w:t xml:space="preserve">for </w:t>
      </w:r>
      <w:r w:rsidRPr="00502770">
        <w:rPr>
          <w:i/>
        </w:rPr>
        <w:t>AS P</w:t>
      </w:r>
      <w:r w:rsidR="009343B6" w:rsidRPr="00502770">
        <w:rPr>
          <w:i/>
        </w:rPr>
        <w:t xml:space="preserve">ublic Summary </w:t>
      </w:r>
      <w:r w:rsidR="00F610B1">
        <w:rPr>
          <w:i/>
        </w:rPr>
        <w:t>Document (PSD)</w:t>
      </w:r>
      <w:r w:rsidRPr="00502770">
        <w:rPr>
          <w:i/>
        </w:rPr>
        <w:t xml:space="preserve">, </w:t>
      </w:r>
      <w:r w:rsidR="009343B6" w:rsidRPr="00502770">
        <w:rPr>
          <w:i/>
        </w:rPr>
        <w:t xml:space="preserve">November </w:t>
      </w:r>
      <w:r w:rsidRPr="00502770">
        <w:rPr>
          <w:i/>
        </w:rPr>
        <w:t xml:space="preserve">2006). In clinical trials M03-606 and M03-607, adalimumab had a response rate (ASAS20) of 47.4% and 58.2%, respectively. (Source: </w:t>
      </w:r>
      <w:r w:rsidR="00BB0B46" w:rsidRPr="00502770">
        <w:rPr>
          <w:i/>
        </w:rPr>
        <w:t xml:space="preserve">Adalimumab for </w:t>
      </w:r>
      <w:r w:rsidRPr="00502770">
        <w:rPr>
          <w:i/>
        </w:rPr>
        <w:t>AS submission,</w:t>
      </w:r>
      <w:r w:rsidR="00BB0B46" w:rsidRPr="00502770">
        <w:rPr>
          <w:i/>
        </w:rPr>
        <w:t xml:space="preserve"> November</w:t>
      </w:r>
      <w:r w:rsidRPr="00502770">
        <w:rPr>
          <w:i/>
        </w:rPr>
        <w:t xml:space="preserve"> 2006</w:t>
      </w:r>
      <w:r w:rsidR="00502770">
        <w:rPr>
          <w:i/>
        </w:rPr>
        <w:t>.</w:t>
      </w:r>
      <w:r w:rsidR="00227DA4" w:rsidRPr="00502770">
        <w:rPr>
          <w:i/>
        </w:rPr>
        <w:t xml:space="preserve"> </w:t>
      </w:r>
      <w:r w:rsidR="00502770" w:rsidRPr="00502770">
        <w:rPr>
          <w:i/>
        </w:rPr>
        <w:t>C</w:t>
      </w:r>
      <w:r w:rsidR="00227DA4" w:rsidRPr="00502770">
        <w:rPr>
          <w:i/>
        </w:rPr>
        <w:t>lin</w:t>
      </w:r>
      <w:r w:rsidR="00502770">
        <w:rPr>
          <w:i/>
        </w:rPr>
        <w:t>ical trial results now published.)</w:t>
      </w:r>
    </w:p>
    <w:p w:rsidR="001E21BD" w:rsidRDefault="001E21BD" w:rsidP="000D3201">
      <w:pPr>
        <w:rPr>
          <w:i/>
        </w:rPr>
      </w:pPr>
      <w:r>
        <w:rPr>
          <w:i/>
        </w:rPr>
        <w:t xml:space="preserve">Golimumab: </w:t>
      </w:r>
      <w:r w:rsidR="001E43C0">
        <w:rPr>
          <w:i/>
        </w:rPr>
        <w:t>ASAS20 at 12, 14 or 24</w:t>
      </w:r>
      <w:r w:rsidR="00D877E3">
        <w:rPr>
          <w:i/>
        </w:rPr>
        <w:t> </w:t>
      </w:r>
      <w:r w:rsidR="001E43C0">
        <w:rPr>
          <w:i/>
        </w:rPr>
        <w:t xml:space="preserve">weeks was the primary outcome for all trials. The proportion of patients achieving a 50% improvement in the Bath ankylosing spondylitis activity index (BASDAI) at Weeks 12/14 was the other outcome. No significant difference in ASAS20 outcome was observed between golimumab and any of infliximab, etanercept or adalimumab. In addition, no substantial </w:t>
      </w:r>
      <w:r w:rsidR="00761456">
        <w:rPr>
          <w:i/>
        </w:rPr>
        <w:t>differences in toxicity between golimumab and etanercept, adalimumab or infliximab, with the exception of injection site reactions, were</w:t>
      </w:r>
      <w:r w:rsidR="001E43C0">
        <w:rPr>
          <w:i/>
        </w:rPr>
        <w:t xml:space="preserve"> </w:t>
      </w:r>
      <w:r w:rsidR="00502770">
        <w:rPr>
          <w:i/>
        </w:rPr>
        <w:t>found. (Sourc</w:t>
      </w:r>
      <w:r w:rsidR="005B4D66">
        <w:rPr>
          <w:i/>
        </w:rPr>
        <w:t>e</w:t>
      </w:r>
      <w:r w:rsidR="00502770">
        <w:rPr>
          <w:i/>
        </w:rPr>
        <w:t>:</w:t>
      </w:r>
      <w:r w:rsidR="001E43C0">
        <w:rPr>
          <w:i/>
        </w:rPr>
        <w:t xml:space="preserve"> Golimumab </w:t>
      </w:r>
      <w:r w:rsidR="00502770">
        <w:rPr>
          <w:i/>
        </w:rPr>
        <w:t xml:space="preserve">for </w:t>
      </w:r>
      <w:r w:rsidR="001E43C0">
        <w:rPr>
          <w:i/>
        </w:rPr>
        <w:t xml:space="preserve">AS </w:t>
      </w:r>
      <w:r w:rsidR="009343B6">
        <w:rPr>
          <w:i/>
        </w:rPr>
        <w:t>PSD</w:t>
      </w:r>
      <w:r w:rsidR="001E43C0">
        <w:rPr>
          <w:i/>
        </w:rPr>
        <w:t xml:space="preserve">, </w:t>
      </w:r>
      <w:r w:rsidR="00ED487D">
        <w:rPr>
          <w:i/>
        </w:rPr>
        <w:t xml:space="preserve">March </w:t>
      </w:r>
      <w:r w:rsidR="001E43C0">
        <w:rPr>
          <w:i/>
        </w:rPr>
        <w:t>2010</w:t>
      </w:r>
      <w:r w:rsidR="00ED487D">
        <w:rPr>
          <w:i/>
        </w:rPr>
        <w:t>)</w:t>
      </w:r>
    </w:p>
    <w:p w:rsidR="00772260" w:rsidRDefault="00772260" w:rsidP="000D3201">
      <w:r>
        <w:t>The percentage of patients receiving a second</w:t>
      </w:r>
      <w:r w:rsidR="00D76F73">
        <w:t xml:space="preserve"> (ie. first continuing) authority</w:t>
      </w:r>
      <w:r>
        <w:t xml:space="preserve"> approval corresponds to the percentage of patients who have </w:t>
      </w:r>
      <w:r w:rsidR="00D76F73">
        <w:t>responded</w:t>
      </w:r>
      <w:r>
        <w:t xml:space="preserve"> (according to the restriction criteria) at approximately 16 weeks for adalimumab, etanercept an</w:t>
      </w:r>
      <w:r w:rsidR="008B0B65">
        <w:t>d golimumab and approximately 18</w:t>
      </w:r>
      <w:r>
        <w:t xml:space="preserve"> weeks for infliximab. </w:t>
      </w:r>
      <w:r w:rsidR="00D76F73">
        <w:t xml:space="preserve">These continuation rates were </w:t>
      </w:r>
      <w:r w:rsidR="00D76F73" w:rsidRPr="00D76F73">
        <w:t>84%</w:t>
      </w:r>
      <w:r w:rsidR="00D76F73">
        <w:t xml:space="preserve">, </w:t>
      </w:r>
      <w:r w:rsidR="00D76F73" w:rsidRPr="00D76F73">
        <w:t>78%</w:t>
      </w:r>
      <w:r w:rsidR="00D76F73">
        <w:t xml:space="preserve">, </w:t>
      </w:r>
      <w:r w:rsidR="00D76F73" w:rsidRPr="00D76F73">
        <w:t>79%</w:t>
      </w:r>
      <w:r w:rsidR="00D76F73">
        <w:t xml:space="preserve"> and </w:t>
      </w:r>
      <w:r w:rsidR="00D76F73" w:rsidRPr="00D76F73">
        <w:t>69%</w:t>
      </w:r>
      <w:r w:rsidR="00D76F73">
        <w:t xml:space="preserve"> for adalimumab, etanercept, golimumab and infliximab respectively. These are substantially higher than the 12 week continuation rates in the Trials Summary above.</w:t>
      </w:r>
    </w:p>
    <w:p w:rsidR="00772260" w:rsidRDefault="00772260" w:rsidP="000D3201"/>
    <w:p w:rsidR="00247165" w:rsidRDefault="002C2EE1" w:rsidP="000D3201">
      <w:r>
        <w:lastRenderedPageBreak/>
        <w:t>Sixty</w:t>
      </w:r>
      <w:r w:rsidR="00D877E3">
        <w:t>-</w:t>
      </w:r>
      <w:r>
        <w:t xml:space="preserve">two percent </w:t>
      </w:r>
      <w:r w:rsidR="00247165">
        <w:t xml:space="preserve">of patients who initiated </w:t>
      </w:r>
      <w:r w:rsidR="00E3667F">
        <w:t xml:space="preserve">bDMARD therapy for AS between 2004 </w:t>
      </w:r>
      <w:r w:rsidR="00247165">
        <w:t xml:space="preserve">and 2013 </w:t>
      </w:r>
      <w:r w:rsidR="00E3667F">
        <w:t xml:space="preserve">(inclusive) </w:t>
      </w:r>
      <w:r w:rsidR="00247165">
        <w:t>have remained on their first bDMARD thus far. For patients who do switch, the most common switches are between adalimumab and etanercept.</w:t>
      </w:r>
    </w:p>
    <w:p w:rsidR="00B92892" w:rsidRPr="00247165" w:rsidRDefault="00B92892" w:rsidP="000D3201">
      <w:r>
        <w:t xml:space="preserve">Only a small proportion of patients (2.2%) </w:t>
      </w:r>
      <w:r w:rsidR="002C2EE1">
        <w:t>had</w:t>
      </w:r>
      <w:r>
        <w:t xml:space="preserve"> more than the 3 bDMARDs</w:t>
      </w:r>
      <w:r w:rsidR="002C2EE1">
        <w:t xml:space="preserve">. This may include switching between therapies without losing response and may not indicate they have completed a treatment cycle. </w:t>
      </w:r>
    </w:p>
    <w:p w:rsidR="00605DA3" w:rsidRPr="00605DA3" w:rsidRDefault="00605DA3" w:rsidP="003C5D85">
      <w:pPr>
        <w:pStyle w:val="Heading4"/>
        <w:rPr>
          <w:i w:val="0"/>
        </w:rPr>
      </w:pPr>
      <w:r w:rsidRPr="00605DA3">
        <w:rPr>
          <w:i w:val="0"/>
        </w:rPr>
        <w:t>DUSC consideration</w:t>
      </w:r>
    </w:p>
    <w:p w:rsidR="00AA4129" w:rsidRPr="005B4D66" w:rsidRDefault="00AA4129" w:rsidP="00AA4129">
      <w:pPr>
        <w:tabs>
          <w:tab w:val="num" w:pos="720"/>
        </w:tabs>
        <w:rPr>
          <w:rFonts w:ascii="Calibri" w:hAnsi="Calibri" w:cs="Calibri"/>
          <w:bCs/>
        </w:rPr>
      </w:pPr>
      <w:r w:rsidRPr="005B4D66">
        <w:rPr>
          <w:rFonts w:ascii="Calibri" w:hAnsi="Calibri" w:cs="Calibri"/>
        </w:rPr>
        <w:t xml:space="preserve">The majority (69-84%) of patients who start a bDMARD receive a second authority approval for the same bDMARD, and 91% of patients receive a second authority approval for any bDMARD. </w:t>
      </w:r>
      <w:r w:rsidRPr="005B4D66">
        <w:rPr>
          <w:rFonts w:ascii="Calibri" w:hAnsi="Calibri" w:cs="Calibri"/>
          <w:bCs/>
        </w:rPr>
        <w:t xml:space="preserve">Continuation rates in practice, assessed by the proportion of people who receive a second authority approval, are generally higher than response rates in the clinical trials used as the basis for PBS listing. </w:t>
      </w:r>
      <w:r w:rsidRPr="005B4D66">
        <w:rPr>
          <w:rFonts w:ascii="Calibri" w:hAnsi="Calibri" w:cs="Calibri"/>
        </w:rPr>
        <w:t xml:space="preserve">The key trials indicated response rates of between 47-58% based on the ankylosing spondylitis assessment score 20% response (ASAS20) at 12 weeks. Higher continuation rates in practice than trial based continuation rates have been observed for </w:t>
      </w:r>
      <w:r w:rsidR="00761456" w:rsidRPr="005B4D66">
        <w:rPr>
          <w:rFonts w:ascii="Calibri" w:hAnsi="Calibri" w:cs="Calibri"/>
        </w:rPr>
        <w:t>bDMARDs</w:t>
      </w:r>
      <w:r w:rsidRPr="005B4D66">
        <w:rPr>
          <w:rFonts w:ascii="Calibri" w:hAnsi="Calibri" w:cs="Calibri"/>
        </w:rPr>
        <w:t xml:space="preserve"> used in other indications including rheumatoid arthritis (RA) and psoriasis. The DUSC has previously considered that there may be </w:t>
      </w:r>
      <w:r w:rsidRPr="005B4D66">
        <w:rPr>
          <w:rFonts w:ascii="Calibri" w:hAnsi="Calibri" w:cs="Calibri"/>
          <w:bCs/>
        </w:rPr>
        <w:t>clinician or patient reluctance to withdraw a treatment where patients are achieving a partial response. DUSC considered that the high continuation rates for ankylosing spondylitis were related to there being few alternative therapies.</w:t>
      </w:r>
    </w:p>
    <w:p w:rsidR="00AA4129" w:rsidRPr="005B4D66" w:rsidRDefault="00AA4129" w:rsidP="00AA4129">
      <w:pPr>
        <w:rPr>
          <w:rFonts w:ascii="Calibri" w:hAnsi="Calibri" w:cs="Calibri"/>
        </w:rPr>
      </w:pPr>
      <w:r w:rsidRPr="005B4D66">
        <w:rPr>
          <w:rFonts w:ascii="Calibri" w:hAnsi="Calibri" w:cs="Calibri"/>
          <w:bCs/>
        </w:rPr>
        <w:t xml:space="preserve">In their </w:t>
      </w:r>
      <w:r w:rsidRPr="005B4D66">
        <w:rPr>
          <w:rFonts w:ascii="Calibri" w:hAnsi="Calibri" w:cs="Calibri"/>
        </w:rPr>
        <w:t xml:space="preserve">Pre-Sub-Committee Response (PSCR), </w:t>
      </w:r>
      <w:r w:rsidR="00F354C6" w:rsidRPr="005B4D66">
        <w:rPr>
          <w:rFonts w:ascii="Calibri" w:hAnsi="Calibri" w:cs="Calibri"/>
        </w:rPr>
        <w:t xml:space="preserve">a Sponsor </w:t>
      </w:r>
      <w:r w:rsidRPr="005B4D66">
        <w:rPr>
          <w:rFonts w:ascii="Calibri" w:hAnsi="Calibri" w:cs="Calibri"/>
        </w:rPr>
        <w:t xml:space="preserve">claimed “it is inappropriate to compare the ASAS20 response rates in the pivotal clinical trials with PBS continuation rates as these outcomes are not comparable and therefore such a comparison is invalid and cannot be used as a basis to conclude that PBS continuation rates with the biologics are higher than those observed in the clinical trials”. DUSC considered that the Sponsor makes some appropriate points about the lack of comparability of ASAS20 and PBS continuation criteria. DUSC recognised that while ASAS and the PBS criteria are not exactly the same, the ASAS is not more stringent. </w:t>
      </w:r>
    </w:p>
    <w:p w:rsidR="00AA4129" w:rsidRPr="005B4D66" w:rsidRDefault="00AA4129" w:rsidP="00AA4129">
      <w:pPr>
        <w:rPr>
          <w:rFonts w:ascii="Calibri" w:hAnsi="Calibri" w:cs="Calibri"/>
        </w:rPr>
      </w:pPr>
      <w:r w:rsidRPr="005B4D66">
        <w:rPr>
          <w:rFonts w:ascii="Calibri" w:hAnsi="Calibri" w:cs="Calibri"/>
        </w:rPr>
        <w:t>More than half of patients initiating bDMARD therapy had remained on their first bDMARD at end of analysis (Table 3). For patients who switched to another therapy, the most common switches were between adalimumab and etanercept. DUSC considered that t</w:t>
      </w:r>
      <w:r w:rsidRPr="005B4D66">
        <w:rPr>
          <w:rFonts w:ascii="Calibri" w:hAnsi="Calibri" w:cs="Calibri"/>
          <w:bCs/>
          <w:iCs/>
        </w:rPr>
        <w:t xml:space="preserve">he number of patients moving to additional </w:t>
      </w:r>
      <w:r w:rsidR="00761456" w:rsidRPr="005B4D66">
        <w:rPr>
          <w:rFonts w:ascii="Calibri" w:hAnsi="Calibri" w:cs="Calibri"/>
          <w:bCs/>
          <w:iCs/>
        </w:rPr>
        <w:t>bDMARDs</w:t>
      </w:r>
      <w:r w:rsidRPr="005B4D66">
        <w:rPr>
          <w:rFonts w:ascii="Calibri" w:hAnsi="Calibri" w:cs="Calibri"/>
          <w:bCs/>
          <w:iCs/>
        </w:rPr>
        <w:t xml:space="preserve"> may increase in the future as there may be a loss of response to bDMARDs over time.</w:t>
      </w:r>
    </w:p>
    <w:p w:rsidR="00AA4129" w:rsidRPr="005B4D66" w:rsidRDefault="00AA4129" w:rsidP="00AA4129">
      <w:pPr>
        <w:rPr>
          <w:rFonts w:ascii="Calibri" w:hAnsi="Calibri" w:cs="Calibri"/>
        </w:rPr>
      </w:pPr>
      <w:r w:rsidRPr="005B4D66">
        <w:rPr>
          <w:rFonts w:ascii="Calibri" w:hAnsi="Calibri" w:cs="Calibri"/>
        </w:rPr>
        <w:t>The DUSC also considered that:</w:t>
      </w:r>
    </w:p>
    <w:p w:rsidR="00AA4129" w:rsidRPr="005B4D66" w:rsidRDefault="00AA4129" w:rsidP="00AA4129">
      <w:pPr>
        <w:numPr>
          <w:ilvl w:val="0"/>
          <w:numId w:val="29"/>
        </w:numPr>
        <w:spacing w:after="0"/>
        <w:ind w:left="567"/>
        <w:contextualSpacing/>
        <w:rPr>
          <w:rFonts w:ascii="Calibri" w:hAnsi="Calibri" w:cs="Calibri"/>
        </w:rPr>
      </w:pPr>
      <w:r w:rsidRPr="005B4D66">
        <w:rPr>
          <w:rFonts w:ascii="Calibri" w:hAnsi="Calibri" w:cs="Calibri"/>
        </w:rPr>
        <w:t>epidemiological data show that the ratio of male:female prevalent patients is around 3:1.This is the ratio assumed in the original infliximab submission to the December 2003 PBAC quoting the references, Arnett 1989</w:t>
      </w:r>
      <w:r w:rsidRPr="005B4D66">
        <w:rPr>
          <w:rFonts w:ascii="Calibri" w:hAnsi="Calibri" w:cs="Calibri"/>
          <w:vertAlign w:val="superscript"/>
        </w:rPr>
        <w:footnoteReference w:id="12"/>
      </w:r>
      <w:r w:rsidRPr="005B4D66">
        <w:rPr>
          <w:rFonts w:ascii="Calibri" w:hAnsi="Calibri" w:cs="Calibri"/>
        </w:rPr>
        <w:t xml:space="preserve"> and Boyer et al. 1997</w:t>
      </w:r>
      <w:r w:rsidRPr="005B4D66">
        <w:rPr>
          <w:rFonts w:ascii="Calibri" w:hAnsi="Calibri" w:cs="Calibri"/>
          <w:vertAlign w:val="superscript"/>
        </w:rPr>
        <w:footnoteReference w:id="13"/>
      </w:r>
      <w:r w:rsidRPr="005B4D66">
        <w:rPr>
          <w:rFonts w:ascii="Calibri" w:hAnsi="Calibri" w:cs="Calibri"/>
        </w:rPr>
        <w:t xml:space="preserve">.  The gender </w:t>
      </w:r>
      <w:r w:rsidRPr="005B4D66">
        <w:rPr>
          <w:rFonts w:ascii="Calibri" w:hAnsi="Calibri" w:cs="Calibri"/>
        </w:rPr>
        <w:lastRenderedPageBreak/>
        <w:t xml:space="preserve">comparison in the analysis shows a male:female ratio of approximately 2:1 for prevalent patients (Figure 5) and approximately 1:1 for initiating patients (Figure 6). DUSC considered that the reason for this inconsistency between the literature and the PBS data </w:t>
      </w:r>
      <w:r w:rsidR="003876D7" w:rsidRPr="005B4D66">
        <w:rPr>
          <w:rFonts w:ascii="Calibri" w:hAnsi="Calibri" w:cs="Calibri"/>
        </w:rPr>
        <w:t xml:space="preserve">was </w:t>
      </w:r>
      <w:r w:rsidRPr="005B4D66">
        <w:rPr>
          <w:rFonts w:ascii="Calibri" w:hAnsi="Calibri" w:cs="Calibri"/>
        </w:rPr>
        <w:t>unclear and warranted further investigation. DUSC suggested the Secretariat provide a time series of the male:female ratio for prevalent and initiating patients to see if the ratio has changed over time, and to review more recent epidemiological data. A concern was that the unexpected gender ratio may reflect leakage into treatment of other inflammatory conditions.</w:t>
      </w:r>
    </w:p>
    <w:p w:rsidR="00AA4129" w:rsidRPr="005B4D66" w:rsidRDefault="00AA4129" w:rsidP="00AA4129">
      <w:pPr>
        <w:spacing w:after="0"/>
        <w:ind w:left="567"/>
        <w:contextualSpacing/>
        <w:rPr>
          <w:rFonts w:ascii="Calibri" w:hAnsi="Calibri" w:cs="Calibri"/>
        </w:rPr>
      </w:pPr>
    </w:p>
    <w:p w:rsidR="00AA4129" w:rsidRPr="005B4D66" w:rsidRDefault="00AA4129" w:rsidP="00AA4129">
      <w:pPr>
        <w:ind w:left="54"/>
        <w:rPr>
          <w:rFonts w:ascii="Calibri" w:hAnsi="Calibri" w:cs="Calibri"/>
        </w:rPr>
      </w:pPr>
      <w:r w:rsidRPr="005B4D66">
        <w:rPr>
          <w:rFonts w:ascii="Calibri" w:hAnsi="Calibri" w:cs="Calibri"/>
        </w:rPr>
        <w:t xml:space="preserve">DUSC noted that in their PSCR, a Sponsor had considered the method of measuring continuation rates in the analysis to be inappropriate and to overestimate persistence. The sponsor claimed that the continuation rate was less if measured using prescription supply data rather than authority approval data. Authority approval data was used in the DUSC analysis due to lack of completeness of patient level prescription supply data (due to the fact that infliximab is part of the S100 HSD Schedule). This limitation is decreasing with time and the Secretariat will be able to use prescription supply data in future continuation analysis of bDMARDs. DUSC also noted the Authority approval data does reflect prescriber intent to continue therapy. The Sponsor used the DHS PBS 10% patient sample of prescription supply data and a different methodology to estimate an alternative continuation rate. DUSC emphasised that </w:t>
      </w:r>
      <w:r w:rsidR="00B80BD3" w:rsidRPr="005B4D66">
        <w:rPr>
          <w:rFonts w:ascii="Calibri" w:hAnsi="Calibri" w:cs="Calibri"/>
        </w:rPr>
        <w:t xml:space="preserve">analyses </w:t>
      </w:r>
      <w:r w:rsidRPr="005B4D66">
        <w:rPr>
          <w:rFonts w:ascii="Calibri" w:hAnsi="Calibri" w:cs="Calibri"/>
        </w:rPr>
        <w:t>using the PBS 10% patient sample need to be cognisant of the final sample size. For example, the DUSC analysis of long term continuation included all patients who initiated bDMARD treatment in 2009 (see Figure 8). There were 660 such patients, however an equivalent analysis in the PBS 10% patient sample would only have approximately 66 patients. Estimates b</w:t>
      </w:r>
      <w:bookmarkStart w:id="0" w:name="_GoBack"/>
      <w:bookmarkEnd w:id="0"/>
      <w:r w:rsidRPr="005B4D66">
        <w:rPr>
          <w:rFonts w:ascii="Calibri" w:hAnsi="Calibri" w:cs="Calibri"/>
        </w:rPr>
        <w:t xml:space="preserve">ased on this smaller sample size would have considerably broader 95% confidence intervals.  </w:t>
      </w:r>
    </w:p>
    <w:p w:rsidR="00AA4129" w:rsidRPr="005B4D66" w:rsidRDefault="00AA4129" w:rsidP="00AA4129">
      <w:pPr>
        <w:ind w:left="54"/>
        <w:rPr>
          <w:rFonts w:ascii="Calibri" w:hAnsi="Calibri" w:cs="Calibri"/>
        </w:rPr>
      </w:pPr>
      <w:r w:rsidRPr="005B4D66">
        <w:rPr>
          <w:rFonts w:ascii="Calibri" w:hAnsi="Calibri" w:cs="Calibri"/>
        </w:rPr>
        <w:t>DUSC considered that methods to establish  ‘breaks in therapy’ in utilisation reviews of bDMARDs need to be mindful that in clinical practice the frequency of bDMARDs administration may differ from that expected, for example less frequent dosing for patients who have achieved and are maintaining a response.</w:t>
      </w:r>
    </w:p>
    <w:p w:rsidR="00AA4129" w:rsidRPr="005B4D66" w:rsidRDefault="00AA4129" w:rsidP="00AA4129">
      <w:pPr>
        <w:rPr>
          <w:rFonts w:ascii="Calibri" w:hAnsi="Calibri" w:cs="Calibri"/>
          <w:b/>
        </w:rPr>
      </w:pPr>
      <w:r w:rsidRPr="005B4D66">
        <w:rPr>
          <w:rFonts w:ascii="Calibri" w:hAnsi="Calibri" w:cs="Calibri"/>
          <w:b/>
        </w:rPr>
        <w:t>Key Findings and Discussion</w:t>
      </w:r>
    </w:p>
    <w:p w:rsidR="00AA4129" w:rsidRPr="005B4D66" w:rsidRDefault="00AA4129" w:rsidP="00AA4129">
      <w:pPr>
        <w:rPr>
          <w:rFonts w:ascii="Calibri" w:hAnsi="Calibri" w:cs="Calibri"/>
          <w:bCs/>
        </w:rPr>
      </w:pPr>
      <w:r w:rsidRPr="005B4D66">
        <w:rPr>
          <w:rFonts w:ascii="Calibri" w:hAnsi="Calibri" w:cs="Calibri"/>
          <w:bCs/>
        </w:rPr>
        <w:t>DUSC considered that there are multiple reasons for high and increasing utilisation of bDMARDs for ankylosing spondylitis:</w:t>
      </w:r>
    </w:p>
    <w:p w:rsidR="00AA4129" w:rsidRPr="005B4D66" w:rsidRDefault="00AA4129" w:rsidP="00AA4129">
      <w:pPr>
        <w:numPr>
          <w:ilvl w:val="0"/>
          <w:numId w:val="28"/>
        </w:numPr>
        <w:spacing w:after="0"/>
        <w:contextualSpacing/>
        <w:rPr>
          <w:rFonts w:ascii="Calibri" w:hAnsi="Calibri" w:cs="Calibri"/>
          <w:bCs/>
        </w:rPr>
      </w:pPr>
      <w:r w:rsidRPr="005B4D66">
        <w:rPr>
          <w:rFonts w:ascii="Calibri" w:hAnsi="Calibri" w:cs="Calibri"/>
          <w:bCs/>
        </w:rPr>
        <w:t>There is no local epidemiological data on the incidence and prevalence of ankylosing spondylitis in Australia. DUSC considered that the population with ankylosing spondylitis may have been underestimated at the time bDMARDs were first listed for this indication. DUSC noted several more recent international epidemiological sources reporting higher prevalence of ankylosing spondylitis.</w:t>
      </w:r>
    </w:p>
    <w:p w:rsidR="00AA4129" w:rsidRPr="005B4D66" w:rsidRDefault="00AA4129" w:rsidP="00AA4129">
      <w:pPr>
        <w:numPr>
          <w:ilvl w:val="0"/>
          <w:numId w:val="27"/>
        </w:numPr>
        <w:spacing w:after="0"/>
        <w:contextualSpacing/>
        <w:rPr>
          <w:rFonts w:ascii="Calibri" w:hAnsi="Calibri" w:cs="Calibri"/>
          <w:bCs/>
        </w:rPr>
      </w:pPr>
      <w:r w:rsidRPr="005B4D66">
        <w:rPr>
          <w:rFonts w:ascii="Calibri" w:hAnsi="Calibri" w:cs="Calibri"/>
          <w:bCs/>
        </w:rPr>
        <w:t xml:space="preserve">Higher retention rates on bDMARD than predicted. DUSC considered that this may be partly driven by the restriction continuation rules. DUSC considered that there may be </w:t>
      </w:r>
      <w:r w:rsidRPr="005B4D66">
        <w:rPr>
          <w:rFonts w:ascii="Calibri" w:hAnsi="Calibri" w:cs="Calibri"/>
          <w:bCs/>
        </w:rPr>
        <w:lastRenderedPageBreak/>
        <w:t>clinician or patient reluctance to withdraw treatment where patients are achieving a partial response particularly as there is a lack of alternative therapies. In addition, there is no flexibility within the current restriction to suspend therapy or reduce therapy (if efficacious) and recommence at a later date.</w:t>
      </w:r>
    </w:p>
    <w:p w:rsidR="00AA4129" w:rsidRPr="005B4D66" w:rsidRDefault="00AA4129" w:rsidP="00AA4129">
      <w:pPr>
        <w:numPr>
          <w:ilvl w:val="0"/>
          <w:numId w:val="27"/>
        </w:numPr>
        <w:spacing w:after="0"/>
        <w:contextualSpacing/>
        <w:rPr>
          <w:rFonts w:ascii="Calibri" w:hAnsi="Calibri" w:cs="Calibri"/>
          <w:bCs/>
        </w:rPr>
      </w:pPr>
      <w:r w:rsidRPr="005B4D66">
        <w:rPr>
          <w:rFonts w:ascii="Calibri" w:hAnsi="Calibri" w:cs="Calibri"/>
          <w:bCs/>
        </w:rPr>
        <w:t>Treatment of earlier stage disease. DUSC considered that this may be clinically appropriate given the most recent data suggesting the efficacy of bDMARDs in slowing radiographic progression.</w:t>
      </w:r>
    </w:p>
    <w:p w:rsidR="00AA4129" w:rsidRPr="005B4D66" w:rsidRDefault="00AA4129" w:rsidP="00AA4129">
      <w:pPr>
        <w:numPr>
          <w:ilvl w:val="0"/>
          <w:numId w:val="27"/>
        </w:numPr>
        <w:spacing w:after="0"/>
        <w:contextualSpacing/>
        <w:rPr>
          <w:rFonts w:ascii="Calibri" w:hAnsi="Calibri" w:cs="Calibri"/>
          <w:bCs/>
        </w:rPr>
      </w:pPr>
      <w:r w:rsidRPr="005B4D66">
        <w:rPr>
          <w:rFonts w:ascii="Calibri" w:hAnsi="Calibri" w:cs="Calibri"/>
          <w:bCs/>
        </w:rPr>
        <w:t>Increased familiarity with bDMARDs, improved awareness of inflammatory back pain leading to more referrals from GPs to rheumatologists.</w:t>
      </w:r>
    </w:p>
    <w:p w:rsidR="00AA4129" w:rsidRPr="005B4D66" w:rsidRDefault="00AA4129" w:rsidP="00AA4129">
      <w:pPr>
        <w:rPr>
          <w:rFonts w:ascii="Calibri" w:hAnsi="Calibri" w:cs="Calibri"/>
          <w:bCs/>
        </w:rPr>
      </w:pPr>
    </w:p>
    <w:p w:rsidR="00AA4129" w:rsidRPr="005B4D66" w:rsidRDefault="00AA4129" w:rsidP="00AA4129">
      <w:pPr>
        <w:rPr>
          <w:rFonts w:ascii="Calibri" w:hAnsi="Calibri" w:cs="Calibri"/>
          <w:bCs/>
        </w:rPr>
      </w:pPr>
      <w:r w:rsidRPr="005B4D66">
        <w:rPr>
          <w:rFonts w:ascii="Calibri" w:hAnsi="Calibri" w:cs="Calibri"/>
          <w:bCs/>
        </w:rPr>
        <w:t>DUSC consider</w:t>
      </w:r>
      <w:r w:rsidR="002B2E0B" w:rsidRPr="005B4D66">
        <w:rPr>
          <w:rFonts w:ascii="Calibri" w:hAnsi="Calibri" w:cs="Calibri"/>
          <w:bCs/>
        </w:rPr>
        <w:t>ed</w:t>
      </w:r>
      <w:r w:rsidRPr="005B4D66">
        <w:rPr>
          <w:rFonts w:ascii="Calibri" w:hAnsi="Calibri" w:cs="Calibri"/>
          <w:bCs/>
        </w:rPr>
        <w:t xml:space="preserve"> that the ratio of male:female bDMARD initiating and prevalent patients is inconsistent with known epidemiological data and requested further analysis of the PBS data and published literature.</w:t>
      </w:r>
    </w:p>
    <w:p w:rsidR="00605DA3" w:rsidRPr="00605DA3" w:rsidRDefault="00605DA3" w:rsidP="00605DA3">
      <w:pPr>
        <w:pStyle w:val="Heading4"/>
        <w:rPr>
          <w:i w:val="0"/>
        </w:rPr>
      </w:pPr>
      <w:r w:rsidRPr="00605DA3">
        <w:rPr>
          <w:i w:val="0"/>
        </w:rPr>
        <w:t>DUSC actions</w:t>
      </w:r>
    </w:p>
    <w:p w:rsidR="00605DA3" w:rsidRDefault="00605DA3" w:rsidP="00605DA3">
      <w:r>
        <w:t xml:space="preserve">The DUSC requested that: </w:t>
      </w:r>
    </w:p>
    <w:p w:rsidR="00605DA3" w:rsidRDefault="00605DA3" w:rsidP="00605DA3">
      <w:pPr>
        <w:ind w:left="567" w:hanging="567"/>
      </w:pPr>
      <w:r>
        <w:t>•</w:t>
      </w:r>
      <w:r>
        <w:tab/>
      </w:r>
      <w:r w:rsidR="00AA4129" w:rsidRPr="00AA4129">
        <w:t>the report be provided to the PBAC; and</w:t>
      </w:r>
    </w:p>
    <w:p w:rsidR="00605DA3" w:rsidRDefault="00605DA3" w:rsidP="00605DA3">
      <w:pPr>
        <w:ind w:left="567" w:hanging="567"/>
      </w:pPr>
      <w:r>
        <w:t>•</w:t>
      </w:r>
      <w:r>
        <w:tab/>
      </w:r>
      <w:r w:rsidR="00AA4129" w:rsidRPr="00AA4129">
        <w:t>the Secretariat produce a time series of the male:female ratio for prevalent and initiating patients to see if the ratio has changed over time.</w:t>
      </w:r>
    </w:p>
    <w:p w:rsidR="00605DA3" w:rsidRPr="00605DA3" w:rsidRDefault="00605DA3" w:rsidP="00605DA3">
      <w:pPr>
        <w:pStyle w:val="Heading4"/>
        <w:rPr>
          <w:i w:val="0"/>
        </w:rPr>
      </w:pPr>
      <w:r w:rsidRPr="00605DA3">
        <w:rPr>
          <w:i w:val="0"/>
        </w:rPr>
        <w:t>Context for analysis</w:t>
      </w:r>
    </w:p>
    <w:p w:rsidR="00605DA3" w:rsidRDefault="00605DA3" w:rsidP="00605DA3">
      <w:r>
        <w:t>The DUSC is a Sub Committee of the Pharmaceutical Benefits Advisory Committee (PBAC). The DUSC assesses estimates on projected usage and financial cost of medicines.</w:t>
      </w:r>
    </w:p>
    <w:p w:rsidR="00605DA3" w:rsidRDefault="00605DA3" w:rsidP="00605DA3">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605DA3" w:rsidRDefault="00605DA3" w:rsidP="00605DA3">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605DA3" w:rsidRDefault="00605DA3" w:rsidP="00605DA3">
      <w:r>
        <w:t>The utilisation analysis report was provided to the pharmaceutical sponsors of each drug and comments on the report were provided to DUSC prior to its consideration of the analysis.</w:t>
      </w:r>
    </w:p>
    <w:p w:rsidR="00AB5622" w:rsidRDefault="00AB5622">
      <w:pPr>
        <w:spacing w:line="276" w:lineRule="auto"/>
        <w:rPr>
          <w:b/>
          <w:sz w:val="32"/>
          <w:szCs w:val="32"/>
        </w:rPr>
      </w:pPr>
      <w:r>
        <w:rPr>
          <w:i/>
        </w:rPr>
        <w:br w:type="page"/>
      </w:r>
    </w:p>
    <w:p w:rsidR="00605DA3" w:rsidRDefault="00605DA3" w:rsidP="00605DA3">
      <w:pPr>
        <w:pStyle w:val="Heading4"/>
        <w:rPr>
          <w:i w:val="0"/>
        </w:rPr>
      </w:pPr>
      <w:r w:rsidRPr="00605DA3">
        <w:rPr>
          <w:i w:val="0"/>
        </w:rPr>
        <w:lastRenderedPageBreak/>
        <w:t>Sponsors’ comments</w:t>
      </w:r>
    </w:p>
    <w:p w:rsidR="00B478C9" w:rsidRDefault="002C66B3" w:rsidP="002C66B3">
      <w:r w:rsidRPr="008A55A9">
        <w:t>AbbVie Pty Ltd</w:t>
      </w:r>
      <w:r>
        <w:t>:</w:t>
      </w:r>
      <w:r w:rsidR="00A27D2F">
        <w:t xml:space="preserve"> </w:t>
      </w:r>
      <w:r w:rsidR="006E48F0">
        <w:t>AbbVie agrees with the</w:t>
      </w:r>
      <w:r w:rsidR="007F3B42">
        <w:t xml:space="preserve"> DUSC </w:t>
      </w:r>
      <w:r w:rsidR="006E48F0">
        <w:t>that the</w:t>
      </w:r>
      <w:r w:rsidR="00B478C9">
        <w:t xml:space="preserve">re is </w:t>
      </w:r>
      <w:r w:rsidR="00055622">
        <w:t xml:space="preserve">now </w:t>
      </w:r>
      <w:r w:rsidR="00B478C9">
        <w:t>more epidemiological data and greater disease awareness regarding AS</w:t>
      </w:r>
      <w:r w:rsidR="006E48F0">
        <w:t xml:space="preserve"> </w:t>
      </w:r>
      <w:r w:rsidR="00B478C9">
        <w:t>than there was at the time of listing.</w:t>
      </w:r>
      <w:r w:rsidR="00330595">
        <w:t xml:space="preserve"> Any proposed changes to restriction wording should be checked with clinicians for clinical validity. </w:t>
      </w:r>
    </w:p>
    <w:p w:rsidR="002C66B3" w:rsidRPr="008A55A9" w:rsidRDefault="002C66B3" w:rsidP="002C66B3">
      <w:r w:rsidRPr="008A55A9">
        <w:t>Pfizer Pty Ltd</w:t>
      </w:r>
      <w:r>
        <w:t xml:space="preserve">: </w:t>
      </w:r>
      <w:r w:rsidR="00A27D2F">
        <w:t>The sponsor has no comment</w:t>
      </w:r>
    </w:p>
    <w:p w:rsidR="00FB7E8C" w:rsidRPr="00A27D2F" w:rsidRDefault="002C66B3" w:rsidP="00A27D2F">
      <w:r w:rsidRPr="008A55A9">
        <w:t>Janssen-Cilag Pty Ltd</w:t>
      </w:r>
      <w:r>
        <w:t>:</w:t>
      </w:r>
      <w:r w:rsidR="00A27D2F">
        <w:t xml:space="preserve"> </w:t>
      </w:r>
      <w:r w:rsidR="00FB7E8C" w:rsidRPr="00A27D2F">
        <w:t>Janssen are committed to the appropriate and cost-effective use of its medicines, infliximab and golimumab, for the treatment of ankylosing spondylitis. Janssen believes that the written authority, with objective clinical requirements, ensures that the use of biologics remains within the PBS defined population</w:t>
      </w:r>
      <w:r w:rsidR="00FB7E8C" w:rsidRPr="00512B64">
        <w:t>”. </w:t>
      </w:r>
      <w:r w:rsidR="00FB7E8C">
        <w:t>Further, t</w:t>
      </w:r>
      <w:r w:rsidR="00FB7E8C" w:rsidRPr="00512B64">
        <w:t>he analyses conducted by the DUSC demonstrate</w:t>
      </w:r>
      <w:r w:rsidR="00FB7E8C" w:rsidRPr="00A27D2F">
        <w:t xml:space="preserve"> that both golimumab and infliximab are being used within the PBS population determined to be cost-effective by the PBAC.</w:t>
      </w:r>
    </w:p>
    <w:p w:rsidR="002C66B3" w:rsidRDefault="002C66B3" w:rsidP="002C66B3">
      <w:r>
        <w:t>UCB Australia Pty Ltd:</w:t>
      </w:r>
      <w:r w:rsidR="00FB7E8C">
        <w:t xml:space="preserve"> The sponsor has no comment</w:t>
      </w:r>
    </w:p>
    <w:p w:rsidR="00605DA3" w:rsidRPr="00605DA3" w:rsidRDefault="00605DA3" w:rsidP="00605DA3">
      <w:pPr>
        <w:pStyle w:val="Heading4"/>
        <w:rPr>
          <w:i w:val="0"/>
        </w:rPr>
      </w:pPr>
      <w:r w:rsidRPr="00605DA3">
        <w:rPr>
          <w:i w:val="0"/>
        </w:rPr>
        <w:t>Disclaimer</w:t>
      </w:r>
    </w:p>
    <w:p w:rsidR="00605DA3" w:rsidRDefault="00605DA3" w:rsidP="00605DA3">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605DA3" w:rsidRDefault="00605DA3" w:rsidP="00605DA3">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605DA3" w:rsidRDefault="00605DA3" w:rsidP="00605DA3">
      <w:r>
        <w:t xml:space="preserve">To the extent provided by law, DoH makes no warranties or representations as to accuracy or completeness of information contained in this report. </w:t>
      </w:r>
    </w:p>
    <w:p w:rsidR="00605DA3" w:rsidRDefault="00605DA3" w:rsidP="00605DA3">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605DA3" w:rsidRDefault="00605DA3" w:rsidP="00605DA3">
      <w:pPr>
        <w:spacing w:line="276" w:lineRule="auto"/>
        <w:rPr>
          <w:b/>
          <w:sz w:val="28"/>
        </w:rPr>
      </w:pPr>
      <w:r>
        <w:rPr>
          <w:b/>
          <w:sz w:val="28"/>
        </w:rPr>
        <w:br w:type="page"/>
      </w:r>
    </w:p>
    <w:p w:rsidR="00F564C4" w:rsidRPr="00605DA3" w:rsidRDefault="00F564C4" w:rsidP="00F564C4">
      <w:pPr>
        <w:rPr>
          <w:b/>
          <w:sz w:val="28"/>
        </w:rPr>
      </w:pPr>
      <w:r w:rsidRPr="00605DA3">
        <w:rPr>
          <w:b/>
          <w:sz w:val="28"/>
        </w:rPr>
        <w:lastRenderedPageBreak/>
        <w:t xml:space="preserve">Appendix </w:t>
      </w:r>
      <w:r w:rsidR="00E3667F" w:rsidRPr="00605DA3">
        <w:rPr>
          <w:b/>
          <w:sz w:val="28"/>
        </w:rPr>
        <w:t>A</w:t>
      </w:r>
      <w:r w:rsidRPr="00605DA3">
        <w:rPr>
          <w:b/>
          <w:sz w:val="28"/>
        </w:rPr>
        <w:t xml:space="preserve">: </w:t>
      </w:r>
      <w:r w:rsidR="005671C4" w:rsidRPr="00605DA3">
        <w:rPr>
          <w:b/>
          <w:sz w:val="28"/>
        </w:rPr>
        <w:t>Patients counts based on quarter of supply</w:t>
      </w:r>
    </w:p>
    <w:p w:rsidR="00F564C4" w:rsidRPr="003A79B8" w:rsidRDefault="005671C4" w:rsidP="00F63A67">
      <w:pPr>
        <w:spacing w:line="276" w:lineRule="auto"/>
        <w:rPr>
          <w:sz w:val="20"/>
        </w:rPr>
      </w:pPr>
      <w:r>
        <w:rPr>
          <w:noProof/>
        </w:rPr>
        <w:drawing>
          <wp:inline distT="0" distB="0" distL="0" distR="0" wp14:anchorId="3EC5EE14" wp14:editId="4EE664CF">
            <wp:extent cx="5988676" cy="3812147"/>
            <wp:effectExtent l="0" t="0" r="12700" b="17145"/>
            <wp:docPr id="21" name="Chart 21" title="Figure A.1: New and prevalent patients receiving bDMARD treatment b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3A79B8">
        <w:rPr>
          <w:b/>
        </w:rPr>
        <w:t xml:space="preserve">Figure </w:t>
      </w:r>
      <w:r w:rsidR="00E3667F" w:rsidRPr="003A79B8">
        <w:rPr>
          <w:b/>
        </w:rPr>
        <w:t>A</w:t>
      </w:r>
      <w:r w:rsidRPr="003A79B8">
        <w:rPr>
          <w:b/>
        </w:rPr>
        <w:t>.1:</w:t>
      </w:r>
      <w:r w:rsidR="00F564C4" w:rsidRPr="003A79B8">
        <w:rPr>
          <w:b/>
        </w:rPr>
        <w:t xml:space="preserve"> New and prevalent patients receiving bDMARD treatment by quarter</w:t>
      </w:r>
      <w:r w:rsidR="00052D4D" w:rsidRPr="003A79B8">
        <w:rPr>
          <w:b/>
        </w:rPr>
        <w:br/>
      </w:r>
      <w:r w:rsidR="00F564C4" w:rsidRPr="003A79B8">
        <w:rPr>
          <w:sz w:val="20"/>
        </w:rPr>
        <w:t>Source: DHS Prescriptions Claims database, based on date of supply</w:t>
      </w:r>
    </w:p>
    <w:p w:rsidR="00052D4D" w:rsidRPr="00052D4D" w:rsidRDefault="00052D4D" w:rsidP="00052D4D">
      <w:pPr>
        <w:pStyle w:val="Figuretitle"/>
        <w:rPr>
          <w:b w:val="0"/>
          <w:sz w:val="22"/>
        </w:rPr>
      </w:pPr>
    </w:p>
    <w:p w:rsidR="00052D4D" w:rsidRPr="003A79B8" w:rsidRDefault="00052D4D" w:rsidP="00F63A67">
      <w:pPr>
        <w:spacing w:line="276" w:lineRule="auto"/>
        <w:rPr>
          <w:sz w:val="22"/>
        </w:rPr>
      </w:pPr>
      <w:r>
        <w:rPr>
          <w:noProof/>
        </w:rPr>
        <w:lastRenderedPageBreak/>
        <w:drawing>
          <wp:inline distT="0" distB="0" distL="0" distR="0" wp14:anchorId="520D4E88" wp14:editId="0E344FC2">
            <wp:extent cx="5687695" cy="3724346"/>
            <wp:effectExtent l="0" t="0" r="27305" b="9525"/>
            <wp:docPr id="22" name="Chart 22" title="Figure A.2: Patients initiating bDMARD therapy by initiating drug and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F63A67">
        <w:rPr>
          <w:b/>
        </w:rPr>
        <w:t xml:space="preserve">Figure </w:t>
      </w:r>
      <w:r w:rsidR="00E3667F" w:rsidRPr="00F63A67">
        <w:rPr>
          <w:b/>
        </w:rPr>
        <w:t>A</w:t>
      </w:r>
      <w:r w:rsidRPr="00F63A67">
        <w:rPr>
          <w:b/>
        </w:rPr>
        <w:t>.2: Patients initiating bDMARD therapy by initiating drug and quarter</w:t>
      </w:r>
      <w:r w:rsidRPr="00F63A67">
        <w:rPr>
          <w:b/>
        </w:rPr>
        <w:br/>
      </w:r>
      <w:r w:rsidRPr="003A79B8">
        <w:rPr>
          <w:sz w:val="20"/>
        </w:rPr>
        <w:t>Source: DHS Prescriptions Claims database, based on date of supply</w:t>
      </w:r>
    </w:p>
    <w:p w:rsidR="00164D45" w:rsidRPr="003A79B8" w:rsidRDefault="000726FC" w:rsidP="00F63A67">
      <w:pPr>
        <w:spacing w:line="276" w:lineRule="auto"/>
        <w:rPr>
          <w:sz w:val="22"/>
        </w:rPr>
      </w:pPr>
      <w:r>
        <w:rPr>
          <w:noProof/>
        </w:rPr>
        <w:drawing>
          <wp:inline distT="0" distB="0" distL="0" distR="0" wp14:anchorId="33FE59EC" wp14:editId="33648901">
            <wp:extent cx="5687695" cy="3722523"/>
            <wp:effectExtent l="0" t="0" r="27305" b="11430"/>
            <wp:docPr id="16" name="Chart 16" title="Figure A.3:  Prevalent patients by bDMARD and quarter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E3667F" w:rsidRPr="00F63A67">
        <w:rPr>
          <w:b/>
        </w:rPr>
        <w:t>Figure A</w:t>
      </w:r>
      <w:r w:rsidRPr="00F63A67">
        <w:rPr>
          <w:b/>
        </w:rPr>
        <w:t>.3:  Prevalent patients by bDMARD and quarter of supply</w:t>
      </w:r>
      <w:r w:rsidR="00164D45" w:rsidRPr="00F63A67">
        <w:rPr>
          <w:b/>
        </w:rPr>
        <w:br/>
      </w:r>
      <w:r w:rsidR="00164D45" w:rsidRPr="003A79B8">
        <w:rPr>
          <w:sz w:val="20"/>
        </w:rPr>
        <w:t>Source: DHS Prescriptions Claims database, based on date of supply</w:t>
      </w:r>
    </w:p>
    <w:sectPr w:rsidR="00164D45" w:rsidRPr="003A79B8" w:rsidSect="00886FEA">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4D8" w:rsidRDefault="005634D8" w:rsidP="00A35800">
      <w:r>
        <w:separator/>
      </w:r>
    </w:p>
  </w:endnote>
  <w:endnote w:type="continuationSeparator" w:id="0">
    <w:p w:rsidR="005634D8" w:rsidRDefault="005634D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D8" w:rsidRDefault="005634D8"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634D8" w:rsidRDefault="005634D8"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331574"/>
      <w:docPartObj>
        <w:docPartGallery w:val="Page Numbers (Bottom of Page)"/>
        <w:docPartUnique/>
      </w:docPartObj>
    </w:sdtPr>
    <w:sdtEndPr/>
    <w:sdtContent>
      <w:sdt>
        <w:sdtPr>
          <w:id w:val="-458114663"/>
          <w:docPartObj>
            <w:docPartGallery w:val="Page Numbers (Top of Page)"/>
            <w:docPartUnique/>
          </w:docPartObj>
        </w:sdtPr>
        <w:sdtEndPr/>
        <w:sdtContent>
          <w:p w:rsidR="005634D8" w:rsidRPr="000E72C6" w:rsidRDefault="005634D8" w:rsidP="00635559">
            <w:pPr>
              <w:pStyle w:val="Footer"/>
              <w:jc w:val="center"/>
              <w:rPr>
                <w:i/>
                <w:sz w:val="20"/>
              </w:rPr>
            </w:pPr>
            <w:r>
              <w:rPr>
                <w:i/>
                <w:sz w:val="20"/>
              </w:rPr>
              <w:t>Public Release Document, February 2016 DUSC Meeting</w:t>
            </w:r>
          </w:p>
          <w:p w:rsidR="005634D8" w:rsidRDefault="005634D8" w:rsidP="00635559">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A82552">
              <w:rPr>
                <w:bCs/>
                <w:i/>
                <w:noProof/>
                <w:sz w:val="20"/>
              </w:rPr>
              <w:t>24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A82552">
              <w:rPr>
                <w:bCs/>
                <w:i/>
                <w:noProof/>
                <w:sz w:val="20"/>
              </w:rPr>
              <w:t>28</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D8" w:rsidRDefault="005634D8" w:rsidP="007A5733">
    <w:pPr>
      <w:pStyle w:val="Footer"/>
      <w:jc w:val="center"/>
      <w:rPr>
        <w:rStyle w:val="PageNumber"/>
      </w:rPr>
    </w:pPr>
    <w:r>
      <w:rPr>
        <w:rStyle w:val="PageNumber"/>
      </w:rPr>
      <w:t>Committee-in-Confidence</w:t>
    </w:r>
  </w:p>
  <w:p w:rsidR="005634D8" w:rsidRDefault="005634D8"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4D8" w:rsidRDefault="005634D8" w:rsidP="00A35800">
      <w:r>
        <w:separator/>
      </w:r>
    </w:p>
  </w:footnote>
  <w:footnote w:type="continuationSeparator" w:id="0">
    <w:p w:rsidR="005634D8" w:rsidRDefault="005634D8" w:rsidP="00A35800">
      <w:r>
        <w:continuationSeparator/>
      </w:r>
    </w:p>
  </w:footnote>
  <w:footnote w:id="1">
    <w:p w:rsidR="005634D8" w:rsidRDefault="005634D8" w:rsidP="0054726B">
      <w:pPr>
        <w:pStyle w:val="FootnoteText"/>
      </w:pPr>
      <w:r>
        <w:rPr>
          <w:rStyle w:val="FootnoteReference"/>
        </w:rPr>
        <w:footnoteRef/>
      </w:r>
      <w:r>
        <w:t xml:space="preserve"> Adalimumab (Humira®), Australian Approved Product Information. Sydney: AbbVie Pty Ltd. Approved 10 December 2003, updated 31 August 2015. Available from &lt;</w:t>
      </w:r>
      <w:hyperlink r:id="rId1" w:history="1">
        <w:r>
          <w:rPr>
            <w:rStyle w:val="Hyperlink"/>
          </w:rPr>
          <w:t>https://www.ebs.tga.gov.au/</w:t>
        </w:r>
      </w:hyperlink>
      <w:r>
        <w:t>&gt;</w:t>
      </w:r>
    </w:p>
  </w:footnote>
  <w:footnote w:id="2">
    <w:p w:rsidR="005634D8" w:rsidRDefault="005634D8" w:rsidP="0054726B">
      <w:pPr>
        <w:pStyle w:val="FootnoteText"/>
      </w:pPr>
      <w:r>
        <w:rPr>
          <w:rStyle w:val="FootnoteReference"/>
        </w:rPr>
        <w:footnoteRef/>
      </w:r>
      <w:r>
        <w:t xml:space="preserve"> Certolizumab pegol (Cimzia®), Australian Approved Product Information. Melbourne: UCB Australia Pty Ltd. Approved 20 January 2010, updated 24 February 2015. Available from &lt;</w:t>
      </w:r>
      <w:hyperlink r:id="rId2" w:history="1">
        <w:r>
          <w:rPr>
            <w:rStyle w:val="Hyperlink"/>
          </w:rPr>
          <w:t>https://www.ebs.tga.gov.au/</w:t>
        </w:r>
      </w:hyperlink>
      <w:r>
        <w:t xml:space="preserve">&gt; </w:t>
      </w:r>
    </w:p>
  </w:footnote>
  <w:footnote w:id="3">
    <w:p w:rsidR="005634D8" w:rsidRDefault="005634D8" w:rsidP="0054726B">
      <w:pPr>
        <w:pStyle w:val="FootnoteText"/>
      </w:pPr>
      <w:r>
        <w:rPr>
          <w:rStyle w:val="FootnoteReference"/>
        </w:rPr>
        <w:footnoteRef/>
      </w:r>
      <w:r>
        <w:t xml:space="preserve"> Etanercept (Enbrel®), Australian Approved Product Information. Sydney: Pfizer Australia Pty Ltd. Approved 8 September 2000, updated 7 December 2015. Available from &lt;</w:t>
      </w:r>
      <w:hyperlink r:id="rId3" w:history="1">
        <w:r>
          <w:rPr>
            <w:rStyle w:val="Hyperlink"/>
          </w:rPr>
          <w:t>https://www.ebs.tga.gov.au/</w:t>
        </w:r>
      </w:hyperlink>
      <w:r>
        <w:t xml:space="preserve">&gt; </w:t>
      </w:r>
    </w:p>
  </w:footnote>
  <w:footnote w:id="4">
    <w:p w:rsidR="005634D8" w:rsidRDefault="005634D8" w:rsidP="0054726B">
      <w:pPr>
        <w:pStyle w:val="FootnoteText"/>
      </w:pPr>
      <w:r>
        <w:rPr>
          <w:rStyle w:val="FootnoteReference"/>
        </w:rPr>
        <w:footnoteRef/>
      </w:r>
      <w:r>
        <w:t xml:space="preserve"> Golimumab (Simponi®), Australian Approved Product Information. Sydney: Janssen-Cilag Pty Ltd. Approved 13 November 2009, updated 7 July 2014. Available from &lt;</w:t>
      </w:r>
      <w:hyperlink r:id="rId4" w:history="1">
        <w:r>
          <w:rPr>
            <w:rStyle w:val="Hyperlink"/>
          </w:rPr>
          <w:t>https://www.ebs.tga.gov.au/</w:t>
        </w:r>
      </w:hyperlink>
      <w:r>
        <w:t xml:space="preserve">&gt; </w:t>
      </w:r>
    </w:p>
  </w:footnote>
  <w:footnote w:id="5">
    <w:p w:rsidR="005634D8" w:rsidRDefault="005634D8" w:rsidP="0054726B">
      <w:pPr>
        <w:pStyle w:val="FootnoteText"/>
      </w:pPr>
      <w:r>
        <w:rPr>
          <w:rStyle w:val="FootnoteReference"/>
        </w:rPr>
        <w:footnoteRef/>
      </w:r>
      <w:r>
        <w:t xml:space="preserve"> Infliximab (Remicade®), Australian Approved Product Information. Sydney: Janssen-Cilag Pty Ltd. Approved 2 August 2000, updated 11 February 2015. Available from &lt;</w:t>
      </w:r>
      <w:hyperlink r:id="rId5" w:history="1">
        <w:r>
          <w:rPr>
            <w:rStyle w:val="Hyperlink"/>
          </w:rPr>
          <w:t>https://www.ebs.tga.gov.au/</w:t>
        </w:r>
      </w:hyperlink>
      <w:r>
        <w:t xml:space="preserve">&gt; </w:t>
      </w:r>
    </w:p>
  </w:footnote>
  <w:footnote w:id="6">
    <w:p w:rsidR="005634D8" w:rsidRDefault="005634D8">
      <w:pPr>
        <w:pStyle w:val="FootnoteText"/>
      </w:pPr>
      <w:r>
        <w:rPr>
          <w:rStyle w:val="FootnoteReference"/>
        </w:rPr>
        <w:footnoteRef/>
      </w:r>
      <w:r>
        <w:t xml:space="preserve"> Source: adalimumab (Humira®) Product Information, accessed 2 July 2015; certolizumab pegol (Cimzia®) Product Information, Accessed 2 July 2015; etanercept (Enbrel®) Product Information, accessed 2 July 2015; golimumab (Simponi®) Product Information, accessed 2 July 2015; infliximab (Remicade®) Product Information, accessed 18 December 2015.</w:t>
      </w:r>
    </w:p>
  </w:footnote>
  <w:footnote w:id="7">
    <w:p w:rsidR="005634D8" w:rsidRDefault="005634D8">
      <w:pPr>
        <w:pStyle w:val="FootnoteText"/>
      </w:pPr>
      <w:r>
        <w:rPr>
          <w:rStyle w:val="FootnoteReference"/>
        </w:rPr>
        <w:footnoteRef/>
      </w:r>
      <w:r>
        <w:t xml:space="preserve"> An infliximab biosimilar product (Inflectra®) was listed on 1 December 2015 resulting in a DPMQ reduction from $751.70 to $574.85 (Public Hospital) and from $788.70 to $604.77 (Private Hospital)</w:t>
      </w:r>
    </w:p>
  </w:footnote>
  <w:footnote w:id="8">
    <w:p w:rsidR="005634D8" w:rsidRDefault="005634D8">
      <w:pPr>
        <w:pStyle w:val="FootnoteText"/>
      </w:pPr>
      <w:r>
        <w:rPr>
          <w:rStyle w:val="FootnoteReference"/>
        </w:rPr>
        <w:footnoteRef/>
      </w:r>
      <w:r>
        <w:t xml:space="preserve"> The prescriber sets the number of repeats when requesting the authority approval. An original prescription plus 3 repeats (ie. 4 vials) are required to complete the maximum 18 weeks of treatment under the initial treatment phase in the PBS restriction</w:t>
      </w:r>
    </w:p>
  </w:footnote>
  <w:footnote w:id="9">
    <w:p w:rsidR="005634D8" w:rsidRDefault="005634D8" w:rsidP="007C5F57">
      <w:pPr>
        <w:pStyle w:val="FootnoteText"/>
      </w:pPr>
      <w:r>
        <w:rPr>
          <w:rStyle w:val="FootnoteReference"/>
        </w:rPr>
        <w:footnoteRef/>
      </w:r>
      <w:r>
        <w:t xml:space="preserve"> Australian Rheumatology Association (2011), Updated Recommendations for the Use of Biological Agents for the Treatment of Rheumatic Diseases. Available at: </w:t>
      </w:r>
      <w:hyperlink r:id="rId6" w:history="1">
        <w:r w:rsidRPr="00114537">
          <w:rPr>
            <w:rStyle w:val="Hyperlink"/>
          </w:rPr>
          <w:t>https://rheumatology.org.au/downloads/FINAL-BiologicalRecommendations060111_000.pdf</w:t>
        </w:r>
      </w:hyperlink>
      <w:r>
        <w:t xml:space="preserve"> Accessed July 6 2015.</w:t>
      </w:r>
    </w:p>
  </w:footnote>
  <w:footnote w:id="10">
    <w:p w:rsidR="005634D8" w:rsidRPr="00BC5AE2" w:rsidRDefault="005634D8" w:rsidP="00C55D66">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7" w:history="1">
        <w:r>
          <w:rPr>
            <w:rStyle w:val="Hyperlink"/>
            <w:sz w:val="20"/>
          </w:rPr>
          <w:t>http://www.medicareaustralia.gov.au/provider/pbs/stats.jsp</w:t>
        </w:r>
      </w:hyperlink>
      <w:r>
        <w:rPr>
          <w:sz w:val="20"/>
        </w:rPr>
        <w:t>&gt;.</w:t>
      </w:r>
    </w:p>
  </w:footnote>
  <w:footnote w:id="11">
    <w:p w:rsidR="005634D8" w:rsidRDefault="005634D8">
      <w:pPr>
        <w:pStyle w:val="FootnoteText"/>
      </w:pPr>
      <w:r>
        <w:rPr>
          <w:rStyle w:val="FootnoteReference"/>
        </w:rPr>
        <w:footnoteRef/>
      </w:r>
      <w:r>
        <w:t xml:space="preserve"> Brown M. Ankylosing spondylitis and the spondyloarthropathies. Australian Doctor. 27 February 2009 </w:t>
      </w:r>
    </w:p>
    <w:p w:rsidR="005634D8" w:rsidRDefault="005634D8">
      <w:pPr>
        <w:pStyle w:val="FootnoteText"/>
      </w:pPr>
      <w:r>
        <w:t>&lt;</w:t>
      </w:r>
      <w:hyperlink r:id="rId8" w:history="1">
        <w:r w:rsidRPr="004C22EE">
          <w:rPr>
            <w:rStyle w:val="Hyperlink"/>
          </w:rPr>
          <w:t>http://www.australiandoctor.com.au/cmspages/getfile.aspx?guid=ddf8099c-41a4-4467-af84-4cbb8b24aaf5</w:t>
        </w:r>
      </w:hyperlink>
      <w:r>
        <w:t>&gt;</w:t>
      </w:r>
    </w:p>
  </w:footnote>
  <w:footnote w:id="12">
    <w:p w:rsidR="005634D8" w:rsidRPr="0056567A" w:rsidRDefault="005634D8" w:rsidP="00AA4129">
      <w:pPr>
        <w:pStyle w:val="FootnoteText"/>
      </w:pPr>
      <w:r>
        <w:rPr>
          <w:rStyle w:val="FootnoteReference"/>
        </w:rPr>
        <w:footnoteRef/>
      </w:r>
      <w:r>
        <w:t xml:space="preserve"> </w:t>
      </w:r>
      <w:r w:rsidRPr="002833FD">
        <w:t>Arnett RC. Spondylarthropathies, in Textbook of Internal Medicine (Eds: Kelley WB, De Vita VT Jr, Du Pont HL). Philadelphia, PA: JB Lippincott; pp</w:t>
      </w:r>
      <w:r>
        <w:t xml:space="preserve"> </w:t>
      </w:r>
      <w:r w:rsidRPr="002833FD">
        <w:t>986–990. 1989</w:t>
      </w:r>
    </w:p>
  </w:footnote>
  <w:footnote w:id="13">
    <w:p w:rsidR="005634D8" w:rsidRDefault="005634D8" w:rsidP="00AA4129">
      <w:pPr>
        <w:pStyle w:val="FootnoteText"/>
      </w:pPr>
      <w:r>
        <w:rPr>
          <w:rStyle w:val="FootnoteReference"/>
        </w:rPr>
        <w:footnoteRef/>
      </w:r>
      <w:r>
        <w:t xml:space="preserve"> </w:t>
      </w:r>
      <w:r w:rsidRPr="0056567A">
        <w:t>Boyer G S, Templin D W, Bowler A, Lawrence R C, Everett D F, Heyse S P, Cornoni-Huntley J, Goring W P. A comparison of patients with spondyloarthropathy seen in specialty clinics with those identified in a communitywide epidemiologic study. Has the classic case misled us? Archives of Internal Medicine 1997; (157): 2111-2117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BC8"/>
    <w:multiLevelType w:val="hybridMultilevel"/>
    <w:tmpl w:val="9BBE7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6B559B"/>
    <w:multiLevelType w:val="hybridMultilevel"/>
    <w:tmpl w:val="AFB6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C84B8B"/>
    <w:multiLevelType w:val="hybridMultilevel"/>
    <w:tmpl w:val="8A6CC3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2A069C"/>
    <w:multiLevelType w:val="hybridMultilevel"/>
    <w:tmpl w:val="8002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AE1209"/>
    <w:multiLevelType w:val="hybridMultilevel"/>
    <w:tmpl w:val="536E1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F85039B"/>
    <w:multiLevelType w:val="hybridMultilevel"/>
    <w:tmpl w:val="17F09F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0D036D4"/>
    <w:multiLevelType w:val="hybridMultilevel"/>
    <w:tmpl w:val="4A6CA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DA036A"/>
    <w:multiLevelType w:val="hybridMultilevel"/>
    <w:tmpl w:val="548E4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92C6894"/>
    <w:multiLevelType w:val="hybridMultilevel"/>
    <w:tmpl w:val="D69A4A4C"/>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57657B9"/>
    <w:multiLevelType w:val="hybridMultilevel"/>
    <w:tmpl w:val="2318CA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6A24445"/>
    <w:multiLevelType w:val="hybridMultilevel"/>
    <w:tmpl w:val="71C0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811B69"/>
    <w:multiLevelType w:val="hybridMultilevel"/>
    <w:tmpl w:val="9FE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A572F9"/>
    <w:multiLevelType w:val="hybridMultilevel"/>
    <w:tmpl w:val="30CC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7178AF"/>
    <w:multiLevelType w:val="hybridMultilevel"/>
    <w:tmpl w:val="3FD41D8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7FE3161"/>
    <w:multiLevelType w:val="hybridMultilevel"/>
    <w:tmpl w:val="B2362D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AC23882"/>
    <w:multiLevelType w:val="hybridMultilevel"/>
    <w:tmpl w:val="25A8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E2647B"/>
    <w:multiLevelType w:val="hybridMultilevel"/>
    <w:tmpl w:val="3048B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3827F9"/>
    <w:multiLevelType w:val="hybridMultilevel"/>
    <w:tmpl w:val="79B0C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1823037"/>
    <w:multiLevelType w:val="hybridMultilevel"/>
    <w:tmpl w:val="BFB65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2DF092A"/>
    <w:multiLevelType w:val="hybridMultilevel"/>
    <w:tmpl w:val="8482E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8126D5D"/>
    <w:multiLevelType w:val="hybridMultilevel"/>
    <w:tmpl w:val="D2605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B575924"/>
    <w:multiLevelType w:val="hybridMultilevel"/>
    <w:tmpl w:val="1130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6B67DB"/>
    <w:multiLevelType w:val="hybridMultilevel"/>
    <w:tmpl w:val="14EE53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C4D427F"/>
    <w:multiLevelType w:val="hybridMultilevel"/>
    <w:tmpl w:val="AA921164"/>
    <w:lvl w:ilvl="0" w:tplc="D74E67B6">
      <w:numFmt w:val="bullet"/>
      <w:lvlText w:val="•"/>
      <w:lvlJc w:val="left"/>
      <w:pPr>
        <w:ind w:left="624" w:hanging="570"/>
      </w:pPr>
      <w:rPr>
        <w:rFonts w:ascii="Calibri" w:eastAsia="Times New Roman"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nsid w:val="5E425044"/>
    <w:multiLevelType w:val="hybridMultilevel"/>
    <w:tmpl w:val="24B81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71F6223"/>
    <w:multiLevelType w:val="hybridMultilevel"/>
    <w:tmpl w:val="605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880EB7"/>
    <w:multiLevelType w:val="hybridMultilevel"/>
    <w:tmpl w:val="FE0E2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C0D4696"/>
    <w:multiLevelType w:val="hybridMultilevel"/>
    <w:tmpl w:val="4ADE8A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26"/>
  </w:num>
  <w:num w:numId="3">
    <w:abstractNumId w:val="11"/>
  </w:num>
  <w:num w:numId="4">
    <w:abstractNumId w:val="2"/>
  </w:num>
  <w:num w:numId="5">
    <w:abstractNumId w:val="1"/>
  </w:num>
  <w:num w:numId="6">
    <w:abstractNumId w:val="20"/>
  </w:num>
  <w:num w:numId="7">
    <w:abstractNumId w:val="25"/>
  </w:num>
  <w:num w:numId="8">
    <w:abstractNumId w:val="6"/>
  </w:num>
  <w:num w:numId="9">
    <w:abstractNumId w:val="16"/>
  </w:num>
  <w:num w:numId="10">
    <w:abstractNumId w:val="12"/>
  </w:num>
  <w:num w:numId="11">
    <w:abstractNumId w:val="23"/>
  </w:num>
  <w:num w:numId="12">
    <w:abstractNumId w:val="13"/>
  </w:num>
  <w:num w:numId="13">
    <w:abstractNumId w:val="18"/>
  </w:num>
  <w:num w:numId="14">
    <w:abstractNumId w:val="29"/>
  </w:num>
  <w:num w:numId="15">
    <w:abstractNumId w:val="17"/>
  </w:num>
  <w:num w:numId="16">
    <w:abstractNumId w:val="29"/>
  </w:num>
  <w:num w:numId="17">
    <w:abstractNumId w:val="21"/>
  </w:num>
  <w:num w:numId="18">
    <w:abstractNumId w:val="5"/>
  </w:num>
  <w:num w:numId="19">
    <w:abstractNumId w:val="9"/>
  </w:num>
  <w:num w:numId="20">
    <w:abstractNumId w:val="15"/>
  </w:num>
  <w:num w:numId="21">
    <w:abstractNumId w:val="4"/>
  </w:num>
  <w:num w:numId="22">
    <w:abstractNumId w:val="27"/>
  </w:num>
  <w:num w:numId="23">
    <w:abstractNumId w:val="10"/>
  </w:num>
  <w:num w:numId="24">
    <w:abstractNumId w:val="0"/>
  </w:num>
  <w:num w:numId="25">
    <w:abstractNumId w:val="19"/>
  </w:num>
  <w:num w:numId="26">
    <w:abstractNumId w:val="7"/>
  </w:num>
  <w:num w:numId="27">
    <w:abstractNumId w:val="8"/>
  </w:num>
  <w:num w:numId="28">
    <w:abstractNumId w:val="14"/>
  </w:num>
  <w:num w:numId="29">
    <w:abstractNumId w:val="24"/>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4AA2"/>
    <w:rsid w:val="00004FDC"/>
    <w:rsid w:val="00005122"/>
    <w:rsid w:val="000062EF"/>
    <w:rsid w:val="00007E85"/>
    <w:rsid w:val="00013465"/>
    <w:rsid w:val="0001367C"/>
    <w:rsid w:val="00013D63"/>
    <w:rsid w:val="0001689B"/>
    <w:rsid w:val="00016900"/>
    <w:rsid w:val="00021ECF"/>
    <w:rsid w:val="000226B3"/>
    <w:rsid w:val="00024549"/>
    <w:rsid w:val="00025EC2"/>
    <w:rsid w:val="0002675F"/>
    <w:rsid w:val="00027346"/>
    <w:rsid w:val="00027F55"/>
    <w:rsid w:val="0003159C"/>
    <w:rsid w:val="00031E41"/>
    <w:rsid w:val="00037EA5"/>
    <w:rsid w:val="0004057E"/>
    <w:rsid w:val="00041467"/>
    <w:rsid w:val="00042595"/>
    <w:rsid w:val="000441F7"/>
    <w:rsid w:val="00044603"/>
    <w:rsid w:val="00044802"/>
    <w:rsid w:val="00046382"/>
    <w:rsid w:val="00047053"/>
    <w:rsid w:val="0005034A"/>
    <w:rsid w:val="000512CD"/>
    <w:rsid w:val="00052D4D"/>
    <w:rsid w:val="00052FF7"/>
    <w:rsid w:val="00053185"/>
    <w:rsid w:val="0005440A"/>
    <w:rsid w:val="000544B6"/>
    <w:rsid w:val="000547A2"/>
    <w:rsid w:val="00055622"/>
    <w:rsid w:val="000604AF"/>
    <w:rsid w:val="0006090E"/>
    <w:rsid w:val="00063E33"/>
    <w:rsid w:val="00065426"/>
    <w:rsid w:val="00070CBC"/>
    <w:rsid w:val="000726FC"/>
    <w:rsid w:val="0007340E"/>
    <w:rsid w:val="000746C1"/>
    <w:rsid w:val="00080AB2"/>
    <w:rsid w:val="00085D29"/>
    <w:rsid w:val="00086C11"/>
    <w:rsid w:val="00086C1B"/>
    <w:rsid w:val="00087DCA"/>
    <w:rsid w:val="00094DCF"/>
    <w:rsid w:val="00095394"/>
    <w:rsid w:val="000A0580"/>
    <w:rsid w:val="000A2D17"/>
    <w:rsid w:val="000A3426"/>
    <w:rsid w:val="000A6CFD"/>
    <w:rsid w:val="000A7D8A"/>
    <w:rsid w:val="000B033E"/>
    <w:rsid w:val="000B0982"/>
    <w:rsid w:val="000B2F58"/>
    <w:rsid w:val="000B77B6"/>
    <w:rsid w:val="000B796C"/>
    <w:rsid w:val="000C433A"/>
    <w:rsid w:val="000C46BB"/>
    <w:rsid w:val="000C4C11"/>
    <w:rsid w:val="000C4D9D"/>
    <w:rsid w:val="000C4EAE"/>
    <w:rsid w:val="000C66F2"/>
    <w:rsid w:val="000C7C4B"/>
    <w:rsid w:val="000C7D8B"/>
    <w:rsid w:val="000D2E4C"/>
    <w:rsid w:val="000D3201"/>
    <w:rsid w:val="000E0174"/>
    <w:rsid w:val="000E3598"/>
    <w:rsid w:val="000E3BE2"/>
    <w:rsid w:val="000E485D"/>
    <w:rsid w:val="000E69EB"/>
    <w:rsid w:val="000E72C6"/>
    <w:rsid w:val="000E7F60"/>
    <w:rsid w:val="000F1893"/>
    <w:rsid w:val="000F2F51"/>
    <w:rsid w:val="000F43A0"/>
    <w:rsid w:val="000F46CE"/>
    <w:rsid w:val="000F48CD"/>
    <w:rsid w:val="000F66EE"/>
    <w:rsid w:val="000F7997"/>
    <w:rsid w:val="000F79D1"/>
    <w:rsid w:val="001050F1"/>
    <w:rsid w:val="00106C61"/>
    <w:rsid w:val="001117FC"/>
    <w:rsid w:val="00113CF8"/>
    <w:rsid w:val="00113D74"/>
    <w:rsid w:val="00114A42"/>
    <w:rsid w:val="00117C5C"/>
    <w:rsid w:val="00120CAB"/>
    <w:rsid w:val="001225E2"/>
    <w:rsid w:val="00123ECF"/>
    <w:rsid w:val="001310AE"/>
    <w:rsid w:val="00131E0E"/>
    <w:rsid w:val="001333F2"/>
    <w:rsid w:val="00133CDC"/>
    <w:rsid w:val="001369B5"/>
    <w:rsid w:val="00141B64"/>
    <w:rsid w:val="001420B3"/>
    <w:rsid w:val="00142A51"/>
    <w:rsid w:val="00142E43"/>
    <w:rsid w:val="00143EC9"/>
    <w:rsid w:val="00145BC5"/>
    <w:rsid w:val="00150D90"/>
    <w:rsid w:val="00152D4F"/>
    <w:rsid w:val="00155CE0"/>
    <w:rsid w:val="0015691C"/>
    <w:rsid w:val="00157BB0"/>
    <w:rsid w:val="00157DB2"/>
    <w:rsid w:val="00161B3E"/>
    <w:rsid w:val="001621F7"/>
    <w:rsid w:val="001624D7"/>
    <w:rsid w:val="0016269A"/>
    <w:rsid w:val="00164CCE"/>
    <w:rsid w:val="00164D45"/>
    <w:rsid w:val="00165DCE"/>
    <w:rsid w:val="001728D7"/>
    <w:rsid w:val="00177B86"/>
    <w:rsid w:val="00177F4E"/>
    <w:rsid w:val="00180D8E"/>
    <w:rsid w:val="00181529"/>
    <w:rsid w:val="00182585"/>
    <w:rsid w:val="001840DF"/>
    <w:rsid w:val="00186C80"/>
    <w:rsid w:val="00186ED5"/>
    <w:rsid w:val="00187CDD"/>
    <w:rsid w:val="00190D15"/>
    <w:rsid w:val="00191182"/>
    <w:rsid w:val="00193A79"/>
    <w:rsid w:val="001941B4"/>
    <w:rsid w:val="00196600"/>
    <w:rsid w:val="0019664D"/>
    <w:rsid w:val="00197491"/>
    <w:rsid w:val="001A0399"/>
    <w:rsid w:val="001A2221"/>
    <w:rsid w:val="001A2770"/>
    <w:rsid w:val="001A3E29"/>
    <w:rsid w:val="001A548D"/>
    <w:rsid w:val="001A5E34"/>
    <w:rsid w:val="001A6103"/>
    <w:rsid w:val="001A7307"/>
    <w:rsid w:val="001B07AB"/>
    <w:rsid w:val="001B1C6D"/>
    <w:rsid w:val="001B1CD9"/>
    <w:rsid w:val="001B1F2E"/>
    <w:rsid w:val="001B51D9"/>
    <w:rsid w:val="001B5D37"/>
    <w:rsid w:val="001B729D"/>
    <w:rsid w:val="001C2940"/>
    <w:rsid w:val="001C390A"/>
    <w:rsid w:val="001C4016"/>
    <w:rsid w:val="001C48D4"/>
    <w:rsid w:val="001C548D"/>
    <w:rsid w:val="001C5C59"/>
    <w:rsid w:val="001C6A5D"/>
    <w:rsid w:val="001C6B49"/>
    <w:rsid w:val="001D0A63"/>
    <w:rsid w:val="001D3E2F"/>
    <w:rsid w:val="001D47F0"/>
    <w:rsid w:val="001D4CB8"/>
    <w:rsid w:val="001E21BD"/>
    <w:rsid w:val="001E31A6"/>
    <w:rsid w:val="001E42C7"/>
    <w:rsid w:val="001E43C0"/>
    <w:rsid w:val="001E4CAB"/>
    <w:rsid w:val="001E6EB1"/>
    <w:rsid w:val="001E7952"/>
    <w:rsid w:val="001F2F3E"/>
    <w:rsid w:val="001F4906"/>
    <w:rsid w:val="001F6806"/>
    <w:rsid w:val="001F6951"/>
    <w:rsid w:val="001F7C4A"/>
    <w:rsid w:val="002000E8"/>
    <w:rsid w:val="0020578A"/>
    <w:rsid w:val="00207631"/>
    <w:rsid w:val="00214013"/>
    <w:rsid w:val="0021408E"/>
    <w:rsid w:val="0021641C"/>
    <w:rsid w:val="00220FC1"/>
    <w:rsid w:val="00220FEF"/>
    <w:rsid w:val="00222E9A"/>
    <w:rsid w:val="00223D6E"/>
    <w:rsid w:val="002254BC"/>
    <w:rsid w:val="00227DA4"/>
    <w:rsid w:val="00230582"/>
    <w:rsid w:val="0023179D"/>
    <w:rsid w:val="002329CF"/>
    <w:rsid w:val="00236B8D"/>
    <w:rsid w:val="00241074"/>
    <w:rsid w:val="00242053"/>
    <w:rsid w:val="002438DD"/>
    <w:rsid w:val="0024551E"/>
    <w:rsid w:val="002458BA"/>
    <w:rsid w:val="00246DA6"/>
    <w:rsid w:val="00247165"/>
    <w:rsid w:val="002534E6"/>
    <w:rsid w:val="0025389D"/>
    <w:rsid w:val="00254AD6"/>
    <w:rsid w:val="0025623E"/>
    <w:rsid w:val="0026265F"/>
    <w:rsid w:val="00262EFF"/>
    <w:rsid w:val="00264EEE"/>
    <w:rsid w:val="002677A9"/>
    <w:rsid w:val="0027002B"/>
    <w:rsid w:val="00272ED5"/>
    <w:rsid w:val="00275D28"/>
    <w:rsid w:val="00277277"/>
    <w:rsid w:val="00277AA8"/>
    <w:rsid w:val="0028176B"/>
    <w:rsid w:val="00286C3A"/>
    <w:rsid w:val="00287B84"/>
    <w:rsid w:val="00292777"/>
    <w:rsid w:val="002930F5"/>
    <w:rsid w:val="00294473"/>
    <w:rsid w:val="00295F69"/>
    <w:rsid w:val="002A06B7"/>
    <w:rsid w:val="002A39EA"/>
    <w:rsid w:val="002A4C1E"/>
    <w:rsid w:val="002A6428"/>
    <w:rsid w:val="002A7C7D"/>
    <w:rsid w:val="002B07C6"/>
    <w:rsid w:val="002B2E0B"/>
    <w:rsid w:val="002B71AB"/>
    <w:rsid w:val="002C06BA"/>
    <w:rsid w:val="002C10A1"/>
    <w:rsid w:val="002C2A3C"/>
    <w:rsid w:val="002C2EE1"/>
    <w:rsid w:val="002C3E5F"/>
    <w:rsid w:val="002C5D8D"/>
    <w:rsid w:val="002C66B3"/>
    <w:rsid w:val="002C6E0C"/>
    <w:rsid w:val="002C7461"/>
    <w:rsid w:val="002D144A"/>
    <w:rsid w:val="002D58FE"/>
    <w:rsid w:val="002E0309"/>
    <w:rsid w:val="002E12C7"/>
    <w:rsid w:val="002E19A3"/>
    <w:rsid w:val="002E212B"/>
    <w:rsid w:val="002E2E73"/>
    <w:rsid w:val="002E3337"/>
    <w:rsid w:val="002E5CA8"/>
    <w:rsid w:val="002E5F18"/>
    <w:rsid w:val="002E6D03"/>
    <w:rsid w:val="002F1E9D"/>
    <w:rsid w:val="002F49A8"/>
    <w:rsid w:val="002F5E66"/>
    <w:rsid w:val="002F61CA"/>
    <w:rsid w:val="002F7068"/>
    <w:rsid w:val="0030010D"/>
    <w:rsid w:val="00311D62"/>
    <w:rsid w:val="003217A4"/>
    <w:rsid w:val="0032603E"/>
    <w:rsid w:val="00330595"/>
    <w:rsid w:val="00333B98"/>
    <w:rsid w:val="0033504C"/>
    <w:rsid w:val="0033635C"/>
    <w:rsid w:val="00336816"/>
    <w:rsid w:val="00336FD7"/>
    <w:rsid w:val="003370D0"/>
    <w:rsid w:val="00337355"/>
    <w:rsid w:val="003402E4"/>
    <w:rsid w:val="00340F95"/>
    <w:rsid w:val="003448F1"/>
    <w:rsid w:val="003527E3"/>
    <w:rsid w:val="003531ED"/>
    <w:rsid w:val="003565D4"/>
    <w:rsid w:val="00360B9A"/>
    <w:rsid w:val="00363DC7"/>
    <w:rsid w:val="00372FCC"/>
    <w:rsid w:val="00374BB7"/>
    <w:rsid w:val="00375727"/>
    <w:rsid w:val="003857BD"/>
    <w:rsid w:val="003876D7"/>
    <w:rsid w:val="0039017F"/>
    <w:rsid w:val="003907D5"/>
    <w:rsid w:val="00390E62"/>
    <w:rsid w:val="00391448"/>
    <w:rsid w:val="003934B7"/>
    <w:rsid w:val="00394AEE"/>
    <w:rsid w:val="00395658"/>
    <w:rsid w:val="00396B6D"/>
    <w:rsid w:val="003A56A6"/>
    <w:rsid w:val="003A79B8"/>
    <w:rsid w:val="003B0809"/>
    <w:rsid w:val="003B5773"/>
    <w:rsid w:val="003B5C38"/>
    <w:rsid w:val="003B5F9B"/>
    <w:rsid w:val="003B63F3"/>
    <w:rsid w:val="003C0A1D"/>
    <w:rsid w:val="003C18BA"/>
    <w:rsid w:val="003C1DBF"/>
    <w:rsid w:val="003C1EF5"/>
    <w:rsid w:val="003C2D98"/>
    <w:rsid w:val="003C5D85"/>
    <w:rsid w:val="003C6D96"/>
    <w:rsid w:val="003C7EB1"/>
    <w:rsid w:val="003D3A96"/>
    <w:rsid w:val="003D3D34"/>
    <w:rsid w:val="003D5839"/>
    <w:rsid w:val="003D5CFB"/>
    <w:rsid w:val="003D6984"/>
    <w:rsid w:val="003E3887"/>
    <w:rsid w:val="003E5B7A"/>
    <w:rsid w:val="003F2131"/>
    <w:rsid w:val="003F50BC"/>
    <w:rsid w:val="0040145F"/>
    <w:rsid w:val="004014CC"/>
    <w:rsid w:val="00404492"/>
    <w:rsid w:val="00404F03"/>
    <w:rsid w:val="00412051"/>
    <w:rsid w:val="00415417"/>
    <w:rsid w:val="00417E00"/>
    <w:rsid w:val="00420B36"/>
    <w:rsid w:val="00421C8B"/>
    <w:rsid w:val="00422B69"/>
    <w:rsid w:val="00423B94"/>
    <w:rsid w:val="00423ECA"/>
    <w:rsid w:val="0042504D"/>
    <w:rsid w:val="00427B44"/>
    <w:rsid w:val="00436C6B"/>
    <w:rsid w:val="004417E8"/>
    <w:rsid w:val="00441C52"/>
    <w:rsid w:val="00451103"/>
    <w:rsid w:val="00452AB3"/>
    <w:rsid w:val="00453532"/>
    <w:rsid w:val="00456342"/>
    <w:rsid w:val="004602AB"/>
    <w:rsid w:val="004624F0"/>
    <w:rsid w:val="00463731"/>
    <w:rsid w:val="00463E62"/>
    <w:rsid w:val="0046400A"/>
    <w:rsid w:val="004670CD"/>
    <w:rsid w:val="00467B25"/>
    <w:rsid w:val="00471FA9"/>
    <w:rsid w:val="00473FF3"/>
    <w:rsid w:val="00474315"/>
    <w:rsid w:val="00481108"/>
    <w:rsid w:val="00481814"/>
    <w:rsid w:val="004859FC"/>
    <w:rsid w:val="0048755F"/>
    <w:rsid w:val="0049042B"/>
    <w:rsid w:val="004904E9"/>
    <w:rsid w:val="00495473"/>
    <w:rsid w:val="00496514"/>
    <w:rsid w:val="00497333"/>
    <w:rsid w:val="004A1BE7"/>
    <w:rsid w:val="004A266D"/>
    <w:rsid w:val="004A458E"/>
    <w:rsid w:val="004A54D0"/>
    <w:rsid w:val="004B163C"/>
    <w:rsid w:val="004B23E7"/>
    <w:rsid w:val="004B2D81"/>
    <w:rsid w:val="004B306F"/>
    <w:rsid w:val="004B51E1"/>
    <w:rsid w:val="004B5B41"/>
    <w:rsid w:val="004B6BF1"/>
    <w:rsid w:val="004C1106"/>
    <w:rsid w:val="004C17DE"/>
    <w:rsid w:val="004C22EE"/>
    <w:rsid w:val="004C3186"/>
    <w:rsid w:val="004C3189"/>
    <w:rsid w:val="004C5042"/>
    <w:rsid w:val="004D210F"/>
    <w:rsid w:val="004D2856"/>
    <w:rsid w:val="004D4466"/>
    <w:rsid w:val="004D63BE"/>
    <w:rsid w:val="004E4422"/>
    <w:rsid w:val="004E683E"/>
    <w:rsid w:val="004F5606"/>
    <w:rsid w:val="004F6441"/>
    <w:rsid w:val="00502770"/>
    <w:rsid w:val="00502A91"/>
    <w:rsid w:val="00503998"/>
    <w:rsid w:val="00504523"/>
    <w:rsid w:val="00504EB7"/>
    <w:rsid w:val="0050623B"/>
    <w:rsid w:val="005067A6"/>
    <w:rsid w:val="00514F25"/>
    <w:rsid w:val="00515873"/>
    <w:rsid w:val="005203CF"/>
    <w:rsid w:val="00522604"/>
    <w:rsid w:val="00522F20"/>
    <w:rsid w:val="00523181"/>
    <w:rsid w:val="00524D13"/>
    <w:rsid w:val="00525CEF"/>
    <w:rsid w:val="005265BC"/>
    <w:rsid w:val="00527408"/>
    <w:rsid w:val="005339F6"/>
    <w:rsid w:val="0053407E"/>
    <w:rsid w:val="005348D2"/>
    <w:rsid w:val="00535815"/>
    <w:rsid w:val="00536C2E"/>
    <w:rsid w:val="00536E90"/>
    <w:rsid w:val="00546A02"/>
    <w:rsid w:val="00546FCB"/>
    <w:rsid w:val="0054726B"/>
    <w:rsid w:val="005501FC"/>
    <w:rsid w:val="0055289E"/>
    <w:rsid w:val="005551A3"/>
    <w:rsid w:val="005573F4"/>
    <w:rsid w:val="00557960"/>
    <w:rsid w:val="00561E36"/>
    <w:rsid w:val="0056276F"/>
    <w:rsid w:val="00562A47"/>
    <w:rsid w:val="005634D8"/>
    <w:rsid w:val="00563887"/>
    <w:rsid w:val="005671C4"/>
    <w:rsid w:val="00572179"/>
    <w:rsid w:val="00576B18"/>
    <w:rsid w:val="00580607"/>
    <w:rsid w:val="00583553"/>
    <w:rsid w:val="00587724"/>
    <w:rsid w:val="00591512"/>
    <w:rsid w:val="00593CE5"/>
    <w:rsid w:val="005945E8"/>
    <w:rsid w:val="005954A5"/>
    <w:rsid w:val="00595ADA"/>
    <w:rsid w:val="005A4AE2"/>
    <w:rsid w:val="005A7774"/>
    <w:rsid w:val="005B48B4"/>
    <w:rsid w:val="005B4D66"/>
    <w:rsid w:val="005B77EA"/>
    <w:rsid w:val="005C6661"/>
    <w:rsid w:val="005C6E3B"/>
    <w:rsid w:val="005D0B00"/>
    <w:rsid w:val="005D1505"/>
    <w:rsid w:val="005D2F95"/>
    <w:rsid w:val="005D3E75"/>
    <w:rsid w:val="005D474B"/>
    <w:rsid w:val="005D5E41"/>
    <w:rsid w:val="005E085C"/>
    <w:rsid w:val="005E147D"/>
    <w:rsid w:val="005E22C2"/>
    <w:rsid w:val="005E448B"/>
    <w:rsid w:val="005E57BB"/>
    <w:rsid w:val="005F0017"/>
    <w:rsid w:val="005F728B"/>
    <w:rsid w:val="0060074D"/>
    <w:rsid w:val="006014F1"/>
    <w:rsid w:val="006044BC"/>
    <w:rsid w:val="00605DA3"/>
    <w:rsid w:val="0061357B"/>
    <w:rsid w:val="00613E9D"/>
    <w:rsid w:val="00614A7D"/>
    <w:rsid w:val="006263FA"/>
    <w:rsid w:val="00626A6E"/>
    <w:rsid w:val="00631AFD"/>
    <w:rsid w:val="00635559"/>
    <w:rsid w:val="00635BD9"/>
    <w:rsid w:val="00636152"/>
    <w:rsid w:val="0063631C"/>
    <w:rsid w:val="00637136"/>
    <w:rsid w:val="00637219"/>
    <w:rsid w:val="0063757B"/>
    <w:rsid w:val="006377CE"/>
    <w:rsid w:val="00640C11"/>
    <w:rsid w:val="00642128"/>
    <w:rsid w:val="006465FA"/>
    <w:rsid w:val="00652D7F"/>
    <w:rsid w:val="006537D9"/>
    <w:rsid w:val="00653B0C"/>
    <w:rsid w:val="00655B50"/>
    <w:rsid w:val="006575F7"/>
    <w:rsid w:val="00661534"/>
    <w:rsid w:val="00664A48"/>
    <w:rsid w:val="00665DEF"/>
    <w:rsid w:val="00666A09"/>
    <w:rsid w:val="00670300"/>
    <w:rsid w:val="0067508B"/>
    <w:rsid w:val="00675BB1"/>
    <w:rsid w:val="006775F1"/>
    <w:rsid w:val="00677F39"/>
    <w:rsid w:val="006867B3"/>
    <w:rsid w:val="006875B7"/>
    <w:rsid w:val="0068791D"/>
    <w:rsid w:val="00690390"/>
    <w:rsid w:val="006912C2"/>
    <w:rsid w:val="00691D99"/>
    <w:rsid w:val="00691F12"/>
    <w:rsid w:val="00692AA7"/>
    <w:rsid w:val="006934A2"/>
    <w:rsid w:val="00697FEC"/>
    <w:rsid w:val="006A0A5A"/>
    <w:rsid w:val="006A175F"/>
    <w:rsid w:val="006A3B57"/>
    <w:rsid w:val="006A44F5"/>
    <w:rsid w:val="006A4C9B"/>
    <w:rsid w:val="006A5913"/>
    <w:rsid w:val="006A7D55"/>
    <w:rsid w:val="006B2DCF"/>
    <w:rsid w:val="006B302E"/>
    <w:rsid w:val="006B42B6"/>
    <w:rsid w:val="006B4537"/>
    <w:rsid w:val="006B5478"/>
    <w:rsid w:val="006B5F85"/>
    <w:rsid w:val="006B6929"/>
    <w:rsid w:val="006B709B"/>
    <w:rsid w:val="006C0B54"/>
    <w:rsid w:val="006C344B"/>
    <w:rsid w:val="006C3F92"/>
    <w:rsid w:val="006C54AF"/>
    <w:rsid w:val="006C629B"/>
    <w:rsid w:val="006C67E9"/>
    <w:rsid w:val="006D162B"/>
    <w:rsid w:val="006D4276"/>
    <w:rsid w:val="006D7966"/>
    <w:rsid w:val="006D7E32"/>
    <w:rsid w:val="006E0181"/>
    <w:rsid w:val="006E06DF"/>
    <w:rsid w:val="006E3FDE"/>
    <w:rsid w:val="006E48F0"/>
    <w:rsid w:val="006E5957"/>
    <w:rsid w:val="006E621A"/>
    <w:rsid w:val="00700C0E"/>
    <w:rsid w:val="007017F6"/>
    <w:rsid w:val="00702340"/>
    <w:rsid w:val="00705DAD"/>
    <w:rsid w:val="00715B1B"/>
    <w:rsid w:val="0072022A"/>
    <w:rsid w:val="007212E6"/>
    <w:rsid w:val="007223EF"/>
    <w:rsid w:val="00723BC6"/>
    <w:rsid w:val="007247B9"/>
    <w:rsid w:val="00727D85"/>
    <w:rsid w:val="00731EA9"/>
    <w:rsid w:val="00733DEC"/>
    <w:rsid w:val="007346C7"/>
    <w:rsid w:val="00736041"/>
    <w:rsid w:val="007408C7"/>
    <w:rsid w:val="007465DA"/>
    <w:rsid w:val="00746DB2"/>
    <w:rsid w:val="00752C7F"/>
    <w:rsid w:val="00761456"/>
    <w:rsid w:val="00761CC1"/>
    <w:rsid w:val="007633BC"/>
    <w:rsid w:val="007644BB"/>
    <w:rsid w:val="00765AAC"/>
    <w:rsid w:val="00765F04"/>
    <w:rsid w:val="00767D07"/>
    <w:rsid w:val="00772260"/>
    <w:rsid w:val="007754F4"/>
    <w:rsid w:val="00775BB6"/>
    <w:rsid w:val="00776598"/>
    <w:rsid w:val="007817BE"/>
    <w:rsid w:val="007826B8"/>
    <w:rsid w:val="00782A1A"/>
    <w:rsid w:val="0078744F"/>
    <w:rsid w:val="00790F4E"/>
    <w:rsid w:val="00791E51"/>
    <w:rsid w:val="00792948"/>
    <w:rsid w:val="00796E84"/>
    <w:rsid w:val="007A0502"/>
    <w:rsid w:val="007A3ADE"/>
    <w:rsid w:val="007A44FA"/>
    <w:rsid w:val="007A5733"/>
    <w:rsid w:val="007A5774"/>
    <w:rsid w:val="007A68A0"/>
    <w:rsid w:val="007A7C5A"/>
    <w:rsid w:val="007B115A"/>
    <w:rsid w:val="007B365C"/>
    <w:rsid w:val="007B5E64"/>
    <w:rsid w:val="007B74E9"/>
    <w:rsid w:val="007C361A"/>
    <w:rsid w:val="007C5F57"/>
    <w:rsid w:val="007C7643"/>
    <w:rsid w:val="007D1705"/>
    <w:rsid w:val="007D3A54"/>
    <w:rsid w:val="007E2336"/>
    <w:rsid w:val="007E2D6E"/>
    <w:rsid w:val="007E7B7E"/>
    <w:rsid w:val="007F137F"/>
    <w:rsid w:val="007F2FA1"/>
    <w:rsid w:val="007F3B42"/>
    <w:rsid w:val="007F525A"/>
    <w:rsid w:val="007F52D0"/>
    <w:rsid w:val="00801E74"/>
    <w:rsid w:val="00802C5C"/>
    <w:rsid w:val="00803EF8"/>
    <w:rsid w:val="0080485E"/>
    <w:rsid w:val="008103F6"/>
    <w:rsid w:val="008142B4"/>
    <w:rsid w:val="00815F1B"/>
    <w:rsid w:val="00821F20"/>
    <w:rsid w:val="0082504C"/>
    <w:rsid w:val="00826EC6"/>
    <w:rsid w:val="00832324"/>
    <w:rsid w:val="008331E5"/>
    <w:rsid w:val="00835337"/>
    <w:rsid w:val="00837181"/>
    <w:rsid w:val="008375E6"/>
    <w:rsid w:val="00841947"/>
    <w:rsid w:val="00841BED"/>
    <w:rsid w:val="00841EC3"/>
    <w:rsid w:val="00844B6E"/>
    <w:rsid w:val="00846DCD"/>
    <w:rsid w:val="008509E9"/>
    <w:rsid w:val="00851593"/>
    <w:rsid w:val="00851D85"/>
    <w:rsid w:val="00853DEA"/>
    <w:rsid w:val="00855EA3"/>
    <w:rsid w:val="00860CCB"/>
    <w:rsid w:val="00861752"/>
    <w:rsid w:val="008628E8"/>
    <w:rsid w:val="0086482E"/>
    <w:rsid w:val="008667B8"/>
    <w:rsid w:val="0087142C"/>
    <w:rsid w:val="00872902"/>
    <w:rsid w:val="0087373F"/>
    <w:rsid w:val="008740A3"/>
    <w:rsid w:val="0087682A"/>
    <w:rsid w:val="008771AE"/>
    <w:rsid w:val="00880984"/>
    <w:rsid w:val="00886FEA"/>
    <w:rsid w:val="0089297B"/>
    <w:rsid w:val="0089413E"/>
    <w:rsid w:val="00896705"/>
    <w:rsid w:val="00896A0E"/>
    <w:rsid w:val="00896BB5"/>
    <w:rsid w:val="008A048B"/>
    <w:rsid w:val="008A43B1"/>
    <w:rsid w:val="008A5E42"/>
    <w:rsid w:val="008B0B65"/>
    <w:rsid w:val="008B1A35"/>
    <w:rsid w:val="008B7E5A"/>
    <w:rsid w:val="008C36CA"/>
    <w:rsid w:val="008D0238"/>
    <w:rsid w:val="008D1FAF"/>
    <w:rsid w:val="008D4AAF"/>
    <w:rsid w:val="008E3F8C"/>
    <w:rsid w:val="008F253C"/>
    <w:rsid w:val="008F574A"/>
    <w:rsid w:val="008F7772"/>
    <w:rsid w:val="00902FD0"/>
    <w:rsid w:val="00903367"/>
    <w:rsid w:val="009053D3"/>
    <w:rsid w:val="00906746"/>
    <w:rsid w:val="0090691F"/>
    <w:rsid w:val="009161E9"/>
    <w:rsid w:val="009162D2"/>
    <w:rsid w:val="009171F2"/>
    <w:rsid w:val="009209D6"/>
    <w:rsid w:val="009215AA"/>
    <w:rsid w:val="00921843"/>
    <w:rsid w:val="00924CA5"/>
    <w:rsid w:val="00927F92"/>
    <w:rsid w:val="0093111F"/>
    <w:rsid w:val="0093416F"/>
    <w:rsid w:val="009343B6"/>
    <w:rsid w:val="00935689"/>
    <w:rsid w:val="009359AD"/>
    <w:rsid w:val="009365DA"/>
    <w:rsid w:val="0094280A"/>
    <w:rsid w:val="0094362A"/>
    <w:rsid w:val="009470E1"/>
    <w:rsid w:val="0095303B"/>
    <w:rsid w:val="00953909"/>
    <w:rsid w:val="00954A51"/>
    <w:rsid w:val="00954EF3"/>
    <w:rsid w:val="00963019"/>
    <w:rsid w:val="009638DD"/>
    <w:rsid w:val="009663B6"/>
    <w:rsid w:val="00970CC1"/>
    <w:rsid w:val="00971F41"/>
    <w:rsid w:val="00974A47"/>
    <w:rsid w:val="00975154"/>
    <w:rsid w:val="009801B0"/>
    <w:rsid w:val="00980286"/>
    <w:rsid w:val="00980E36"/>
    <w:rsid w:val="0098366B"/>
    <w:rsid w:val="00984B3D"/>
    <w:rsid w:val="00984CC2"/>
    <w:rsid w:val="009858F8"/>
    <w:rsid w:val="00985DFE"/>
    <w:rsid w:val="00985EFD"/>
    <w:rsid w:val="0098615A"/>
    <w:rsid w:val="00990DCF"/>
    <w:rsid w:val="0099143A"/>
    <w:rsid w:val="009948C9"/>
    <w:rsid w:val="00994971"/>
    <w:rsid w:val="00995E7C"/>
    <w:rsid w:val="00995F7C"/>
    <w:rsid w:val="00997E5B"/>
    <w:rsid w:val="009A1948"/>
    <w:rsid w:val="009A1D86"/>
    <w:rsid w:val="009A29DB"/>
    <w:rsid w:val="009A4CD6"/>
    <w:rsid w:val="009A537C"/>
    <w:rsid w:val="009B1FCF"/>
    <w:rsid w:val="009C0886"/>
    <w:rsid w:val="009C19EE"/>
    <w:rsid w:val="009C1C62"/>
    <w:rsid w:val="009C28D0"/>
    <w:rsid w:val="009C35F2"/>
    <w:rsid w:val="009C572B"/>
    <w:rsid w:val="009C7782"/>
    <w:rsid w:val="009D1ED5"/>
    <w:rsid w:val="009D3336"/>
    <w:rsid w:val="009D3768"/>
    <w:rsid w:val="009D4C13"/>
    <w:rsid w:val="009D6542"/>
    <w:rsid w:val="009E21A7"/>
    <w:rsid w:val="009E35C7"/>
    <w:rsid w:val="009E4862"/>
    <w:rsid w:val="009E5494"/>
    <w:rsid w:val="009E7001"/>
    <w:rsid w:val="009F3619"/>
    <w:rsid w:val="009F6B5D"/>
    <w:rsid w:val="00A00597"/>
    <w:rsid w:val="00A059CB"/>
    <w:rsid w:val="00A064BB"/>
    <w:rsid w:val="00A103ED"/>
    <w:rsid w:val="00A105DC"/>
    <w:rsid w:val="00A13C60"/>
    <w:rsid w:val="00A17C5C"/>
    <w:rsid w:val="00A20228"/>
    <w:rsid w:val="00A206A7"/>
    <w:rsid w:val="00A22F50"/>
    <w:rsid w:val="00A27D2F"/>
    <w:rsid w:val="00A314A6"/>
    <w:rsid w:val="00A341A3"/>
    <w:rsid w:val="00A35800"/>
    <w:rsid w:val="00A462DE"/>
    <w:rsid w:val="00A51FE6"/>
    <w:rsid w:val="00A52918"/>
    <w:rsid w:val="00A547B3"/>
    <w:rsid w:val="00A5613B"/>
    <w:rsid w:val="00A57004"/>
    <w:rsid w:val="00A60930"/>
    <w:rsid w:val="00A64978"/>
    <w:rsid w:val="00A66553"/>
    <w:rsid w:val="00A673F0"/>
    <w:rsid w:val="00A67B7E"/>
    <w:rsid w:val="00A70E82"/>
    <w:rsid w:val="00A7640D"/>
    <w:rsid w:val="00A803E7"/>
    <w:rsid w:val="00A808A5"/>
    <w:rsid w:val="00A82552"/>
    <w:rsid w:val="00A83D2C"/>
    <w:rsid w:val="00A841B7"/>
    <w:rsid w:val="00A849EB"/>
    <w:rsid w:val="00A84CAD"/>
    <w:rsid w:val="00A90042"/>
    <w:rsid w:val="00A90E50"/>
    <w:rsid w:val="00A93DAA"/>
    <w:rsid w:val="00A943A5"/>
    <w:rsid w:val="00A95D62"/>
    <w:rsid w:val="00A95FA5"/>
    <w:rsid w:val="00A96D92"/>
    <w:rsid w:val="00AA1799"/>
    <w:rsid w:val="00AA2470"/>
    <w:rsid w:val="00AA4129"/>
    <w:rsid w:val="00AB3733"/>
    <w:rsid w:val="00AB4F8E"/>
    <w:rsid w:val="00AB5622"/>
    <w:rsid w:val="00AB67BC"/>
    <w:rsid w:val="00AB7897"/>
    <w:rsid w:val="00AB7E61"/>
    <w:rsid w:val="00AC5054"/>
    <w:rsid w:val="00AD0572"/>
    <w:rsid w:val="00AD180C"/>
    <w:rsid w:val="00AD21C0"/>
    <w:rsid w:val="00AD5C0A"/>
    <w:rsid w:val="00AD5CF5"/>
    <w:rsid w:val="00AD6827"/>
    <w:rsid w:val="00AE2019"/>
    <w:rsid w:val="00AE242B"/>
    <w:rsid w:val="00AE299C"/>
    <w:rsid w:val="00AE4BAC"/>
    <w:rsid w:val="00AE5AD5"/>
    <w:rsid w:val="00AF091B"/>
    <w:rsid w:val="00AF30C6"/>
    <w:rsid w:val="00B0046B"/>
    <w:rsid w:val="00B019C5"/>
    <w:rsid w:val="00B034FC"/>
    <w:rsid w:val="00B05310"/>
    <w:rsid w:val="00B10A0B"/>
    <w:rsid w:val="00B135EC"/>
    <w:rsid w:val="00B26DA6"/>
    <w:rsid w:val="00B2780E"/>
    <w:rsid w:val="00B30D85"/>
    <w:rsid w:val="00B34020"/>
    <w:rsid w:val="00B3421A"/>
    <w:rsid w:val="00B35446"/>
    <w:rsid w:val="00B35A4A"/>
    <w:rsid w:val="00B4571B"/>
    <w:rsid w:val="00B478C9"/>
    <w:rsid w:val="00B47CCF"/>
    <w:rsid w:val="00B53D13"/>
    <w:rsid w:val="00B55A8F"/>
    <w:rsid w:val="00B566C6"/>
    <w:rsid w:val="00B60ED3"/>
    <w:rsid w:val="00B63FD7"/>
    <w:rsid w:val="00B64545"/>
    <w:rsid w:val="00B80BD3"/>
    <w:rsid w:val="00B81134"/>
    <w:rsid w:val="00B816D9"/>
    <w:rsid w:val="00B82B0B"/>
    <w:rsid w:val="00B90A28"/>
    <w:rsid w:val="00B9120F"/>
    <w:rsid w:val="00B9216C"/>
    <w:rsid w:val="00B924A4"/>
    <w:rsid w:val="00B92806"/>
    <w:rsid w:val="00B92892"/>
    <w:rsid w:val="00B94565"/>
    <w:rsid w:val="00B959B3"/>
    <w:rsid w:val="00BA3C5E"/>
    <w:rsid w:val="00BB0B46"/>
    <w:rsid w:val="00BB0D1A"/>
    <w:rsid w:val="00BB1D3B"/>
    <w:rsid w:val="00BB1FC6"/>
    <w:rsid w:val="00BB3514"/>
    <w:rsid w:val="00BB3F3F"/>
    <w:rsid w:val="00BB7419"/>
    <w:rsid w:val="00BC2CF5"/>
    <w:rsid w:val="00BC35ED"/>
    <w:rsid w:val="00BC37D6"/>
    <w:rsid w:val="00BC4247"/>
    <w:rsid w:val="00BD2540"/>
    <w:rsid w:val="00BD5103"/>
    <w:rsid w:val="00BD55AF"/>
    <w:rsid w:val="00BD7DFA"/>
    <w:rsid w:val="00BD7F20"/>
    <w:rsid w:val="00BE04F7"/>
    <w:rsid w:val="00BE116C"/>
    <w:rsid w:val="00BE205A"/>
    <w:rsid w:val="00BE3802"/>
    <w:rsid w:val="00BF136F"/>
    <w:rsid w:val="00BF238E"/>
    <w:rsid w:val="00BF2F4A"/>
    <w:rsid w:val="00BF3AA1"/>
    <w:rsid w:val="00BF3DF9"/>
    <w:rsid w:val="00BF544D"/>
    <w:rsid w:val="00BF692F"/>
    <w:rsid w:val="00BF7BB2"/>
    <w:rsid w:val="00C00409"/>
    <w:rsid w:val="00C0076F"/>
    <w:rsid w:val="00C0301C"/>
    <w:rsid w:val="00C050B6"/>
    <w:rsid w:val="00C060D8"/>
    <w:rsid w:val="00C0692C"/>
    <w:rsid w:val="00C10BDA"/>
    <w:rsid w:val="00C10C2C"/>
    <w:rsid w:val="00C10F12"/>
    <w:rsid w:val="00C12380"/>
    <w:rsid w:val="00C20DAF"/>
    <w:rsid w:val="00C245EA"/>
    <w:rsid w:val="00C24770"/>
    <w:rsid w:val="00C254A0"/>
    <w:rsid w:val="00C256F6"/>
    <w:rsid w:val="00C276DB"/>
    <w:rsid w:val="00C306B0"/>
    <w:rsid w:val="00C3097E"/>
    <w:rsid w:val="00C32F6F"/>
    <w:rsid w:val="00C33E0F"/>
    <w:rsid w:val="00C35D46"/>
    <w:rsid w:val="00C35ECC"/>
    <w:rsid w:val="00C35FE4"/>
    <w:rsid w:val="00C361A8"/>
    <w:rsid w:val="00C36831"/>
    <w:rsid w:val="00C40E83"/>
    <w:rsid w:val="00C41246"/>
    <w:rsid w:val="00C440FA"/>
    <w:rsid w:val="00C45E5F"/>
    <w:rsid w:val="00C46291"/>
    <w:rsid w:val="00C46B3D"/>
    <w:rsid w:val="00C471A2"/>
    <w:rsid w:val="00C5281A"/>
    <w:rsid w:val="00C52CD4"/>
    <w:rsid w:val="00C555E4"/>
    <w:rsid w:val="00C55D66"/>
    <w:rsid w:val="00C63412"/>
    <w:rsid w:val="00C714D0"/>
    <w:rsid w:val="00C7625E"/>
    <w:rsid w:val="00C823DB"/>
    <w:rsid w:val="00C86CEB"/>
    <w:rsid w:val="00C90EF4"/>
    <w:rsid w:val="00C91494"/>
    <w:rsid w:val="00C92BF1"/>
    <w:rsid w:val="00C9348E"/>
    <w:rsid w:val="00C93E24"/>
    <w:rsid w:val="00C96D65"/>
    <w:rsid w:val="00CA015A"/>
    <w:rsid w:val="00CB0715"/>
    <w:rsid w:val="00CB6B8C"/>
    <w:rsid w:val="00CC1AA3"/>
    <w:rsid w:val="00CD227C"/>
    <w:rsid w:val="00CD4486"/>
    <w:rsid w:val="00CE13E5"/>
    <w:rsid w:val="00CF26B1"/>
    <w:rsid w:val="00CF439A"/>
    <w:rsid w:val="00CF646D"/>
    <w:rsid w:val="00CF668E"/>
    <w:rsid w:val="00D0109F"/>
    <w:rsid w:val="00D041B3"/>
    <w:rsid w:val="00D04A36"/>
    <w:rsid w:val="00D06A44"/>
    <w:rsid w:val="00D07108"/>
    <w:rsid w:val="00D1282E"/>
    <w:rsid w:val="00D151EB"/>
    <w:rsid w:val="00D17CD4"/>
    <w:rsid w:val="00D300E0"/>
    <w:rsid w:val="00D34A06"/>
    <w:rsid w:val="00D34FB1"/>
    <w:rsid w:val="00D359D8"/>
    <w:rsid w:val="00D374CD"/>
    <w:rsid w:val="00D37E3E"/>
    <w:rsid w:val="00D44E8B"/>
    <w:rsid w:val="00D46396"/>
    <w:rsid w:val="00D54DC8"/>
    <w:rsid w:val="00D606D0"/>
    <w:rsid w:val="00D61C9F"/>
    <w:rsid w:val="00D650CE"/>
    <w:rsid w:val="00D71719"/>
    <w:rsid w:val="00D73EB4"/>
    <w:rsid w:val="00D7426F"/>
    <w:rsid w:val="00D75C9B"/>
    <w:rsid w:val="00D75CE2"/>
    <w:rsid w:val="00D76F73"/>
    <w:rsid w:val="00D776DA"/>
    <w:rsid w:val="00D80907"/>
    <w:rsid w:val="00D86A42"/>
    <w:rsid w:val="00D8758B"/>
    <w:rsid w:val="00D877E3"/>
    <w:rsid w:val="00D925A0"/>
    <w:rsid w:val="00D942B3"/>
    <w:rsid w:val="00D94863"/>
    <w:rsid w:val="00DA13FE"/>
    <w:rsid w:val="00DA1D24"/>
    <w:rsid w:val="00DA7D09"/>
    <w:rsid w:val="00DB6975"/>
    <w:rsid w:val="00DC2630"/>
    <w:rsid w:val="00DC2848"/>
    <w:rsid w:val="00DC439E"/>
    <w:rsid w:val="00DC49E9"/>
    <w:rsid w:val="00DC55E4"/>
    <w:rsid w:val="00DC7BE1"/>
    <w:rsid w:val="00DC7D71"/>
    <w:rsid w:val="00DD188C"/>
    <w:rsid w:val="00DD29A3"/>
    <w:rsid w:val="00DD48EE"/>
    <w:rsid w:val="00DD6460"/>
    <w:rsid w:val="00DD660A"/>
    <w:rsid w:val="00DE0B96"/>
    <w:rsid w:val="00DE10B9"/>
    <w:rsid w:val="00DE3EC4"/>
    <w:rsid w:val="00DE75AD"/>
    <w:rsid w:val="00DF0B13"/>
    <w:rsid w:val="00DF2EB8"/>
    <w:rsid w:val="00DF4A94"/>
    <w:rsid w:val="00DF6003"/>
    <w:rsid w:val="00DF6B68"/>
    <w:rsid w:val="00E00095"/>
    <w:rsid w:val="00E03D4B"/>
    <w:rsid w:val="00E066C3"/>
    <w:rsid w:val="00E10D8C"/>
    <w:rsid w:val="00E11292"/>
    <w:rsid w:val="00E11B90"/>
    <w:rsid w:val="00E1353A"/>
    <w:rsid w:val="00E1564B"/>
    <w:rsid w:val="00E208A0"/>
    <w:rsid w:val="00E25B49"/>
    <w:rsid w:val="00E30833"/>
    <w:rsid w:val="00E31192"/>
    <w:rsid w:val="00E32EB8"/>
    <w:rsid w:val="00E3667F"/>
    <w:rsid w:val="00E371EA"/>
    <w:rsid w:val="00E40B4B"/>
    <w:rsid w:val="00E4738E"/>
    <w:rsid w:val="00E47F1E"/>
    <w:rsid w:val="00E5021D"/>
    <w:rsid w:val="00E53116"/>
    <w:rsid w:val="00E558BF"/>
    <w:rsid w:val="00E64429"/>
    <w:rsid w:val="00E64AD3"/>
    <w:rsid w:val="00E66F5B"/>
    <w:rsid w:val="00E677DD"/>
    <w:rsid w:val="00E736BA"/>
    <w:rsid w:val="00E73F05"/>
    <w:rsid w:val="00E7594B"/>
    <w:rsid w:val="00E7714F"/>
    <w:rsid w:val="00E81976"/>
    <w:rsid w:val="00E843F8"/>
    <w:rsid w:val="00E86486"/>
    <w:rsid w:val="00E9391B"/>
    <w:rsid w:val="00E94254"/>
    <w:rsid w:val="00E96290"/>
    <w:rsid w:val="00E96C2B"/>
    <w:rsid w:val="00EB0794"/>
    <w:rsid w:val="00EB1C92"/>
    <w:rsid w:val="00EB1E1C"/>
    <w:rsid w:val="00EB4418"/>
    <w:rsid w:val="00EB4688"/>
    <w:rsid w:val="00EB5BCF"/>
    <w:rsid w:val="00EB6C07"/>
    <w:rsid w:val="00EC028D"/>
    <w:rsid w:val="00ED2D30"/>
    <w:rsid w:val="00ED487D"/>
    <w:rsid w:val="00ED633B"/>
    <w:rsid w:val="00EE3210"/>
    <w:rsid w:val="00EE3780"/>
    <w:rsid w:val="00EE478C"/>
    <w:rsid w:val="00EE4A1D"/>
    <w:rsid w:val="00EE5AAD"/>
    <w:rsid w:val="00EF1FD6"/>
    <w:rsid w:val="00EF344C"/>
    <w:rsid w:val="00EF799E"/>
    <w:rsid w:val="00F01217"/>
    <w:rsid w:val="00F04A72"/>
    <w:rsid w:val="00F1132C"/>
    <w:rsid w:val="00F1343F"/>
    <w:rsid w:val="00F15DD5"/>
    <w:rsid w:val="00F17B9B"/>
    <w:rsid w:val="00F17D4B"/>
    <w:rsid w:val="00F23139"/>
    <w:rsid w:val="00F262A7"/>
    <w:rsid w:val="00F2784C"/>
    <w:rsid w:val="00F27913"/>
    <w:rsid w:val="00F30220"/>
    <w:rsid w:val="00F3145C"/>
    <w:rsid w:val="00F32DAF"/>
    <w:rsid w:val="00F3457F"/>
    <w:rsid w:val="00F34F75"/>
    <w:rsid w:val="00F354C6"/>
    <w:rsid w:val="00F41D92"/>
    <w:rsid w:val="00F46D18"/>
    <w:rsid w:val="00F521BC"/>
    <w:rsid w:val="00F564C4"/>
    <w:rsid w:val="00F57B1E"/>
    <w:rsid w:val="00F610B1"/>
    <w:rsid w:val="00F63A67"/>
    <w:rsid w:val="00F66405"/>
    <w:rsid w:val="00F66CD5"/>
    <w:rsid w:val="00F67A9A"/>
    <w:rsid w:val="00F70DD0"/>
    <w:rsid w:val="00F70F4E"/>
    <w:rsid w:val="00F74878"/>
    <w:rsid w:val="00F75746"/>
    <w:rsid w:val="00F75FC4"/>
    <w:rsid w:val="00F80762"/>
    <w:rsid w:val="00F8326E"/>
    <w:rsid w:val="00F8509A"/>
    <w:rsid w:val="00F85981"/>
    <w:rsid w:val="00F862C5"/>
    <w:rsid w:val="00F8687A"/>
    <w:rsid w:val="00F87263"/>
    <w:rsid w:val="00F92548"/>
    <w:rsid w:val="00F93725"/>
    <w:rsid w:val="00F94E57"/>
    <w:rsid w:val="00F95C73"/>
    <w:rsid w:val="00FA100D"/>
    <w:rsid w:val="00FA335E"/>
    <w:rsid w:val="00FA3D14"/>
    <w:rsid w:val="00FA4890"/>
    <w:rsid w:val="00FA5304"/>
    <w:rsid w:val="00FA7F74"/>
    <w:rsid w:val="00FB03A8"/>
    <w:rsid w:val="00FB1643"/>
    <w:rsid w:val="00FB1BEF"/>
    <w:rsid w:val="00FB6989"/>
    <w:rsid w:val="00FB6ACB"/>
    <w:rsid w:val="00FB77FA"/>
    <w:rsid w:val="00FB7E8C"/>
    <w:rsid w:val="00FC3C70"/>
    <w:rsid w:val="00FC47F0"/>
    <w:rsid w:val="00FC4A73"/>
    <w:rsid w:val="00FC559C"/>
    <w:rsid w:val="00FC5940"/>
    <w:rsid w:val="00FC6A0B"/>
    <w:rsid w:val="00FC7F0D"/>
    <w:rsid w:val="00FD5145"/>
    <w:rsid w:val="00FE4487"/>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val="0"/>
      <w:sz w:val="24"/>
      <w:szCs w:val="24"/>
    </w:rPr>
  </w:style>
  <w:style w:type="paragraph" w:styleId="Heading3">
    <w:name w:val="heading 3"/>
    <w:basedOn w:val="Normal"/>
    <w:next w:val="Normal"/>
    <w:link w:val="Heading3Char"/>
    <w:uiPriority w:val="9"/>
    <w:unhideWhenUsed/>
    <w:qFormat/>
    <w:rsid w:val="003C5D85"/>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unhideWhenUsed/>
    <w:qFormat/>
    <w:rsid w:val="0063631C"/>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4B5B41"/>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3C5D85"/>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3F50BC"/>
    <w:pPr>
      <w:spacing w:before="60" w:after="60"/>
    </w:pPr>
    <w:rPr>
      <w:i w:val="0"/>
      <w:lang w:val="en-US"/>
    </w:rPr>
  </w:style>
  <w:style w:type="character" w:customStyle="1" w:styleId="FiguretitleChar">
    <w:name w:val="Figure title Char"/>
    <w:basedOn w:val="TabletitleChar"/>
    <w:link w:val="Figuretitle"/>
    <w:rsid w:val="003F50BC"/>
    <w:rPr>
      <w:b/>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customStyle="1" w:styleId="Heading6Char">
    <w:name w:val="Heading 6 Char"/>
    <w:basedOn w:val="DefaultParagraphFont"/>
    <w:link w:val="Heading6"/>
    <w:uiPriority w:val="9"/>
    <w:rsid w:val="004B5B41"/>
    <w:rPr>
      <w:rFonts w:asciiTheme="majorHAnsi" w:eastAsiaTheme="majorEastAsia" w:hAnsiTheme="majorHAnsi" w:cstheme="majorBidi"/>
      <w:i/>
      <w:iCs/>
      <w:color w:val="243F60" w:themeColor="accent1" w:themeShade="7F"/>
      <w:lang w:eastAsia="en-US"/>
    </w:rPr>
  </w:style>
  <w:style w:type="character" w:styleId="FollowedHyperlink">
    <w:name w:val="FollowedHyperlink"/>
    <w:basedOn w:val="DefaultParagraphFont"/>
    <w:uiPriority w:val="99"/>
    <w:semiHidden/>
    <w:unhideWhenUsed/>
    <w:rsid w:val="001A7307"/>
    <w:rPr>
      <w:color w:val="800080" w:themeColor="followedHyperlink"/>
      <w:u w:val="single"/>
    </w:rPr>
  </w:style>
  <w:style w:type="paragraph" w:customStyle="1" w:styleId="Table-bodytext">
    <w:name w:val="Table - body text"/>
    <w:basedOn w:val="Normal"/>
    <w:link w:val="Table-bodytextChar"/>
    <w:rsid w:val="00A66553"/>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A66553"/>
    <w:rPr>
      <w:rFonts w:ascii="Times New Roman" w:eastAsia="Times New Roman" w:hAnsi="Times New Roman" w:cs="Arial"/>
      <w:sz w:val="20"/>
      <w:szCs w:val="24"/>
      <w:lang w:eastAsia="en-US"/>
    </w:rPr>
  </w:style>
  <w:style w:type="paragraph" w:customStyle="1" w:styleId="Table-columnheadings">
    <w:name w:val="Table - column headings"/>
    <w:basedOn w:val="Table-bodytext"/>
    <w:rsid w:val="00E94254"/>
    <w:pPr>
      <w:keepNext/>
    </w:pPr>
    <w:rPr>
      <w:b/>
      <w:bCs/>
    </w:rPr>
  </w:style>
  <w:style w:type="paragraph" w:customStyle="1" w:styleId="Tabletext">
    <w:name w:val="Tabletext"/>
    <w:basedOn w:val="Normal"/>
    <w:rsid w:val="00E94254"/>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637219"/>
  </w:style>
  <w:style w:type="character" w:customStyle="1" w:styleId="ref-journal">
    <w:name w:val="ref-journal"/>
    <w:basedOn w:val="DefaultParagraphFont"/>
    <w:rsid w:val="00637219"/>
  </w:style>
  <w:style w:type="character" w:customStyle="1" w:styleId="ref-vol">
    <w:name w:val="ref-vol"/>
    <w:basedOn w:val="DefaultParagraphFont"/>
    <w:rsid w:val="00637219"/>
  </w:style>
  <w:style w:type="paragraph" w:styleId="NormalWeb">
    <w:name w:val="Normal (Web)"/>
    <w:basedOn w:val="Normal"/>
    <w:uiPriority w:val="99"/>
    <w:semiHidden/>
    <w:unhideWhenUsed/>
    <w:rsid w:val="0094280A"/>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val="0"/>
      <w:sz w:val="24"/>
      <w:szCs w:val="24"/>
    </w:rPr>
  </w:style>
  <w:style w:type="paragraph" w:styleId="Heading3">
    <w:name w:val="heading 3"/>
    <w:basedOn w:val="Normal"/>
    <w:next w:val="Normal"/>
    <w:link w:val="Heading3Char"/>
    <w:uiPriority w:val="9"/>
    <w:unhideWhenUsed/>
    <w:qFormat/>
    <w:rsid w:val="003C5D85"/>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unhideWhenUsed/>
    <w:qFormat/>
    <w:rsid w:val="0063631C"/>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4B5B41"/>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3C5D85"/>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3F50BC"/>
    <w:pPr>
      <w:spacing w:before="60" w:after="60"/>
    </w:pPr>
    <w:rPr>
      <w:i w:val="0"/>
      <w:lang w:val="en-US"/>
    </w:rPr>
  </w:style>
  <w:style w:type="character" w:customStyle="1" w:styleId="FiguretitleChar">
    <w:name w:val="Figure title Char"/>
    <w:basedOn w:val="TabletitleChar"/>
    <w:link w:val="Figuretitle"/>
    <w:rsid w:val="003F50BC"/>
    <w:rPr>
      <w:b/>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customStyle="1" w:styleId="Heading6Char">
    <w:name w:val="Heading 6 Char"/>
    <w:basedOn w:val="DefaultParagraphFont"/>
    <w:link w:val="Heading6"/>
    <w:uiPriority w:val="9"/>
    <w:rsid w:val="004B5B41"/>
    <w:rPr>
      <w:rFonts w:asciiTheme="majorHAnsi" w:eastAsiaTheme="majorEastAsia" w:hAnsiTheme="majorHAnsi" w:cstheme="majorBidi"/>
      <w:i/>
      <w:iCs/>
      <w:color w:val="243F60" w:themeColor="accent1" w:themeShade="7F"/>
      <w:lang w:eastAsia="en-US"/>
    </w:rPr>
  </w:style>
  <w:style w:type="character" w:styleId="FollowedHyperlink">
    <w:name w:val="FollowedHyperlink"/>
    <w:basedOn w:val="DefaultParagraphFont"/>
    <w:uiPriority w:val="99"/>
    <w:semiHidden/>
    <w:unhideWhenUsed/>
    <w:rsid w:val="001A7307"/>
    <w:rPr>
      <w:color w:val="800080" w:themeColor="followedHyperlink"/>
      <w:u w:val="single"/>
    </w:rPr>
  </w:style>
  <w:style w:type="paragraph" w:customStyle="1" w:styleId="Table-bodytext">
    <w:name w:val="Table - body text"/>
    <w:basedOn w:val="Normal"/>
    <w:link w:val="Table-bodytextChar"/>
    <w:rsid w:val="00A66553"/>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A66553"/>
    <w:rPr>
      <w:rFonts w:ascii="Times New Roman" w:eastAsia="Times New Roman" w:hAnsi="Times New Roman" w:cs="Arial"/>
      <w:sz w:val="20"/>
      <w:szCs w:val="24"/>
      <w:lang w:eastAsia="en-US"/>
    </w:rPr>
  </w:style>
  <w:style w:type="paragraph" w:customStyle="1" w:styleId="Table-columnheadings">
    <w:name w:val="Table - column headings"/>
    <w:basedOn w:val="Table-bodytext"/>
    <w:rsid w:val="00E94254"/>
    <w:pPr>
      <w:keepNext/>
    </w:pPr>
    <w:rPr>
      <w:b/>
      <w:bCs/>
    </w:rPr>
  </w:style>
  <w:style w:type="paragraph" w:customStyle="1" w:styleId="Tabletext">
    <w:name w:val="Tabletext"/>
    <w:basedOn w:val="Normal"/>
    <w:rsid w:val="00E94254"/>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637219"/>
  </w:style>
  <w:style w:type="character" w:customStyle="1" w:styleId="ref-journal">
    <w:name w:val="ref-journal"/>
    <w:basedOn w:val="DefaultParagraphFont"/>
    <w:rsid w:val="00637219"/>
  </w:style>
  <w:style w:type="character" w:customStyle="1" w:styleId="ref-vol">
    <w:name w:val="ref-vol"/>
    <w:basedOn w:val="DefaultParagraphFont"/>
    <w:rsid w:val="00637219"/>
  </w:style>
  <w:style w:type="paragraph" w:styleId="NormalWeb">
    <w:name w:val="Normal (Web)"/>
    <w:basedOn w:val="Normal"/>
    <w:uiPriority w:val="99"/>
    <w:semiHidden/>
    <w:unhideWhenUsed/>
    <w:rsid w:val="0094280A"/>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872">
      <w:bodyDiv w:val="1"/>
      <w:marLeft w:val="0"/>
      <w:marRight w:val="0"/>
      <w:marTop w:val="0"/>
      <w:marBottom w:val="0"/>
      <w:divBdr>
        <w:top w:val="none" w:sz="0" w:space="0" w:color="auto"/>
        <w:left w:val="none" w:sz="0" w:space="0" w:color="auto"/>
        <w:bottom w:val="none" w:sz="0" w:space="0" w:color="auto"/>
        <w:right w:val="none" w:sz="0" w:space="0" w:color="auto"/>
      </w:divBdr>
    </w:div>
    <w:div w:id="24718036">
      <w:bodyDiv w:val="1"/>
      <w:marLeft w:val="0"/>
      <w:marRight w:val="0"/>
      <w:marTop w:val="0"/>
      <w:marBottom w:val="0"/>
      <w:divBdr>
        <w:top w:val="none" w:sz="0" w:space="0" w:color="auto"/>
        <w:left w:val="none" w:sz="0" w:space="0" w:color="auto"/>
        <w:bottom w:val="none" w:sz="0" w:space="0" w:color="auto"/>
        <w:right w:val="none" w:sz="0" w:space="0" w:color="auto"/>
      </w:divBdr>
      <w:divsChild>
        <w:div w:id="1985969895">
          <w:marLeft w:val="0"/>
          <w:marRight w:val="0"/>
          <w:marTop w:val="240"/>
          <w:marBottom w:val="480"/>
          <w:divBdr>
            <w:top w:val="none" w:sz="0" w:space="0" w:color="auto"/>
            <w:left w:val="none" w:sz="0" w:space="0" w:color="auto"/>
            <w:bottom w:val="none" w:sz="0" w:space="0" w:color="auto"/>
            <w:right w:val="none" w:sz="0" w:space="0" w:color="auto"/>
          </w:divBdr>
          <w:divsChild>
            <w:div w:id="897744554">
              <w:marLeft w:val="0"/>
              <w:marRight w:val="0"/>
              <w:marTop w:val="0"/>
              <w:marBottom w:val="0"/>
              <w:divBdr>
                <w:top w:val="none" w:sz="0" w:space="0" w:color="auto"/>
                <w:left w:val="none" w:sz="0" w:space="0" w:color="auto"/>
                <w:bottom w:val="none" w:sz="0" w:space="0" w:color="auto"/>
                <w:right w:val="none" w:sz="0" w:space="0" w:color="auto"/>
              </w:divBdr>
              <w:divsChild>
                <w:div w:id="22369582">
                  <w:marLeft w:val="0"/>
                  <w:marRight w:val="0"/>
                  <w:marTop w:val="0"/>
                  <w:marBottom w:val="0"/>
                  <w:divBdr>
                    <w:top w:val="none" w:sz="0" w:space="0" w:color="auto"/>
                    <w:left w:val="none" w:sz="0" w:space="0" w:color="auto"/>
                    <w:bottom w:val="none" w:sz="0" w:space="0" w:color="auto"/>
                    <w:right w:val="none" w:sz="0" w:space="0" w:color="auto"/>
                  </w:divBdr>
                  <w:divsChild>
                    <w:div w:id="873808984">
                      <w:marLeft w:val="0"/>
                      <w:marRight w:val="0"/>
                      <w:marTop w:val="0"/>
                      <w:marBottom w:val="0"/>
                      <w:divBdr>
                        <w:top w:val="none" w:sz="0" w:space="0" w:color="auto"/>
                        <w:left w:val="none" w:sz="0" w:space="0" w:color="auto"/>
                        <w:bottom w:val="none" w:sz="0" w:space="0" w:color="auto"/>
                        <w:right w:val="none" w:sz="0" w:space="0" w:color="auto"/>
                      </w:divBdr>
                      <w:divsChild>
                        <w:div w:id="1211839660">
                          <w:marLeft w:val="0"/>
                          <w:marRight w:val="0"/>
                          <w:marTop w:val="0"/>
                          <w:marBottom w:val="0"/>
                          <w:divBdr>
                            <w:top w:val="none" w:sz="0" w:space="0" w:color="auto"/>
                            <w:left w:val="none" w:sz="0" w:space="0" w:color="auto"/>
                            <w:bottom w:val="none" w:sz="0" w:space="0" w:color="auto"/>
                            <w:right w:val="none" w:sz="0" w:space="0" w:color="auto"/>
                          </w:divBdr>
                          <w:divsChild>
                            <w:div w:id="11140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68677">
      <w:bodyDiv w:val="1"/>
      <w:marLeft w:val="0"/>
      <w:marRight w:val="0"/>
      <w:marTop w:val="0"/>
      <w:marBottom w:val="0"/>
      <w:divBdr>
        <w:top w:val="none" w:sz="0" w:space="0" w:color="auto"/>
        <w:left w:val="none" w:sz="0" w:space="0" w:color="auto"/>
        <w:bottom w:val="none" w:sz="0" w:space="0" w:color="auto"/>
        <w:right w:val="none" w:sz="0" w:space="0" w:color="auto"/>
      </w:divBdr>
    </w:div>
    <w:div w:id="72508105">
      <w:bodyDiv w:val="1"/>
      <w:marLeft w:val="0"/>
      <w:marRight w:val="0"/>
      <w:marTop w:val="0"/>
      <w:marBottom w:val="0"/>
      <w:divBdr>
        <w:top w:val="none" w:sz="0" w:space="0" w:color="auto"/>
        <w:left w:val="none" w:sz="0" w:space="0" w:color="auto"/>
        <w:bottom w:val="none" w:sz="0" w:space="0" w:color="auto"/>
        <w:right w:val="none" w:sz="0" w:space="0" w:color="auto"/>
      </w:divBdr>
    </w:div>
    <w:div w:id="76098096">
      <w:bodyDiv w:val="1"/>
      <w:marLeft w:val="0"/>
      <w:marRight w:val="0"/>
      <w:marTop w:val="0"/>
      <w:marBottom w:val="0"/>
      <w:divBdr>
        <w:top w:val="none" w:sz="0" w:space="0" w:color="auto"/>
        <w:left w:val="none" w:sz="0" w:space="0" w:color="auto"/>
        <w:bottom w:val="none" w:sz="0" w:space="0" w:color="auto"/>
        <w:right w:val="none" w:sz="0" w:space="0" w:color="auto"/>
      </w:divBdr>
    </w:div>
    <w:div w:id="80298328">
      <w:bodyDiv w:val="1"/>
      <w:marLeft w:val="0"/>
      <w:marRight w:val="0"/>
      <w:marTop w:val="0"/>
      <w:marBottom w:val="0"/>
      <w:divBdr>
        <w:top w:val="none" w:sz="0" w:space="0" w:color="auto"/>
        <w:left w:val="none" w:sz="0" w:space="0" w:color="auto"/>
        <w:bottom w:val="none" w:sz="0" w:space="0" w:color="auto"/>
        <w:right w:val="none" w:sz="0" w:space="0" w:color="auto"/>
      </w:divBdr>
    </w:div>
    <w:div w:id="133497890">
      <w:bodyDiv w:val="1"/>
      <w:marLeft w:val="0"/>
      <w:marRight w:val="0"/>
      <w:marTop w:val="0"/>
      <w:marBottom w:val="0"/>
      <w:divBdr>
        <w:top w:val="none" w:sz="0" w:space="0" w:color="auto"/>
        <w:left w:val="none" w:sz="0" w:space="0" w:color="auto"/>
        <w:bottom w:val="none" w:sz="0" w:space="0" w:color="auto"/>
        <w:right w:val="none" w:sz="0" w:space="0" w:color="auto"/>
      </w:divBdr>
    </w:div>
    <w:div w:id="166018634">
      <w:bodyDiv w:val="1"/>
      <w:marLeft w:val="0"/>
      <w:marRight w:val="0"/>
      <w:marTop w:val="0"/>
      <w:marBottom w:val="0"/>
      <w:divBdr>
        <w:top w:val="none" w:sz="0" w:space="0" w:color="auto"/>
        <w:left w:val="none" w:sz="0" w:space="0" w:color="auto"/>
        <w:bottom w:val="none" w:sz="0" w:space="0" w:color="auto"/>
        <w:right w:val="none" w:sz="0" w:space="0" w:color="auto"/>
      </w:divBdr>
    </w:div>
    <w:div w:id="177744599">
      <w:bodyDiv w:val="1"/>
      <w:marLeft w:val="0"/>
      <w:marRight w:val="0"/>
      <w:marTop w:val="0"/>
      <w:marBottom w:val="0"/>
      <w:divBdr>
        <w:top w:val="none" w:sz="0" w:space="0" w:color="auto"/>
        <w:left w:val="none" w:sz="0" w:space="0" w:color="auto"/>
        <w:bottom w:val="none" w:sz="0" w:space="0" w:color="auto"/>
        <w:right w:val="none" w:sz="0" w:space="0" w:color="auto"/>
      </w:divBdr>
    </w:div>
    <w:div w:id="242296048">
      <w:bodyDiv w:val="1"/>
      <w:marLeft w:val="0"/>
      <w:marRight w:val="0"/>
      <w:marTop w:val="0"/>
      <w:marBottom w:val="0"/>
      <w:divBdr>
        <w:top w:val="none" w:sz="0" w:space="0" w:color="auto"/>
        <w:left w:val="none" w:sz="0" w:space="0" w:color="auto"/>
        <w:bottom w:val="none" w:sz="0" w:space="0" w:color="auto"/>
        <w:right w:val="none" w:sz="0" w:space="0" w:color="auto"/>
      </w:divBdr>
    </w:div>
    <w:div w:id="246231450">
      <w:bodyDiv w:val="1"/>
      <w:marLeft w:val="0"/>
      <w:marRight w:val="0"/>
      <w:marTop w:val="0"/>
      <w:marBottom w:val="0"/>
      <w:divBdr>
        <w:top w:val="none" w:sz="0" w:space="0" w:color="auto"/>
        <w:left w:val="none" w:sz="0" w:space="0" w:color="auto"/>
        <w:bottom w:val="none" w:sz="0" w:space="0" w:color="auto"/>
        <w:right w:val="none" w:sz="0" w:space="0" w:color="auto"/>
      </w:divBdr>
    </w:div>
    <w:div w:id="310989517">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06019756">
      <w:bodyDiv w:val="1"/>
      <w:marLeft w:val="0"/>
      <w:marRight w:val="0"/>
      <w:marTop w:val="0"/>
      <w:marBottom w:val="0"/>
      <w:divBdr>
        <w:top w:val="none" w:sz="0" w:space="0" w:color="auto"/>
        <w:left w:val="none" w:sz="0" w:space="0" w:color="auto"/>
        <w:bottom w:val="none" w:sz="0" w:space="0" w:color="auto"/>
        <w:right w:val="none" w:sz="0" w:space="0" w:color="auto"/>
      </w:divBdr>
    </w:div>
    <w:div w:id="577137322">
      <w:bodyDiv w:val="1"/>
      <w:marLeft w:val="0"/>
      <w:marRight w:val="0"/>
      <w:marTop w:val="0"/>
      <w:marBottom w:val="0"/>
      <w:divBdr>
        <w:top w:val="none" w:sz="0" w:space="0" w:color="auto"/>
        <w:left w:val="none" w:sz="0" w:space="0" w:color="auto"/>
        <w:bottom w:val="none" w:sz="0" w:space="0" w:color="auto"/>
        <w:right w:val="none" w:sz="0" w:space="0" w:color="auto"/>
      </w:divBdr>
    </w:div>
    <w:div w:id="590938595">
      <w:bodyDiv w:val="1"/>
      <w:marLeft w:val="0"/>
      <w:marRight w:val="0"/>
      <w:marTop w:val="0"/>
      <w:marBottom w:val="0"/>
      <w:divBdr>
        <w:top w:val="none" w:sz="0" w:space="0" w:color="auto"/>
        <w:left w:val="none" w:sz="0" w:space="0" w:color="auto"/>
        <w:bottom w:val="none" w:sz="0" w:space="0" w:color="auto"/>
        <w:right w:val="none" w:sz="0" w:space="0" w:color="auto"/>
      </w:divBdr>
    </w:div>
    <w:div w:id="801849404">
      <w:bodyDiv w:val="1"/>
      <w:marLeft w:val="0"/>
      <w:marRight w:val="0"/>
      <w:marTop w:val="0"/>
      <w:marBottom w:val="0"/>
      <w:divBdr>
        <w:top w:val="none" w:sz="0" w:space="0" w:color="auto"/>
        <w:left w:val="none" w:sz="0" w:space="0" w:color="auto"/>
        <w:bottom w:val="none" w:sz="0" w:space="0" w:color="auto"/>
        <w:right w:val="none" w:sz="0" w:space="0" w:color="auto"/>
      </w:divBdr>
    </w:div>
    <w:div w:id="884635944">
      <w:bodyDiv w:val="1"/>
      <w:marLeft w:val="0"/>
      <w:marRight w:val="0"/>
      <w:marTop w:val="0"/>
      <w:marBottom w:val="0"/>
      <w:divBdr>
        <w:top w:val="none" w:sz="0" w:space="0" w:color="auto"/>
        <w:left w:val="none" w:sz="0" w:space="0" w:color="auto"/>
        <w:bottom w:val="none" w:sz="0" w:space="0" w:color="auto"/>
        <w:right w:val="none" w:sz="0" w:space="0" w:color="auto"/>
      </w:divBdr>
    </w:div>
    <w:div w:id="892934817">
      <w:bodyDiv w:val="1"/>
      <w:marLeft w:val="0"/>
      <w:marRight w:val="0"/>
      <w:marTop w:val="0"/>
      <w:marBottom w:val="0"/>
      <w:divBdr>
        <w:top w:val="none" w:sz="0" w:space="0" w:color="auto"/>
        <w:left w:val="none" w:sz="0" w:space="0" w:color="auto"/>
        <w:bottom w:val="none" w:sz="0" w:space="0" w:color="auto"/>
        <w:right w:val="none" w:sz="0" w:space="0" w:color="auto"/>
      </w:divBdr>
    </w:div>
    <w:div w:id="915671108">
      <w:bodyDiv w:val="1"/>
      <w:marLeft w:val="0"/>
      <w:marRight w:val="0"/>
      <w:marTop w:val="0"/>
      <w:marBottom w:val="0"/>
      <w:divBdr>
        <w:top w:val="none" w:sz="0" w:space="0" w:color="auto"/>
        <w:left w:val="none" w:sz="0" w:space="0" w:color="auto"/>
        <w:bottom w:val="none" w:sz="0" w:space="0" w:color="auto"/>
        <w:right w:val="none" w:sz="0" w:space="0" w:color="auto"/>
      </w:divBdr>
    </w:div>
    <w:div w:id="1247611632">
      <w:bodyDiv w:val="1"/>
      <w:marLeft w:val="0"/>
      <w:marRight w:val="0"/>
      <w:marTop w:val="0"/>
      <w:marBottom w:val="0"/>
      <w:divBdr>
        <w:top w:val="none" w:sz="0" w:space="0" w:color="auto"/>
        <w:left w:val="none" w:sz="0" w:space="0" w:color="auto"/>
        <w:bottom w:val="none" w:sz="0" w:space="0" w:color="auto"/>
        <w:right w:val="none" w:sz="0" w:space="0" w:color="auto"/>
      </w:divBdr>
    </w:div>
    <w:div w:id="1279600100">
      <w:bodyDiv w:val="1"/>
      <w:marLeft w:val="0"/>
      <w:marRight w:val="0"/>
      <w:marTop w:val="0"/>
      <w:marBottom w:val="0"/>
      <w:divBdr>
        <w:top w:val="none" w:sz="0" w:space="0" w:color="auto"/>
        <w:left w:val="none" w:sz="0" w:space="0" w:color="auto"/>
        <w:bottom w:val="none" w:sz="0" w:space="0" w:color="auto"/>
        <w:right w:val="none" w:sz="0" w:space="0" w:color="auto"/>
      </w:divBdr>
    </w:div>
    <w:div w:id="1310331475">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54999204">
      <w:bodyDiv w:val="1"/>
      <w:marLeft w:val="0"/>
      <w:marRight w:val="0"/>
      <w:marTop w:val="0"/>
      <w:marBottom w:val="0"/>
      <w:divBdr>
        <w:top w:val="none" w:sz="0" w:space="0" w:color="auto"/>
        <w:left w:val="none" w:sz="0" w:space="0" w:color="auto"/>
        <w:bottom w:val="none" w:sz="0" w:space="0" w:color="auto"/>
        <w:right w:val="none" w:sz="0" w:space="0" w:color="auto"/>
      </w:divBdr>
    </w:div>
    <w:div w:id="1593006171">
      <w:bodyDiv w:val="1"/>
      <w:marLeft w:val="0"/>
      <w:marRight w:val="0"/>
      <w:marTop w:val="0"/>
      <w:marBottom w:val="0"/>
      <w:divBdr>
        <w:top w:val="none" w:sz="0" w:space="0" w:color="auto"/>
        <w:left w:val="none" w:sz="0" w:space="0" w:color="auto"/>
        <w:bottom w:val="none" w:sz="0" w:space="0" w:color="auto"/>
        <w:right w:val="none" w:sz="0" w:space="0" w:color="auto"/>
      </w:divBdr>
    </w:div>
    <w:div w:id="1651909900">
      <w:bodyDiv w:val="1"/>
      <w:marLeft w:val="0"/>
      <w:marRight w:val="0"/>
      <w:marTop w:val="0"/>
      <w:marBottom w:val="0"/>
      <w:divBdr>
        <w:top w:val="none" w:sz="0" w:space="0" w:color="auto"/>
        <w:left w:val="none" w:sz="0" w:space="0" w:color="auto"/>
        <w:bottom w:val="none" w:sz="0" w:space="0" w:color="auto"/>
        <w:right w:val="none" w:sz="0" w:space="0" w:color="auto"/>
      </w:divBdr>
    </w:div>
    <w:div w:id="1754932321">
      <w:bodyDiv w:val="1"/>
      <w:marLeft w:val="0"/>
      <w:marRight w:val="0"/>
      <w:marTop w:val="0"/>
      <w:marBottom w:val="0"/>
      <w:divBdr>
        <w:top w:val="none" w:sz="0" w:space="0" w:color="auto"/>
        <w:left w:val="none" w:sz="0" w:space="0" w:color="auto"/>
        <w:bottom w:val="none" w:sz="0" w:space="0" w:color="auto"/>
        <w:right w:val="none" w:sz="0" w:space="0" w:color="auto"/>
      </w:divBdr>
    </w:div>
    <w:div w:id="1841657167">
      <w:bodyDiv w:val="1"/>
      <w:marLeft w:val="0"/>
      <w:marRight w:val="0"/>
      <w:marTop w:val="0"/>
      <w:marBottom w:val="0"/>
      <w:divBdr>
        <w:top w:val="none" w:sz="0" w:space="0" w:color="auto"/>
        <w:left w:val="none" w:sz="0" w:space="0" w:color="auto"/>
        <w:bottom w:val="none" w:sz="0" w:space="0" w:color="auto"/>
        <w:right w:val="none" w:sz="0" w:space="0" w:color="auto"/>
      </w:divBdr>
    </w:div>
    <w:div w:id="1911110764">
      <w:bodyDiv w:val="1"/>
      <w:marLeft w:val="0"/>
      <w:marRight w:val="0"/>
      <w:marTop w:val="0"/>
      <w:marBottom w:val="0"/>
      <w:divBdr>
        <w:top w:val="none" w:sz="0" w:space="0" w:color="auto"/>
        <w:left w:val="none" w:sz="0" w:space="0" w:color="auto"/>
        <w:bottom w:val="none" w:sz="0" w:space="0" w:color="auto"/>
        <w:right w:val="none" w:sz="0" w:space="0" w:color="auto"/>
      </w:divBdr>
    </w:div>
    <w:div w:id="2066177591">
      <w:bodyDiv w:val="1"/>
      <w:marLeft w:val="0"/>
      <w:marRight w:val="0"/>
      <w:marTop w:val="0"/>
      <w:marBottom w:val="0"/>
      <w:divBdr>
        <w:top w:val="none" w:sz="0" w:space="0" w:color="auto"/>
        <w:left w:val="none" w:sz="0" w:space="0" w:color="auto"/>
        <w:bottom w:val="none" w:sz="0" w:space="0" w:color="auto"/>
        <w:right w:val="none" w:sz="0" w:space="0" w:color="auto"/>
      </w:divBdr>
    </w:div>
    <w:div w:id="20930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s>
</file>

<file path=word/_rels/footnotes.xml.rels><?xml version="1.0" encoding="UTF-8" standalone="yes"?>
<Relationships xmlns="http://schemas.openxmlformats.org/package/2006/relationships"><Relationship Id="rId8" Type="http://schemas.openxmlformats.org/officeDocument/2006/relationships/hyperlink" Target="http://www.australiandoctor.com.au/cmspages/getfile.aspx?guid=ddf8099c-41a4-4467-af84-4cbb8b24aaf5" TargetMode="External"/><Relationship Id="rId3" Type="http://schemas.openxmlformats.org/officeDocument/2006/relationships/hyperlink" Target="https://www.ebs.tga.gov.au/" TargetMode="External"/><Relationship Id="rId7" Type="http://schemas.openxmlformats.org/officeDocument/2006/relationships/hyperlink" Target="http://www.medicareaustralia.gov.au/provider/pbs/stats.jsp" TargetMode="External"/><Relationship Id="rId2" Type="http://schemas.openxmlformats.org/officeDocument/2006/relationships/hyperlink" Target="https://www.ebs.tga.gov.au/" TargetMode="External"/><Relationship Id="rId1" Type="http://schemas.openxmlformats.org/officeDocument/2006/relationships/hyperlink" Target="https://www.ebs.tga.gov.au/" TargetMode="External"/><Relationship Id="rId6" Type="http://schemas.openxmlformats.org/officeDocument/2006/relationships/hyperlink" Target="https://rheumatology.org.au/downloads/FINAL-BiologicalRecommendations060111_000.pdf" TargetMode="External"/><Relationship Id="rId5" Type="http://schemas.openxmlformats.org/officeDocument/2006/relationships/hyperlink" Target="https://www.ebs.tga.gov.au/" TargetMode="External"/><Relationship Id="rId4" Type="http://schemas.openxmlformats.org/officeDocument/2006/relationships/hyperlink" Target="https://www.ebs.tga.gov.a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2032952129095"/>
          <c:y val="3.7889544676245154E-2"/>
          <c:w val="0.85177151494880321"/>
          <c:h val="0.63432468785700802"/>
        </c:manualLayout>
      </c:layout>
      <c:lineChart>
        <c:grouping val="standard"/>
        <c:varyColors val="0"/>
        <c:ser>
          <c:idx val="0"/>
          <c:order val="0"/>
          <c:tx>
            <c:strRef>
              <c:f>Scripts!$B$2</c:f>
              <c:strCache>
                <c:ptCount val="1"/>
                <c:pt idx="0">
                  <c:v>Adalimumab</c:v>
                </c:pt>
              </c:strCache>
            </c:strRef>
          </c:tx>
          <c:marker>
            <c:symbol val="none"/>
          </c:marker>
          <c:cat>
            <c:strRef>
              <c:f>Scripts!$A$3:$A$47</c:f>
              <c:strCache>
                <c:ptCount val="45"/>
                <c:pt idx="0">
                  <c:v>2004 Q3</c:v>
                </c:pt>
                <c:pt idx="1">
                  <c:v>2004 Q4</c:v>
                </c:pt>
                <c:pt idx="2">
                  <c:v>2005 Q1</c:v>
                </c:pt>
                <c:pt idx="3">
                  <c:v>2005 Q2</c:v>
                </c:pt>
                <c:pt idx="4">
                  <c:v>2005 Q3</c:v>
                </c:pt>
                <c:pt idx="5">
                  <c:v>2005 Q4</c:v>
                </c:pt>
                <c:pt idx="6">
                  <c:v>2006 Q1</c:v>
                </c:pt>
                <c:pt idx="7">
                  <c:v>2006 Q2</c:v>
                </c:pt>
                <c:pt idx="8">
                  <c:v>2006 Q3</c:v>
                </c:pt>
                <c:pt idx="9">
                  <c:v>2006 Q4</c:v>
                </c:pt>
                <c:pt idx="10">
                  <c:v>2007 Q1</c:v>
                </c:pt>
                <c:pt idx="11">
                  <c:v>2007 Q2</c:v>
                </c:pt>
                <c:pt idx="12">
                  <c:v>2007 Q3</c:v>
                </c:pt>
                <c:pt idx="13">
                  <c:v>2007 Q4</c:v>
                </c:pt>
                <c:pt idx="14">
                  <c:v>2008 Q1</c:v>
                </c:pt>
                <c:pt idx="15">
                  <c:v>2008 Q2</c:v>
                </c:pt>
                <c:pt idx="16">
                  <c:v>2008 Q3</c:v>
                </c:pt>
                <c:pt idx="17">
                  <c:v>2008 Q4</c:v>
                </c:pt>
                <c:pt idx="18">
                  <c:v>2009 Q1</c:v>
                </c:pt>
                <c:pt idx="19">
                  <c:v>2009 Q2</c:v>
                </c:pt>
                <c:pt idx="20">
                  <c:v>2009 Q3</c:v>
                </c:pt>
                <c:pt idx="21">
                  <c:v>2009 Q4</c:v>
                </c:pt>
                <c:pt idx="22">
                  <c:v>2010 Q1</c:v>
                </c:pt>
                <c:pt idx="23">
                  <c:v>2010 Q2</c:v>
                </c:pt>
                <c:pt idx="24">
                  <c:v>2010 Q3</c:v>
                </c:pt>
                <c:pt idx="25">
                  <c:v>2010 Q4</c:v>
                </c:pt>
                <c:pt idx="26">
                  <c:v>2011 Q1</c:v>
                </c:pt>
                <c:pt idx="27">
                  <c:v>2011 Q2</c:v>
                </c:pt>
                <c:pt idx="28">
                  <c:v>2011 Q3</c:v>
                </c:pt>
                <c:pt idx="29">
                  <c:v>2011 Q4</c:v>
                </c:pt>
                <c:pt idx="30">
                  <c:v>2012 Q1</c:v>
                </c:pt>
                <c:pt idx="31">
                  <c:v>2012 Q2</c:v>
                </c:pt>
                <c:pt idx="32">
                  <c:v>2012 Q3</c:v>
                </c:pt>
                <c:pt idx="33">
                  <c:v>2012 Q4</c:v>
                </c:pt>
                <c:pt idx="34">
                  <c:v>2013 Q1</c:v>
                </c:pt>
                <c:pt idx="35">
                  <c:v>2013 Q2</c:v>
                </c:pt>
                <c:pt idx="36">
                  <c:v>2013 Q3</c:v>
                </c:pt>
                <c:pt idx="37">
                  <c:v>2013 Q4</c:v>
                </c:pt>
                <c:pt idx="38">
                  <c:v>2014 Q1</c:v>
                </c:pt>
                <c:pt idx="39">
                  <c:v>2014 Q2</c:v>
                </c:pt>
                <c:pt idx="40">
                  <c:v>2014 Q3</c:v>
                </c:pt>
                <c:pt idx="41">
                  <c:v>2014 Q4</c:v>
                </c:pt>
                <c:pt idx="42">
                  <c:v>2015 Q1</c:v>
                </c:pt>
                <c:pt idx="43">
                  <c:v>2015 Q2</c:v>
                </c:pt>
                <c:pt idx="44">
                  <c:v>2015 Q3</c:v>
                </c:pt>
              </c:strCache>
            </c:strRef>
          </c:cat>
          <c:val>
            <c:numRef>
              <c:f>Scripts!$B$3:$B$47</c:f>
              <c:numCache>
                <c:formatCode>General</c:formatCode>
                <c:ptCount val="45"/>
                <c:pt idx="10">
                  <c:v>11</c:v>
                </c:pt>
                <c:pt idx="11">
                  <c:v>336</c:v>
                </c:pt>
                <c:pt idx="12">
                  <c:v>597</c:v>
                </c:pt>
                <c:pt idx="13">
                  <c:v>923</c:v>
                </c:pt>
                <c:pt idx="14">
                  <c:v>1164</c:v>
                </c:pt>
                <c:pt idx="15">
                  <c:v>1511</c:v>
                </c:pt>
                <c:pt idx="16">
                  <c:v>1784</c:v>
                </c:pt>
                <c:pt idx="17">
                  <c:v>2169</c:v>
                </c:pt>
                <c:pt idx="18">
                  <c:v>2187</c:v>
                </c:pt>
                <c:pt idx="19">
                  <c:v>2522</c:v>
                </c:pt>
                <c:pt idx="20">
                  <c:v>2697</c:v>
                </c:pt>
                <c:pt idx="21">
                  <c:v>3027</c:v>
                </c:pt>
                <c:pt idx="22">
                  <c:v>3032</c:v>
                </c:pt>
                <c:pt idx="23">
                  <c:v>3261</c:v>
                </c:pt>
                <c:pt idx="24">
                  <c:v>3360</c:v>
                </c:pt>
                <c:pt idx="25">
                  <c:v>3520</c:v>
                </c:pt>
                <c:pt idx="26">
                  <c:v>3430</c:v>
                </c:pt>
                <c:pt idx="27">
                  <c:v>3698</c:v>
                </c:pt>
                <c:pt idx="28">
                  <c:v>3847</c:v>
                </c:pt>
                <c:pt idx="29">
                  <c:v>4163</c:v>
                </c:pt>
                <c:pt idx="30">
                  <c:v>4070</c:v>
                </c:pt>
                <c:pt idx="31">
                  <c:v>4372</c:v>
                </c:pt>
                <c:pt idx="32">
                  <c:v>4449</c:v>
                </c:pt>
                <c:pt idx="33">
                  <c:v>4767</c:v>
                </c:pt>
                <c:pt idx="34">
                  <c:v>4724</c:v>
                </c:pt>
                <c:pt idx="35">
                  <c:v>5022</c:v>
                </c:pt>
                <c:pt idx="36">
                  <c:v>5234</c:v>
                </c:pt>
                <c:pt idx="37">
                  <c:v>5541</c:v>
                </c:pt>
                <c:pt idx="38">
                  <c:v>5392</c:v>
                </c:pt>
                <c:pt idx="39">
                  <c:v>5995</c:v>
                </c:pt>
                <c:pt idx="40">
                  <c:v>6314</c:v>
                </c:pt>
                <c:pt idx="41">
                  <c:v>6891</c:v>
                </c:pt>
                <c:pt idx="42">
                  <c:v>6517</c:v>
                </c:pt>
                <c:pt idx="43" formatCode="_-* #,##0_-;\-* #,##0_-;_-* &quot;-&quot;??_-;_-@_-">
                  <c:v>6960</c:v>
                </c:pt>
                <c:pt idx="44" formatCode="_-* #,##0_-;\-* #,##0_-;_-* &quot;-&quot;??_-;_-@_-">
                  <c:v>7108</c:v>
                </c:pt>
              </c:numCache>
            </c:numRef>
          </c:val>
          <c:smooth val="0"/>
        </c:ser>
        <c:ser>
          <c:idx val="1"/>
          <c:order val="1"/>
          <c:tx>
            <c:strRef>
              <c:f>Scripts!$C$2</c:f>
              <c:strCache>
                <c:ptCount val="1"/>
                <c:pt idx="0">
                  <c:v>Etanercept</c:v>
                </c:pt>
              </c:strCache>
            </c:strRef>
          </c:tx>
          <c:marker>
            <c:symbol val="none"/>
          </c:marker>
          <c:cat>
            <c:strRef>
              <c:f>Scripts!$A$3:$A$47</c:f>
              <c:strCache>
                <c:ptCount val="45"/>
                <c:pt idx="0">
                  <c:v>2004 Q3</c:v>
                </c:pt>
                <c:pt idx="1">
                  <c:v>2004 Q4</c:v>
                </c:pt>
                <c:pt idx="2">
                  <c:v>2005 Q1</c:v>
                </c:pt>
                <c:pt idx="3">
                  <c:v>2005 Q2</c:v>
                </c:pt>
                <c:pt idx="4">
                  <c:v>2005 Q3</c:v>
                </c:pt>
                <c:pt idx="5">
                  <c:v>2005 Q4</c:v>
                </c:pt>
                <c:pt idx="6">
                  <c:v>2006 Q1</c:v>
                </c:pt>
                <c:pt idx="7">
                  <c:v>2006 Q2</c:v>
                </c:pt>
                <c:pt idx="8">
                  <c:v>2006 Q3</c:v>
                </c:pt>
                <c:pt idx="9">
                  <c:v>2006 Q4</c:v>
                </c:pt>
                <c:pt idx="10">
                  <c:v>2007 Q1</c:v>
                </c:pt>
                <c:pt idx="11">
                  <c:v>2007 Q2</c:v>
                </c:pt>
                <c:pt idx="12">
                  <c:v>2007 Q3</c:v>
                </c:pt>
                <c:pt idx="13">
                  <c:v>2007 Q4</c:v>
                </c:pt>
                <c:pt idx="14">
                  <c:v>2008 Q1</c:v>
                </c:pt>
                <c:pt idx="15">
                  <c:v>2008 Q2</c:v>
                </c:pt>
                <c:pt idx="16">
                  <c:v>2008 Q3</c:v>
                </c:pt>
                <c:pt idx="17">
                  <c:v>2008 Q4</c:v>
                </c:pt>
                <c:pt idx="18">
                  <c:v>2009 Q1</c:v>
                </c:pt>
                <c:pt idx="19">
                  <c:v>2009 Q2</c:v>
                </c:pt>
                <c:pt idx="20">
                  <c:v>2009 Q3</c:v>
                </c:pt>
                <c:pt idx="21">
                  <c:v>2009 Q4</c:v>
                </c:pt>
                <c:pt idx="22">
                  <c:v>2010 Q1</c:v>
                </c:pt>
                <c:pt idx="23">
                  <c:v>2010 Q2</c:v>
                </c:pt>
                <c:pt idx="24">
                  <c:v>2010 Q3</c:v>
                </c:pt>
                <c:pt idx="25">
                  <c:v>2010 Q4</c:v>
                </c:pt>
                <c:pt idx="26">
                  <c:v>2011 Q1</c:v>
                </c:pt>
                <c:pt idx="27">
                  <c:v>2011 Q2</c:v>
                </c:pt>
                <c:pt idx="28">
                  <c:v>2011 Q3</c:v>
                </c:pt>
                <c:pt idx="29">
                  <c:v>2011 Q4</c:v>
                </c:pt>
                <c:pt idx="30">
                  <c:v>2012 Q1</c:v>
                </c:pt>
                <c:pt idx="31">
                  <c:v>2012 Q2</c:v>
                </c:pt>
                <c:pt idx="32">
                  <c:v>2012 Q3</c:v>
                </c:pt>
                <c:pt idx="33">
                  <c:v>2012 Q4</c:v>
                </c:pt>
                <c:pt idx="34">
                  <c:v>2013 Q1</c:v>
                </c:pt>
                <c:pt idx="35">
                  <c:v>2013 Q2</c:v>
                </c:pt>
                <c:pt idx="36">
                  <c:v>2013 Q3</c:v>
                </c:pt>
                <c:pt idx="37">
                  <c:v>2013 Q4</c:v>
                </c:pt>
                <c:pt idx="38">
                  <c:v>2014 Q1</c:v>
                </c:pt>
                <c:pt idx="39">
                  <c:v>2014 Q2</c:v>
                </c:pt>
                <c:pt idx="40">
                  <c:v>2014 Q3</c:v>
                </c:pt>
                <c:pt idx="41">
                  <c:v>2014 Q4</c:v>
                </c:pt>
                <c:pt idx="42">
                  <c:v>2015 Q1</c:v>
                </c:pt>
                <c:pt idx="43">
                  <c:v>2015 Q2</c:v>
                </c:pt>
                <c:pt idx="44">
                  <c:v>2015 Q3</c:v>
                </c:pt>
              </c:strCache>
            </c:strRef>
          </c:cat>
          <c:val>
            <c:numRef>
              <c:f>Scripts!$C$3:$C$47</c:f>
              <c:numCache>
                <c:formatCode>General</c:formatCode>
                <c:ptCount val="45"/>
                <c:pt idx="3">
                  <c:v>184</c:v>
                </c:pt>
                <c:pt idx="4">
                  <c:v>652</c:v>
                </c:pt>
                <c:pt idx="5">
                  <c:v>1058</c:v>
                </c:pt>
                <c:pt idx="6">
                  <c:v>1040</c:v>
                </c:pt>
                <c:pt idx="7">
                  <c:v>1081</c:v>
                </c:pt>
                <c:pt idx="8">
                  <c:v>1078</c:v>
                </c:pt>
                <c:pt idx="9">
                  <c:v>1245</c:v>
                </c:pt>
                <c:pt idx="10">
                  <c:v>1392</c:v>
                </c:pt>
                <c:pt idx="11">
                  <c:v>1477</c:v>
                </c:pt>
                <c:pt idx="12">
                  <c:v>1595</c:v>
                </c:pt>
                <c:pt idx="13">
                  <c:v>2053</c:v>
                </c:pt>
                <c:pt idx="14">
                  <c:v>2068</c:v>
                </c:pt>
                <c:pt idx="15">
                  <c:v>2515</c:v>
                </c:pt>
                <c:pt idx="16">
                  <c:v>2685</c:v>
                </c:pt>
                <c:pt idx="17">
                  <c:v>2950</c:v>
                </c:pt>
                <c:pt idx="18">
                  <c:v>2715</c:v>
                </c:pt>
                <c:pt idx="19">
                  <c:v>3010</c:v>
                </c:pt>
                <c:pt idx="20">
                  <c:v>3138</c:v>
                </c:pt>
                <c:pt idx="21">
                  <c:v>3370</c:v>
                </c:pt>
                <c:pt idx="22">
                  <c:v>2973</c:v>
                </c:pt>
                <c:pt idx="23">
                  <c:v>2799</c:v>
                </c:pt>
                <c:pt idx="24">
                  <c:v>2793</c:v>
                </c:pt>
                <c:pt idx="25">
                  <c:v>2898</c:v>
                </c:pt>
                <c:pt idx="26">
                  <c:v>2767</c:v>
                </c:pt>
                <c:pt idx="27">
                  <c:v>2915</c:v>
                </c:pt>
                <c:pt idx="28">
                  <c:v>3122</c:v>
                </c:pt>
                <c:pt idx="29">
                  <c:v>3228</c:v>
                </c:pt>
                <c:pt idx="30">
                  <c:v>3099</c:v>
                </c:pt>
                <c:pt idx="31">
                  <c:v>3251</c:v>
                </c:pt>
                <c:pt idx="32">
                  <c:v>3328</c:v>
                </c:pt>
                <c:pt idx="33">
                  <c:v>3540</c:v>
                </c:pt>
                <c:pt idx="34">
                  <c:v>3359</c:v>
                </c:pt>
                <c:pt idx="35">
                  <c:v>3610</c:v>
                </c:pt>
                <c:pt idx="36">
                  <c:v>3571</c:v>
                </c:pt>
                <c:pt idx="37">
                  <c:v>3799</c:v>
                </c:pt>
                <c:pt idx="38">
                  <c:v>3543</c:v>
                </c:pt>
                <c:pt idx="39">
                  <c:v>3809</c:v>
                </c:pt>
                <c:pt idx="40">
                  <c:v>3806</c:v>
                </c:pt>
                <c:pt idx="41">
                  <c:v>3944</c:v>
                </c:pt>
                <c:pt idx="42">
                  <c:v>3763</c:v>
                </c:pt>
                <c:pt idx="43" formatCode="_-* #,##0_-;\-* #,##0_-;_-* &quot;-&quot;??_-;_-@_-">
                  <c:v>4057</c:v>
                </c:pt>
                <c:pt idx="44" formatCode="_-* #,##0_-;\-* #,##0_-;_-* &quot;-&quot;??_-;_-@_-">
                  <c:v>4080</c:v>
                </c:pt>
              </c:numCache>
            </c:numRef>
          </c:val>
          <c:smooth val="0"/>
        </c:ser>
        <c:ser>
          <c:idx val="2"/>
          <c:order val="2"/>
          <c:tx>
            <c:strRef>
              <c:f>Scripts!$D$2</c:f>
              <c:strCache>
                <c:ptCount val="1"/>
                <c:pt idx="0">
                  <c:v>Golimumab</c:v>
                </c:pt>
              </c:strCache>
            </c:strRef>
          </c:tx>
          <c:marker>
            <c:symbol val="none"/>
          </c:marker>
          <c:cat>
            <c:strRef>
              <c:f>Scripts!$A$3:$A$47</c:f>
              <c:strCache>
                <c:ptCount val="45"/>
                <c:pt idx="0">
                  <c:v>2004 Q3</c:v>
                </c:pt>
                <c:pt idx="1">
                  <c:v>2004 Q4</c:v>
                </c:pt>
                <c:pt idx="2">
                  <c:v>2005 Q1</c:v>
                </c:pt>
                <c:pt idx="3">
                  <c:v>2005 Q2</c:v>
                </c:pt>
                <c:pt idx="4">
                  <c:v>2005 Q3</c:v>
                </c:pt>
                <c:pt idx="5">
                  <c:v>2005 Q4</c:v>
                </c:pt>
                <c:pt idx="6">
                  <c:v>2006 Q1</c:v>
                </c:pt>
                <c:pt idx="7">
                  <c:v>2006 Q2</c:v>
                </c:pt>
                <c:pt idx="8">
                  <c:v>2006 Q3</c:v>
                </c:pt>
                <c:pt idx="9">
                  <c:v>2006 Q4</c:v>
                </c:pt>
                <c:pt idx="10">
                  <c:v>2007 Q1</c:v>
                </c:pt>
                <c:pt idx="11">
                  <c:v>2007 Q2</c:v>
                </c:pt>
                <c:pt idx="12">
                  <c:v>2007 Q3</c:v>
                </c:pt>
                <c:pt idx="13">
                  <c:v>2007 Q4</c:v>
                </c:pt>
                <c:pt idx="14">
                  <c:v>2008 Q1</c:v>
                </c:pt>
                <c:pt idx="15">
                  <c:v>2008 Q2</c:v>
                </c:pt>
                <c:pt idx="16">
                  <c:v>2008 Q3</c:v>
                </c:pt>
                <c:pt idx="17">
                  <c:v>2008 Q4</c:v>
                </c:pt>
                <c:pt idx="18">
                  <c:v>2009 Q1</c:v>
                </c:pt>
                <c:pt idx="19">
                  <c:v>2009 Q2</c:v>
                </c:pt>
                <c:pt idx="20">
                  <c:v>2009 Q3</c:v>
                </c:pt>
                <c:pt idx="21">
                  <c:v>2009 Q4</c:v>
                </c:pt>
                <c:pt idx="22">
                  <c:v>2010 Q1</c:v>
                </c:pt>
                <c:pt idx="23">
                  <c:v>2010 Q2</c:v>
                </c:pt>
                <c:pt idx="24">
                  <c:v>2010 Q3</c:v>
                </c:pt>
                <c:pt idx="25">
                  <c:v>2010 Q4</c:v>
                </c:pt>
                <c:pt idx="26">
                  <c:v>2011 Q1</c:v>
                </c:pt>
                <c:pt idx="27">
                  <c:v>2011 Q2</c:v>
                </c:pt>
                <c:pt idx="28">
                  <c:v>2011 Q3</c:v>
                </c:pt>
                <c:pt idx="29">
                  <c:v>2011 Q4</c:v>
                </c:pt>
                <c:pt idx="30">
                  <c:v>2012 Q1</c:v>
                </c:pt>
                <c:pt idx="31">
                  <c:v>2012 Q2</c:v>
                </c:pt>
                <c:pt idx="32">
                  <c:v>2012 Q3</c:v>
                </c:pt>
                <c:pt idx="33">
                  <c:v>2012 Q4</c:v>
                </c:pt>
                <c:pt idx="34">
                  <c:v>2013 Q1</c:v>
                </c:pt>
                <c:pt idx="35">
                  <c:v>2013 Q2</c:v>
                </c:pt>
                <c:pt idx="36">
                  <c:v>2013 Q3</c:v>
                </c:pt>
                <c:pt idx="37">
                  <c:v>2013 Q4</c:v>
                </c:pt>
                <c:pt idx="38">
                  <c:v>2014 Q1</c:v>
                </c:pt>
                <c:pt idx="39">
                  <c:v>2014 Q2</c:v>
                </c:pt>
                <c:pt idx="40">
                  <c:v>2014 Q3</c:v>
                </c:pt>
                <c:pt idx="41">
                  <c:v>2014 Q4</c:v>
                </c:pt>
                <c:pt idx="42">
                  <c:v>2015 Q1</c:v>
                </c:pt>
                <c:pt idx="43">
                  <c:v>2015 Q2</c:v>
                </c:pt>
                <c:pt idx="44">
                  <c:v>2015 Q3</c:v>
                </c:pt>
              </c:strCache>
            </c:strRef>
          </c:cat>
          <c:val>
            <c:numRef>
              <c:f>Scripts!$D$3:$D$47</c:f>
              <c:numCache>
                <c:formatCode>General</c:formatCode>
                <c:ptCount val="45"/>
                <c:pt idx="24">
                  <c:v>144</c:v>
                </c:pt>
                <c:pt idx="25">
                  <c:v>678</c:v>
                </c:pt>
                <c:pt idx="26">
                  <c:v>820</c:v>
                </c:pt>
                <c:pt idx="27">
                  <c:v>967</c:v>
                </c:pt>
                <c:pt idx="28">
                  <c:v>1099</c:v>
                </c:pt>
                <c:pt idx="29">
                  <c:v>1207</c:v>
                </c:pt>
                <c:pt idx="30">
                  <c:v>1278</c:v>
                </c:pt>
                <c:pt idx="31">
                  <c:v>1423</c:v>
                </c:pt>
                <c:pt idx="32">
                  <c:v>1549</c:v>
                </c:pt>
                <c:pt idx="33">
                  <c:v>1730</c:v>
                </c:pt>
                <c:pt idx="34">
                  <c:v>1771</c:v>
                </c:pt>
                <c:pt idx="35">
                  <c:v>2016</c:v>
                </c:pt>
                <c:pt idx="36">
                  <c:v>2125</c:v>
                </c:pt>
                <c:pt idx="37">
                  <c:v>2387</c:v>
                </c:pt>
                <c:pt idx="38">
                  <c:v>2382</c:v>
                </c:pt>
                <c:pt idx="39">
                  <c:v>2591</c:v>
                </c:pt>
                <c:pt idx="40">
                  <c:v>2837</c:v>
                </c:pt>
                <c:pt idx="41">
                  <c:v>3057</c:v>
                </c:pt>
                <c:pt idx="42">
                  <c:v>2981</c:v>
                </c:pt>
                <c:pt idx="43" formatCode="_-* #,##0_-;\-* #,##0_-;_-* &quot;-&quot;??_-;_-@_-">
                  <c:v>3196</c:v>
                </c:pt>
                <c:pt idx="44" formatCode="_-* #,##0_-;\-* #,##0_-;_-* &quot;-&quot;??_-;_-@_-">
                  <c:v>3298</c:v>
                </c:pt>
              </c:numCache>
            </c:numRef>
          </c:val>
          <c:smooth val="0"/>
        </c:ser>
        <c:ser>
          <c:idx val="3"/>
          <c:order val="3"/>
          <c:tx>
            <c:strRef>
              <c:f>Scripts!$E$2</c:f>
              <c:strCache>
                <c:ptCount val="1"/>
                <c:pt idx="0">
                  <c:v>Infliximab - Public Hosptial Estimate</c:v>
                </c:pt>
              </c:strCache>
            </c:strRef>
          </c:tx>
          <c:marker>
            <c:symbol val="none"/>
          </c:marker>
          <c:cat>
            <c:strRef>
              <c:f>Scripts!$A$3:$A$47</c:f>
              <c:strCache>
                <c:ptCount val="45"/>
                <c:pt idx="0">
                  <c:v>2004 Q3</c:v>
                </c:pt>
                <c:pt idx="1">
                  <c:v>2004 Q4</c:v>
                </c:pt>
                <c:pt idx="2">
                  <c:v>2005 Q1</c:v>
                </c:pt>
                <c:pt idx="3">
                  <c:v>2005 Q2</c:v>
                </c:pt>
                <c:pt idx="4">
                  <c:v>2005 Q3</c:v>
                </c:pt>
                <c:pt idx="5">
                  <c:v>2005 Q4</c:v>
                </c:pt>
                <c:pt idx="6">
                  <c:v>2006 Q1</c:v>
                </c:pt>
                <c:pt idx="7">
                  <c:v>2006 Q2</c:v>
                </c:pt>
                <c:pt idx="8">
                  <c:v>2006 Q3</c:v>
                </c:pt>
                <c:pt idx="9">
                  <c:v>2006 Q4</c:v>
                </c:pt>
                <c:pt idx="10">
                  <c:v>2007 Q1</c:v>
                </c:pt>
                <c:pt idx="11">
                  <c:v>2007 Q2</c:v>
                </c:pt>
                <c:pt idx="12">
                  <c:v>2007 Q3</c:v>
                </c:pt>
                <c:pt idx="13">
                  <c:v>2007 Q4</c:v>
                </c:pt>
                <c:pt idx="14">
                  <c:v>2008 Q1</c:v>
                </c:pt>
                <c:pt idx="15">
                  <c:v>2008 Q2</c:v>
                </c:pt>
                <c:pt idx="16">
                  <c:v>2008 Q3</c:v>
                </c:pt>
                <c:pt idx="17">
                  <c:v>2008 Q4</c:v>
                </c:pt>
                <c:pt idx="18">
                  <c:v>2009 Q1</c:v>
                </c:pt>
                <c:pt idx="19">
                  <c:v>2009 Q2</c:v>
                </c:pt>
                <c:pt idx="20">
                  <c:v>2009 Q3</c:v>
                </c:pt>
                <c:pt idx="21">
                  <c:v>2009 Q4</c:v>
                </c:pt>
                <c:pt idx="22">
                  <c:v>2010 Q1</c:v>
                </c:pt>
                <c:pt idx="23">
                  <c:v>2010 Q2</c:v>
                </c:pt>
                <c:pt idx="24">
                  <c:v>2010 Q3</c:v>
                </c:pt>
                <c:pt idx="25">
                  <c:v>2010 Q4</c:v>
                </c:pt>
                <c:pt idx="26">
                  <c:v>2011 Q1</c:v>
                </c:pt>
                <c:pt idx="27">
                  <c:v>2011 Q2</c:v>
                </c:pt>
                <c:pt idx="28">
                  <c:v>2011 Q3</c:v>
                </c:pt>
                <c:pt idx="29">
                  <c:v>2011 Q4</c:v>
                </c:pt>
                <c:pt idx="30">
                  <c:v>2012 Q1</c:v>
                </c:pt>
                <c:pt idx="31">
                  <c:v>2012 Q2</c:v>
                </c:pt>
                <c:pt idx="32">
                  <c:v>2012 Q3</c:v>
                </c:pt>
                <c:pt idx="33">
                  <c:v>2012 Q4</c:v>
                </c:pt>
                <c:pt idx="34">
                  <c:v>2013 Q1</c:v>
                </c:pt>
                <c:pt idx="35">
                  <c:v>2013 Q2</c:v>
                </c:pt>
                <c:pt idx="36">
                  <c:v>2013 Q3</c:v>
                </c:pt>
                <c:pt idx="37">
                  <c:v>2013 Q4</c:v>
                </c:pt>
                <c:pt idx="38">
                  <c:v>2014 Q1</c:v>
                </c:pt>
                <c:pt idx="39">
                  <c:v>2014 Q2</c:v>
                </c:pt>
                <c:pt idx="40">
                  <c:v>2014 Q3</c:v>
                </c:pt>
                <c:pt idx="41">
                  <c:v>2014 Q4</c:v>
                </c:pt>
                <c:pt idx="42">
                  <c:v>2015 Q1</c:v>
                </c:pt>
                <c:pt idx="43">
                  <c:v>2015 Q2</c:v>
                </c:pt>
                <c:pt idx="44">
                  <c:v>2015 Q3</c:v>
                </c:pt>
              </c:strCache>
            </c:strRef>
          </c:cat>
          <c:val>
            <c:numRef>
              <c:f>Scripts!$E$3:$E$47</c:f>
              <c:numCache>
                <c:formatCode>0</c:formatCode>
                <c:ptCount val="45"/>
                <c:pt idx="1">
                  <c:v>14.272295191466133</c:v>
                </c:pt>
                <c:pt idx="2">
                  <c:v>104.73668932814378</c:v>
                </c:pt>
                <c:pt idx="3">
                  <c:v>124.71790259619637</c:v>
                </c:pt>
                <c:pt idx="4">
                  <c:v>128.23108295101881</c:v>
                </c:pt>
                <c:pt idx="5">
                  <c:v>156.99524710612747</c:v>
                </c:pt>
                <c:pt idx="6">
                  <c:v>155.01908315653984</c:v>
                </c:pt>
                <c:pt idx="7">
                  <c:v>139.86849287636809</c:v>
                </c:pt>
                <c:pt idx="8">
                  <c:v>177.85475546288566</c:v>
                </c:pt>
                <c:pt idx="9">
                  <c:v>173.24370624718122</c:v>
                </c:pt>
                <c:pt idx="10">
                  <c:v>204.64275566840672</c:v>
                </c:pt>
                <c:pt idx="11">
                  <c:v>217.37803445463803</c:v>
                </c:pt>
                <c:pt idx="12">
                  <c:v>219.57377217640206</c:v>
                </c:pt>
                <c:pt idx="13">
                  <c:v>235.60265754527941</c:v>
                </c:pt>
                <c:pt idx="14">
                  <c:v>241.53114939404225</c:v>
                </c:pt>
                <c:pt idx="15">
                  <c:v>278.41954311967783</c:v>
                </c:pt>
                <c:pt idx="16">
                  <c:v>286.98292023455747</c:v>
                </c:pt>
                <c:pt idx="17">
                  <c:v>275.34551030920818</c:v>
                </c:pt>
                <c:pt idx="18">
                  <c:v>308.2815761356685</c:v>
                </c:pt>
                <c:pt idx="19">
                  <c:v>317.94282211143019</c:v>
                </c:pt>
                <c:pt idx="20">
                  <c:v>403.79616703240339</c:v>
                </c:pt>
                <c:pt idx="21">
                  <c:v>438.04967549192207</c:v>
                </c:pt>
                <c:pt idx="22">
                  <c:v>414.11613432469426</c:v>
                </c:pt>
                <c:pt idx="23">
                  <c:v>452.76111822774101</c:v>
                </c:pt>
                <c:pt idx="24">
                  <c:v>542.56679104788952</c:v>
                </c:pt>
                <c:pt idx="25">
                  <c:v>701.53820210360459</c:v>
                </c:pt>
                <c:pt idx="26">
                  <c:v>821.86462925627291</c:v>
                </c:pt>
                <c:pt idx="27">
                  <c:v>866.21853123590608</c:v>
                </c:pt>
                <c:pt idx="28">
                  <c:v>929.23620385053346</c:v>
                </c:pt>
                <c:pt idx="29">
                  <c:v>894.76312161883834</c:v>
                </c:pt>
                <c:pt idx="30">
                  <c:v>874.56233457860935</c:v>
                </c:pt>
                <c:pt idx="31">
                  <c:v>854.5811213105568</c:v>
                </c:pt>
                <c:pt idx="32">
                  <c:v>862.92492465326006</c:v>
                </c:pt>
                <c:pt idx="33">
                  <c:v>884.66272809872385</c:v>
                </c:pt>
                <c:pt idx="34">
                  <c:v>836.57607199209178</c:v>
                </c:pt>
                <c:pt idx="35">
                  <c:v>895.42184293536752</c:v>
                </c:pt>
              </c:numCache>
            </c:numRef>
          </c:val>
          <c:smooth val="0"/>
        </c:ser>
        <c:ser>
          <c:idx val="4"/>
          <c:order val="4"/>
          <c:tx>
            <c:strRef>
              <c:f>Scripts!$F$2</c:f>
              <c:strCache>
                <c:ptCount val="1"/>
                <c:pt idx="0">
                  <c:v>Infliximab - Public Hospital</c:v>
                </c:pt>
              </c:strCache>
            </c:strRef>
          </c:tx>
          <c:marker>
            <c:symbol val="none"/>
          </c:marker>
          <c:cat>
            <c:strRef>
              <c:f>Scripts!$A$3:$A$47</c:f>
              <c:strCache>
                <c:ptCount val="45"/>
                <c:pt idx="0">
                  <c:v>2004 Q3</c:v>
                </c:pt>
                <c:pt idx="1">
                  <c:v>2004 Q4</c:v>
                </c:pt>
                <c:pt idx="2">
                  <c:v>2005 Q1</c:v>
                </c:pt>
                <c:pt idx="3">
                  <c:v>2005 Q2</c:v>
                </c:pt>
                <c:pt idx="4">
                  <c:v>2005 Q3</c:v>
                </c:pt>
                <c:pt idx="5">
                  <c:v>2005 Q4</c:v>
                </c:pt>
                <c:pt idx="6">
                  <c:v>2006 Q1</c:v>
                </c:pt>
                <c:pt idx="7">
                  <c:v>2006 Q2</c:v>
                </c:pt>
                <c:pt idx="8">
                  <c:v>2006 Q3</c:v>
                </c:pt>
                <c:pt idx="9">
                  <c:v>2006 Q4</c:v>
                </c:pt>
                <c:pt idx="10">
                  <c:v>2007 Q1</c:v>
                </c:pt>
                <c:pt idx="11">
                  <c:v>2007 Q2</c:v>
                </c:pt>
                <c:pt idx="12">
                  <c:v>2007 Q3</c:v>
                </c:pt>
                <c:pt idx="13">
                  <c:v>2007 Q4</c:v>
                </c:pt>
                <c:pt idx="14">
                  <c:v>2008 Q1</c:v>
                </c:pt>
                <c:pt idx="15">
                  <c:v>2008 Q2</c:v>
                </c:pt>
                <c:pt idx="16">
                  <c:v>2008 Q3</c:v>
                </c:pt>
                <c:pt idx="17">
                  <c:v>2008 Q4</c:v>
                </c:pt>
                <c:pt idx="18">
                  <c:v>2009 Q1</c:v>
                </c:pt>
                <c:pt idx="19">
                  <c:v>2009 Q2</c:v>
                </c:pt>
                <c:pt idx="20">
                  <c:v>2009 Q3</c:v>
                </c:pt>
                <c:pt idx="21">
                  <c:v>2009 Q4</c:v>
                </c:pt>
                <c:pt idx="22">
                  <c:v>2010 Q1</c:v>
                </c:pt>
                <c:pt idx="23">
                  <c:v>2010 Q2</c:v>
                </c:pt>
                <c:pt idx="24">
                  <c:v>2010 Q3</c:v>
                </c:pt>
                <c:pt idx="25">
                  <c:v>2010 Q4</c:v>
                </c:pt>
                <c:pt idx="26">
                  <c:v>2011 Q1</c:v>
                </c:pt>
                <c:pt idx="27">
                  <c:v>2011 Q2</c:v>
                </c:pt>
                <c:pt idx="28">
                  <c:v>2011 Q3</c:v>
                </c:pt>
                <c:pt idx="29">
                  <c:v>2011 Q4</c:v>
                </c:pt>
                <c:pt idx="30">
                  <c:v>2012 Q1</c:v>
                </c:pt>
                <c:pt idx="31">
                  <c:v>2012 Q2</c:v>
                </c:pt>
                <c:pt idx="32">
                  <c:v>2012 Q3</c:v>
                </c:pt>
                <c:pt idx="33">
                  <c:v>2012 Q4</c:v>
                </c:pt>
                <c:pt idx="34">
                  <c:v>2013 Q1</c:v>
                </c:pt>
                <c:pt idx="35">
                  <c:v>2013 Q2</c:v>
                </c:pt>
                <c:pt idx="36">
                  <c:v>2013 Q3</c:v>
                </c:pt>
                <c:pt idx="37">
                  <c:v>2013 Q4</c:v>
                </c:pt>
                <c:pt idx="38">
                  <c:v>2014 Q1</c:v>
                </c:pt>
                <c:pt idx="39">
                  <c:v>2014 Q2</c:v>
                </c:pt>
                <c:pt idx="40">
                  <c:v>2014 Q3</c:v>
                </c:pt>
                <c:pt idx="41">
                  <c:v>2014 Q4</c:v>
                </c:pt>
                <c:pt idx="42">
                  <c:v>2015 Q1</c:v>
                </c:pt>
                <c:pt idx="43">
                  <c:v>2015 Q2</c:v>
                </c:pt>
                <c:pt idx="44">
                  <c:v>2015 Q3</c:v>
                </c:pt>
              </c:strCache>
            </c:strRef>
          </c:cat>
          <c:val>
            <c:numRef>
              <c:f>Scripts!$F$3:$F$47</c:f>
              <c:numCache>
                <c:formatCode>General</c:formatCode>
                <c:ptCount val="45"/>
                <c:pt idx="36">
                  <c:v>912</c:v>
                </c:pt>
                <c:pt idx="37">
                  <c:v>861</c:v>
                </c:pt>
                <c:pt idx="38">
                  <c:v>862</c:v>
                </c:pt>
                <c:pt idx="39">
                  <c:v>877</c:v>
                </c:pt>
                <c:pt idx="40">
                  <c:v>905</c:v>
                </c:pt>
                <c:pt idx="41">
                  <c:v>911</c:v>
                </c:pt>
                <c:pt idx="42">
                  <c:v>883</c:v>
                </c:pt>
                <c:pt idx="43" formatCode="_-* #,##0_-;\-* #,##0_-;_-* &quot;-&quot;??_-;_-@_-">
                  <c:v>938</c:v>
                </c:pt>
                <c:pt idx="44" formatCode="_-* #,##0_-;\-* #,##0_-;_-* &quot;-&quot;??_-;_-@_-">
                  <c:v>890</c:v>
                </c:pt>
              </c:numCache>
            </c:numRef>
          </c:val>
          <c:smooth val="0"/>
        </c:ser>
        <c:ser>
          <c:idx val="5"/>
          <c:order val="5"/>
          <c:tx>
            <c:strRef>
              <c:f>Scripts!$G$2</c:f>
              <c:strCache>
                <c:ptCount val="1"/>
                <c:pt idx="0">
                  <c:v>Infliximab - Private Hospital</c:v>
                </c:pt>
              </c:strCache>
            </c:strRef>
          </c:tx>
          <c:marker>
            <c:symbol val="none"/>
          </c:marker>
          <c:cat>
            <c:strRef>
              <c:f>Scripts!$A$3:$A$47</c:f>
              <c:strCache>
                <c:ptCount val="45"/>
                <c:pt idx="0">
                  <c:v>2004 Q3</c:v>
                </c:pt>
                <c:pt idx="1">
                  <c:v>2004 Q4</c:v>
                </c:pt>
                <c:pt idx="2">
                  <c:v>2005 Q1</c:v>
                </c:pt>
                <c:pt idx="3">
                  <c:v>2005 Q2</c:v>
                </c:pt>
                <c:pt idx="4">
                  <c:v>2005 Q3</c:v>
                </c:pt>
                <c:pt idx="5">
                  <c:v>2005 Q4</c:v>
                </c:pt>
                <c:pt idx="6">
                  <c:v>2006 Q1</c:v>
                </c:pt>
                <c:pt idx="7">
                  <c:v>2006 Q2</c:v>
                </c:pt>
                <c:pt idx="8">
                  <c:v>2006 Q3</c:v>
                </c:pt>
                <c:pt idx="9">
                  <c:v>2006 Q4</c:v>
                </c:pt>
                <c:pt idx="10">
                  <c:v>2007 Q1</c:v>
                </c:pt>
                <c:pt idx="11">
                  <c:v>2007 Q2</c:v>
                </c:pt>
                <c:pt idx="12">
                  <c:v>2007 Q3</c:v>
                </c:pt>
                <c:pt idx="13">
                  <c:v>2007 Q4</c:v>
                </c:pt>
                <c:pt idx="14">
                  <c:v>2008 Q1</c:v>
                </c:pt>
                <c:pt idx="15">
                  <c:v>2008 Q2</c:v>
                </c:pt>
                <c:pt idx="16">
                  <c:v>2008 Q3</c:v>
                </c:pt>
                <c:pt idx="17">
                  <c:v>2008 Q4</c:v>
                </c:pt>
                <c:pt idx="18">
                  <c:v>2009 Q1</c:v>
                </c:pt>
                <c:pt idx="19">
                  <c:v>2009 Q2</c:v>
                </c:pt>
                <c:pt idx="20">
                  <c:v>2009 Q3</c:v>
                </c:pt>
                <c:pt idx="21">
                  <c:v>2009 Q4</c:v>
                </c:pt>
                <c:pt idx="22">
                  <c:v>2010 Q1</c:v>
                </c:pt>
                <c:pt idx="23">
                  <c:v>2010 Q2</c:v>
                </c:pt>
                <c:pt idx="24">
                  <c:v>2010 Q3</c:v>
                </c:pt>
                <c:pt idx="25">
                  <c:v>2010 Q4</c:v>
                </c:pt>
                <c:pt idx="26">
                  <c:v>2011 Q1</c:v>
                </c:pt>
                <c:pt idx="27">
                  <c:v>2011 Q2</c:v>
                </c:pt>
                <c:pt idx="28">
                  <c:v>2011 Q3</c:v>
                </c:pt>
                <c:pt idx="29">
                  <c:v>2011 Q4</c:v>
                </c:pt>
                <c:pt idx="30">
                  <c:v>2012 Q1</c:v>
                </c:pt>
                <c:pt idx="31">
                  <c:v>2012 Q2</c:v>
                </c:pt>
                <c:pt idx="32">
                  <c:v>2012 Q3</c:v>
                </c:pt>
                <c:pt idx="33">
                  <c:v>2012 Q4</c:v>
                </c:pt>
                <c:pt idx="34">
                  <c:v>2013 Q1</c:v>
                </c:pt>
                <c:pt idx="35">
                  <c:v>2013 Q2</c:v>
                </c:pt>
                <c:pt idx="36">
                  <c:v>2013 Q3</c:v>
                </c:pt>
                <c:pt idx="37">
                  <c:v>2013 Q4</c:v>
                </c:pt>
                <c:pt idx="38">
                  <c:v>2014 Q1</c:v>
                </c:pt>
                <c:pt idx="39">
                  <c:v>2014 Q2</c:v>
                </c:pt>
                <c:pt idx="40">
                  <c:v>2014 Q3</c:v>
                </c:pt>
                <c:pt idx="41">
                  <c:v>2014 Q4</c:v>
                </c:pt>
                <c:pt idx="42">
                  <c:v>2015 Q1</c:v>
                </c:pt>
                <c:pt idx="43">
                  <c:v>2015 Q2</c:v>
                </c:pt>
                <c:pt idx="44">
                  <c:v>2015 Q3</c:v>
                </c:pt>
              </c:strCache>
            </c:strRef>
          </c:cat>
          <c:val>
            <c:numRef>
              <c:f>Scripts!$G$3:$G$47</c:f>
              <c:numCache>
                <c:formatCode>General</c:formatCode>
                <c:ptCount val="45"/>
                <c:pt idx="0">
                  <c:v>44</c:v>
                </c:pt>
                <c:pt idx="1">
                  <c:v>170</c:v>
                </c:pt>
                <c:pt idx="2">
                  <c:v>247</c:v>
                </c:pt>
                <c:pt idx="3">
                  <c:v>345</c:v>
                </c:pt>
                <c:pt idx="4">
                  <c:v>425</c:v>
                </c:pt>
                <c:pt idx="5">
                  <c:v>488</c:v>
                </c:pt>
                <c:pt idx="6">
                  <c:v>439</c:v>
                </c:pt>
                <c:pt idx="7">
                  <c:v>464</c:v>
                </c:pt>
                <c:pt idx="8">
                  <c:v>461</c:v>
                </c:pt>
                <c:pt idx="9">
                  <c:v>534</c:v>
                </c:pt>
                <c:pt idx="10">
                  <c:v>585</c:v>
                </c:pt>
                <c:pt idx="11">
                  <c:v>628</c:v>
                </c:pt>
                <c:pt idx="12">
                  <c:v>670</c:v>
                </c:pt>
                <c:pt idx="13">
                  <c:v>616</c:v>
                </c:pt>
                <c:pt idx="14">
                  <c:v>606</c:v>
                </c:pt>
                <c:pt idx="15">
                  <c:v>654</c:v>
                </c:pt>
                <c:pt idx="16">
                  <c:v>692</c:v>
                </c:pt>
                <c:pt idx="17">
                  <c:v>726</c:v>
                </c:pt>
                <c:pt idx="18">
                  <c:v>742</c:v>
                </c:pt>
                <c:pt idx="19">
                  <c:v>747</c:v>
                </c:pt>
                <c:pt idx="20">
                  <c:v>737</c:v>
                </c:pt>
                <c:pt idx="21">
                  <c:v>778</c:v>
                </c:pt>
                <c:pt idx="22">
                  <c:v>731</c:v>
                </c:pt>
                <c:pt idx="23">
                  <c:v>738</c:v>
                </c:pt>
                <c:pt idx="24">
                  <c:v>674</c:v>
                </c:pt>
                <c:pt idx="25">
                  <c:v>514</c:v>
                </c:pt>
                <c:pt idx="26">
                  <c:v>384</c:v>
                </c:pt>
                <c:pt idx="27">
                  <c:v>411</c:v>
                </c:pt>
                <c:pt idx="28">
                  <c:v>441</c:v>
                </c:pt>
                <c:pt idx="29">
                  <c:v>453</c:v>
                </c:pt>
                <c:pt idx="30">
                  <c:v>445</c:v>
                </c:pt>
                <c:pt idx="31">
                  <c:v>451</c:v>
                </c:pt>
                <c:pt idx="32">
                  <c:v>450</c:v>
                </c:pt>
                <c:pt idx="33">
                  <c:v>441</c:v>
                </c:pt>
                <c:pt idx="34">
                  <c:v>467</c:v>
                </c:pt>
                <c:pt idx="35">
                  <c:v>472</c:v>
                </c:pt>
                <c:pt idx="36">
                  <c:v>431</c:v>
                </c:pt>
                <c:pt idx="37">
                  <c:v>444</c:v>
                </c:pt>
                <c:pt idx="38">
                  <c:v>413</c:v>
                </c:pt>
                <c:pt idx="39">
                  <c:v>467</c:v>
                </c:pt>
                <c:pt idx="40">
                  <c:v>452</c:v>
                </c:pt>
                <c:pt idx="41">
                  <c:v>425</c:v>
                </c:pt>
                <c:pt idx="42">
                  <c:v>374</c:v>
                </c:pt>
                <c:pt idx="43" formatCode="_-* #,##0_-;\-* #,##0_-;_-* &quot;-&quot;??_-;_-@_-">
                  <c:v>412</c:v>
                </c:pt>
                <c:pt idx="44" formatCode="_-* #,##0_-;\-* #,##0_-;_-* &quot;-&quot;??_-;_-@_-">
                  <c:v>399</c:v>
                </c:pt>
              </c:numCache>
            </c:numRef>
          </c:val>
          <c:smooth val="0"/>
        </c:ser>
        <c:ser>
          <c:idx val="6"/>
          <c:order val="6"/>
          <c:tx>
            <c:strRef>
              <c:f>Scripts!$H$2</c:f>
              <c:strCache>
                <c:ptCount val="1"/>
                <c:pt idx="0">
                  <c:v>Certolizumab Pegol</c:v>
                </c:pt>
              </c:strCache>
            </c:strRef>
          </c:tx>
          <c:marker>
            <c:symbol val="none"/>
          </c:marker>
          <c:cat>
            <c:strRef>
              <c:f>Scripts!$A$3:$A$47</c:f>
              <c:strCache>
                <c:ptCount val="45"/>
                <c:pt idx="0">
                  <c:v>2004 Q3</c:v>
                </c:pt>
                <c:pt idx="1">
                  <c:v>2004 Q4</c:v>
                </c:pt>
                <c:pt idx="2">
                  <c:v>2005 Q1</c:v>
                </c:pt>
                <c:pt idx="3">
                  <c:v>2005 Q2</c:v>
                </c:pt>
                <c:pt idx="4">
                  <c:v>2005 Q3</c:v>
                </c:pt>
                <c:pt idx="5">
                  <c:v>2005 Q4</c:v>
                </c:pt>
                <c:pt idx="6">
                  <c:v>2006 Q1</c:v>
                </c:pt>
                <c:pt idx="7">
                  <c:v>2006 Q2</c:v>
                </c:pt>
                <c:pt idx="8">
                  <c:v>2006 Q3</c:v>
                </c:pt>
                <c:pt idx="9">
                  <c:v>2006 Q4</c:v>
                </c:pt>
                <c:pt idx="10">
                  <c:v>2007 Q1</c:v>
                </c:pt>
                <c:pt idx="11">
                  <c:v>2007 Q2</c:v>
                </c:pt>
                <c:pt idx="12">
                  <c:v>2007 Q3</c:v>
                </c:pt>
                <c:pt idx="13">
                  <c:v>2007 Q4</c:v>
                </c:pt>
                <c:pt idx="14">
                  <c:v>2008 Q1</c:v>
                </c:pt>
                <c:pt idx="15">
                  <c:v>2008 Q2</c:v>
                </c:pt>
                <c:pt idx="16">
                  <c:v>2008 Q3</c:v>
                </c:pt>
                <c:pt idx="17">
                  <c:v>2008 Q4</c:v>
                </c:pt>
                <c:pt idx="18">
                  <c:v>2009 Q1</c:v>
                </c:pt>
                <c:pt idx="19">
                  <c:v>2009 Q2</c:v>
                </c:pt>
                <c:pt idx="20">
                  <c:v>2009 Q3</c:v>
                </c:pt>
                <c:pt idx="21">
                  <c:v>2009 Q4</c:v>
                </c:pt>
                <c:pt idx="22">
                  <c:v>2010 Q1</c:v>
                </c:pt>
                <c:pt idx="23">
                  <c:v>2010 Q2</c:v>
                </c:pt>
                <c:pt idx="24">
                  <c:v>2010 Q3</c:v>
                </c:pt>
                <c:pt idx="25">
                  <c:v>2010 Q4</c:v>
                </c:pt>
                <c:pt idx="26">
                  <c:v>2011 Q1</c:v>
                </c:pt>
                <c:pt idx="27">
                  <c:v>2011 Q2</c:v>
                </c:pt>
                <c:pt idx="28">
                  <c:v>2011 Q3</c:v>
                </c:pt>
                <c:pt idx="29">
                  <c:v>2011 Q4</c:v>
                </c:pt>
                <c:pt idx="30">
                  <c:v>2012 Q1</c:v>
                </c:pt>
                <c:pt idx="31">
                  <c:v>2012 Q2</c:v>
                </c:pt>
                <c:pt idx="32">
                  <c:v>2012 Q3</c:v>
                </c:pt>
                <c:pt idx="33">
                  <c:v>2012 Q4</c:v>
                </c:pt>
                <c:pt idx="34">
                  <c:v>2013 Q1</c:v>
                </c:pt>
                <c:pt idx="35">
                  <c:v>2013 Q2</c:v>
                </c:pt>
                <c:pt idx="36">
                  <c:v>2013 Q3</c:v>
                </c:pt>
                <c:pt idx="37">
                  <c:v>2013 Q4</c:v>
                </c:pt>
                <c:pt idx="38">
                  <c:v>2014 Q1</c:v>
                </c:pt>
                <c:pt idx="39">
                  <c:v>2014 Q2</c:v>
                </c:pt>
                <c:pt idx="40">
                  <c:v>2014 Q3</c:v>
                </c:pt>
                <c:pt idx="41">
                  <c:v>2014 Q4</c:v>
                </c:pt>
                <c:pt idx="42">
                  <c:v>2015 Q1</c:v>
                </c:pt>
                <c:pt idx="43">
                  <c:v>2015 Q2</c:v>
                </c:pt>
                <c:pt idx="44">
                  <c:v>2015 Q3</c:v>
                </c:pt>
              </c:strCache>
            </c:strRef>
          </c:cat>
          <c:val>
            <c:numRef>
              <c:f>Scripts!$H$3:$H$47</c:f>
              <c:numCache>
                <c:formatCode>General</c:formatCode>
                <c:ptCount val="45"/>
                <c:pt idx="40">
                  <c:v>9</c:v>
                </c:pt>
                <c:pt idx="41">
                  <c:v>214</c:v>
                </c:pt>
                <c:pt idx="42">
                  <c:v>360</c:v>
                </c:pt>
                <c:pt idx="43" formatCode="_-* #,##0_-;\-* #,##0_-;_-* &quot;-&quot;??_-;_-@_-">
                  <c:v>468</c:v>
                </c:pt>
                <c:pt idx="44" formatCode="_-* #,##0_-;\-* #,##0_-;_-* &quot;-&quot;??_-;_-@_-">
                  <c:v>630</c:v>
                </c:pt>
              </c:numCache>
            </c:numRef>
          </c:val>
          <c:smooth val="0"/>
        </c:ser>
        <c:dLbls>
          <c:showLegendKey val="0"/>
          <c:showVal val="0"/>
          <c:showCatName val="0"/>
          <c:showSerName val="0"/>
          <c:showPercent val="0"/>
          <c:showBubbleSize val="0"/>
        </c:dLbls>
        <c:marker val="1"/>
        <c:smooth val="0"/>
        <c:axId val="299342080"/>
        <c:axId val="299344256"/>
      </c:lineChart>
      <c:catAx>
        <c:axId val="299342080"/>
        <c:scaling>
          <c:orientation val="minMax"/>
        </c:scaling>
        <c:delete val="0"/>
        <c:axPos val="b"/>
        <c:title>
          <c:tx>
            <c:rich>
              <a:bodyPr/>
              <a:lstStyle/>
              <a:p>
                <a:pPr>
                  <a:defRPr b="0"/>
                </a:pPr>
                <a:r>
                  <a:rPr lang="en-AU" b="0"/>
                  <a:t>Quarter of Supply</a:t>
                </a:r>
              </a:p>
            </c:rich>
          </c:tx>
          <c:layout/>
          <c:overlay val="0"/>
        </c:title>
        <c:majorTickMark val="none"/>
        <c:minorTickMark val="none"/>
        <c:tickLblPos val="nextTo"/>
        <c:txPr>
          <a:bodyPr/>
          <a:lstStyle/>
          <a:p>
            <a:pPr>
              <a:defRPr sz="900"/>
            </a:pPr>
            <a:endParaRPr lang="en-US"/>
          </a:p>
        </c:txPr>
        <c:crossAx val="299344256"/>
        <c:crosses val="autoZero"/>
        <c:auto val="1"/>
        <c:lblAlgn val="ctr"/>
        <c:lblOffset val="100"/>
        <c:noMultiLvlLbl val="0"/>
      </c:catAx>
      <c:valAx>
        <c:axId val="299344256"/>
        <c:scaling>
          <c:orientation val="minMax"/>
        </c:scaling>
        <c:delete val="0"/>
        <c:axPos val="l"/>
        <c:majorGridlines/>
        <c:title>
          <c:tx>
            <c:rich>
              <a:bodyPr rot="-5400000" vert="horz"/>
              <a:lstStyle/>
              <a:p>
                <a:pPr>
                  <a:defRPr/>
                </a:pPr>
                <a:r>
                  <a:rPr lang="en-AU" b="0"/>
                  <a:t>Prescriptions</a:t>
                </a:r>
              </a:p>
            </c:rich>
          </c:tx>
          <c:layout/>
          <c:overlay val="0"/>
        </c:title>
        <c:numFmt formatCode="#,##0" sourceLinked="0"/>
        <c:majorTickMark val="none"/>
        <c:minorTickMark val="none"/>
        <c:tickLblPos val="nextTo"/>
        <c:spPr>
          <a:ln w="9525">
            <a:noFill/>
          </a:ln>
        </c:spPr>
        <c:crossAx val="299342080"/>
        <c:crosses val="autoZero"/>
        <c:crossBetween val="between"/>
      </c:valAx>
    </c:plotArea>
    <c:legend>
      <c:legendPos val="b"/>
      <c:layout>
        <c:manualLayout>
          <c:xMode val="edge"/>
          <c:yMode val="edge"/>
          <c:x val="0.13613836139580915"/>
          <c:y val="0.83409875489701724"/>
          <c:w val="0.75118976964404116"/>
          <c:h val="0.14484491688508819"/>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[D876 - PAT_CNT_BY_DRUG_N_SUPP_Q_SUM2 - by therapy graphs, updated to dop 20.11.15.xlsx]Sheet1 (4)!PivotTable2</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s>
    <c:plotArea>
      <c:layout/>
      <c:lineChart>
        <c:grouping val="standard"/>
        <c:varyColors val="0"/>
        <c:ser>
          <c:idx val="0"/>
          <c:order val="0"/>
          <c:tx>
            <c:strRef>
              <c:f>'Sheet1 (4)'!$B$5:$B$6</c:f>
              <c:strCache>
                <c:ptCount val="1"/>
                <c:pt idx="0">
                  <c:v>ADALIMUMAB</c:v>
                </c:pt>
              </c:strCache>
            </c:strRef>
          </c:tx>
          <c:cat>
            <c:strRef>
              <c:f>'Sheet1 (4)'!$A$7:$A$28</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 (4)'!$B$7:$B$28</c:f>
              <c:numCache>
                <c:formatCode>General</c:formatCode>
                <c:ptCount val="21"/>
                <c:pt idx="0">
                  <c:v>93</c:v>
                </c:pt>
                <c:pt idx="1">
                  <c:v>88</c:v>
                </c:pt>
                <c:pt idx="2">
                  <c:v>88</c:v>
                </c:pt>
                <c:pt idx="3">
                  <c:v>86</c:v>
                </c:pt>
                <c:pt idx="4">
                  <c:v>126</c:v>
                </c:pt>
                <c:pt idx="5">
                  <c:v>98</c:v>
                </c:pt>
                <c:pt idx="6">
                  <c:v>89</c:v>
                </c:pt>
                <c:pt idx="7">
                  <c:v>109</c:v>
                </c:pt>
                <c:pt idx="8">
                  <c:v>101</c:v>
                </c:pt>
                <c:pt idx="9">
                  <c:v>103</c:v>
                </c:pt>
                <c:pt idx="10">
                  <c:v>115</c:v>
                </c:pt>
                <c:pt idx="11">
                  <c:v>116</c:v>
                </c:pt>
                <c:pt idx="12">
                  <c:v>132</c:v>
                </c:pt>
                <c:pt idx="13">
                  <c:v>132</c:v>
                </c:pt>
                <c:pt idx="14">
                  <c:v>129</c:v>
                </c:pt>
                <c:pt idx="15">
                  <c:v>177</c:v>
                </c:pt>
                <c:pt idx="16">
                  <c:v>208</c:v>
                </c:pt>
                <c:pt idx="17">
                  <c:v>178</c:v>
                </c:pt>
                <c:pt idx="18">
                  <c:v>169</c:v>
                </c:pt>
                <c:pt idx="19">
                  <c:v>173</c:v>
                </c:pt>
                <c:pt idx="20">
                  <c:v>192</c:v>
                </c:pt>
              </c:numCache>
            </c:numRef>
          </c:val>
          <c:smooth val="0"/>
        </c:ser>
        <c:ser>
          <c:idx val="1"/>
          <c:order val="1"/>
          <c:tx>
            <c:strRef>
              <c:f>'Sheet1 (4)'!$C$5:$C$6</c:f>
              <c:strCache>
                <c:ptCount val="1"/>
                <c:pt idx="0">
                  <c:v>CERTOLIZUMAB PEGOL</c:v>
                </c:pt>
              </c:strCache>
            </c:strRef>
          </c:tx>
          <c:cat>
            <c:strRef>
              <c:f>'Sheet1 (4)'!$A$7:$A$28</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 (4)'!$C$7:$C$28</c:f>
              <c:numCache>
                <c:formatCode>General</c:formatCode>
                <c:ptCount val="21"/>
                <c:pt idx="17">
                  <c:v>23</c:v>
                </c:pt>
                <c:pt idx="18">
                  <c:v>15</c:v>
                </c:pt>
                <c:pt idx="19">
                  <c:v>13</c:v>
                </c:pt>
                <c:pt idx="20">
                  <c:v>8</c:v>
                </c:pt>
              </c:numCache>
            </c:numRef>
          </c:val>
          <c:smooth val="0"/>
        </c:ser>
        <c:ser>
          <c:idx val="2"/>
          <c:order val="2"/>
          <c:tx>
            <c:strRef>
              <c:f>'Sheet1 (4)'!$D$5:$D$6</c:f>
              <c:strCache>
                <c:ptCount val="1"/>
                <c:pt idx="0">
                  <c:v>ETANERCEPT</c:v>
                </c:pt>
              </c:strCache>
            </c:strRef>
          </c:tx>
          <c:cat>
            <c:strRef>
              <c:f>'Sheet1 (4)'!$A$7:$A$28</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 (4)'!$D$7:$D$28</c:f>
              <c:numCache>
                <c:formatCode>General</c:formatCode>
                <c:ptCount val="21"/>
                <c:pt idx="0">
                  <c:v>62</c:v>
                </c:pt>
                <c:pt idx="1">
                  <c:v>46</c:v>
                </c:pt>
                <c:pt idx="2">
                  <c:v>62</c:v>
                </c:pt>
                <c:pt idx="3">
                  <c:v>50</c:v>
                </c:pt>
                <c:pt idx="4">
                  <c:v>57</c:v>
                </c:pt>
                <c:pt idx="5">
                  <c:v>78</c:v>
                </c:pt>
                <c:pt idx="6">
                  <c:v>58</c:v>
                </c:pt>
                <c:pt idx="7">
                  <c:v>56</c:v>
                </c:pt>
                <c:pt idx="8">
                  <c:v>54</c:v>
                </c:pt>
                <c:pt idx="9">
                  <c:v>51</c:v>
                </c:pt>
                <c:pt idx="10">
                  <c:v>54</c:v>
                </c:pt>
                <c:pt idx="11">
                  <c:v>45</c:v>
                </c:pt>
                <c:pt idx="12">
                  <c:v>55</c:v>
                </c:pt>
                <c:pt idx="13">
                  <c:v>50</c:v>
                </c:pt>
                <c:pt idx="14">
                  <c:v>38</c:v>
                </c:pt>
                <c:pt idx="15">
                  <c:v>56</c:v>
                </c:pt>
                <c:pt idx="16">
                  <c:v>40</c:v>
                </c:pt>
                <c:pt idx="17">
                  <c:v>48</c:v>
                </c:pt>
                <c:pt idx="18">
                  <c:v>51</c:v>
                </c:pt>
                <c:pt idx="19">
                  <c:v>62</c:v>
                </c:pt>
                <c:pt idx="20">
                  <c:v>67</c:v>
                </c:pt>
              </c:numCache>
            </c:numRef>
          </c:val>
          <c:smooth val="0"/>
        </c:ser>
        <c:ser>
          <c:idx val="3"/>
          <c:order val="3"/>
          <c:tx>
            <c:strRef>
              <c:f>'Sheet1 (4)'!$E$5:$E$6</c:f>
              <c:strCache>
                <c:ptCount val="1"/>
                <c:pt idx="0">
                  <c:v>GOLIMUMAB</c:v>
                </c:pt>
              </c:strCache>
            </c:strRef>
          </c:tx>
          <c:cat>
            <c:strRef>
              <c:f>'Sheet1 (4)'!$A$7:$A$28</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 (4)'!$E$7:$E$28</c:f>
              <c:numCache>
                <c:formatCode>General</c:formatCode>
                <c:ptCount val="21"/>
                <c:pt idx="0">
                  <c:v>31</c:v>
                </c:pt>
                <c:pt idx="1">
                  <c:v>63</c:v>
                </c:pt>
                <c:pt idx="2">
                  <c:v>35</c:v>
                </c:pt>
                <c:pt idx="3">
                  <c:v>30</c:v>
                </c:pt>
                <c:pt idx="4">
                  <c:v>33</c:v>
                </c:pt>
                <c:pt idx="5">
                  <c:v>34</c:v>
                </c:pt>
                <c:pt idx="6">
                  <c:v>44</c:v>
                </c:pt>
                <c:pt idx="7">
                  <c:v>58</c:v>
                </c:pt>
                <c:pt idx="8">
                  <c:v>43</c:v>
                </c:pt>
                <c:pt idx="9">
                  <c:v>49</c:v>
                </c:pt>
                <c:pt idx="10">
                  <c:v>52</c:v>
                </c:pt>
                <c:pt idx="11">
                  <c:v>48</c:v>
                </c:pt>
                <c:pt idx="12">
                  <c:v>57</c:v>
                </c:pt>
                <c:pt idx="13">
                  <c:v>65</c:v>
                </c:pt>
                <c:pt idx="14">
                  <c:v>53</c:v>
                </c:pt>
                <c:pt idx="15">
                  <c:v>82</c:v>
                </c:pt>
                <c:pt idx="16">
                  <c:v>94</c:v>
                </c:pt>
                <c:pt idx="17">
                  <c:v>75</c:v>
                </c:pt>
                <c:pt idx="18">
                  <c:v>70</c:v>
                </c:pt>
                <c:pt idx="19">
                  <c:v>85</c:v>
                </c:pt>
                <c:pt idx="20">
                  <c:v>93</c:v>
                </c:pt>
              </c:numCache>
            </c:numRef>
          </c:val>
          <c:smooth val="0"/>
        </c:ser>
        <c:ser>
          <c:idx val="4"/>
          <c:order val="4"/>
          <c:tx>
            <c:strRef>
              <c:f>'Sheet1 (4)'!$F$5:$F$6</c:f>
              <c:strCache>
                <c:ptCount val="1"/>
                <c:pt idx="0">
                  <c:v>INFLIXIMAB</c:v>
                </c:pt>
              </c:strCache>
            </c:strRef>
          </c:tx>
          <c:cat>
            <c:strRef>
              <c:f>'Sheet1 (4)'!$A$7:$A$28</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 (4)'!$F$7:$F$28</c:f>
              <c:numCache>
                <c:formatCode>General</c:formatCode>
                <c:ptCount val="21"/>
                <c:pt idx="0">
                  <c:v>28</c:v>
                </c:pt>
                <c:pt idx="1">
                  <c:v>24</c:v>
                </c:pt>
                <c:pt idx="2">
                  <c:v>25</c:v>
                </c:pt>
                <c:pt idx="3">
                  <c:v>32</c:v>
                </c:pt>
                <c:pt idx="4">
                  <c:v>23</c:v>
                </c:pt>
                <c:pt idx="5">
                  <c:v>19</c:v>
                </c:pt>
                <c:pt idx="6">
                  <c:v>9</c:v>
                </c:pt>
                <c:pt idx="7">
                  <c:v>13</c:v>
                </c:pt>
                <c:pt idx="8">
                  <c:v>9</c:v>
                </c:pt>
                <c:pt idx="9">
                  <c:v>22</c:v>
                </c:pt>
                <c:pt idx="10">
                  <c:v>20</c:v>
                </c:pt>
                <c:pt idx="11">
                  <c:v>28</c:v>
                </c:pt>
                <c:pt idx="12">
                  <c:v>19</c:v>
                </c:pt>
                <c:pt idx="13">
                  <c:v>9</c:v>
                </c:pt>
                <c:pt idx="14">
                  <c:v>8</c:v>
                </c:pt>
                <c:pt idx="15">
                  <c:v>7</c:v>
                </c:pt>
                <c:pt idx="16">
                  <c:v>9</c:v>
                </c:pt>
                <c:pt idx="17">
                  <c:v>5</c:v>
                </c:pt>
                <c:pt idx="18">
                  <c:v>10</c:v>
                </c:pt>
                <c:pt idx="19">
                  <c:v>10</c:v>
                </c:pt>
                <c:pt idx="20">
                  <c:v>6</c:v>
                </c:pt>
              </c:numCache>
            </c:numRef>
          </c:val>
          <c:smooth val="0"/>
        </c:ser>
        <c:dLbls>
          <c:showLegendKey val="0"/>
          <c:showVal val="0"/>
          <c:showCatName val="0"/>
          <c:showSerName val="0"/>
          <c:showPercent val="0"/>
          <c:showBubbleSize val="0"/>
        </c:dLbls>
        <c:marker val="1"/>
        <c:smooth val="0"/>
        <c:axId val="355088256"/>
        <c:axId val="355089792"/>
      </c:lineChart>
      <c:catAx>
        <c:axId val="355088256"/>
        <c:scaling>
          <c:orientation val="minMax"/>
        </c:scaling>
        <c:delete val="0"/>
        <c:axPos val="b"/>
        <c:majorTickMark val="out"/>
        <c:minorTickMark val="none"/>
        <c:tickLblPos val="nextTo"/>
        <c:crossAx val="355089792"/>
        <c:crosses val="autoZero"/>
        <c:auto val="1"/>
        <c:lblAlgn val="ctr"/>
        <c:lblOffset val="100"/>
        <c:noMultiLvlLbl val="0"/>
      </c:catAx>
      <c:valAx>
        <c:axId val="355089792"/>
        <c:scaling>
          <c:orientation val="minMax"/>
        </c:scaling>
        <c:delete val="0"/>
        <c:axPos val="l"/>
        <c:majorGridlines/>
        <c:title>
          <c:tx>
            <c:rich>
              <a:bodyPr rot="-5400000" vert="horz"/>
              <a:lstStyle/>
              <a:p>
                <a:pPr>
                  <a:defRPr b="0"/>
                </a:pPr>
                <a:r>
                  <a:rPr lang="en-AU" b="0"/>
                  <a:t>Patients</a:t>
                </a:r>
              </a:p>
            </c:rich>
          </c:tx>
          <c:layout/>
          <c:overlay val="0"/>
        </c:title>
        <c:numFmt formatCode="General" sourceLinked="1"/>
        <c:majorTickMark val="out"/>
        <c:minorTickMark val="none"/>
        <c:tickLblPos val="nextTo"/>
        <c:crossAx val="355088256"/>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[D876 - PAT_CNT_BY_DRUG_N_SUPP_Q_SUM2 - by drug graphs.xlsx]Sheet1 (5)!PivotTable2</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dLbl>
          <c:idx val="0"/>
          <c:delete val="1"/>
        </c:dLbl>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s>
    <c:plotArea>
      <c:layout/>
      <c:lineChart>
        <c:grouping val="standard"/>
        <c:varyColors val="0"/>
        <c:ser>
          <c:idx val="0"/>
          <c:order val="0"/>
          <c:tx>
            <c:strRef>
              <c:f>'Sheet1 (5)'!$B$5:$B$6</c:f>
              <c:strCache>
                <c:ptCount val="1"/>
                <c:pt idx="0">
                  <c:v>ADALIMUMAB</c:v>
                </c:pt>
              </c:strCache>
            </c:strRef>
          </c:tx>
          <c:cat>
            <c:strRef>
              <c:f>'Sheet1 (5)'!$A$7:$A$28</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 (5)'!$B$7:$B$28</c:f>
              <c:numCache>
                <c:formatCode>General</c:formatCode>
                <c:ptCount val="21"/>
                <c:pt idx="0">
                  <c:v>1339</c:v>
                </c:pt>
                <c:pt idx="1">
                  <c:v>1372</c:v>
                </c:pt>
                <c:pt idx="2">
                  <c:v>1433</c:v>
                </c:pt>
                <c:pt idx="3">
                  <c:v>1461</c:v>
                </c:pt>
                <c:pt idx="4">
                  <c:v>1581</c:v>
                </c:pt>
                <c:pt idx="5">
                  <c:v>1609</c:v>
                </c:pt>
                <c:pt idx="6">
                  <c:v>1649</c:v>
                </c:pt>
                <c:pt idx="7">
                  <c:v>1751</c:v>
                </c:pt>
                <c:pt idx="8">
                  <c:v>1811</c:v>
                </c:pt>
                <c:pt idx="9">
                  <c:v>1855</c:v>
                </c:pt>
                <c:pt idx="10">
                  <c:v>1948</c:v>
                </c:pt>
                <c:pt idx="11">
                  <c:v>2010</c:v>
                </c:pt>
                <c:pt idx="12">
                  <c:v>2100</c:v>
                </c:pt>
                <c:pt idx="13">
                  <c:v>2180</c:v>
                </c:pt>
                <c:pt idx="14">
                  <c:v>2253</c:v>
                </c:pt>
                <c:pt idx="15">
                  <c:v>2421</c:v>
                </c:pt>
                <c:pt idx="16">
                  <c:v>2603</c:v>
                </c:pt>
                <c:pt idx="17">
                  <c:v>2677</c:v>
                </c:pt>
                <c:pt idx="18">
                  <c:v>2697</c:v>
                </c:pt>
                <c:pt idx="19">
                  <c:v>2804</c:v>
                </c:pt>
                <c:pt idx="20">
                  <c:v>2896</c:v>
                </c:pt>
              </c:numCache>
            </c:numRef>
          </c:val>
          <c:smooth val="0"/>
        </c:ser>
        <c:ser>
          <c:idx val="1"/>
          <c:order val="1"/>
          <c:tx>
            <c:strRef>
              <c:f>'Sheet1 (5)'!$C$5:$C$6</c:f>
              <c:strCache>
                <c:ptCount val="1"/>
                <c:pt idx="0">
                  <c:v>CERTOLIZUMAB PEGOL</c:v>
                </c:pt>
              </c:strCache>
            </c:strRef>
          </c:tx>
          <c:cat>
            <c:strRef>
              <c:f>'Sheet1 (5)'!$A$7:$A$28</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 (5)'!$C$7:$C$28</c:f>
              <c:numCache>
                <c:formatCode>General</c:formatCode>
                <c:ptCount val="21"/>
                <c:pt idx="16">
                  <c:v>16</c:v>
                </c:pt>
                <c:pt idx="17">
                  <c:v>145</c:v>
                </c:pt>
                <c:pt idx="18">
                  <c:v>192</c:v>
                </c:pt>
                <c:pt idx="19">
                  <c:v>222</c:v>
                </c:pt>
                <c:pt idx="20">
                  <c:v>289</c:v>
                </c:pt>
              </c:numCache>
            </c:numRef>
          </c:val>
          <c:smooth val="0"/>
        </c:ser>
        <c:ser>
          <c:idx val="2"/>
          <c:order val="2"/>
          <c:tx>
            <c:strRef>
              <c:f>'Sheet1 (5)'!$D$5:$D$6</c:f>
              <c:strCache>
                <c:ptCount val="1"/>
                <c:pt idx="0">
                  <c:v>ETANERCEPT</c:v>
                </c:pt>
              </c:strCache>
            </c:strRef>
          </c:tx>
          <c:cat>
            <c:strRef>
              <c:f>'Sheet1 (5)'!$A$7:$A$28</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 (5)'!$D$7:$D$28</c:f>
              <c:numCache>
                <c:formatCode>General</c:formatCode>
                <c:ptCount val="21"/>
                <c:pt idx="0">
                  <c:v>1155</c:v>
                </c:pt>
                <c:pt idx="1">
                  <c:v>1123</c:v>
                </c:pt>
                <c:pt idx="2">
                  <c:v>1147</c:v>
                </c:pt>
                <c:pt idx="3">
                  <c:v>1172</c:v>
                </c:pt>
                <c:pt idx="4">
                  <c:v>1187</c:v>
                </c:pt>
                <c:pt idx="5">
                  <c:v>1278</c:v>
                </c:pt>
                <c:pt idx="6">
                  <c:v>1268</c:v>
                </c:pt>
                <c:pt idx="7">
                  <c:v>1299</c:v>
                </c:pt>
                <c:pt idx="8">
                  <c:v>1361</c:v>
                </c:pt>
                <c:pt idx="9">
                  <c:v>1374</c:v>
                </c:pt>
                <c:pt idx="10">
                  <c:v>1399</c:v>
                </c:pt>
                <c:pt idx="11">
                  <c:v>1404</c:v>
                </c:pt>
                <c:pt idx="12">
                  <c:v>1437</c:v>
                </c:pt>
                <c:pt idx="13">
                  <c:v>1478</c:v>
                </c:pt>
                <c:pt idx="14">
                  <c:v>1451</c:v>
                </c:pt>
                <c:pt idx="15">
                  <c:v>1522</c:v>
                </c:pt>
                <c:pt idx="16">
                  <c:v>1526</c:v>
                </c:pt>
                <c:pt idx="17">
                  <c:v>1542</c:v>
                </c:pt>
                <c:pt idx="18">
                  <c:v>1571</c:v>
                </c:pt>
                <c:pt idx="19">
                  <c:v>1619</c:v>
                </c:pt>
                <c:pt idx="20">
                  <c:v>1639</c:v>
                </c:pt>
              </c:numCache>
            </c:numRef>
          </c:val>
          <c:smooth val="0"/>
        </c:ser>
        <c:ser>
          <c:idx val="3"/>
          <c:order val="3"/>
          <c:tx>
            <c:strRef>
              <c:f>'Sheet1 (5)'!$E$5:$E$6</c:f>
              <c:strCache>
                <c:ptCount val="1"/>
                <c:pt idx="0">
                  <c:v>GOLIMUMAB</c:v>
                </c:pt>
              </c:strCache>
            </c:strRef>
          </c:tx>
          <c:cat>
            <c:strRef>
              <c:f>'Sheet1 (5)'!$A$7:$A$28</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 (5)'!$E$7:$E$28</c:f>
              <c:numCache>
                <c:formatCode>General</c:formatCode>
                <c:ptCount val="21"/>
                <c:pt idx="0">
                  <c:v>220</c:v>
                </c:pt>
                <c:pt idx="1">
                  <c:v>449</c:v>
                </c:pt>
                <c:pt idx="2">
                  <c:v>433</c:v>
                </c:pt>
                <c:pt idx="3">
                  <c:v>458</c:v>
                </c:pt>
                <c:pt idx="4">
                  <c:v>505</c:v>
                </c:pt>
                <c:pt idx="5">
                  <c:v>521</c:v>
                </c:pt>
                <c:pt idx="6">
                  <c:v>580</c:v>
                </c:pt>
                <c:pt idx="7">
                  <c:v>642</c:v>
                </c:pt>
                <c:pt idx="8">
                  <c:v>672</c:v>
                </c:pt>
                <c:pt idx="9">
                  <c:v>721</c:v>
                </c:pt>
                <c:pt idx="10">
                  <c:v>774</c:v>
                </c:pt>
                <c:pt idx="11">
                  <c:v>838</c:v>
                </c:pt>
                <c:pt idx="12">
                  <c:v>887</c:v>
                </c:pt>
                <c:pt idx="13">
                  <c:v>967</c:v>
                </c:pt>
                <c:pt idx="14">
                  <c:v>1008</c:v>
                </c:pt>
                <c:pt idx="15">
                  <c:v>1128</c:v>
                </c:pt>
                <c:pt idx="16">
                  <c:v>1181</c:v>
                </c:pt>
                <c:pt idx="17">
                  <c:v>1220</c:v>
                </c:pt>
                <c:pt idx="18">
                  <c:v>1211</c:v>
                </c:pt>
                <c:pt idx="19">
                  <c:v>1308</c:v>
                </c:pt>
                <c:pt idx="20">
                  <c:v>1366</c:v>
                </c:pt>
              </c:numCache>
            </c:numRef>
          </c:val>
          <c:smooth val="0"/>
        </c:ser>
        <c:ser>
          <c:idx val="4"/>
          <c:order val="4"/>
          <c:tx>
            <c:strRef>
              <c:f>'Sheet1 (5)'!$F$5:$F$6</c:f>
              <c:strCache>
                <c:ptCount val="1"/>
                <c:pt idx="0">
                  <c:v>INFLIXIMAB</c:v>
                </c:pt>
              </c:strCache>
            </c:strRef>
          </c:tx>
          <c:cat>
            <c:strRef>
              <c:f>'Sheet1 (5)'!$A$7:$A$28</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 (5)'!$F$7:$F$28</c:f>
              <c:numCache>
                <c:formatCode>General</c:formatCode>
                <c:ptCount val="21"/>
                <c:pt idx="0">
                  <c:v>598</c:v>
                </c:pt>
                <c:pt idx="1">
                  <c:v>586</c:v>
                </c:pt>
                <c:pt idx="2">
                  <c:v>604</c:v>
                </c:pt>
                <c:pt idx="3">
                  <c:v>626</c:v>
                </c:pt>
                <c:pt idx="4">
                  <c:v>633</c:v>
                </c:pt>
                <c:pt idx="5">
                  <c:v>642</c:v>
                </c:pt>
                <c:pt idx="6">
                  <c:v>627</c:v>
                </c:pt>
                <c:pt idx="7">
                  <c:v>632</c:v>
                </c:pt>
                <c:pt idx="8">
                  <c:v>624</c:v>
                </c:pt>
                <c:pt idx="9">
                  <c:v>672</c:v>
                </c:pt>
                <c:pt idx="10">
                  <c:v>713</c:v>
                </c:pt>
                <c:pt idx="11">
                  <c:v>768</c:v>
                </c:pt>
                <c:pt idx="12">
                  <c:v>764</c:v>
                </c:pt>
                <c:pt idx="13">
                  <c:v>758</c:v>
                </c:pt>
                <c:pt idx="14">
                  <c:v>737</c:v>
                </c:pt>
                <c:pt idx="15">
                  <c:v>759</c:v>
                </c:pt>
                <c:pt idx="16">
                  <c:v>791</c:v>
                </c:pt>
                <c:pt idx="17">
                  <c:v>757</c:v>
                </c:pt>
                <c:pt idx="18">
                  <c:v>750</c:v>
                </c:pt>
                <c:pt idx="19">
                  <c:v>767</c:v>
                </c:pt>
                <c:pt idx="20">
                  <c:v>733</c:v>
                </c:pt>
              </c:numCache>
            </c:numRef>
          </c:val>
          <c:smooth val="0"/>
        </c:ser>
        <c:dLbls>
          <c:showLegendKey val="0"/>
          <c:showVal val="0"/>
          <c:showCatName val="0"/>
          <c:showSerName val="0"/>
          <c:showPercent val="0"/>
          <c:showBubbleSize val="0"/>
        </c:dLbls>
        <c:marker val="1"/>
        <c:smooth val="0"/>
        <c:axId val="356251904"/>
        <c:axId val="356528128"/>
      </c:lineChart>
      <c:catAx>
        <c:axId val="356251904"/>
        <c:scaling>
          <c:orientation val="minMax"/>
        </c:scaling>
        <c:delete val="0"/>
        <c:axPos val="b"/>
        <c:majorTickMark val="none"/>
        <c:minorTickMark val="none"/>
        <c:tickLblPos val="nextTo"/>
        <c:crossAx val="356528128"/>
        <c:crosses val="autoZero"/>
        <c:auto val="1"/>
        <c:lblAlgn val="ctr"/>
        <c:lblOffset val="100"/>
        <c:noMultiLvlLbl val="0"/>
      </c:catAx>
      <c:valAx>
        <c:axId val="356528128"/>
        <c:scaling>
          <c:orientation val="minMax"/>
        </c:scaling>
        <c:delete val="0"/>
        <c:axPos val="l"/>
        <c:majorGridlines/>
        <c:title>
          <c:tx>
            <c:rich>
              <a:bodyPr/>
              <a:lstStyle/>
              <a:p>
                <a:pPr>
                  <a:defRPr/>
                </a:pPr>
                <a:r>
                  <a:rPr lang="en-US"/>
                  <a:t>Patients</a:t>
                </a:r>
              </a:p>
            </c:rich>
          </c:tx>
          <c:layout/>
          <c:overlay val="0"/>
        </c:title>
        <c:numFmt formatCode="General" sourceLinked="1"/>
        <c:majorTickMark val="none"/>
        <c:minorTickMark val="none"/>
        <c:tickLblPos val="nextTo"/>
        <c:crossAx val="356251904"/>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[D876 - PAT_CNT_BY_DRUG_N_APPR_Y by drug &amp; therapy.xlsx]Sheet1 (4)!PivotTable1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pivotFmt>
      <c:pivotFmt>
        <c:idx val="21"/>
      </c:pivotFmt>
      <c:pivotFmt>
        <c:idx val="22"/>
      </c:pivotFmt>
      <c:pivotFmt>
        <c:idx val="23"/>
      </c:pivotFmt>
      <c:pivotFmt>
        <c:idx val="24"/>
      </c:pivotFmt>
    </c:pivotFmts>
    <c:plotArea>
      <c:layout>
        <c:manualLayout>
          <c:layoutTarget val="inner"/>
          <c:xMode val="edge"/>
          <c:yMode val="edge"/>
          <c:x val="0.12207608904210425"/>
          <c:y val="3.5186952364030563E-2"/>
          <c:w val="0.5995464110318478"/>
          <c:h val="0.81821280766934912"/>
        </c:manualLayout>
      </c:layout>
      <c:lineChart>
        <c:grouping val="standard"/>
        <c:varyColors val="0"/>
        <c:ser>
          <c:idx val="0"/>
          <c:order val="0"/>
          <c:tx>
            <c:strRef>
              <c:f>'Sheet1 (4)'!$B$4:$B$5</c:f>
              <c:strCache>
                <c:ptCount val="1"/>
                <c:pt idx="0">
                  <c:v>prevalent patients</c:v>
                </c:pt>
              </c:strCache>
            </c:strRef>
          </c:tx>
          <c:cat>
            <c:strRef>
              <c:f>'Sheet1 (4)'!$A$6:$A$17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 (4)'!$B$6:$B$17</c:f>
              <c:numCache>
                <c:formatCode>General</c:formatCode>
                <c:ptCount val="11"/>
                <c:pt idx="0">
                  <c:v>182</c:v>
                </c:pt>
                <c:pt idx="1">
                  <c:v>628</c:v>
                </c:pt>
                <c:pt idx="2">
                  <c:v>1038</c:v>
                </c:pt>
                <c:pt idx="3">
                  <c:v>1680</c:v>
                </c:pt>
                <c:pt idx="4">
                  <c:v>2308</c:v>
                </c:pt>
                <c:pt idx="5">
                  <c:v>2827</c:v>
                </c:pt>
                <c:pt idx="6">
                  <c:v>3341</c:v>
                </c:pt>
                <c:pt idx="7">
                  <c:v>3984</c:v>
                </c:pt>
                <c:pt idx="8">
                  <c:v>4527</c:v>
                </c:pt>
                <c:pt idx="9">
                  <c:v>5178</c:v>
                </c:pt>
                <c:pt idx="10">
                  <c:v>6106</c:v>
                </c:pt>
              </c:numCache>
            </c:numRef>
          </c:val>
          <c:smooth val="0"/>
        </c:ser>
        <c:ser>
          <c:idx val="1"/>
          <c:order val="1"/>
          <c:tx>
            <c:strRef>
              <c:f>'Sheet1 (4)'!$C$4:$C$5</c:f>
              <c:strCache>
                <c:ptCount val="1"/>
                <c:pt idx="0">
                  <c:v>initiating patients</c:v>
                </c:pt>
              </c:strCache>
            </c:strRef>
          </c:tx>
          <c:cat>
            <c:strRef>
              <c:f>'Sheet1 (4)'!$A$6:$A$17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 (4)'!$C$6:$C$17</c:f>
              <c:numCache>
                <c:formatCode>General</c:formatCode>
                <c:ptCount val="11"/>
                <c:pt idx="0">
                  <c:v>182</c:v>
                </c:pt>
                <c:pt idx="1">
                  <c:v>453</c:v>
                </c:pt>
                <c:pt idx="2">
                  <c:v>461</c:v>
                </c:pt>
                <c:pt idx="3">
                  <c:v>701</c:v>
                </c:pt>
                <c:pt idx="4">
                  <c:v>731</c:v>
                </c:pt>
                <c:pt idx="5">
                  <c:v>660</c:v>
                </c:pt>
                <c:pt idx="6">
                  <c:v>678</c:v>
                </c:pt>
                <c:pt idx="7">
                  <c:v>806</c:v>
                </c:pt>
                <c:pt idx="8">
                  <c:v>780</c:v>
                </c:pt>
                <c:pt idx="9">
                  <c:v>850</c:v>
                </c:pt>
                <c:pt idx="10">
                  <c:v>1190</c:v>
                </c:pt>
              </c:numCache>
            </c:numRef>
          </c:val>
          <c:smooth val="0"/>
        </c:ser>
        <c:dLbls>
          <c:showLegendKey val="0"/>
          <c:showVal val="0"/>
          <c:showCatName val="0"/>
          <c:showSerName val="0"/>
          <c:showPercent val="0"/>
          <c:showBubbleSize val="0"/>
        </c:dLbls>
        <c:marker val="1"/>
        <c:smooth val="0"/>
        <c:axId val="299353216"/>
        <c:axId val="299355136"/>
      </c:lineChart>
      <c:catAx>
        <c:axId val="299353216"/>
        <c:scaling>
          <c:orientation val="minMax"/>
        </c:scaling>
        <c:delete val="0"/>
        <c:axPos val="b"/>
        <c:title>
          <c:tx>
            <c:rich>
              <a:bodyPr/>
              <a:lstStyle/>
              <a:p>
                <a:pPr>
                  <a:defRPr b="0"/>
                </a:pPr>
                <a:r>
                  <a:rPr lang="en-AU" b="0"/>
                  <a:t>Calendar</a:t>
                </a:r>
                <a:r>
                  <a:rPr lang="en-AU" b="0" baseline="0"/>
                  <a:t> year</a:t>
                </a:r>
                <a:endParaRPr lang="en-AU" b="0"/>
              </a:p>
            </c:rich>
          </c:tx>
          <c:layout/>
          <c:overlay val="0"/>
        </c:title>
        <c:majorTickMark val="out"/>
        <c:minorTickMark val="none"/>
        <c:tickLblPos val="nextTo"/>
        <c:crossAx val="299355136"/>
        <c:crosses val="autoZero"/>
        <c:auto val="1"/>
        <c:lblAlgn val="ctr"/>
        <c:lblOffset val="100"/>
        <c:noMultiLvlLbl val="0"/>
      </c:catAx>
      <c:valAx>
        <c:axId val="299355136"/>
        <c:scaling>
          <c:orientation val="minMax"/>
        </c:scaling>
        <c:delete val="0"/>
        <c:axPos val="l"/>
        <c:majorGridlines/>
        <c:title>
          <c:tx>
            <c:rich>
              <a:bodyPr rot="-5400000" vert="horz"/>
              <a:lstStyle/>
              <a:p>
                <a:pPr>
                  <a:defRPr b="0"/>
                </a:pPr>
                <a:r>
                  <a:rPr lang="en-AU" b="0"/>
                  <a:t>Number of patients</a:t>
                </a:r>
              </a:p>
            </c:rich>
          </c:tx>
          <c:layout/>
          <c:overlay val="0"/>
        </c:title>
        <c:numFmt formatCode="General" sourceLinked="1"/>
        <c:majorTickMark val="out"/>
        <c:minorTickMark val="none"/>
        <c:tickLblPos val="nextTo"/>
        <c:crossAx val="299353216"/>
        <c:crosses val="autoZero"/>
        <c:crossBetween val="between"/>
      </c:valAx>
    </c:plotArea>
    <c:legend>
      <c:legendPos val="r"/>
      <c:layout>
        <c:manualLayout>
          <c:xMode val="edge"/>
          <c:yMode val="edge"/>
          <c:x val="0.73226583805262269"/>
          <c:y val="0.27734985615977542"/>
          <c:w val="0.25494359873272782"/>
          <c:h val="0.45168998090769552"/>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[D876 - PAT_CNT_BY_DRUG_N_APPR_Y by drug &amp; therapy.xlsx]Sheet1!PivotTable1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pivotFmt>
      <c:pivotFmt>
        <c:idx val="7"/>
      </c:pivotFmt>
      <c:pivotFmt>
        <c:idx val="8"/>
      </c:pivotFmt>
      <c:pivotFmt>
        <c:idx val="9"/>
      </c:pivotFmt>
      <c:pivotFmt>
        <c:idx val="10"/>
      </c:pivotFmt>
      <c:pivotFmt>
        <c:idx val="11"/>
        <c:marker>
          <c:symbol val="none"/>
        </c:marker>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s>
    <c:plotArea>
      <c:layout>
        <c:manualLayout>
          <c:layoutTarget val="inner"/>
          <c:xMode val="edge"/>
          <c:yMode val="edge"/>
          <c:x val="0.11632015524703714"/>
          <c:y val="3.7971581502015968E-2"/>
          <c:w val="0.84922706269756476"/>
          <c:h val="0.70785390900687539"/>
        </c:manualLayout>
      </c:layout>
      <c:lineChart>
        <c:grouping val="standard"/>
        <c:varyColors val="0"/>
        <c:ser>
          <c:idx val="0"/>
          <c:order val="0"/>
          <c:tx>
            <c:strRef>
              <c:f>Sheet1!$B$4:$B$5</c:f>
              <c:strCache>
                <c:ptCount val="1"/>
                <c:pt idx="0">
                  <c:v>ADALIMUMAB</c:v>
                </c:pt>
              </c:strCache>
            </c:strRef>
          </c:tx>
          <c:cat>
            <c:strRef>
              <c:f>Sheet1!$A$6:$A$17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Sheet1!$B$6:$B$17</c:f>
              <c:numCache>
                <c:formatCode>General</c:formatCode>
                <c:ptCount val="11"/>
                <c:pt idx="3">
                  <c:v>266</c:v>
                </c:pt>
                <c:pt idx="4">
                  <c:v>408</c:v>
                </c:pt>
                <c:pt idx="5">
                  <c:v>396</c:v>
                </c:pt>
                <c:pt idx="6">
                  <c:v>346</c:v>
                </c:pt>
                <c:pt idx="7">
                  <c:v>394</c:v>
                </c:pt>
                <c:pt idx="8">
                  <c:v>384</c:v>
                </c:pt>
                <c:pt idx="9">
                  <c:v>462</c:v>
                </c:pt>
                <c:pt idx="10">
                  <c:v>686</c:v>
                </c:pt>
              </c:numCache>
            </c:numRef>
          </c:val>
          <c:smooth val="0"/>
        </c:ser>
        <c:ser>
          <c:idx val="1"/>
          <c:order val="1"/>
          <c:tx>
            <c:strRef>
              <c:f>Sheet1!$C$4:$C$5</c:f>
              <c:strCache>
                <c:ptCount val="1"/>
                <c:pt idx="0">
                  <c:v>CERTOLIZUMAB PEGOL</c:v>
                </c:pt>
              </c:strCache>
            </c:strRef>
          </c:tx>
          <c:cat>
            <c:strRef>
              <c:f>Sheet1!$A$6:$A$17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Sheet1!$C$6:$C$17</c:f>
              <c:numCache>
                <c:formatCode>General</c:formatCode>
                <c:ptCount val="11"/>
                <c:pt idx="10">
                  <c:v>25</c:v>
                </c:pt>
              </c:numCache>
            </c:numRef>
          </c:val>
          <c:smooth val="0"/>
        </c:ser>
        <c:ser>
          <c:idx val="2"/>
          <c:order val="2"/>
          <c:tx>
            <c:strRef>
              <c:f>Sheet1!$D$4:$D$5</c:f>
              <c:strCache>
                <c:ptCount val="1"/>
                <c:pt idx="0">
                  <c:v>ETANERCEPT</c:v>
                </c:pt>
              </c:strCache>
            </c:strRef>
          </c:tx>
          <c:cat>
            <c:strRef>
              <c:f>Sheet1!$A$6:$A$17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Sheet1!$D$6:$D$17</c:f>
              <c:numCache>
                <c:formatCode>General</c:formatCode>
                <c:ptCount val="11"/>
                <c:pt idx="1">
                  <c:v>204</c:v>
                </c:pt>
                <c:pt idx="2">
                  <c:v>281</c:v>
                </c:pt>
                <c:pt idx="3">
                  <c:v>270</c:v>
                </c:pt>
                <c:pt idx="4">
                  <c:v>187</c:v>
                </c:pt>
                <c:pt idx="5">
                  <c:v>167</c:v>
                </c:pt>
                <c:pt idx="6">
                  <c:v>156</c:v>
                </c:pt>
                <c:pt idx="7">
                  <c:v>210</c:v>
                </c:pt>
                <c:pt idx="8">
                  <c:v>176</c:v>
                </c:pt>
                <c:pt idx="9">
                  <c:v>146</c:v>
                </c:pt>
                <c:pt idx="10">
                  <c:v>141</c:v>
                </c:pt>
              </c:numCache>
            </c:numRef>
          </c:val>
          <c:smooth val="0"/>
        </c:ser>
        <c:ser>
          <c:idx val="3"/>
          <c:order val="3"/>
          <c:tx>
            <c:strRef>
              <c:f>Sheet1!$E$4:$E$5</c:f>
              <c:strCache>
                <c:ptCount val="1"/>
                <c:pt idx="0">
                  <c:v>GOLIMUMAB</c:v>
                </c:pt>
              </c:strCache>
            </c:strRef>
          </c:tx>
          <c:cat>
            <c:strRef>
              <c:f>Sheet1!$A$6:$A$17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Sheet1!$E$6:$E$17</c:f>
              <c:numCache>
                <c:formatCode>General</c:formatCode>
                <c:ptCount val="11"/>
                <c:pt idx="6">
                  <c:v>103</c:v>
                </c:pt>
                <c:pt idx="7">
                  <c:v>116</c:v>
                </c:pt>
                <c:pt idx="8">
                  <c:v>175</c:v>
                </c:pt>
                <c:pt idx="9">
                  <c:v>205</c:v>
                </c:pt>
                <c:pt idx="10">
                  <c:v>314</c:v>
                </c:pt>
              </c:numCache>
            </c:numRef>
          </c:val>
          <c:smooth val="0"/>
        </c:ser>
        <c:ser>
          <c:idx val="4"/>
          <c:order val="4"/>
          <c:tx>
            <c:strRef>
              <c:f>Sheet1!$F$4:$F$5</c:f>
              <c:strCache>
                <c:ptCount val="1"/>
                <c:pt idx="0">
                  <c:v>INFLIXIMAB</c:v>
                </c:pt>
              </c:strCache>
            </c:strRef>
          </c:tx>
          <c:cat>
            <c:strRef>
              <c:f>Sheet1!$A$6:$A$17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Sheet1!$F$6:$F$17</c:f>
              <c:numCache>
                <c:formatCode>General</c:formatCode>
                <c:ptCount val="11"/>
                <c:pt idx="0">
                  <c:v>182</c:v>
                </c:pt>
                <c:pt idx="1">
                  <c:v>249</c:v>
                </c:pt>
                <c:pt idx="2">
                  <c:v>180</c:v>
                </c:pt>
                <c:pt idx="3">
                  <c:v>165</c:v>
                </c:pt>
                <c:pt idx="4">
                  <c:v>136</c:v>
                </c:pt>
                <c:pt idx="5">
                  <c:v>97</c:v>
                </c:pt>
                <c:pt idx="6">
                  <c:v>73</c:v>
                </c:pt>
                <c:pt idx="7">
                  <c:v>86</c:v>
                </c:pt>
                <c:pt idx="8">
                  <c:v>45</c:v>
                </c:pt>
                <c:pt idx="9">
                  <c:v>37</c:v>
                </c:pt>
                <c:pt idx="10">
                  <c:v>24</c:v>
                </c:pt>
              </c:numCache>
            </c:numRef>
          </c:val>
          <c:smooth val="0"/>
        </c:ser>
        <c:dLbls>
          <c:showLegendKey val="0"/>
          <c:showVal val="0"/>
          <c:showCatName val="0"/>
          <c:showSerName val="0"/>
          <c:showPercent val="0"/>
          <c:showBubbleSize val="0"/>
        </c:dLbls>
        <c:marker val="1"/>
        <c:smooth val="0"/>
        <c:axId val="299477248"/>
        <c:axId val="302031232"/>
      </c:lineChart>
      <c:catAx>
        <c:axId val="299477248"/>
        <c:scaling>
          <c:orientation val="minMax"/>
        </c:scaling>
        <c:delete val="0"/>
        <c:axPos val="b"/>
        <c:title>
          <c:tx>
            <c:rich>
              <a:bodyPr/>
              <a:lstStyle/>
              <a:p>
                <a:pPr>
                  <a:defRPr b="0"/>
                </a:pPr>
                <a:r>
                  <a:rPr lang="en-AU" b="0"/>
                  <a:t>Calendar</a:t>
                </a:r>
                <a:r>
                  <a:rPr lang="en-AU" b="0" baseline="0"/>
                  <a:t> year</a:t>
                </a:r>
                <a:endParaRPr lang="en-AU" b="0"/>
              </a:p>
            </c:rich>
          </c:tx>
          <c:layout/>
          <c:overlay val="0"/>
        </c:title>
        <c:majorTickMark val="out"/>
        <c:minorTickMark val="none"/>
        <c:tickLblPos val="nextTo"/>
        <c:crossAx val="302031232"/>
        <c:crosses val="autoZero"/>
        <c:auto val="1"/>
        <c:lblAlgn val="ctr"/>
        <c:lblOffset val="100"/>
        <c:noMultiLvlLbl val="0"/>
      </c:catAx>
      <c:valAx>
        <c:axId val="302031232"/>
        <c:scaling>
          <c:orientation val="minMax"/>
        </c:scaling>
        <c:delete val="0"/>
        <c:axPos val="l"/>
        <c:majorGridlines/>
        <c:title>
          <c:tx>
            <c:rich>
              <a:bodyPr rot="-5400000" vert="horz"/>
              <a:lstStyle/>
              <a:p>
                <a:pPr>
                  <a:defRPr b="0"/>
                </a:pPr>
                <a:r>
                  <a:rPr lang="en-AU" b="0"/>
                  <a:t>Number</a:t>
                </a:r>
                <a:r>
                  <a:rPr lang="en-AU" b="0" baseline="0"/>
                  <a:t> of patients</a:t>
                </a:r>
                <a:endParaRPr lang="en-AU" b="0"/>
              </a:p>
            </c:rich>
          </c:tx>
          <c:layout/>
          <c:overlay val="0"/>
        </c:title>
        <c:numFmt formatCode="General" sourceLinked="1"/>
        <c:majorTickMark val="out"/>
        <c:minorTickMark val="none"/>
        <c:tickLblPos val="nextTo"/>
        <c:crossAx val="299477248"/>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[D876 - PAT_CNT_BY_DRUG_N_APPR_Y by drug &amp; therapy.xlsx]Sheet1!PivotTable1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pivotFmt>
      <c:pivotFmt>
        <c:idx val="7"/>
      </c:pivotFmt>
      <c:pivotFmt>
        <c:idx val="8"/>
      </c:pivotFmt>
      <c:pivotFmt>
        <c:idx val="9"/>
      </c:pivotFmt>
      <c:pivotFmt>
        <c:idx val="10"/>
      </c:pivotFmt>
      <c:pivotFmt>
        <c:idx val="11"/>
        <c:marker>
          <c:symbol val="none"/>
        </c:marker>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s>
    <c:plotArea>
      <c:layout>
        <c:manualLayout>
          <c:layoutTarget val="inner"/>
          <c:xMode val="edge"/>
          <c:yMode val="edge"/>
          <c:x val="0.11521866914676017"/>
          <c:y val="3.3808921400408004E-2"/>
          <c:w val="0.84659063584793837"/>
          <c:h val="0.72791979769652082"/>
        </c:manualLayout>
      </c:layout>
      <c:lineChart>
        <c:grouping val="standard"/>
        <c:varyColors val="0"/>
        <c:ser>
          <c:idx val="0"/>
          <c:order val="0"/>
          <c:tx>
            <c:strRef>
              <c:f>Sheet1!$B$4:$B$5</c:f>
              <c:strCache>
                <c:ptCount val="1"/>
                <c:pt idx="0">
                  <c:v>ADALIMUMAB</c:v>
                </c:pt>
              </c:strCache>
            </c:strRef>
          </c:tx>
          <c:cat>
            <c:strRef>
              <c:f>Sheet1!$A$6:$A$17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Sheet1!$B$6:$B$17</c:f>
              <c:numCache>
                <c:formatCode>General</c:formatCode>
                <c:ptCount val="11"/>
                <c:pt idx="3">
                  <c:v>415</c:v>
                </c:pt>
                <c:pt idx="4">
                  <c:v>886</c:v>
                </c:pt>
                <c:pt idx="5">
                  <c:v>1226</c:v>
                </c:pt>
                <c:pt idx="6">
                  <c:v>1453</c:v>
                </c:pt>
                <c:pt idx="7">
                  <c:v>1690</c:v>
                </c:pt>
                <c:pt idx="8">
                  <c:v>1951</c:v>
                </c:pt>
                <c:pt idx="9">
                  <c:v>2264</c:v>
                </c:pt>
                <c:pt idx="10">
                  <c:v>2806</c:v>
                </c:pt>
              </c:numCache>
            </c:numRef>
          </c:val>
          <c:smooth val="0"/>
        </c:ser>
        <c:ser>
          <c:idx val="1"/>
          <c:order val="1"/>
          <c:tx>
            <c:strRef>
              <c:f>Sheet1!$C$4:$C$5</c:f>
              <c:strCache>
                <c:ptCount val="1"/>
                <c:pt idx="0">
                  <c:v>CERTOLIZUMAB PEGOL</c:v>
                </c:pt>
              </c:strCache>
            </c:strRef>
          </c:tx>
          <c:cat>
            <c:strRef>
              <c:f>Sheet1!$A$6:$A$17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Sheet1!$C$6:$C$17</c:f>
              <c:numCache>
                <c:formatCode>General</c:formatCode>
                <c:ptCount val="11"/>
                <c:pt idx="10">
                  <c:v>84</c:v>
                </c:pt>
              </c:numCache>
            </c:numRef>
          </c:val>
          <c:smooth val="0"/>
        </c:ser>
        <c:ser>
          <c:idx val="2"/>
          <c:order val="2"/>
          <c:tx>
            <c:strRef>
              <c:f>Sheet1!$D$4:$D$5</c:f>
              <c:strCache>
                <c:ptCount val="1"/>
                <c:pt idx="0">
                  <c:v>ETANERCEPT</c:v>
                </c:pt>
              </c:strCache>
            </c:strRef>
          </c:tx>
          <c:cat>
            <c:strRef>
              <c:f>Sheet1!$A$6:$A$17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Sheet1!$D$6:$D$17</c:f>
              <c:numCache>
                <c:formatCode>General</c:formatCode>
                <c:ptCount val="11"/>
                <c:pt idx="1">
                  <c:v>253</c:v>
                </c:pt>
                <c:pt idx="2">
                  <c:v>557</c:v>
                </c:pt>
                <c:pt idx="3">
                  <c:v>790</c:v>
                </c:pt>
                <c:pt idx="4">
                  <c:v>920</c:v>
                </c:pt>
                <c:pt idx="5">
                  <c:v>1061</c:v>
                </c:pt>
                <c:pt idx="6">
                  <c:v>1139</c:v>
                </c:pt>
                <c:pt idx="7">
                  <c:v>1285</c:v>
                </c:pt>
                <c:pt idx="8">
                  <c:v>1405</c:v>
                </c:pt>
                <c:pt idx="9">
                  <c:v>1519</c:v>
                </c:pt>
                <c:pt idx="10">
                  <c:v>1615</c:v>
                </c:pt>
              </c:numCache>
            </c:numRef>
          </c:val>
          <c:smooth val="0"/>
        </c:ser>
        <c:ser>
          <c:idx val="3"/>
          <c:order val="3"/>
          <c:tx>
            <c:strRef>
              <c:f>Sheet1!$E$4:$E$5</c:f>
              <c:strCache>
                <c:ptCount val="1"/>
                <c:pt idx="0">
                  <c:v>GOLIMUMAB</c:v>
                </c:pt>
              </c:strCache>
            </c:strRef>
          </c:tx>
          <c:cat>
            <c:strRef>
              <c:f>Sheet1!$A$6:$A$17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Sheet1!$E$6:$E$17</c:f>
              <c:numCache>
                <c:formatCode>General</c:formatCode>
                <c:ptCount val="11"/>
                <c:pt idx="6">
                  <c:v>297</c:v>
                </c:pt>
                <c:pt idx="7">
                  <c:v>545</c:v>
                </c:pt>
                <c:pt idx="8">
                  <c:v>741</c:v>
                </c:pt>
                <c:pt idx="9">
                  <c:v>977</c:v>
                </c:pt>
                <c:pt idx="10">
                  <c:v>1302</c:v>
                </c:pt>
              </c:numCache>
            </c:numRef>
          </c:val>
          <c:smooth val="0"/>
        </c:ser>
        <c:ser>
          <c:idx val="4"/>
          <c:order val="4"/>
          <c:tx>
            <c:strRef>
              <c:f>Sheet1!$F$4:$F$5</c:f>
              <c:strCache>
                <c:ptCount val="1"/>
                <c:pt idx="0">
                  <c:v>INFLIXIMAB</c:v>
                </c:pt>
              </c:strCache>
            </c:strRef>
          </c:tx>
          <c:cat>
            <c:strRef>
              <c:f>Sheet1!$A$6:$A$17</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Sheet1!$F$6:$F$17</c:f>
              <c:numCache>
                <c:formatCode>General</c:formatCode>
                <c:ptCount val="11"/>
                <c:pt idx="0">
                  <c:v>182</c:v>
                </c:pt>
                <c:pt idx="1">
                  <c:v>416</c:v>
                </c:pt>
                <c:pt idx="2">
                  <c:v>530</c:v>
                </c:pt>
                <c:pt idx="3">
                  <c:v>631</c:v>
                </c:pt>
                <c:pt idx="4">
                  <c:v>669</c:v>
                </c:pt>
                <c:pt idx="5">
                  <c:v>737</c:v>
                </c:pt>
                <c:pt idx="6">
                  <c:v>736</c:v>
                </c:pt>
                <c:pt idx="7">
                  <c:v>771</c:v>
                </c:pt>
                <c:pt idx="8">
                  <c:v>753</c:v>
                </c:pt>
                <c:pt idx="9">
                  <c:v>757</c:v>
                </c:pt>
                <c:pt idx="10">
                  <c:v>750</c:v>
                </c:pt>
              </c:numCache>
            </c:numRef>
          </c:val>
          <c:smooth val="0"/>
        </c:ser>
        <c:dLbls>
          <c:showLegendKey val="0"/>
          <c:showVal val="0"/>
          <c:showCatName val="0"/>
          <c:showSerName val="0"/>
          <c:showPercent val="0"/>
          <c:showBubbleSize val="0"/>
        </c:dLbls>
        <c:marker val="1"/>
        <c:smooth val="0"/>
        <c:axId val="303172992"/>
        <c:axId val="303179264"/>
      </c:lineChart>
      <c:catAx>
        <c:axId val="303172992"/>
        <c:scaling>
          <c:orientation val="minMax"/>
        </c:scaling>
        <c:delete val="0"/>
        <c:axPos val="b"/>
        <c:title>
          <c:tx>
            <c:rich>
              <a:bodyPr/>
              <a:lstStyle/>
              <a:p>
                <a:pPr>
                  <a:defRPr b="0"/>
                </a:pPr>
                <a:r>
                  <a:rPr lang="en-AU" b="0"/>
                  <a:t>Calendar year</a:t>
                </a:r>
              </a:p>
            </c:rich>
          </c:tx>
          <c:layout/>
          <c:overlay val="0"/>
        </c:title>
        <c:majorTickMark val="out"/>
        <c:minorTickMark val="none"/>
        <c:tickLblPos val="nextTo"/>
        <c:crossAx val="303179264"/>
        <c:crosses val="autoZero"/>
        <c:auto val="1"/>
        <c:lblAlgn val="ctr"/>
        <c:lblOffset val="100"/>
        <c:noMultiLvlLbl val="0"/>
      </c:catAx>
      <c:valAx>
        <c:axId val="303179264"/>
        <c:scaling>
          <c:orientation val="minMax"/>
        </c:scaling>
        <c:delete val="0"/>
        <c:axPos val="l"/>
        <c:majorGridlines/>
        <c:title>
          <c:tx>
            <c:rich>
              <a:bodyPr rot="-5400000" vert="horz"/>
              <a:lstStyle/>
              <a:p>
                <a:pPr>
                  <a:defRPr b="0"/>
                </a:pPr>
                <a:r>
                  <a:rPr lang="en-AU" b="0"/>
                  <a:t>Number of patients</a:t>
                </a:r>
              </a:p>
            </c:rich>
          </c:tx>
          <c:layout/>
          <c:overlay val="0"/>
        </c:title>
        <c:numFmt formatCode="General" sourceLinked="1"/>
        <c:majorTickMark val="out"/>
        <c:minorTickMark val="none"/>
        <c:tickLblPos val="nextTo"/>
        <c:crossAx val="303172992"/>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[D876 - PAT_CNT_BY_DRUG_N_SUPP_Q_SUM2 - by therapy graphs.xlsx]Sheet1 (5)!PivotTable2</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s>
    <c:plotArea>
      <c:layout/>
      <c:lineChart>
        <c:grouping val="standard"/>
        <c:varyColors val="0"/>
        <c:ser>
          <c:idx val="0"/>
          <c:order val="0"/>
          <c:tx>
            <c:strRef>
              <c:f>'Sheet1 (5)'!$B$6:$B$7</c:f>
              <c:strCache>
                <c:ptCount val="1"/>
                <c:pt idx="0">
                  <c:v>Female</c:v>
                </c:pt>
              </c:strCache>
            </c:strRef>
          </c:tx>
          <c:cat>
            <c:strRef>
              <c:f>'Sheet1 (5)'!$A$8:$A$25</c:f>
              <c:strCache>
                <c:ptCount val="17"/>
                <c:pt idx="0">
                  <c:v>10-14 yrs</c:v>
                </c:pt>
                <c:pt idx="1">
                  <c:v>15-19 yrs</c:v>
                </c:pt>
                <c:pt idx="2">
                  <c:v>20-24 yrs</c:v>
                </c:pt>
                <c:pt idx="3">
                  <c:v>25-29 yrs</c:v>
                </c:pt>
                <c:pt idx="4">
                  <c:v>30-34 yrs</c:v>
                </c:pt>
                <c:pt idx="5">
                  <c:v>35-39 yrs</c:v>
                </c:pt>
                <c:pt idx="6">
                  <c:v>40-44 yrs</c:v>
                </c:pt>
                <c:pt idx="7">
                  <c:v>45-49 yrs</c:v>
                </c:pt>
                <c:pt idx="8">
                  <c:v>50-54 yrs</c:v>
                </c:pt>
                <c:pt idx="9">
                  <c:v>55-59 yrs</c:v>
                </c:pt>
                <c:pt idx="10">
                  <c:v>60-64 yrs</c:v>
                </c:pt>
                <c:pt idx="11">
                  <c:v>65-69 yrs</c:v>
                </c:pt>
                <c:pt idx="12">
                  <c:v>70-74 yrs</c:v>
                </c:pt>
                <c:pt idx="13">
                  <c:v>75-79 yrs</c:v>
                </c:pt>
                <c:pt idx="14">
                  <c:v>80-84 yrs</c:v>
                </c:pt>
                <c:pt idx="15">
                  <c:v>85-89 yrs</c:v>
                </c:pt>
                <c:pt idx="16">
                  <c:v>90-94 yrs</c:v>
                </c:pt>
              </c:strCache>
            </c:strRef>
          </c:cat>
          <c:val>
            <c:numRef>
              <c:f>'Sheet1 (5)'!$B$8:$B$25</c:f>
              <c:numCache>
                <c:formatCode>General</c:formatCode>
                <c:ptCount val="17"/>
                <c:pt idx="0">
                  <c:v>2</c:v>
                </c:pt>
                <c:pt idx="1">
                  <c:v>9</c:v>
                </c:pt>
                <c:pt idx="2">
                  <c:v>71</c:v>
                </c:pt>
                <c:pt idx="3">
                  <c:v>108</c:v>
                </c:pt>
                <c:pt idx="4">
                  <c:v>178</c:v>
                </c:pt>
                <c:pt idx="5">
                  <c:v>210</c:v>
                </c:pt>
                <c:pt idx="6">
                  <c:v>284</c:v>
                </c:pt>
                <c:pt idx="7">
                  <c:v>270</c:v>
                </c:pt>
                <c:pt idx="8">
                  <c:v>269</c:v>
                </c:pt>
                <c:pt idx="9">
                  <c:v>191</c:v>
                </c:pt>
                <c:pt idx="10">
                  <c:v>163</c:v>
                </c:pt>
                <c:pt idx="11">
                  <c:v>124</c:v>
                </c:pt>
                <c:pt idx="12">
                  <c:v>66</c:v>
                </c:pt>
                <c:pt idx="13">
                  <c:v>29</c:v>
                </c:pt>
                <c:pt idx="14">
                  <c:v>12</c:v>
                </c:pt>
                <c:pt idx="15">
                  <c:v>7</c:v>
                </c:pt>
              </c:numCache>
            </c:numRef>
          </c:val>
          <c:smooth val="0"/>
        </c:ser>
        <c:ser>
          <c:idx val="1"/>
          <c:order val="1"/>
          <c:tx>
            <c:strRef>
              <c:f>'Sheet1 (5)'!$C$6:$C$7</c:f>
              <c:strCache>
                <c:ptCount val="1"/>
                <c:pt idx="0">
                  <c:v>Male</c:v>
                </c:pt>
              </c:strCache>
            </c:strRef>
          </c:tx>
          <c:cat>
            <c:strRef>
              <c:f>'Sheet1 (5)'!$A$8:$A$25</c:f>
              <c:strCache>
                <c:ptCount val="17"/>
                <c:pt idx="0">
                  <c:v>10-14 yrs</c:v>
                </c:pt>
                <c:pt idx="1">
                  <c:v>15-19 yrs</c:v>
                </c:pt>
                <c:pt idx="2">
                  <c:v>20-24 yrs</c:v>
                </c:pt>
                <c:pt idx="3">
                  <c:v>25-29 yrs</c:v>
                </c:pt>
                <c:pt idx="4">
                  <c:v>30-34 yrs</c:v>
                </c:pt>
                <c:pt idx="5">
                  <c:v>35-39 yrs</c:v>
                </c:pt>
                <c:pt idx="6">
                  <c:v>40-44 yrs</c:v>
                </c:pt>
                <c:pt idx="7">
                  <c:v>45-49 yrs</c:v>
                </c:pt>
                <c:pt idx="8">
                  <c:v>50-54 yrs</c:v>
                </c:pt>
                <c:pt idx="9">
                  <c:v>55-59 yrs</c:v>
                </c:pt>
                <c:pt idx="10">
                  <c:v>60-64 yrs</c:v>
                </c:pt>
                <c:pt idx="11">
                  <c:v>65-69 yrs</c:v>
                </c:pt>
                <c:pt idx="12">
                  <c:v>70-74 yrs</c:v>
                </c:pt>
                <c:pt idx="13">
                  <c:v>75-79 yrs</c:v>
                </c:pt>
                <c:pt idx="14">
                  <c:v>80-84 yrs</c:v>
                </c:pt>
                <c:pt idx="15">
                  <c:v>85-89 yrs</c:v>
                </c:pt>
                <c:pt idx="16">
                  <c:v>90-94 yrs</c:v>
                </c:pt>
              </c:strCache>
            </c:strRef>
          </c:cat>
          <c:val>
            <c:numRef>
              <c:f>'Sheet1 (5)'!$C$8:$C$25</c:f>
              <c:numCache>
                <c:formatCode>General</c:formatCode>
                <c:ptCount val="17"/>
                <c:pt idx="0">
                  <c:v>2</c:v>
                </c:pt>
                <c:pt idx="1">
                  <c:v>18</c:v>
                </c:pt>
                <c:pt idx="2">
                  <c:v>123</c:v>
                </c:pt>
                <c:pt idx="3">
                  <c:v>282</c:v>
                </c:pt>
                <c:pt idx="4">
                  <c:v>429</c:v>
                </c:pt>
                <c:pt idx="5">
                  <c:v>481</c:v>
                </c:pt>
                <c:pt idx="6">
                  <c:v>600</c:v>
                </c:pt>
                <c:pt idx="7">
                  <c:v>542</c:v>
                </c:pt>
                <c:pt idx="8">
                  <c:v>487</c:v>
                </c:pt>
                <c:pt idx="9">
                  <c:v>454</c:v>
                </c:pt>
                <c:pt idx="10">
                  <c:v>320</c:v>
                </c:pt>
                <c:pt idx="11">
                  <c:v>267</c:v>
                </c:pt>
                <c:pt idx="12">
                  <c:v>119</c:v>
                </c:pt>
                <c:pt idx="13">
                  <c:v>58</c:v>
                </c:pt>
                <c:pt idx="14">
                  <c:v>12</c:v>
                </c:pt>
                <c:pt idx="15">
                  <c:v>2</c:v>
                </c:pt>
                <c:pt idx="16">
                  <c:v>1</c:v>
                </c:pt>
              </c:numCache>
            </c:numRef>
          </c:val>
          <c:smooth val="0"/>
        </c:ser>
        <c:dLbls>
          <c:showLegendKey val="0"/>
          <c:showVal val="0"/>
          <c:showCatName val="0"/>
          <c:showSerName val="0"/>
          <c:showPercent val="0"/>
          <c:showBubbleSize val="0"/>
        </c:dLbls>
        <c:marker val="1"/>
        <c:smooth val="0"/>
        <c:axId val="303241472"/>
        <c:axId val="303243264"/>
      </c:lineChart>
      <c:catAx>
        <c:axId val="303241472"/>
        <c:scaling>
          <c:orientation val="minMax"/>
        </c:scaling>
        <c:delete val="0"/>
        <c:axPos val="b"/>
        <c:majorTickMark val="none"/>
        <c:minorTickMark val="none"/>
        <c:tickLblPos val="nextTo"/>
        <c:crossAx val="303243264"/>
        <c:crosses val="autoZero"/>
        <c:auto val="1"/>
        <c:lblAlgn val="ctr"/>
        <c:lblOffset val="100"/>
        <c:noMultiLvlLbl val="0"/>
      </c:catAx>
      <c:valAx>
        <c:axId val="303243264"/>
        <c:scaling>
          <c:orientation val="minMax"/>
        </c:scaling>
        <c:delete val="0"/>
        <c:axPos val="l"/>
        <c:majorGridlines/>
        <c:title>
          <c:tx>
            <c:rich>
              <a:bodyPr/>
              <a:lstStyle/>
              <a:p>
                <a:pPr>
                  <a:defRPr b="0"/>
                </a:pPr>
                <a:r>
                  <a:rPr lang="en-US" b="0"/>
                  <a:t>Patients</a:t>
                </a:r>
              </a:p>
            </c:rich>
          </c:tx>
          <c:layout/>
          <c:overlay val="0"/>
        </c:title>
        <c:numFmt formatCode="General" sourceLinked="1"/>
        <c:majorTickMark val="none"/>
        <c:minorTickMark val="none"/>
        <c:tickLblPos val="nextTo"/>
        <c:crossAx val="303241472"/>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[D876 - PAT_CNT_BY_DRUG_N_SUPP_Q_SUM2 - by therapy graphs.xlsx]Sheet1 (2)!PivotTable2</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s>
    <c:plotArea>
      <c:layout/>
      <c:lineChart>
        <c:grouping val="standard"/>
        <c:varyColors val="0"/>
        <c:ser>
          <c:idx val="0"/>
          <c:order val="0"/>
          <c:tx>
            <c:strRef>
              <c:f>'Sheet1 (2)'!$B$6:$B$7</c:f>
              <c:strCache>
                <c:ptCount val="1"/>
                <c:pt idx="0">
                  <c:v>Female</c:v>
                </c:pt>
              </c:strCache>
            </c:strRef>
          </c:tx>
          <c:cat>
            <c:strRef>
              <c:f>'Sheet1 (2)'!$A$8:$A$25</c:f>
              <c:strCache>
                <c:ptCount val="17"/>
                <c:pt idx="0">
                  <c:v>10-14 yrs</c:v>
                </c:pt>
                <c:pt idx="1">
                  <c:v>15-19 yrs</c:v>
                </c:pt>
                <c:pt idx="2">
                  <c:v>20-24 yrs</c:v>
                </c:pt>
                <c:pt idx="3">
                  <c:v>25-29 yrs</c:v>
                </c:pt>
                <c:pt idx="4">
                  <c:v>30-34 yrs</c:v>
                </c:pt>
                <c:pt idx="5">
                  <c:v>35-39 yrs</c:v>
                </c:pt>
                <c:pt idx="6">
                  <c:v>40-44 yrs</c:v>
                </c:pt>
                <c:pt idx="7">
                  <c:v>45-49 yrs</c:v>
                </c:pt>
                <c:pt idx="8">
                  <c:v>50-54 yrs</c:v>
                </c:pt>
                <c:pt idx="9">
                  <c:v>55-59 yrs</c:v>
                </c:pt>
                <c:pt idx="10">
                  <c:v>60-64 yrs</c:v>
                </c:pt>
                <c:pt idx="11">
                  <c:v>65-69 yrs</c:v>
                </c:pt>
                <c:pt idx="12">
                  <c:v>70-74 yrs</c:v>
                </c:pt>
                <c:pt idx="13">
                  <c:v>75-79 yrs</c:v>
                </c:pt>
                <c:pt idx="14">
                  <c:v>80-84 yrs</c:v>
                </c:pt>
                <c:pt idx="15">
                  <c:v>85-89 yrs</c:v>
                </c:pt>
                <c:pt idx="16">
                  <c:v>95-99 yrs</c:v>
                </c:pt>
              </c:strCache>
            </c:strRef>
          </c:cat>
          <c:val>
            <c:numRef>
              <c:f>'Sheet1 (2)'!$B$8:$B$25</c:f>
              <c:numCache>
                <c:formatCode>General</c:formatCode>
                <c:ptCount val="17"/>
                <c:pt idx="0">
                  <c:v>3</c:v>
                </c:pt>
                <c:pt idx="1">
                  <c:v>14</c:v>
                </c:pt>
                <c:pt idx="2">
                  <c:v>38</c:v>
                </c:pt>
                <c:pt idx="3">
                  <c:v>43</c:v>
                </c:pt>
                <c:pt idx="4">
                  <c:v>56</c:v>
                </c:pt>
                <c:pt idx="5">
                  <c:v>74</c:v>
                </c:pt>
                <c:pt idx="6">
                  <c:v>88</c:v>
                </c:pt>
                <c:pt idx="7">
                  <c:v>61</c:v>
                </c:pt>
                <c:pt idx="8">
                  <c:v>68</c:v>
                </c:pt>
                <c:pt idx="9">
                  <c:v>57</c:v>
                </c:pt>
                <c:pt idx="10">
                  <c:v>45</c:v>
                </c:pt>
                <c:pt idx="11">
                  <c:v>43</c:v>
                </c:pt>
                <c:pt idx="12">
                  <c:v>21</c:v>
                </c:pt>
                <c:pt idx="13">
                  <c:v>10</c:v>
                </c:pt>
                <c:pt idx="14">
                  <c:v>6</c:v>
                </c:pt>
                <c:pt idx="15">
                  <c:v>3</c:v>
                </c:pt>
                <c:pt idx="16">
                  <c:v>1</c:v>
                </c:pt>
              </c:numCache>
            </c:numRef>
          </c:val>
          <c:smooth val="0"/>
        </c:ser>
        <c:ser>
          <c:idx val="1"/>
          <c:order val="1"/>
          <c:tx>
            <c:strRef>
              <c:f>'Sheet1 (2)'!$C$6:$C$7</c:f>
              <c:strCache>
                <c:ptCount val="1"/>
                <c:pt idx="0">
                  <c:v>Male</c:v>
                </c:pt>
              </c:strCache>
            </c:strRef>
          </c:tx>
          <c:cat>
            <c:strRef>
              <c:f>'Sheet1 (2)'!$A$8:$A$25</c:f>
              <c:strCache>
                <c:ptCount val="17"/>
                <c:pt idx="0">
                  <c:v>10-14 yrs</c:v>
                </c:pt>
                <c:pt idx="1">
                  <c:v>15-19 yrs</c:v>
                </c:pt>
                <c:pt idx="2">
                  <c:v>20-24 yrs</c:v>
                </c:pt>
                <c:pt idx="3">
                  <c:v>25-29 yrs</c:v>
                </c:pt>
                <c:pt idx="4">
                  <c:v>30-34 yrs</c:v>
                </c:pt>
                <c:pt idx="5">
                  <c:v>35-39 yrs</c:v>
                </c:pt>
                <c:pt idx="6">
                  <c:v>40-44 yrs</c:v>
                </c:pt>
                <c:pt idx="7">
                  <c:v>45-49 yrs</c:v>
                </c:pt>
                <c:pt idx="8">
                  <c:v>50-54 yrs</c:v>
                </c:pt>
                <c:pt idx="9">
                  <c:v>55-59 yrs</c:v>
                </c:pt>
                <c:pt idx="10">
                  <c:v>60-64 yrs</c:v>
                </c:pt>
                <c:pt idx="11">
                  <c:v>65-69 yrs</c:v>
                </c:pt>
                <c:pt idx="12">
                  <c:v>70-74 yrs</c:v>
                </c:pt>
                <c:pt idx="13">
                  <c:v>75-79 yrs</c:v>
                </c:pt>
                <c:pt idx="14">
                  <c:v>80-84 yrs</c:v>
                </c:pt>
                <c:pt idx="15">
                  <c:v>85-89 yrs</c:v>
                </c:pt>
                <c:pt idx="16">
                  <c:v>95-99 yrs</c:v>
                </c:pt>
              </c:strCache>
            </c:strRef>
          </c:cat>
          <c:val>
            <c:numRef>
              <c:f>'Sheet1 (2)'!$C$8:$C$25</c:f>
              <c:numCache>
                <c:formatCode>General</c:formatCode>
                <c:ptCount val="17"/>
                <c:pt idx="0">
                  <c:v>3</c:v>
                </c:pt>
                <c:pt idx="1">
                  <c:v>20</c:v>
                </c:pt>
                <c:pt idx="2">
                  <c:v>52</c:v>
                </c:pt>
                <c:pt idx="3">
                  <c:v>76</c:v>
                </c:pt>
                <c:pt idx="4">
                  <c:v>75</c:v>
                </c:pt>
                <c:pt idx="5">
                  <c:v>84</c:v>
                </c:pt>
                <c:pt idx="6">
                  <c:v>75</c:v>
                </c:pt>
                <c:pt idx="7">
                  <c:v>79</c:v>
                </c:pt>
                <c:pt idx="8">
                  <c:v>86</c:v>
                </c:pt>
                <c:pt idx="9">
                  <c:v>56</c:v>
                </c:pt>
                <c:pt idx="10">
                  <c:v>40</c:v>
                </c:pt>
                <c:pt idx="11">
                  <c:v>33</c:v>
                </c:pt>
                <c:pt idx="12">
                  <c:v>24</c:v>
                </c:pt>
                <c:pt idx="13">
                  <c:v>11</c:v>
                </c:pt>
                <c:pt idx="14">
                  <c:v>1</c:v>
                </c:pt>
                <c:pt idx="15">
                  <c:v>3</c:v>
                </c:pt>
              </c:numCache>
            </c:numRef>
          </c:val>
          <c:smooth val="0"/>
        </c:ser>
        <c:dLbls>
          <c:showLegendKey val="0"/>
          <c:showVal val="0"/>
          <c:showCatName val="0"/>
          <c:showSerName val="0"/>
          <c:showPercent val="0"/>
          <c:showBubbleSize val="0"/>
        </c:dLbls>
        <c:marker val="1"/>
        <c:smooth val="0"/>
        <c:axId val="303276800"/>
        <c:axId val="303278336"/>
      </c:lineChart>
      <c:catAx>
        <c:axId val="303276800"/>
        <c:scaling>
          <c:orientation val="minMax"/>
        </c:scaling>
        <c:delete val="0"/>
        <c:axPos val="b"/>
        <c:majorTickMark val="none"/>
        <c:minorTickMark val="none"/>
        <c:tickLblPos val="nextTo"/>
        <c:crossAx val="303278336"/>
        <c:crosses val="autoZero"/>
        <c:auto val="1"/>
        <c:lblAlgn val="ctr"/>
        <c:lblOffset val="100"/>
        <c:noMultiLvlLbl val="0"/>
      </c:catAx>
      <c:valAx>
        <c:axId val="303278336"/>
        <c:scaling>
          <c:orientation val="minMax"/>
        </c:scaling>
        <c:delete val="0"/>
        <c:axPos val="l"/>
        <c:majorGridlines/>
        <c:title>
          <c:tx>
            <c:rich>
              <a:bodyPr/>
              <a:lstStyle/>
              <a:p>
                <a:pPr>
                  <a:defRPr b="0"/>
                </a:pPr>
                <a:r>
                  <a:rPr lang="en-US" b="0"/>
                  <a:t>Patients</a:t>
                </a:r>
              </a:p>
            </c:rich>
          </c:tx>
          <c:layout/>
          <c:overlay val="0"/>
        </c:title>
        <c:numFmt formatCode="General" sourceLinked="1"/>
        <c:majorTickMark val="none"/>
        <c:minorTickMark val="none"/>
        <c:tickLblPos val="nextTo"/>
        <c:crossAx val="303276800"/>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12285370937408"/>
          <c:y val="4.4858665394098468E-2"/>
          <c:w val="0.82543444951181921"/>
          <c:h val="0.67094090511413351"/>
        </c:manualLayout>
      </c:layout>
      <c:lineChart>
        <c:grouping val="standard"/>
        <c:varyColors val="0"/>
        <c:ser>
          <c:idx val="0"/>
          <c:order val="0"/>
          <c:tx>
            <c:strRef>
              <c:f>Approvals!$C$1</c:f>
              <c:strCache>
                <c:ptCount val="1"/>
                <c:pt idx="0">
                  <c:v>Adalimumab</c:v>
                </c:pt>
              </c:strCache>
            </c:strRef>
          </c:tx>
          <c:val>
            <c:numRef>
              <c:f>Approvals!$C$2:$C$6</c:f>
              <c:numCache>
                <c:formatCode>0.00%</c:formatCode>
                <c:ptCount val="5"/>
                <c:pt idx="0">
                  <c:v>1</c:v>
                </c:pt>
                <c:pt idx="1">
                  <c:v>0.84114583333333337</c:v>
                </c:pt>
                <c:pt idx="2">
                  <c:v>0.70833333333333337</c:v>
                </c:pt>
                <c:pt idx="3">
                  <c:v>0.640625</c:v>
                </c:pt>
                <c:pt idx="4">
                  <c:v>0.57291666666666663</c:v>
                </c:pt>
              </c:numCache>
            </c:numRef>
          </c:val>
          <c:smooth val="0"/>
        </c:ser>
        <c:ser>
          <c:idx val="1"/>
          <c:order val="1"/>
          <c:tx>
            <c:strRef>
              <c:f>Approvals!$D$1</c:f>
              <c:strCache>
                <c:ptCount val="1"/>
                <c:pt idx="0">
                  <c:v>Etanercept</c:v>
                </c:pt>
              </c:strCache>
            </c:strRef>
          </c:tx>
          <c:val>
            <c:numRef>
              <c:f>Approvals!$D$2:$D$6</c:f>
              <c:numCache>
                <c:formatCode>0.00%</c:formatCode>
                <c:ptCount val="5"/>
                <c:pt idx="0">
                  <c:v>1</c:v>
                </c:pt>
                <c:pt idx="1">
                  <c:v>0.78409090909090906</c:v>
                </c:pt>
                <c:pt idx="2">
                  <c:v>0.72159090909090906</c:v>
                </c:pt>
                <c:pt idx="3">
                  <c:v>0.65909090909090906</c:v>
                </c:pt>
                <c:pt idx="4">
                  <c:v>0.55113636363636365</c:v>
                </c:pt>
              </c:numCache>
            </c:numRef>
          </c:val>
          <c:smooth val="0"/>
        </c:ser>
        <c:ser>
          <c:idx val="2"/>
          <c:order val="2"/>
          <c:tx>
            <c:strRef>
              <c:f>Approvals!$E$1</c:f>
              <c:strCache>
                <c:ptCount val="1"/>
                <c:pt idx="0">
                  <c:v>Golimumab</c:v>
                </c:pt>
              </c:strCache>
            </c:strRef>
          </c:tx>
          <c:val>
            <c:numRef>
              <c:f>Approvals!$E$2:$E$6</c:f>
              <c:numCache>
                <c:formatCode>0.00%</c:formatCode>
                <c:ptCount val="5"/>
                <c:pt idx="0">
                  <c:v>1</c:v>
                </c:pt>
                <c:pt idx="1">
                  <c:v>0.78857142857142859</c:v>
                </c:pt>
                <c:pt idx="2">
                  <c:v>0.74285714285714288</c:v>
                </c:pt>
                <c:pt idx="3">
                  <c:v>0.68</c:v>
                </c:pt>
                <c:pt idx="4">
                  <c:v>0.62285714285714289</c:v>
                </c:pt>
              </c:numCache>
            </c:numRef>
          </c:val>
          <c:smooth val="0"/>
        </c:ser>
        <c:ser>
          <c:idx val="3"/>
          <c:order val="3"/>
          <c:tx>
            <c:strRef>
              <c:f>Approvals!$F$1</c:f>
              <c:strCache>
                <c:ptCount val="1"/>
                <c:pt idx="0">
                  <c:v>Infliximab</c:v>
                </c:pt>
              </c:strCache>
            </c:strRef>
          </c:tx>
          <c:val>
            <c:numRef>
              <c:f>Approvals!$F$2:$F$6</c:f>
              <c:numCache>
                <c:formatCode>0.00%</c:formatCode>
                <c:ptCount val="5"/>
                <c:pt idx="0">
                  <c:v>1</c:v>
                </c:pt>
                <c:pt idx="1">
                  <c:v>0.68888888888888888</c:v>
                </c:pt>
                <c:pt idx="2">
                  <c:v>0.48888888888888887</c:v>
                </c:pt>
                <c:pt idx="3">
                  <c:v>0.4</c:v>
                </c:pt>
                <c:pt idx="4">
                  <c:v>0.35555555555555557</c:v>
                </c:pt>
              </c:numCache>
            </c:numRef>
          </c:val>
          <c:smooth val="0"/>
        </c:ser>
        <c:ser>
          <c:idx val="4"/>
          <c:order val="4"/>
          <c:tx>
            <c:strRef>
              <c:f>Approvals!$G$1</c:f>
              <c:strCache>
                <c:ptCount val="1"/>
                <c:pt idx="0">
                  <c:v>Continuing bDMARDs</c:v>
                </c:pt>
              </c:strCache>
            </c:strRef>
          </c:tx>
          <c:val>
            <c:numRef>
              <c:f>Approvals!$G$2:$G$6</c:f>
              <c:numCache>
                <c:formatCode>0.00%</c:formatCode>
                <c:ptCount val="5"/>
                <c:pt idx="0">
                  <c:v>1</c:v>
                </c:pt>
                <c:pt idx="1">
                  <c:v>0.90769230769230769</c:v>
                </c:pt>
                <c:pt idx="2">
                  <c:v>0.86794871794871797</c:v>
                </c:pt>
                <c:pt idx="3">
                  <c:v>0.82564102564102559</c:v>
                </c:pt>
                <c:pt idx="4">
                  <c:v>0.76025641025641022</c:v>
                </c:pt>
              </c:numCache>
            </c:numRef>
          </c:val>
          <c:smooth val="0"/>
        </c:ser>
        <c:dLbls>
          <c:showLegendKey val="0"/>
          <c:showVal val="0"/>
          <c:showCatName val="0"/>
          <c:showSerName val="0"/>
          <c:showPercent val="0"/>
          <c:showBubbleSize val="0"/>
        </c:dLbls>
        <c:marker val="1"/>
        <c:smooth val="0"/>
        <c:axId val="309659136"/>
        <c:axId val="309661056"/>
      </c:lineChart>
      <c:catAx>
        <c:axId val="309659136"/>
        <c:scaling>
          <c:orientation val="minMax"/>
        </c:scaling>
        <c:delete val="0"/>
        <c:axPos val="b"/>
        <c:title>
          <c:tx>
            <c:rich>
              <a:bodyPr/>
              <a:lstStyle/>
              <a:p>
                <a:pPr>
                  <a:defRPr b="0"/>
                </a:pPr>
                <a:r>
                  <a:rPr lang="en-AU" b="0"/>
                  <a:t>Approval</a:t>
                </a:r>
                <a:r>
                  <a:rPr lang="en-AU" b="0" baseline="0"/>
                  <a:t> number</a:t>
                </a:r>
                <a:endParaRPr lang="en-AU" b="0"/>
              </a:p>
            </c:rich>
          </c:tx>
          <c:layout/>
          <c:overlay val="0"/>
        </c:title>
        <c:majorTickMark val="out"/>
        <c:minorTickMark val="none"/>
        <c:tickLblPos val="nextTo"/>
        <c:crossAx val="309661056"/>
        <c:crosses val="autoZero"/>
        <c:auto val="1"/>
        <c:lblAlgn val="ctr"/>
        <c:lblOffset val="100"/>
        <c:noMultiLvlLbl val="0"/>
      </c:catAx>
      <c:valAx>
        <c:axId val="309661056"/>
        <c:scaling>
          <c:orientation val="minMax"/>
          <c:max val="1"/>
        </c:scaling>
        <c:delete val="0"/>
        <c:axPos val="l"/>
        <c:majorGridlines/>
        <c:title>
          <c:tx>
            <c:rich>
              <a:bodyPr rot="-5400000" vert="horz"/>
              <a:lstStyle/>
              <a:p>
                <a:pPr>
                  <a:defRPr b="0"/>
                </a:pPr>
                <a:r>
                  <a:rPr lang="en-AU" b="0"/>
                  <a:t>Percentage</a:t>
                </a:r>
                <a:r>
                  <a:rPr lang="en-AU" b="0" baseline="0"/>
                  <a:t> of patients</a:t>
                </a:r>
                <a:endParaRPr lang="en-AU" b="0"/>
              </a:p>
            </c:rich>
          </c:tx>
          <c:layout/>
          <c:overlay val="0"/>
        </c:title>
        <c:numFmt formatCode="0%" sourceLinked="0"/>
        <c:majorTickMark val="out"/>
        <c:minorTickMark val="none"/>
        <c:tickLblPos val="nextTo"/>
        <c:crossAx val="30965913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3"/>
          <c:order val="0"/>
          <c:tx>
            <c:strRef>
              <c:f>Approvals!$D$20</c:f>
              <c:strCache>
                <c:ptCount val="1"/>
                <c:pt idx="0">
                  <c:v>Continuing bDMARDs</c:v>
                </c:pt>
              </c:strCache>
            </c:strRef>
          </c:tx>
          <c:val>
            <c:numRef>
              <c:f>Approvals!$D$21:$D$30</c:f>
              <c:numCache>
                <c:formatCode>0%</c:formatCode>
                <c:ptCount val="10"/>
                <c:pt idx="0">
                  <c:v>1</c:v>
                </c:pt>
                <c:pt idx="1">
                  <c:v>0.90757575757575759</c:v>
                </c:pt>
                <c:pt idx="2">
                  <c:v>0.88181818181818183</c:v>
                </c:pt>
                <c:pt idx="3">
                  <c:v>0.85909090909090913</c:v>
                </c:pt>
                <c:pt idx="4">
                  <c:v>0.83333333333333337</c:v>
                </c:pt>
                <c:pt idx="5">
                  <c:v>0.81060606060606055</c:v>
                </c:pt>
                <c:pt idx="6">
                  <c:v>0.79242424242424248</c:v>
                </c:pt>
                <c:pt idx="7">
                  <c:v>0.77878787878787881</c:v>
                </c:pt>
                <c:pt idx="8">
                  <c:v>0.74545454545454548</c:v>
                </c:pt>
                <c:pt idx="9">
                  <c:v>0.71969696969696972</c:v>
                </c:pt>
              </c:numCache>
            </c:numRef>
          </c:val>
          <c:smooth val="0"/>
        </c:ser>
        <c:dLbls>
          <c:showLegendKey val="0"/>
          <c:showVal val="0"/>
          <c:showCatName val="0"/>
          <c:showSerName val="0"/>
          <c:showPercent val="0"/>
          <c:showBubbleSize val="0"/>
        </c:dLbls>
        <c:marker val="1"/>
        <c:smooth val="0"/>
        <c:axId val="314523008"/>
        <c:axId val="314529280"/>
      </c:lineChart>
      <c:catAx>
        <c:axId val="314523008"/>
        <c:scaling>
          <c:orientation val="minMax"/>
        </c:scaling>
        <c:delete val="0"/>
        <c:axPos val="b"/>
        <c:title>
          <c:tx>
            <c:rich>
              <a:bodyPr/>
              <a:lstStyle/>
              <a:p>
                <a:pPr>
                  <a:defRPr b="0"/>
                </a:pPr>
                <a:r>
                  <a:rPr lang="en-AU" b="0"/>
                  <a:t>Approval number</a:t>
                </a:r>
              </a:p>
            </c:rich>
          </c:tx>
          <c:layout/>
          <c:overlay val="0"/>
        </c:title>
        <c:majorTickMark val="out"/>
        <c:minorTickMark val="none"/>
        <c:tickLblPos val="nextTo"/>
        <c:crossAx val="314529280"/>
        <c:crosses val="autoZero"/>
        <c:auto val="1"/>
        <c:lblAlgn val="ctr"/>
        <c:lblOffset val="100"/>
        <c:noMultiLvlLbl val="0"/>
      </c:catAx>
      <c:valAx>
        <c:axId val="314529280"/>
        <c:scaling>
          <c:orientation val="minMax"/>
          <c:max val="1"/>
        </c:scaling>
        <c:delete val="0"/>
        <c:axPos val="l"/>
        <c:majorGridlines/>
        <c:title>
          <c:tx>
            <c:rich>
              <a:bodyPr rot="-5400000" vert="horz"/>
              <a:lstStyle/>
              <a:p>
                <a:pPr>
                  <a:defRPr b="0"/>
                </a:pPr>
                <a:r>
                  <a:rPr lang="en-AU" b="0"/>
                  <a:t>Percentage</a:t>
                </a:r>
                <a:r>
                  <a:rPr lang="en-AU" b="0" baseline="0"/>
                  <a:t> of patients</a:t>
                </a:r>
              </a:p>
            </c:rich>
          </c:tx>
          <c:layout/>
          <c:overlay val="0"/>
        </c:title>
        <c:numFmt formatCode="0%" sourceLinked="1"/>
        <c:majorTickMark val="out"/>
        <c:minorTickMark val="none"/>
        <c:tickLblPos val="nextTo"/>
        <c:crossAx val="314523008"/>
        <c:crosses val="autoZero"/>
        <c:crossBetween val="between"/>
        <c:majorUnit val="0.2"/>
      </c:valAx>
    </c:plotArea>
    <c:legend>
      <c:legendPos val="b"/>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[D876 - PAT_CNT_BY_DRUG_N_SUPP_Q_SUM2 - by therapy graphs, updated to dop 20.11.15.xlsx]Sheet1!PivotTable2</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s>
    <c:plotArea>
      <c:layout>
        <c:manualLayout>
          <c:layoutTarget val="inner"/>
          <c:xMode val="edge"/>
          <c:yMode val="edge"/>
          <c:x val="0.1222639399616189"/>
          <c:y val="3.8107309743171183E-2"/>
          <c:w val="0.60693461938447824"/>
          <c:h val="0.75893441581782262"/>
        </c:manualLayout>
      </c:layout>
      <c:lineChart>
        <c:grouping val="standard"/>
        <c:varyColors val="0"/>
        <c:ser>
          <c:idx val="0"/>
          <c:order val="0"/>
          <c:tx>
            <c:strRef>
              <c:f>Sheet1!$B$4:$B$5</c:f>
              <c:strCache>
                <c:ptCount val="1"/>
                <c:pt idx="0">
                  <c:v>prevalent patients</c:v>
                </c:pt>
              </c:strCache>
            </c:strRef>
          </c:tx>
          <c:cat>
            <c:strRef>
              <c:f>Sheet1!$A$6:$A$27</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Sheet1!$B$6:$B$27</c:f>
              <c:numCache>
                <c:formatCode>General</c:formatCode>
                <c:ptCount val="21"/>
                <c:pt idx="0">
                  <c:v>2874</c:v>
                </c:pt>
                <c:pt idx="1">
                  <c:v>3041</c:v>
                </c:pt>
                <c:pt idx="2">
                  <c:v>3196</c:v>
                </c:pt>
                <c:pt idx="3">
                  <c:v>3315</c:v>
                </c:pt>
                <c:pt idx="4">
                  <c:v>3463</c:v>
                </c:pt>
                <c:pt idx="5">
                  <c:v>3635</c:v>
                </c:pt>
                <c:pt idx="6">
                  <c:v>3722</c:v>
                </c:pt>
                <c:pt idx="7">
                  <c:v>3882</c:v>
                </c:pt>
                <c:pt idx="8">
                  <c:v>4021</c:v>
                </c:pt>
                <c:pt idx="9">
                  <c:v>4148</c:v>
                </c:pt>
                <c:pt idx="10">
                  <c:v>4354</c:v>
                </c:pt>
                <c:pt idx="11">
                  <c:v>4524</c:v>
                </c:pt>
                <c:pt idx="12">
                  <c:v>4674</c:v>
                </c:pt>
                <c:pt idx="13">
                  <c:v>4850</c:v>
                </c:pt>
                <c:pt idx="14">
                  <c:v>4968</c:v>
                </c:pt>
                <c:pt idx="15">
                  <c:v>5185</c:v>
                </c:pt>
                <c:pt idx="16">
                  <c:v>5442</c:v>
                </c:pt>
                <c:pt idx="17">
                  <c:v>5656</c:v>
                </c:pt>
                <c:pt idx="18">
                  <c:v>5780</c:v>
                </c:pt>
                <c:pt idx="19">
                  <c:v>6026</c:v>
                </c:pt>
                <c:pt idx="20">
                  <c:v>6207</c:v>
                </c:pt>
              </c:numCache>
            </c:numRef>
          </c:val>
          <c:smooth val="0"/>
        </c:ser>
        <c:ser>
          <c:idx val="1"/>
          <c:order val="1"/>
          <c:tx>
            <c:strRef>
              <c:f>Sheet1!$C$4:$C$5</c:f>
              <c:strCache>
                <c:ptCount val="1"/>
                <c:pt idx="0">
                  <c:v>initiating patients</c:v>
                </c:pt>
              </c:strCache>
            </c:strRef>
          </c:tx>
          <c:cat>
            <c:strRef>
              <c:f>Sheet1!$A$6:$A$27</c:f>
              <c:strCache>
                <c:ptCount val="21"/>
                <c:pt idx="0">
                  <c:v>2010Q3</c:v>
                </c:pt>
                <c:pt idx="1">
                  <c:v>2010Q4</c:v>
                </c:pt>
                <c:pt idx="2">
                  <c:v>2011Q1</c:v>
                </c:pt>
                <c:pt idx="3">
                  <c:v>2011Q2</c:v>
                </c:pt>
                <c:pt idx="4">
                  <c:v>2011Q3</c:v>
                </c:pt>
                <c:pt idx="5">
                  <c:v>2011Q4</c:v>
                </c:pt>
                <c:pt idx="6">
                  <c:v>2012Q1</c:v>
                </c:pt>
                <c:pt idx="7">
                  <c:v>2012Q2</c:v>
                </c:pt>
                <c:pt idx="8">
                  <c:v>2012Q3</c:v>
                </c:pt>
                <c:pt idx="9">
                  <c:v>2012Q4</c:v>
                </c:pt>
                <c:pt idx="10">
                  <c:v>2013Q1</c:v>
                </c:pt>
                <c:pt idx="11">
                  <c:v>2013Q2</c:v>
                </c:pt>
                <c:pt idx="12">
                  <c:v>2013Q3</c:v>
                </c:pt>
                <c:pt idx="13">
                  <c:v>2013Q4</c:v>
                </c:pt>
                <c:pt idx="14">
                  <c:v>2014Q1</c:v>
                </c:pt>
                <c:pt idx="15">
                  <c:v>2014Q2</c:v>
                </c:pt>
                <c:pt idx="16">
                  <c:v>2014Q3</c:v>
                </c:pt>
                <c:pt idx="17">
                  <c:v>2014Q4</c:v>
                </c:pt>
                <c:pt idx="18">
                  <c:v>2015Q1</c:v>
                </c:pt>
                <c:pt idx="19">
                  <c:v>2015Q2</c:v>
                </c:pt>
                <c:pt idx="20">
                  <c:v>2015Q3</c:v>
                </c:pt>
              </c:strCache>
            </c:strRef>
          </c:cat>
          <c:val>
            <c:numRef>
              <c:f>Sheet1!$C$6:$C$27</c:f>
              <c:numCache>
                <c:formatCode>General</c:formatCode>
                <c:ptCount val="21"/>
                <c:pt idx="0">
                  <c:v>214</c:v>
                </c:pt>
                <c:pt idx="1">
                  <c:v>221</c:v>
                </c:pt>
                <c:pt idx="2">
                  <c:v>210</c:v>
                </c:pt>
                <c:pt idx="3">
                  <c:v>198</c:v>
                </c:pt>
                <c:pt idx="4">
                  <c:v>239</c:v>
                </c:pt>
                <c:pt idx="5">
                  <c:v>229</c:v>
                </c:pt>
                <c:pt idx="6">
                  <c:v>200</c:v>
                </c:pt>
                <c:pt idx="7">
                  <c:v>236</c:v>
                </c:pt>
                <c:pt idx="8">
                  <c:v>207</c:v>
                </c:pt>
                <c:pt idx="9">
                  <c:v>225</c:v>
                </c:pt>
                <c:pt idx="10">
                  <c:v>241</c:v>
                </c:pt>
                <c:pt idx="11">
                  <c:v>237</c:v>
                </c:pt>
                <c:pt idx="12">
                  <c:v>263</c:v>
                </c:pt>
                <c:pt idx="13">
                  <c:v>256</c:v>
                </c:pt>
                <c:pt idx="14">
                  <c:v>228</c:v>
                </c:pt>
                <c:pt idx="15">
                  <c:v>322</c:v>
                </c:pt>
                <c:pt idx="16">
                  <c:v>351</c:v>
                </c:pt>
                <c:pt idx="17">
                  <c:v>329</c:v>
                </c:pt>
                <c:pt idx="18">
                  <c:v>315</c:v>
                </c:pt>
                <c:pt idx="19">
                  <c:v>343</c:v>
                </c:pt>
                <c:pt idx="20">
                  <c:v>366</c:v>
                </c:pt>
              </c:numCache>
            </c:numRef>
          </c:val>
          <c:smooth val="0"/>
        </c:ser>
        <c:dLbls>
          <c:showLegendKey val="0"/>
          <c:showVal val="0"/>
          <c:showCatName val="0"/>
          <c:showSerName val="0"/>
          <c:showPercent val="0"/>
          <c:showBubbleSize val="0"/>
        </c:dLbls>
        <c:marker val="1"/>
        <c:smooth val="0"/>
        <c:axId val="314539392"/>
        <c:axId val="314562048"/>
      </c:lineChart>
      <c:catAx>
        <c:axId val="314539392"/>
        <c:scaling>
          <c:orientation val="minMax"/>
        </c:scaling>
        <c:delete val="0"/>
        <c:axPos val="b"/>
        <c:title>
          <c:tx>
            <c:rich>
              <a:bodyPr/>
              <a:lstStyle/>
              <a:p>
                <a:pPr>
                  <a:defRPr b="0"/>
                </a:pPr>
                <a:r>
                  <a:rPr lang="en-AU" b="0"/>
                  <a:t>Quarter of supply</a:t>
                </a:r>
              </a:p>
            </c:rich>
          </c:tx>
          <c:layout>
            <c:manualLayout>
              <c:xMode val="edge"/>
              <c:yMode val="edge"/>
              <c:x val="0.33931818313665008"/>
              <c:y val="0.93327770757050432"/>
            </c:manualLayout>
          </c:layout>
          <c:overlay val="0"/>
        </c:title>
        <c:majorTickMark val="out"/>
        <c:minorTickMark val="none"/>
        <c:tickLblPos val="nextTo"/>
        <c:txPr>
          <a:bodyPr/>
          <a:lstStyle/>
          <a:p>
            <a:pPr>
              <a:defRPr sz="900"/>
            </a:pPr>
            <a:endParaRPr lang="en-US"/>
          </a:p>
        </c:txPr>
        <c:crossAx val="314562048"/>
        <c:crosses val="autoZero"/>
        <c:auto val="1"/>
        <c:lblAlgn val="ctr"/>
        <c:lblOffset val="100"/>
        <c:noMultiLvlLbl val="0"/>
      </c:catAx>
      <c:valAx>
        <c:axId val="314562048"/>
        <c:scaling>
          <c:orientation val="minMax"/>
        </c:scaling>
        <c:delete val="0"/>
        <c:axPos val="l"/>
        <c:majorGridlines/>
        <c:title>
          <c:tx>
            <c:rich>
              <a:bodyPr rot="-5400000" vert="horz"/>
              <a:lstStyle/>
              <a:p>
                <a:pPr>
                  <a:defRPr b="0"/>
                </a:pPr>
                <a:r>
                  <a:rPr lang="en-AU" b="0"/>
                  <a:t>Patinets</a:t>
                </a:r>
              </a:p>
            </c:rich>
          </c:tx>
          <c:layout>
            <c:manualLayout>
              <c:xMode val="edge"/>
              <c:yMode val="edge"/>
              <c:x val="1.3395637698277852E-2"/>
              <c:y val="0.34161455126751133"/>
            </c:manualLayout>
          </c:layout>
          <c:overlay val="0"/>
        </c:title>
        <c:numFmt formatCode="#,##0" sourceLinked="0"/>
        <c:majorTickMark val="out"/>
        <c:minorTickMark val="none"/>
        <c:tickLblPos val="nextTo"/>
        <c:crossAx val="314539392"/>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24D9-0CB8-4BFD-B7AB-05817B5A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6967</Words>
  <Characters>39716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2016-06-23T04:19:00Z</dcterms:created>
  <dcterms:modified xsi:type="dcterms:W3CDTF">2016-06-23T04:25:00Z</dcterms:modified>
</cp:coreProperties>
</file>