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129" w:rsidRDefault="00433129" w:rsidP="00433129">
      <w:pPr>
        <w:pStyle w:val="Title"/>
      </w:pPr>
      <w:r>
        <w:t>Smoking Cessation Therapy: PBS/RPBS utilisation</w:t>
      </w:r>
    </w:p>
    <w:p w:rsidR="00736041" w:rsidRDefault="009053D3" w:rsidP="00A35800">
      <w:pPr>
        <w:pStyle w:val="Heading1"/>
      </w:pPr>
      <w:r>
        <w:t>D</w:t>
      </w:r>
      <w:r w:rsidR="00832324" w:rsidRPr="0063631C">
        <w:t xml:space="preserve">rug utilisation sub-committee </w:t>
      </w:r>
      <w:r w:rsidR="00832324">
        <w:t>(DUSC)</w:t>
      </w:r>
    </w:p>
    <w:p w:rsidR="009053D3" w:rsidRPr="000C46BB" w:rsidRDefault="00433129" w:rsidP="000C46BB">
      <w:pPr>
        <w:pStyle w:val="Heading2"/>
      </w:pPr>
      <w:r>
        <w:t>February 2016</w:t>
      </w:r>
    </w:p>
    <w:p w:rsidR="005C6661" w:rsidRDefault="005C6661" w:rsidP="005C6661">
      <w:pPr>
        <w:pStyle w:val="Heading3"/>
      </w:pPr>
      <w:r>
        <w:t>Abstract</w:t>
      </w:r>
    </w:p>
    <w:p w:rsidR="005C6661" w:rsidRDefault="005C6661" w:rsidP="005C6661">
      <w:pPr>
        <w:pStyle w:val="Heading2"/>
      </w:pPr>
      <w:r>
        <w:t>Purpose</w:t>
      </w:r>
    </w:p>
    <w:p w:rsidR="005C6661" w:rsidRDefault="00352F5D" w:rsidP="00B951F4">
      <w:r w:rsidRPr="00B951F4">
        <w:t>To report on the utilisation of smoking cessation</w:t>
      </w:r>
      <w:r w:rsidR="002D346C">
        <w:t xml:space="preserve"> therapies subsidised on the Pharmaceutical Benefits Scheme (PBS) or Repatriation Pharmaceutical Benefits Scheme (RPBS).</w:t>
      </w:r>
      <w:r w:rsidR="00B951F4">
        <w:t xml:space="preserve"> </w:t>
      </w:r>
      <w:r w:rsidR="005D1EAC">
        <w:t xml:space="preserve">DUSC requested the analysis consider the impact of Nicotine Replacement Therapy (NRT) products changing from Authority Required to </w:t>
      </w:r>
      <w:r w:rsidR="00596689">
        <w:t>Authority Required (</w:t>
      </w:r>
      <w:r w:rsidR="005D1EAC">
        <w:t>S</w:t>
      </w:r>
      <w:r w:rsidR="00596689">
        <w:t>TREAMLINED)</w:t>
      </w:r>
      <w:r w:rsidR="005D1EAC">
        <w:t xml:space="preserve"> on 1 December 2013.</w:t>
      </w:r>
    </w:p>
    <w:p w:rsidR="002D144A" w:rsidRDefault="002D144A" w:rsidP="005C6661">
      <w:pPr>
        <w:pStyle w:val="Heading2"/>
      </w:pPr>
      <w:r>
        <w:t>Date of listing on the P</w:t>
      </w:r>
      <w:r w:rsidR="00A95FA5">
        <w:t xml:space="preserve">harmaceutical </w:t>
      </w:r>
      <w:r>
        <w:t>B</w:t>
      </w:r>
      <w:r w:rsidR="00A95FA5">
        <w:t xml:space="preserve">enefits </w:t>
      </w:r>
      <w:r>
        <w:t>S</w:t>
      </w:r>
      <w:r w:rsidR="00A95FA5">
        <w:t>cheme (PBS)</w:t>
      </w:r>
    </w:p>
    <w:p w:rsidR="002D346C" w:rsidRDefault="002D346C" w:rsidP="002D346C">
      <w:pPr>
        <w:pStyle w:val="ListParagraph"/>
        <w:numPr>
          <w:ilvl w:val="0"/>
          <w:numId w:val="20"/>
        </w:numPr>
        <w:spacing w:after="0"/>
      </w:pPr>
      <w:r>
        <w:t>Bupropion: 22 August 2000</w:t>
      </w:r>
    </w:p>
    <w:p w:rsidR="00B951F4" w:rsidRDefault="00B951F4" w:rsidP="002D346C">
      <w:pPr>
        <w:pStyle w:val="ListParagraph"/>
        <w:numPr>
          <w:ilvl w:val="0"/>
          <w:numId w:val="20"/>
        </w:numPr>
        <w:spacing w:after="0"/>
      </w:pPr>
      <w:r>
        <w:t>NRT: 1 May 2000 (Repatriation only)</w:t>
      </w:r>
    </w:p>
    <w:p w:rsidR="00B951F4" w:rsidRDefault="00B951F4" w:rsidP="00B951F4">
      <w:pPr>
        <w:spacing w:after="0"/>
      </w:pPr>
      <w:r>
        <w:t xml:space="preserve">          </w:t>
      </w:r>
      <w:r>
        <w:tab/>
        <w:t xml:space="preserve">          1 December 2008 (Aboriginal and Torres Strait Islander population)</w:t>
      </w:r>
    </w:p>
    <w:p w:rsidR="002D346C" w:rsidRDefault="00B951F4" w:rsidP="002D346C">
      <w:pPr>
        <w:spacing w:after="0"/>
      </w:pPr>
      <w:r>
        <w:t xml:space="preserve">                       1 February 2011 (general population)</w:t>
      </w:r>
    </w:p>
    <w:p w:rsidR="002D346C" w:rsidRDefault="002D346C" w:rsidP="002D346C">
      <w:pPr>
        <w:pStyle w:val="ListParagraph"/>
        <w:numPr>
          <w:ilvl w:val="0"/>
          <w:numId w:val="20"/>
        </w:numPr>
        <w:spacing w:after="0"/>
      </w:pPr>
      <w:r>
        <w:t>Varenicline: 1 January 2008</w:t>
      </w:r>
    </w:p>
    <w:p w:rsidR="005C6661" w:rsidRDefault="005C6661" w:rsidP="005C6661">
      <w:pPr>
        <w:pStyle w:val="Heading2"/>
      </w:pPr>
      <w:r>
        <w:t>Data Source / methodology</w:t>
      </w:r>
    </w:p>
    <w:p w:rsidR="00B951F4" w:rsidRPr="00B951F4" w:rsidRDefault="00B951F4" w:rsidP="005C6661">
      <w:pPr>
        <w:pStyle w:val="Heading2"/>
        <w:rPr>
          <w:b w:val="0"/>
          <w:i w:val="0"/>
        </w:rPr>
      </w:pPr>
      <w:r w:rsidRPr="00B951F4">
        <w:rPr>
          <w:b w:val="0"/>
          <w:i w:val="0"/>
        </w:rPr>
        <w:t xml:space="preserve">Data </w:t>
      </w:r>
      <w:r w:rsidR="00B57367">
        <w:rPr>
          <w:b w:val="0"/>
          <w:i w:val="0"/>
        </w:rPr>
        <w:t>were</w:t>
      </w:r>
      <w:r w:rsidR="00B57367" w:rsidRPr="00B951F4">
        <w:rPr>
          <w:b w:val="0"/>
          <w:i w:val="0"/>
        </w:rPr>
        <w:t xml:space="preserve"> </w:t>
      </w:r>
      <w:r w:rsidRPr="00B951F4">
        <w:rPr>
          <w:b w:val="0"/>
          <w:i w:val="0"/>
        </w:rPr>
        <w:t>extracted from the DUSC and Department of Human Services (DHS) prescription databases from the earliest available data and continuing to September 2015. It includes data on the item supplied, the quantity, cost to Government, de-identified personal identification number (PIN) and patient date of birth.</w:t>
      </w:r>
    </w:p>
    <w:p w:rsidR="005C6661" w:rsidRDefault="005C6661" w:rsidP="005C6661">
      <w:pPr>
        <w:pStyle w:val="Heading2"/>
      </w:pPr>
      <w:r>
        <w:t>Key Findings</w:t>
      </w:r>
    </w:p>
    <w:p w:rsidR="00596689" w:rsidRPr="00596689" w:rsidRDefault="00596689" w:rsidP="00596689">
      <w:pPr>
        <w:spacing w:after="0"/>
      </w:pPr>
      <w:r>
        <w:t>In calendar year 2014:</w:t>
      </w:r>
    </w:p>
    <w:p w:rsidR="005C6661" w:rsidRDefault="00FA59EF" w:rsidP="00596689">
      <w:pPr>
        <w:pStyle w:val="NoSpacing"/>
        <w:numPr>
          <w:ilvl w:val="0"/>
          <w:numId w:val="1"/>
        </w:numPr>
      </w:pPr>
      <w:r>
        <w:t xml:space="preserve">There were 373,934 </w:t>
      </w:r>
      <w:r w:rsidR="00596689">
        <w:t>people</w:t>
      </w:r>
      <w:r w:rsidR="005D1EAC">
        <w:t xml:space="preserve"> </w:t>
      </w:r>
      <w:r w:rsidR="00596689">
        <w:t>supplied</w:t>
      </w:r>
      <w:r w:rsidR="005D1EAC">
        <w:t xml:space="preserve"> R/PBS subsidi</w:t>
      </w:r>
      <w:r w:rsidR="00596689">
        <w:t>sed smoking cessation therapies.</w:t>
      </w:r>
    </w:p>
    <w:p w:rsidR="00FA59EF" w:rsidRDefault="00FA59EF" w:rsidP="005C6661">
      <w:pPr>
        <w:pStyle w:val="NoSpacing"/>
        <w:numPr>
          <w:ilvl w:val="0"/>
          <w:numId w:val="1"/>
        </w:numPr>
      </w:pPr>
      <w:r>
        <w:t xml:space="preserve">88,527 of those people </w:t>
      </w:r>
      <w:r w:rsidR="007A388D">
        <w:t>made</w:t>
      </w:r>
      <w:r>
        <w:t xml:space="preserve"> their first attempt </w:t>
      </w:r>
      <w:r w:rsidR="00F02C04">
        <w:t>at quitting with R/PBS subsidised smoking cessation therapy.</w:t>
      </w:r>
    </w:p>
    <w:p w:rsidR="00163F5A" w:rsidRDefault="00596689" w:rsidP="005C6661">
      <w:pPr>
        <w:pStyle w:val="NoSpacing"/>
        <w:numPr>
          <w:ilvl w:val="0"/>
          <w:numId w:val="1"/>
        </w:numPr>
      </w:pPr>
      <w:r>
        <w:t>T</w:t>
      </w:r>
      <w:r w:rsidR="002B3065">
        <w:t>here were 15,828</w:t>
      </w:r>
      <w:r w:rsidR="00F02C04">
        <w:t xml:space="preserve"> R/PBS</w:t>
      </w:r>
      <w:r w:rsidR="002B3065">
        <w:t xml:space="preserve"> </w:t>
      </w:r>
      <w:r w:rsidR="00AE7BCA">
        <w:t>prescriptions supplied for bupropion; 136,556 for NRT and 335,088 for varenicline.</w:t>
      </w:r>
    </w:p>
    <w:p w:rsidR="00FA59EF" w:rsidRDefault="00596689" w:rsidP="005C6661">
      <w:pPr>
        <w:pStyle w:val="NoSpacing"/>
        <w:numPr>
          <w:ilvl w:val="0"/>
          <w:numId w:val="1"/>
        </w:numPr>
      </w:pPr>
      <w:r>
        <w:t>$47.8 million in R/PBS benefits was paid for smoking cessation therapy.</w:t>
      </w:r>
    </w:p>
    <w:p w:rsidR="00596689" w:rsidRDefault="00596689" w:rsidP="00596689">
      <w:pPr>
        <w:pStyle w:val="NoSpacing"/>
      </w:pPr>
    </w:p>
    <w:p w:rsidR="00803AE7" w:rsidRDefault="00803AE7" w:rsidP="00596689">
      <w:pPr>
        <w:pStyle w:val="NoSpacing"/>
      </w:pPr>
      <w:r>
        <w:t xml:space="preserve">The change in restriction to NRT did not significantly impact the utilisation trends of </w:t>
      </w:r>
      <w:r w:rsidR="00F02C04">
        <w:t xml:space="preserve">R/PBS </w:t>
      </w:r>
      <w:r>
        <w:t xml:space="preserve">smoking cessation therapies. </w:t>
      </w:r>
    </w:p>
    <w:p w:rsidR="00E677DD" w:rsidRPr="00AE7BCA" w:rsidRDefault="00E677DD" w:rsidP="00AE7BCA">
      <w:pPr>
        <w:spacing w:line="276" w:lineRule="auto"/>
        <w:rPr>
          <w:b/>
          <w:sz w:val="28"/>
          <w:szCs w:val="28"/>
        </w:rPr>
      </w:pPr>
      <w:r w:rsidRPr="00AE7BCA">
        <w:rPr>
          <w:b/>
          <w:sz w:val="28"/>
          <w:szCs w:val="28"/>
        </w:rPr>
        <w:lastRenderedPageBreak/>
        <w:t xml:space="preserve">Purpose of </w:t>
      </w:r>
      <w:r w:rsidR="00D151EB" w:rsidRPr="00AE7BCA">
        <w:rPr>
          <w:b/>
          <w:sz w:val="28"/>
          <w:szCs w:val="28"/>
        </w:rPr>
        <w:t>analysis</w:t>
      </w:r>
    </w:p>
    <w:p w:rsidR="00DF73B4" w:rsidRPr="00DF73B4" w:rsidRDefault="009F61FA" w:rsidP="00DF73B4">
      <w:pPr>
        <w:pStyle w:val="Heading4"/>
        <w:rPr>
          <w:b w:val="0"/>
          <w:sz w:val="24"/>
          <w:szCs w:val="24"/>
        </w:rPr>
      </w:pPr>
      <w:r w:rsidRPr="009F61FA">
        <w:rPr>
          <w:b w:val="0"/>
          <w:sz w:val="24"/>
          <w:szCs w:val="24"/>
        </w:rPr>
        <w:t>According to the 2013 National Drug Strategy Household Survey (NDSHS) conducted by the Australian Institute of Health and Welfare (AIHW), the average number of people who smoke daily has declined significantly over 2010-2013 period (from 15.1% to 12.8%).</w:t>
      </w:r>
      <w:r>
        <w:rPr>
          <w:rStyle w:val="FootnoteReference"/>
          <w:b w:val="0"/>
          <w:sz w:val="24"/>
          <w:szCs w:val="24"/>
        </w:rPr>
        <w:footnoteReference w:id="1"/>
      </w:r>
      <w:r>
        <w:rPr>
          <w:b w:val="0"/>
          <w:sz w:val="24"/>
          <w:szCs w:val="24"/>
        </w:rPr>
        <w:t xml:space="preserve"> Despite this, </w:t>
      </w:r>
      <w:r>
        <w:rPr>
          <w:rFonts w:cs="HelveticaNeueLT Std"/>
          <w:b w:val="0"/>
          <w:bCs/>
          <w:color w:val="000000"/>
          <w:sz w:val="24"/>
          <w:szCs w:val="24"/>
        </w:rPr>
        <w:t>t</w:t>
      </w:r>
      <w:r w:rsidRPr="009F61FA">
        <w:rPr>
          <w:rFonts w:cs="HelveticaNeueLT Std"/>
          <w:b w:val="0"/>
          <w:bCs/>
          <w:color w:val="000000"/>
          <w:sz w:val="24"/>
          <w:szCs w:val="24"/>
        </w:rPr>
        <w:t>obacco remains a significant cause of death and disability in Australia. Around 3.3 million Australians still smoke</w:t>
      </w:r>
      <w:r>
        <w:rPr>
          <w:rStyle w:val="A5"/>
          <w:sz w:val="24"/>
          <w:szCs w:val="24"/>
        </w:rPr>
        <w:t xml:space="preserve"> </w:t>
      </w:r>
      <w:r w:rsidRPr="009F61FA">
        <w:rPr>
          <w:rFonts w:cs="HelveticaNeueLT Std"/>
          <w:b w:val="0"/>
          <w:bCs/>
          <w:color w:val="000000"/>
          <w:sz w:val="24"/>
          <w:szCs w:val="24"/>
        </w:rPr>
        <w:t>and an estimated 15,000 people die each year of smoking-related illness.</w:t>
      </w:r>
      <w:r>
        <w:rPr>
          <w:rStyle w:val="FootnoteReference"/>
          <w:rFonts w:cs="HelveticaNeueLT Std"/>
          <w:b w:val="0"/>
          <w:bCs/>
          <w:color w:val="000000"/>
          <w:sz w:val="24"/>
          <w:szCs w:val="24"/>
        </w:rPr>
        <w:footnoteReference w:id="2"/>
      </w:r>
      <w:r w:rsidR="00DF73B4">
        <w:rPr>
          <w:rFonts w:cs="HelveticaNeueLT Std"/>
          <w:b w:val="0"/>
          <w:bCs/>
          <w:color w:val="000000"/>
          <w:sz w:val="24"/>
          <w:szCs w:val="24"/>
        </w:rPr>
        <w:t xml:space="preserve"> </w:t>
      </w:r>
      <w:r w:rsidRPr="00DF73B4">
        <w:rPr>
          <w:b w:val="0"/>
          <w:sz w:val="24"/>
          <w:szCs w:val="24"/>
        </w:rPr>
        <w:t xml:space="preserve">There are three pharmacological interventions </w:t>
      </w:r>
      <w:r w:rsidR="00DF73B4" w:rsidRPr="00DF73B4">
        <w:rPr>
          <w:b w:val="0"/>
          <w:sz w:val="24"/>
          <w:szCs w:val="24"/>
        </w:rPr>
        <w:t xml:space="preserve">for smoking </w:t>
      </w:r>
      <w:r w:rsidRPr="00DF73B4">
        <w:rPr>
          <w:b w:val="0"/>
          <w:sz w:val="24"/>
          <w:szCs w:val="24"/>
        </w:rPr>
        <w:t>available on the Pharmaceutical Benefits Scheme</w:t>
      </w:r>
      <w:r w:rsidR="00DF73B4">
        <w:rPr>
          <w:b w:val="0"/>
          <w:sz w:val="24"/>
          <w:szCs w:val="24"/>
        </w:rPr>
        <w:t xml:space="preserve"> (PBS)</w:t>
      </w:r>
      <w:r w:rsidRPr="00DF73B4">
        <w:rPr>
          <w:b w:val="0"/>
          <w:sz w:val="24"/>
          <w:szCs w:val="24"/>
        </w:rPr>
        <w:t xml:space="preserve">: nicotine replacement therapy (NRT), varenicline and bupropion. </w:t>
      </w:r>
    </w:p>
    <w:p w:rsidR="00103B72" w:rsidRDefault="00596689" w:rsidP="00DF73B4">
      <w:pPr>
        <w:pStyle w:val="Heading4"/>
        <w:rPr>
          <w:b w:val="0"/>
          <w:color w:val="FF0000"/>
          <w:sz w:val="24"/>
          <w:szCs w:val="24"/>
        </w:rPr>
      </w:pPr>
      <w:r>
        <w:rPr>
          <w:b w:val="0"/>
          <w:sz w:val="24"/>
          <w:szCs w:val="24"/>
        </w:rPr>
        <w:t>A number of changes to the PBS restrictions for these products have occurred since DUSC last reviewed NRT in October 2012. These changes include that the PBS listings for NRT were changed from Authority Required to Authority Required (STREAMLINED) on 1</w:t>
      </w:r>
      <w:r w:rsidR="00F02C04">
        <w:rPr>
          <w:b w:val="0"/>
          <w:sz w:val="24"/>
          <w:szCs w:val="24"/>
        </w:rPr>
        <w:t> December</w:t>
      </w:r>
      <w:r>
        <w:rPr>
          <w:b w:val="0"/>
          <w:sz w:val="24"/>
          <w:szCs w:val="24"/>
        </w:rPr>
        <w:t xml:space="preserve"> 2013.</w:t>
      </w:r>
    </w:p>
    <w:p w:rsidR="009F61FA" w:rsidRDefault="00DF73B4" w:rsidP="00DF73B4">
      <w:pPr>
        <w:pStyle w:val="Heading4"/>
        <w:rPr>
          <w:b w:val="0"/>
          <w:sz w:val="24"/>
          <w:szCs w:val="24"/>
        </w:rPr>
      </w:pPr>
      <w:r>
        <w:rPr>
          <w:b w:val="0"/>
          <w:sz w:val="24"/>
          <w:szCs w:val="24"/>
        </w:rPr>
        <w:t xml:space="preserve">The purpose of this analysis is to </w:t>
      </w:r>
      <w:r w:rsidR="00103B72">
        <w:rPr>
          <w:b w:val="0"/>
          <w:sz w:val="24"/>
          <w:szCs w:val="24"/>
        </w:rPr>
        <w:t>report</w:t>
      </w:r>
      <w:r>
        <w:rPr>
          <w:b w:val="0"/>
          <w:sz w:val="24"/>
          <w:szCs w:val="24"/>
        </w:rPr>
        <w:t xml:space="preserve"> the utilisation of </w:t>
      </w:r>
      <w:r w:rsidR="00341F0F">
        <w:rPr>
          <w:b w:val="0"/>
          <w:sz w:val="24"/>
          <w:szCs w:val="24"/>
        </w:rPr>
        <w:t xml:space="preserve">R/PBS subsidised </w:t>
      </w:r>
      <w:r>
        <w:rPr>
          <w:b w:val="0"/>
          <w:sz w:val="24"/>
          <w:szCs w:val="24"/>
        </w:rPr>
        <w:t>smoking cessation therapies</w:t>
      </w:r>
      <w:r w:rsidR="00341F0F">
        <w:rPr>
          <w:b w:val="0"/>
          <w:sz w:val="24"/>
          <w:szCs w:val="24"/>
        </w:rPr>
        <w:t xml:space="preserve"> and to </w:t>
      </w:r>
      <w:r w:rsidR="00341F0F" w:rsidRPr="00341F0F">
        <w:rPr>
          <w:b w:val="0"/>
          <w:sz w:val="24"/>
          <w:szCs w:val="24"/>
        </w:rPr>
        <w:t xml:space="preserve">consider the impact of </w:t>
      </w:r>
      <w:r w:rsidR="00341F0F">
        <w:rPr>
          <w:b w:val="0"/>
          <w:sz w:val="24"/>
          <w:szCs w:val="24"/>
        </w:rPr>
        <w:t>NRT</w:t>
      </w:r>
      <w:r w:rsidR="00341F0F" w:rsidRPr="00341F0F">
        <w:rPr>
          <w:b w:val="0"/>
          <w:sz w:val="24"/>
          <w:szCs w:val="24"/>
        </w:rPr>
        <w:t xml:space="preserve"> products changing from Authority Required to Streamlined on 1 December 2013</w:t>
      </w:r>
      <w:r w:rsidR="00341F0F">
        <w:rPr>
          <w:b w:val="0"/>
          <w:sz w:val="24"/>
          <w:szCs w:val="24"/>
        </w:rPr>
        <w:t>.</w:t>
      </w:r>
    </w:p>
    <w:p w:rsidR="00F110CA" w:rsidRPr="005E22C2" w:rsidRDefault="00F110CA" w:rsidP="00F110CA">
      <w:pPr>
        <w:pStyle w:val="Heading4"/>
      </w:pPr>
      <w:r w:rsidRPr="005E22C2">
        <w:t>Background</w:t>
      </w:r>
    </w:p>
    <w:p w:rsidR="007247B9" w:rsidRDefault="007247B9" w:rsidP="00FE645A">
      <w:pPr>
        <w:pStyle w:val="Heading3"/>
      </w:pPr>
      <w:bookmarkStart w:id="0" w:name="_GoBack"/>
      <w:bookmarkEnd w:id="0"/>
      <w:r>
        <w:t>Pharmacology</w:t>
      </w:r>
    </w:p>
    <w:p w:rsidR="001E2537" w:rsidRPr="001E2537" w:rsidRDefault="001E2537" w:rsidP="00AE4BAC">
      <w:pPr>
        <w:rPr>
          <w:u w:val="single"/>
        </w:rPr>
      </w:pPr>
      <w:r>
        <w:rPr>
          <w:u w:val="single"/>
        </w:rPr>
        <w:t>Varenicline</w:t>
      </w:r>
    </w:p>
    <w:p w:rsidR="00476C5A" w:rsidRDefault="00476C5A" w:rsidP="00B07F4F">
      <w:r>
        <w:t>There are nicotine receptors in the brain. When cigarette smoke is inhaled, nicotine attaches to these receptors. This sends a message to a different part of the brain to release a chemical called dopamine. Dopamine gives a feeling of pleasure which only lasts for a short time. The body wants to repeat this feeling reinforcing the need to keep smoking. It is believed that varenicline works as a partial nicotine agonist by activating these receptors and blocking nicotine from attaching to them</w:t>
      </w:r>
      <w:r w:rsidR="00326338">
        <w:t>.</w:t>
      </w:r>
      <w:r w:rsidR="00B07F4F">
        <w:rPr>
          <w:rStyle w:val="FootnoteReference"/>
        </w:rPr>
        <w:footnoteReference w:id="3"/>
      </w:r>
      <w:r w:rsidR="00B07F4F" w:rsidRPr="00A010EF">
        <w:rPr>
          <w:vertAlign w:val="superscript"/>
        </w:rPr>
        <w:t>,</w:t>
      </w:r>
      <w:bookmarkStart w:id="1" w:name="_Ref436055433"/>
      <w:r w:rsidR="00B07F4F">
        <w:rPr>
          <w:rStyle w:val="FootnoteReference"/>
        </w:rPr>
        <w:footnoteReference w:id="4"/>
      </w:r>
      <w:bookmarkEnd w:id="1"/>
      <w:r>
        <w:t xml:space="preserve"> </w:t>
      </w:r>
    </w:p>
    <w:p w:rsidR="001E2537" w:rsidRPr="001E2537" w:rsidRDefault="001E2537" w:rsidP="00AE4BAC">
      <w:pPr>
        <w:rPr>
          <w:u w:val="single"/>
        </w:rPr>
      </w:pPr>
      <w:r>
        <w:rPr>
          <w:u w:val="single"/>
        </w:rPr>
        <w:t>Nicotine Replacement Therapy (NRT)</w:t>
      </w:r>
    </w:p>
    <w:p w:rsidR="00EC169A" w:rsidRDefault="00EC169A" w:rsidP="00AE4BAC">
      <w:pPr>
        <w:rPr>
          <w:highlight w:val="yellow"/>
        </w:rPr>
      </w:pPr>
      <w:r w:rsidRPr="00DF1B3F">
        <w:t>N</w:t>
      </w:r>
      <w:r w:rsidR="001E2537">
        <w:t>RT</w:t>
      </w:r>
      <w:r w:rsidR="00476C5A">
        <w:t xml:space="preserve"> </w:t>
      </w:r>
      <w:r w:rsidRPr="00DF1B3F">
        <w:t>has been designed to slowly allow nicotine to be absorbed by the body to offset the physical withdrawal symptoms of smoking cessation. It is easier to withdraw off NRT than cigarettes due to the lower levels of nicotine present</w:t>
      </w:r>
      <w:r w:rsidR="007C5B12" w:rsidRPr="00DF1B3F">
        <w:t xml:space="preserve"> [CMI]</w:t>
      </w:r>
      <w:r w:rsidRPr="00DF1B3F">
        <w:t>.</w:t>
      </w:r>
      <w:r w:rsidR="007C5B12" w:rsidRPr="00DF1B3F">
        <w:t xml:space="preserve"> Short-acting forms of </w:t>
      </w:r>
      <w:r w:rsidR="007C5B12" w:rsidRPr="00DF1B3F">
        <w:rPr>
          <w:rStyle w:val="abbreviation"/>
        </w:rPr>
        <w:t>NRT</w:t>
      </w:r>
      <w:r w:rsidR="007C5B12" w:rsidRPr="00DF1B3F">
        <w:t xml:space="preserve"> (gum, inhalation cartridge, lozenge, oral spray and sublingual tablet) give a rapid increase in blood nicotine concentration, similar to that associated with smoking, and may be helpful </w:t>
      </w:r>
      <w:r w:rsidR="007C5B12" w:rsidRPr="00DF1B3F">
        <w:lastRenderedPageBreak/>
        <w:t>for the more nicotine-dependent smokers. Nicotine patches do not produce this rapid increase, whic</w:t>
      </w:r>
      <w:r w:rsidR="00B0505A">
        <w:t>h people trying to quit may crave</w:t>
      </w:r>
      <w:r w:rsidR="007C5B12" w:rsidRPr="00DF1B3F">
        <w:t>.</w:t>
      </w:r>
      <w:r w:rsidR="00773FD6">
        <w:rPr>
          <w:vertAlign w:val="superscript"/>
        </w:rPr>
        <w:t>4</w:t>
      </w:r>
      <w:r w:rsidR="007C5B12">
        <w:rPr>
          <w:highlight w:val="yellow"/>
        </w:rPr>
        <w:t xml:space="preserve"> </w:t>
      </w:r>
      <w:r w:rsidRPr="007C5B12">
        <w:rPr>
          <w:highlight w:val="yellow"/>
        </w:rPr>
        <w:t xml:space="preserve">  </w:t>
      </w:r>
    </w:p>
    <w:p w:rsidR="001E2537" w:rsidRPr="001E2537" w:rsidRDefault="001E2537" w:rsidP="006701AF">
      <w:pPr>
        <w:pStyle w:val="NormalWeb"/>
        <w:spacing w:before="0" w:beforeAutospacing="0" w:after="185" w:afterAutospacing="0"/>
        <w:rPr>
          <w:rFonts w:asciiTheme="minorHAnsi" w:hAnsiTheme="minorHAnsi" w:cs="Arial"/>
          <w:u w:val="single"/>
        </w:rPr>
      </w:pPr>
      <w:r>
        <w:rPr>
          <w:rFonts w:asciiTheme="minorHAnsi" w:hAnsiTheme="minorHAnsi" w:cs="Arial"/>
          <w:u w:val="single"/>
        </w:rPr>
        <w:t>Bupropion</w:t>
      </w:r>
    </w:p>
    <w:p w:rsidR="00627C77" w:rsidRDefault="00476C5A" w:rsidP="00627C77">
      <w:pPr>
        <w:pStyle w:val="NormalWeb"/>
        <w:spacing w:before="0" w:beforeAutospacing="0" w:after="185" w:afterAutospacing="0"/>
        <w:rPr>
          <w:rFonts w:asciiTheme="minorHAnsi" w:hAnsiTheme="minorHAnsi"/>
        </w:rPr>
      </w:pPr>
      <w:r w:rsidRPr="00476C5A">
        <w:rPr>
          <w:rFonts w:asciiTheme="minorHAnsi" w:hAnsiTheme="minorHAnsi" w:cs="Arial"/>
        </w:rPr>
        <w:t>Bupropion is a non-nicotine oral therapy (originally developed as an antidepressant) with similar efficacy to</w:t>
      </w:r>
      <w:r w:rsidRPr="00476C5A">
        <w:rPr>
          <w:rStyle w:val="apple-converted-space"/>
          <w:rFonts w:asciiTheme="minorHAnsi" w:eastAsiaTheme="majorEastAsia" w:hAnsiTheme="minorHAnsi" w:cs="Arial"/>
        </w:rPr>
        <w:t> </w:t>
      </w:r>
      <w:r w:rsidRPr="00476C5A">
        <w:rPr>
          <w:rStyle w:val="abbreviation"/>
          <w:rFonts w:asciiTheme="minorHAnsi" w:hAnsiTheme="minorHAnsi" w:cs="Arial"/>
        </w:rPr>
        <w:t>NRT</w:t>
      </w:r>
      <w:r w:rsidRPr="00476C5A">
        <w:rPr>
          <w:rStyle w:val="apple-converted-space"/>
          <w:rFonts w:asciiTheme="minorHAnsi" w:eastAsiaTheme="majorEastAsia" w:hAnsiTheme="minorHAnsi" w:cs="Arial"/>
        </w:rPr>
        <w:t> </w:t>
      </w:r>
      <w:r w:rsidRPr="00476C5A">
        <w:rPr>
          <w:rFonts w:asciiTheme="minorHAnsi" w:hAnsiTheme="minorHAnsi" w:cs="Arial"/>
        </w:rPr>
        <w:t>in aiding smoking cessation. It is effective for smokers with depression, cardiac or respiratory diseases, and also to improve short-term abstinence rates for</w:t>
      </w:r>
      <w:r w:rsidR="00326338">
        <w:rPr>
          <w:rFonts w:asciiTheme="minorHAnsi" w:hAnsiTheme="minorHAnsi" w:cs="Arial"/>
        </w:rPr>
        <w:t xml:space="preserve"> people with schizophrenia</w:t>
      </w:r>
      <w:r>
        <w:rPr>
          <w:rFonts w:asciiTheme="minorHAnsi" w:hAnsiTheme="minorHAnsi" w:cs="Arial"/>
        </w:rPr>
        <w:t>.</w:t>
      </w:r>
      <w:r w:rsidR="00773FD6">
        <w:rPr>
          <w:rFonts w:asciiTheme="minorHAnsi" w:hAnsiTheme="minorHAnsi" w:cs="Arial"/>
          <w:vertAlign w:val="superscript"/>
        </w:rPr>
        <w:t>4</w:t>
      </w:r>
      <w:r w:rsidRPr="00476C5A">
        <w:rPr>
          <w:rFonts w:asciiTheme="minorHAnsi" w:hAnsiTheme="minorHAnsi" w:cs="Arial"/>
        </w:rPr>
        <w:t xml:space="preserve"> </w:t>
      </w:r>
      <w:r w:rsidR="006701AF">
        <w:rPr>
          <w:rFonts w:asciiTheme="minorHAnsi" w:hAnsiTheme="minorHAnsi"/>
        </w:rPr>
        <w:t xml:space="preserve">Bupropion </w:t>
      </w:r>
      <w:r w:rsidR="006701AF" w:rsidRPr="006701AF">
        <w:rPr>
          <w:rFonts w:asciiTheme="minorHAnsi" w:hAnsiTheme="minorHAnsi"/>
        </w:rPr>
        <w:t xml:space="preserve">is believed </w:t>
      </w:r>
      <w:r w:rsidR="006701AF">
        <w:rPr>
          <w:rFonts w:asciiTheme="minorHAnsi" w:hAnsiTheme="minorHAnsi"/>
        </w:rPr>
        <w:t>to interact</w:t>
      </w:r>
      <w:r w:rsidR="006701AF" w:rsidRPr="006701AF">
        <w:rPr>
          <w:rFonts w:asciiTheme="minorHAnsi" w:hAnsiTheme="minorHAnsi"/>
        </w:rPr>
        <w:t xml:space="preserve"> with chemicals called noradrenaline and dopamine in the brain; however</w:t>
      </w:r>
      <w:r w:rsidR="003763A0">
        <w:rPr>
          <w:rFonts w:asciiTheme="minorHAnsi" w:hAnsiTheme="minorHAnsi"/>
        </w:rPr>
        <w:t>,</w:t>
      </w:r>
      <w:r w:rsidR="006701AF" w:rsidRPr="006701AF">
        <w:rPr>
          <w:rFonts w:asciiTheme="minorHAnsi" w:hAnsiTheme="minorHAnsi"/>
        </w:rPr>
        <w:t xml:space="preserve"> the exact mechanism of action is not fully understood.</w:t>
      </w:r>
      <w:r w:rsidR="006701AF">
        <w:rPr>
          <w:rFonts w:asciiTheme="minorHAnsi" w:hAnsiTheme="minorHAnsi"/>
        </w:rPr>
        <w:t xml:space="preserve"> It</w:t>
      </w:r>
      <w:r w:rsidR="006701AF" w:rsidRPr="006701AF">
        <w:rPr>
          <w:rFonts w:asciiTheme="minorHAnsi" w:hAnsiTheme="minorHAnsi"/>
        </w:rPr>
        <w:t xml:space="preserve"> is a medicine prescribed </w:t>
      </w:r>
      <w:r w:rsidR="006701AF">
        <w:rPr>
          <w:rFonts w:asciiTheme="minorHAnsi" w:hAnsiTheme="minorHAnsi"/>
        </w:rPr>
        <w:t xml:space="preserve">for </w:t>
      </w:r>
      <w:r w:rsidR="006701AF" w:rsidRPr="006701AF">
        <w:rPr>
          <w:rFonts w:asciiTheme="minorHAnsi" w:hAnsiTheme="minorHAnsi"/>
        </w:rPr>
        <w:t>s</w:t>
      </w:r>
      <w:r w:rsidR="006701AF">
        <w:rPr>
          <w:rFonts w:asciiTheme="minorHAnsi" w:hAnsiTheme="minorHAnsi"/>
        </w:rPr>
        <w:t xml:space="preserve">hort-term treatment to help </w:t>
      </w:r>
      <w:r w:rsidR="006701AF" w:rsidRPr="006701AF">
        <w:rPr>
          <w:rFonts w:asciiTheme="minorHAnsi" w:hAnsiTheme="minorHAnsi"/>
        </w:rPr>
        <w:t>stop smoking with appropriate counselling</w:t>
      </w:r>
      <w:r w:rsidR="006701AF">
        <w:rPr>
          <w:rFonts w:asciiTheme="minorHAnsi" w:hAnsiTheme="minorHAnsi"/>
        </w:rPr>
        <w:t>. Bupropion</w:t>
      </w:r>
      <w:r w:rsidR="006701AF" w:rsidRPr="006701AF">
        <w:rPr>
          <w:rFonts w:asciiTheme="minorHAnsi" w:hAnsiTheme="minorHAnsi"/>
        </w:rPr>
        <w:t xml:space="preserve"> reduces withdrawal </w:t>
      </w:r>
      <w:r w:rsidR="006701AF">
        <w:rPr>
          <w:rFonts w:asciiTheme="minorHAnsi" w:hAnsiTheme="minorHAnsi"/>
        </w:rPr>
        <w:t>sympto</w:t>
      </w:r>
      <w:r w:rsidR="00326338">
        <w:rPr>
          <w:rFonts w:asciiTheme="minorHAnsi" w:hAnsiTheme="minorHAnsi"/>
        </w:rPr>
        <w:t>ms and the urge to smoke.</w:t>
      </w:r>
      <w:r w:rsidR="00326338">
        <w:rPr>
          <w:rStyle w:val="FootnoteReference"/>
          <w:rFonts w:asciiTheme="minorHAnsi" w:hAnsiTheme="minorHAnsi"/>
        </w:rPr>
        <w:footnoteReference w:id="5"/>
      </w:r>
    </w:p>
    <w:p w:rsidR="001420B3" w:rsidRPr="00627C77" w:rsidRDefault="00A52918" w:rsidP="00627C77">
      <w:pPr>
        <w:pStyle w:val="NormalWeb"/>
        <w:spacing w:before="0" w:beforeAutospacing="0" w:after="185" w:afterAutospacing="0"/>
        <w:rPr>
          <w:rFonts w:asciiTheme="minorHAnsi" w:hAnsiTheme="minorHAnsi"/>
          <w:b/>
          <w:sz w:val="28"/>
          <w:szCs w:val="28"/>
        </w:rPr>
      </w:pPr>
      <w:r w:rsidRPr="00627C77">
        <w:rPr>
          <w:rFonts w:asciiTheme="minorHAnsi" w:hAnsiTheme="minorHAnsi"/>
          <w:b/>
          <w:sz w:val="28"/>
          <w:szCs w:val="28"/>
        </w:rPr>
        <w:t>Therapeutic Goods Administration (</w:t>
      </w:r>
      <w:r w:rsidR="001420B3" w:rsidRPr="00627C77">
        <w:rPr>
          <w:rFonts w:asciiTheme="minorHAnsi" w:hAnsiTheme="minorHAnsi"/>
          <w:b/>
          <w:sz w:val="28"/>
          <w:szCs w:val="28"/>
        </w:rPr>
        <w:t>TGA</w:t>
      </w:r>
      <w:r w:rsidRPr="00627C77">
        <w:rPr>
          <w:rFonts w:asciiTheme="minorHAnsi" w:hAnsiTheme="minorHAnsi"/>
          <w:b/>
          <w:sz w:val="28"/>
          <w:szCs w:val="28"/>
        </w:rPr>
        <w:t>)</w:t>
      </w:r>
      <w:r w:rsidR="001420B3" w:rsidRPr="00627C77">
        <w:rPr>
          <w:rFonts w:asciiTheme="minorHAnsi" w:hAnsiTheme="minorHAnsi"/>
          <w:b/>
          <w:sz w:val="28"/>
          <w:szCs w:val="28"/>
        </w:rPr>
        <w:t xml:space="preserve"> approved indications</w:t>
      </w:r>
    </w:p>
    <w:p w:rsidR="00872776" w:rsidRPr="00872776" w:rsidRDefault="00872776" w:rsidP="00A35800">
      <w:pPr>
        <w:rPr>
          <w:u w:val="single"/>
        </w:rPr>
      </w:pPr>
      <w:r>
        <w:rPr>
          <w:u w:val="single"/>
        </w:rPr>
        <w:t>Varenicline</w:t>
      </w:r>
    </w:p>
    <w:p w:rsidR="00872776" w:rsidRDefault="00171054" w:rsidP="00A35800">
      <w:r w:rsidRPr="0030719E">
        <w:t>Varenicline</w:t>
      </w:r>
      <w:r w:rsidR="0030719E" w:rsidRPr="0030719E">
        <w:t xml:space="preserve"> </w:t>
      </w:r>
      <w:r>
        <w:t>is indicated as an aid for smoking cessation in adults over the age of 18 years</w:t>
      </w:r>
      <w:r w:rsidR="00B277B9">
        <w:t xml:space="preserve">. </w:t>
      </w:r>
      <w:r w:rsidR="00872776">
        <w:t>In December 2008, the TGA released this bulletin:</w:t>
      </w:r>
    </w:p>
    <w:p w:rsidR="00872776" w:rsidRPr="00872776" w:rsidRDefault="00872776" w:rsidP="00A35800">
      <w:r w:rsidRPr="00872776">
        <w:rPr>
          <w:color w:val="000000"/>
        </w:rPr>
        <w:t>“To October 2008, we have received 339 adverse reaction reports with varenicline, 255 (72%) of which describe psychiatric symptoms including depression, aggression, agitation, abnormal dreams, insomnia, hallucination and anger. There have also been reports of suicidal/self-injurious ideation or behaviour. We have also received 15 reports of seizures in patients using varenicline. It is not known how many of these had a prior history or risk of a seizure disorder and there is no experience from clinical trials of varenicline in patients with epilepsy. Therefore prescribers are also advised to exercise caution when prescribing varenicline to patients with a history of seizure disorder.”</w:t>
      </w:r>
      <w:r w:rsidR="00F43BA6">
        <w:rPr>
          <w:rStyle w:val="FootnoteReference"/>
          <w:color w:val="000000"/>
        </w:rPr>
        <w:footnoteReference w:id="6"/>
      </w:r>
    </w:p>
    <w:p w:rsidR="00171054" w:rsidRDefault="00DE5443" w:rsidP="00A35800">
      <w:r>
        <w:t>In August 2010, the TGA released this statement:</w:t>
      </w:r>
    </w:p>
    <w:p w:rsidR="00DE5443" w:rsidRDefault="00872776" w:rsidP="00A35800">
      <w:pPr>
        <w:rPr>
          <w:color w:val="000000"/>
        </w:rPr>
      </w:pPr>
      <w:r>
        <w:rPr>
          <w:color w:val="000000"/>
        </w:rPr>
        <w:t>“</w:t>
      </w:r>
      <w:r w:rsidR="00DE5443" w:rsidRPr="00872776">
        <w:rPr>
          <w:color w:val="000000"/>
        </w:rPr>
        <w:t>To May 2010 the TGA had received 1025 reports of suspected adverse reactions to varenicline, 691 (67%) of which describe psychiatric symptoms such as depression, agitation, anxiety, altered mood and aggression. There were reports of 206 suicide-related events in people taking varenicline, including 15 completed suicides.</w:t>
      </w:r>
      <w:r>
        <w:rPr>
          <w:color w:val="000000"/>
        </w:rPr>
        <w:t>”</w:t>
      </w:r>
      <w:r w:rsidR="00F43BA6">
        <w:rPr>
          <w:rStyle w:val="FootnoteReference"/>
          <w:color w:val="000000"/>
        </w:rPr>
        <w:footnoteReference w:id="7"/>
      </w:r>
    </w:p>
    <w:p w:rsidR="00C366B1" w:rsidRPr="00AA1FBB" w:rsidRDefault="00AA1FBB" w:rsidP="00A35800">
      <w:pPr>
        <w:rPr>
          <w:u w:val="single"/>
        </w:rPr>
      </w:pPr>
      <w:r>
        <w:t xml:space="preserve">In December 2015, the TGA announced an update to the PI to highlight safety information regarding the risk of psychiatric symptoms and potential interaction with alcohol. </w:t>
      </w:r>
      <w:r w:rsidRPr="00AA1FBB">
        <w:rPr>
          <w:color w:val="000000"/>
        </w:rPr>
        <w:t>This information relates to the risks of psychiatric symptoms and potential interaction with alcohol. Psychiatric symptoms can involve changes in behaviour, thinking or mood and may include depression, anxiety, agitation, aggression, mood swings, self-harm</w:t>
      </w:r>
      <w:r>
        <w:rPr>
          <w:color w:val="000000"/>
        </w:rPr>
        <w:t>,</w:t>
      </w:r>
      <w:r w:rsidRPr="00AA1FBB">
        <w:rPr>
          <w:color w:val="000000"/>
        </w:rPr>
        <w:t xml:space="preserve"> thoughts of self-harm, or seeing, hearing or sensing things that are not there.</w:t>
      </w:r>
      <w:r>
        <w:rPr>
          <w:rFonts w:ascii="Verdana" w:hAnsi="Verdana"/>
          <w:color w:val="000000"/>
          <w:sz w:val="21"/>
          <w:szCs w:val="21"/>
        </w:rPr>
        <w:t xml:space="preserve"> </w:t>
      </w:r>
      <w:r w:rsidRPr="00AA1FBB">
        <w:rPr>
          <w:color w:val="000000"/>
        </w:rPr>
        <w:t>The</w:t>
      </w:r>
      <w:r>
        <w:rPr>
          <w:color w:val="000000"/>
        </w:rPr>
        <w:t xml:space="preserve"> </w:t>
      </w:r>
      <w:r w:rsidRPr="00AA1FBB">
        <w:rPr>
          <w:color w:val="000000"/>
        </w:rPr>
        <w:t xml:space="preserve">information was </w:t>
      </w:r>
      <w:r w:rsidRPr="00AA1FBB">
        <w:rPr>
          <w:color w:val="000000"/>
        </w:rPr>
        <w:lastRenderedPageBreak/>
        <w:t>previously provided in the PI, but is now listed in bold text at the beginning of the Precautions section</w:t>
      </w:r>
      <w:r w:rsidRPr="00AA1FBB">
        <w:rPr>
          <w:rFonts w:ascii="Verdana" w:hAnsi="Verdana"/>
          <w:color w:val="000000"/>
          <w:sz w:val="21"/>
          <w:szCs w:val="21"/>
        </w:rPr>
        <w:t xml:space="preserve"> </w:t>
      </w:r>
      <w:r w:rsidRPr="00AA1FBB">
        <w:rPr>
          <w:color w:val="000000"/>
        </w:rPr>
        <w:t>under the heading 'Psychiatric Symptoms'.</w:t>
      </w:r>
      <w:r>
        <w:rPr>
          <w:rStyle w:val="FootnoteReference"/>
          <w:color w:val="000000"/>
        </w:rPr>
        <w:footnoteReference w:id="8"/>
      </w:r>
    </w:p>
    <w:p w:rsidR="00872776" w:rsidRPr="00872776" w:rsidRDefault="00872776" w:rsidP="00A35800">
      <w:pPr>
        <w:rPr>
          <w:u w:val="single"/>
        </w:rPr>
      </w:pPr>
      <w:r>
        <w:rPr>
          <w:u w:val="single"/>
        </w:rPr>
        <w:t>NRT</w:t>
      </w:r>
    </w:p>
    <w:p w:rsidR="00F92C5A" w:rsidRPr="0030719E" w:rsidRDefault="0030719E" w:rsidP="00A35800">
      <w:r>
        <w:t>NRT is indicated for treatment of nicotine dependence, as an aid to smoking cessation. The 21</w:t>
      </w:r>
      <w:r w:rsidR="00A555AC">
        <w:t xml:space="preserve"> </w:t>
      </w:r>
      <w:r>
        <w:t>mg/24 hour (Step 1) patches may also be used by people who smoke 20 or more cigarettes per day for two weeks prior to quitting smoking.</w:t>
      </w:r>
    </w:p>
    <w:p w:rsidR="00872776" w:rsidRPr="00872776" w:rsidRDefault="00872776" w:rsidP="00A35800">
      <w:pPr>
        <w:rPr>
          <w:u w:val="single"/>
        </w:rPr>
      </w:pPr>
      <w:r>
        <w:rPr>
          <w:u w:val="single"/>
        </w:rPr>
        <w:t>Bupropion</w:t>
      </w:r>
    </w:p>
    <w:p w:rsidR="00B277B9" w:rsidRDefault="002C7335" w:rsidP="00A35800">
      <w:r>
        <w:t>Bupropion is indicated as a short-term adjunctive therapy for the treatment of nicotine dependence in those who are committed to quitting smoking, when used in conjunction with counselling for smoking cessation/abstinence.</w:t>
      </w:r>
      <w:r w:rsidR="00A555AC">
        <w:t xml:space="preserve"> On the 5 September 2001, the TGA </w:t>
      </w:r>
      <w:r w:rsidR="003C7F24">
        <w:t xml:space="preserve">released </w:t>
      </w:r>
      <w:r w:rsidR="00A07F2A">
        <w:t>this</w:t>
      </w:r>
      <w:r w:rsidR="003C7F24">
        <w:t xml:space="preserve"> safety alert notice:</w:t>
      </w:r>
    </w:p>
    <w:p w:rsidR="003C7F24" w:rsidRDefault="003C7F24" w:rsidP="00A35800">
      <w:pPr>
        <w:rPr>
          <w:color w:val="000000"/>
        </w:rPr>
      </w:pPr>
      <w:r>
        <w:rPr>
          <w:color w:val="000000"/>
        </w:rPr>
        <w:t>“</w:t>
      </w:r>
      <w:r w:rsidRPr="003C7F24">
        <w:rPr>
          <w:color w:val="000000"/>
        </w:rPr>
        <w:t>The very high usage of bupropion in a short time has highlighted several possible adverse effects, some of which may be severe. Since November 2000</w:t>
      </w:r>
      <w:r>
        <w:rPr>
          <w:color w:val="000000"/>
        </w:rPr>
        <w:t>,</w:t>
      </w:r>
      <w:r w:rsidRPr="003C7F24">
        <w:rPr>
          <w:color w:val="000000"/>
        </w:rPr>
        <w:t xml:space="preserve"> the Adverse Drug Reactions Advisory Committee (ADRAC) has received 1237 Australian reports of suspected adverse reactions in connection with the use of Zyban SR</w:t>
      </w:r>
      <w:r>
        <w:rPr>
          <w:color w:val="000000"/>
        </w:rPr>
        <w:t>®</w:t>
      </w:r>
      <w:r w:rsidRPr="003C7F24">
        <w:rPr>
          <w:color w:val="000000"/>
        </w:rPr>
        <w:t>. In 1215 of these, Zyban SR</w:t>
      </w:r>
      <w:r>
        <w:rPr>
          <w:color w:val="000000"/>
        </w:rPr>
        <w:t>®</w:t>
      </w:r>
      <w:r w:rsidRPr="003C7F24">
        <w:rPr>
          <w:color w:val="000000"/>
        </w:rPr>
        <w:t xml:space="preserve"> was implicated as the sole suspected drug. The profile of the drug is dominated by</w:t>
      </w:r>
      <w:r w:rsidRPr="003C7F24">
        <w:rPr>
          <w:rStyle w:val="apple-converted-space"/>
          <w:color w:val="000000"/>
        </w:rPr>
        <w:t> </w:t>
      </w:r>
      <w:r w:rsidRPr="003C7F24">
        <w:rPr>
          <w:rStyle w:val="keywords"/>
          <w:bCs/>
          <w:color w:val="000000"/>
        </w:rPr>
        <w:t>hypersensitivity reactions</w:t>
      </w:r>
      <w:r w:rsidRPr="003C7F24">
        <w:rPr>
          <w:rStyle w:val="apple-converted-space"/>
          <w:color w:val="000000"/>
        </w:rPr>
        <w:t> </w:t>
      </w:r>
      <w:r w:rsidRPr="003C7F24">
        <w:rPr>
          <w:color w:val="000000"/>
        </w:rPr>
        <w:t>and</w:t>
      </w:r>
      <w:r w:rsidRPr="003C7F24">
        <w:rPr>
          <w:rStyle w:val="apple-converted-space"/>
          <w:color w:val="000000"/>
        </w:rPr>
        <w:t> </w:t>
      </w:r>
      <w:r w:rsidRPr="003C7F24">
        <w:rPr>
          <w:rStyle w:val="keywords"/>
          <w:bCs/>
          <w:color w:val="000000"/>
        </w:rPr>
        <w:t>neurological and psychiatric effects</w:t>
      </w:r>
      <w:r w:rsidRPr="003C7F24">
        <w:rPr>
          <w:color w:val="000000"/>
        </w:rPr>
        <w:t>.</w:t>
      </w:r>
      <w:r>
        <w:rPr>
          <w:color w:val="000000"/>
        </w:rPr>
        <w:t>”</w:t>
      </w:r>
      <w:r>
        <w:rPr>
          <w:rStyle w:val="FootnoteReference"/>
          <w:color w:val="000000"/>
        </w:rPr>
        <w:footnoteReference w:id="9"/>
      </w:r>
    </w:p>
    <w:p w:rsidR="00D02D76" w:rsidRPr="003C7F24" w:rsidRDefault="00D02D76" w:rsidP="00A35800">
      <w:pPr>
        <w:rPr>
          <w:i/>
        </w:rPr>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37628C" w:rsidRDefault="0037628C" w:rsidP="00FE645A">
      <w:pPr>
        <w:pStyle w:val="Heading3"/>
      </w:pPr>
    </w:p>
    <w:p w:rsidR="006B709B" w:rsidRDefault="006B709B" w:rsidP="00FE645A">
      <w:pPr>
        <w:pStyle w:val="Heading3"/>
      </w:pPr>
      <w:r>
        <w:lastRenderedPageBreak/>
        <w:t>Dosage and administration</w:t>
      </w:r>
    </w:p>
    <w:p w:rsidR="00C06D3E" w:rsidRPr="001D603D" w:rsidRDefault="00C06D3E" w:rsidP="00A35800">
      <w:pPr>
        <w:rPr>
          <w:b/>
        </w:rPr>
      </w:pPr>
      <w:r w:rsidRPr="001D603D">
        <w:rPr>
          <w:b/>
        </w:rPr>
        <w:t xml:space="preserve">Table </w:t>
      </w:r>
      <w:r w:rsidR="00F60090">
        <w:rPr>
          <w:b/>
        </w:rPr>
        <w:t>1</w:t>
      </w:r>
      <w:r w:rsidRPr="001D603D">
        <w:rPr>
          <w:b/>
        </w:rPr>
        <w:t xml:space="preserve">: Dosage and administration of varenicline and bupropion </w:t>
      </w:r>
    </w:p>
    <w:tbl>
      <w:tblPr>
        <w:tblStyle w:val="TableGrid"/>
        <w:tblW w:w="8897" w:type="dxa"/>
        <w:tblLook w:val="04A0" w:firstRow="1" w:lastRow="0" w:firstColumn="1" w:lastColumn="0" w:noHBand="0" w:noVBand="1"/>
        <w:tblCaption w:val="Dosage and administration of varenicline and buproprion"/>
        <w:tblDescription w:val="The table outlines the brand name and sponsor for varenicline and buproprion as well as the dose and frequency of administration for the products. "/>
      </w:tblPr>
      <w:tblGrid>
        <w:gridCol w:w="2660"/>
        <w:gridCol w:w="6237"/>
      </w:tblGrid>
      <w:tr w:rsidR="00C06D3E" w:rsidRPr="00A35800" w:rsidTr="00553B46">
        <w:trPr>
          <w:tblHeader/>
        </w:trPr>
        <w:tc>
          <w:tcPr>
            <w:tcW w:w="2660" w:type="dxa"/>
            <w:shd w:val="clear" w:color="auto" w:fill="BFBFBF" w:themeFill="background1" w:themeFillShade="BF"/>
          </w:tcPr>
          <w:p w:rsidR="00C06D3E" w:rsidRPr="00A35800" w:rsidRDefault="00C06D3E" w:rsidP="00553B46">
            <w:pPr>
              <w:pStyle w:val="Tableheading"/>
              <w:rPr>
                <w:sz w:val="20"/>
                <w:szCs w:val="20"/>
              </w:rPr>
            </w:pPr>
            <w:r w:rsidRPr="00A35800">
              <w:rPr>
                <w:sz w:val="20"/>
                <w:szCs w:val="20"/>
              </w:rPr>
              <w:t>Brand name and sponsor</w:t>
            </w:r>
          </w:p>
        </w:tc>
        <w:tc>
          <w:tcPr>
            <w:tcW w:w="6237" w:type="dxa"/>
            <w:shd w:val="clear" w:color="auto" w:fill="BFBFBF" w:themeFill="background1" w:themeFillShade="BF"/>
          </w:tcPr>
          <w:p w:rsidR="00C06D3E" w:rsidRPr="00A35800" w:rsidRDefault="00C06D3E" w:rsidP="00553B46">
            <w:pPr>
              <w:pStyle w:val="Tableheading"/>
              <w:rPr>
                <w:sz w:val="20"/>
                <w:szCs w:val="20"/>
              </w:rPr>
            </w:pPr>
            <w:r w:rsidRPr="00A35800">
              <w:rPr>
                <w:sz w:val="20"/>
                <w:szCs w:val="20"/>
              </w:rPr>
              <w:t xml:space="preserve">Dose and frequency of administration </w:t>
            </w:r>
          </w:p>
        </w:tc>
      </w:tr>
      <w:tr w:rsidR="00C06D3E" w:rsidRPr="00A35800" w:rsidTr="00553B46">
        <w:tc>
          <w:tcPr>
            <w:tcW w:w="2660" w:type="dxa"/>
          </w:tcPr>
          <w:p w:rsidR="00C06D3E" w:rsidRPr="00A35800" w:rsidRDefault="00C06D3E" w:rsidP="00553B46">
            <w:pPr>
              <w:pStyle w:val="Tablewriting"/>
            </w:pPr>
            <w:r>
              <w:t>Varenicline (Champix®) Pfizer</w:t>
            </w:r>
          </w:p>
        </w:tc>
        <w:tc>
          <w:tcPr>
            <w:tcW w:w="6237" w:type="dxa"/>
          </w:tcPr>
          <w:p w:rsidR="00C06D3E" w:rsidRDefault="007C73C7" w:rsidP="00553B46">
            <w:pPr>
              <w:pStyle w:val="Tablewriting"/>
            </w:pPr>
            <w:r>
              <w:t>1</w:t>
            </w:r>
            <w:r w:rsidR="00A555AC">
              <w:t xml:space="preserve"> </w:t>
            </w:r>
            <w:r>
              <w:t>mg and 0.5</w:t>
            </w:r>
            <w:r w:rsidR="00A555AC">
              <w:t xml:space="preserve"> </w:t>
            </w:r>
            <w:r>
              <w:t>mg/1</w:t>
            </w:r>
            <w:r w:rsidR="00A555AC">
              <w:t xml:space="preserve"> </w:t>
            </w:r>
            <w:r>
              <w:t>mg combination pack</w:t>
            </w:r>
            <w:r w:rsidR="00B0505A">
              <w:t xml:space="preserve"> tablets</w:t>
            </w:r>
          </w:p>
          <w:p w:rsidR="007C73C7" w:rsidRDefault="007C73C7" w:rsidP="007C73C7">
            <w:pPr>
              <w:pStyle w:val="Tablewriting"/>
            </w:pPr>
            <w:r>
              <w:t>0.5</w:t>
            </w:r>
            <w:r w:rsidR="00A555AC">
              <w:t xml:space="preserve"> </w:t>
            </w:r>
            <w:r>
              <w:t>mg once daily for 3 days, then 0.5</w:t>
            </w:r>
            <w:r w:rsidR="00A555AC">
              <w:t xml:space="preserve"> </w:t>
            </w:r>
            <w:r>
              <w:t>mg twice daily for 4 days, then 1</w:t>
            </w:r>
            <w:r w:rsidR="00A555AC">
              <w:t xml:space="preserve"> </w:t>
            </w:r>
            <w:r>
              <w:t xml:space="preserve">mg twice daily for 11-23 weeks, as tolerated. </w:t>
            </w:r>
          </w:p>
          <w:p w:rsidR="007C73C7" w:rsidRPr="00A35800" w:rsidRDefault="006C2DF9" w:rsidP="006C2DF9">
            <w:pPr>
              <w:pStyle w:val="Tablewriting"/>
            </w:pPr>
            <w:r>
              <w:t>The patient should set a date to stop smoking. Champix dosing should start 1 – 2 weeks before this date. Alternatively, a flexible approach to quitting smoking may be adopted. Patients can begin varenicline dosing and then quit smoking between days 8 and 35 of treatment. Champix tablets should be swallowed whole with water, with or without food. Patients should be treated with Champix for 12 weeks. For patients who have successfully stopped smoking at the end of 12 weeks, an additional course of 12 weeks treatment with Champix at 1 mg twice daily is recommended to further increase the likelihood of long term abstinence. Patients who are motivated to quit and who do not succeed in stopping smoking during prior varenicline therapy, or who relapse after treatment, should be encouraged to make another attempt once factors contributing to the failed attempt have been identified and addressed.</w:t>
            </w:r>
            <w:r w:rsidR="006F5969">
              <w:rPr>
                <w:rStyle w:val="FootnoteReference"/>
              </w:rPr>
              <w:footnoteReference w:id="10"/>
            </w:r>
          </w:p>
        </w:tc>
      </w:tr>
      <w:tr w:rsidR="00E16A8D" w:rsidRPr="00E16A8D" w:rsidTr="00553B46">
        <w:tc>
          <w:tcPr>
            <w:tcW w:w="2660" w:type="dxa"/>
          </w:tcPr>
          <w:p w:rsidR="00C06D3E" w:rsidRDefault="00575A16" w:rsidP="00553B46">
            <w:pPr>
              <w:pStyle w:val="Tablewriting"/>
              <w:rPr>
                <w:color w:val="auto"/>
              </w:rPr>
            </w:pPr>
            <w:r w:rsidRPr="00E16A8D">
              <w:rPr>
                <w:color w:val="auto"/>
              </w:rPr>
              <w:t>Bupropion (</w:t>
            </w:r>
            <w:r w:rsidR="00E16A8D" w:rsidRPr="00E16A8D">
              <w:rPr>
                <w:color w:val="auto"/>
              </w:rPr>
              <w:t>Zyban®) GlaxoSmithKline Australia Pty Limited</w:t>
            </w:r>
          </w:p>
          <w:p w:rsidR="00E16A8D" w:rsidRPr="00E16A8D" w:rsidRDefault="00E16A8D" w:rsidP="00553B46">
            <w:pPr>
              <w:pStyle w:val="Tablewriting"/>
              <w:rPr>
                <w:color w:val="auto"/>
              </w:rPr>
            </w:pPr>
          </w:p>
        </w:tc>
        <w:tc>
          <w:tcPr>
            <w:tcW w:w="6237" w:type="dxa"/>
          </w:tcPr>
          <w:p w:rsidR="00E16A8D" w:rsidRPr="00E16A8D" w:rsidRDefault="00E16A8D" w:rsidP="00553B46">
            <w:pPr>
              <w:pStyle w:val="Tablewriting"/>
              <w:rPr>
                <w:color w:val="auto"/>
                <w:shd w:val="clear" w:color="auto" w:fill="FFFFFF"/>
              </w:rPr>
            </w:pPr>
            <w:r w:rsidRPr="00E16A8D">
              <w:rPr>
                <w:color w:val="auto"/>
                <w:shd w:val="clear" w:color="auto" w:fill="FFFFFF"/>
              </w:rPr>
              <w:t>150</w:t>
            </w:r>
            <w:r w:rsidR="00A555AC">
              <w:rPr>
                <w:color w:val="auto"/>
                <w:shd w:val="clear" w:color="auto" w:fill="FFFFFF"/>
              </w:rPr>
              <w:t xml:space="preserve"> </w:t>
            </w:r>
            <w:r w:rsidRPr="00E16A8D">
              <w:rPr>
                <w:color w:val="auto"/>
                <w:shd w:val="clear" w:color="auto" w:fill="FFFFFF"/>
              </w:rPr>
              <w:t>mg modified release tablet</w:t>
            </w:r>
          </w:p>
          <w:p w:rsidR="00C06D3E" w:rsidRPr="00E16A8D" w:rsidRDefault="00E16A8D" w:rsidP="00553B46">
            <w:pPr>
              <w:pStyle w:val="Tablewriting"/>
              <w:rPr>
                <w:color w:val="auto"/>
                <w:shd w:val="clear" w:color="auto" w:fill="FFFFFF"/>
              </w:rPr>
            </w:pPr>
            <w:r w:rsidRPr="00E16A8D">
              <w:rPr>
                <w:color w:val="auto"/>
                <w:shd w:val="clear" w:color="auto" w:fill="FFFFFF"/>
              </w:rPr>
              <w:t>Initially, 150 mg once daily in the morning for 3 days, then 150 mg twice daily (doses at least 8 hours apart) for 7–9 weeks.</w:t>
            </w:r>
          </w:p>
          <w:p w:rsidR="00E16A8D" w:rsidRPr="006C2DF9" w:rsidRDefault="006C2DF9" w:rsidP="000A0D0A">
            <w:pPr>
              <w:shd w:val="clear" w:color="auto" w:fill="FFFFFF"/>
              <w:spacing w:before="120" w:after="60"/>
              <w:textAlignment w:val="baseline"/>
              <w:rPr>
                <w:rFonts w:eastAsia="Times New Roman" w:cs="Times New Roman"/>
                <w:sz w:val="20"/>
                <w:szCs w:val="20"/>
              </w:rPr>
            </w:pPr>
            <w:r w:rsidRPr="006C2DF9">
              <w:rPr>
                <w:sz w:val="20"/>
                <w:szCs w:val="20"/>
              </w:rPr>
              <w:t>It is recommended that treatment is started while the patient is still smoking and a "target stop date" set within the first two weeks of treatment with Zyban, preferably in the second week.</w:t>
            </w:r>
            <w:r>
              <w:t xml:space="preserve"> </w:t>
            </w:r>
            <w:r w:rsidRPr="006C2DF9">
              <w:rPr>
                <w:sz w:val="20"/>
                <w:szCs w:val="20"/>
              </w:rPr>
              <w:t>Discontinuation should be considered if the patient has not made significant progress towards abstinence by the seventh week of therapy, since it is unlikely that they will stop smoking during that attempt.</w:t>
            </w:r>
            <w:r w:rsidR="006F5969">
              <w:rPr>
                <w:rStyle w:val="FootnoteReference"/>
                <w:sz w:val="20"/>
                <w:szCs w:val="20"/>
              </w:rPr>
              <w:footnoteReference w:id="11"/>
            </w:r>
          </w:p>
        </w:tc>
      </w:tr>
    </w:tbl>
    <w:p w:rsidR="00F47349" w:rsidRDefault="006C2DF9" w:rsidP="00F47349">
      <w:pPr>
        <w:pStyle w:val="Notes"/>
      </w:pPr>
      <w:r w:rsidRPr="001E77B2">
        <w:t xml:space="preserve">Source: </w:t>
      </w:r>
      <w:r>
        <w:t>Product Info</w:t>
      </w:r>
      <w:r w:rsidR="006F5969">
        <w:t>rmation accessed on TGA website</w:t>
      </w: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7628C" w:rsidRDefault="0037628C" w:rsidP="00C245EA">
      <w:pPr>
        <w:pStyle w:val="Tabletitle"/>
      </w:pPr>
    </w:p>
    <w:p w:rsidR="003370D0" w:rsidRPr="001D603D" w:rsidRDefault="003370D0" w:rsidP="00C245EA">
      <w:pPr>
        <w:pStyle w:val="Tabletitle"/>
      </w:pPr>
      <w:r w:rsidRPr="001D603D">
        <w:lastRenderedPageBreak/>
        <w:t xml:space="preserve">Table </w:t>
      </w:r>
      <w:r w:rsidR="00F60090">
        <w:t>2</w:t>
      </w:r>
      <w:r w:rsidRPr="001D603D">
        <w:t xml:space="preserve">: </w:t>
      </w:r>
      <w:r w:rsidR="00D52E86" w:rsidRPr="001D603D">
        <w:t xml:space="preserve">Dosage and administration of </w:t>
      </w:r>
      <w:r w:rsidR="00EB6E00" w:rsidRPr="001D603D">
        <w:t>R</w:t>
      </w:r>
      <w:r w:rsidR="00986238" w:rsidRPr="001D603D">
        <w:t>/</w:t>
      </w:r>
      <w:r w:rsidR="00EB6E00" w:rsidRPr="001D603D">
        <w:t xml:space="preserve">PBS </w:t>
      </w:r>
      <w:r w:rsidR="00DF1B3F" w:rsidRPr="001D603D">
        <w:t xml:space="preserve">listed </w:t>
      </w:r>
      <w:r w:rsidR="00B17405" w:rsidRPr="001D603D">
        <w:t>NRT</w:t>
      </w:r>
      <w:r w:rsidR="00DF1B3F" w:rsidRPr="001D603D">
        <w:t xml:space="preserve"> products</w:t>
      </w:r>
    </w:p>
    <w:tbl>
      <w:tblPr>
        <w:tblStyle w:val="TableGrid"/>
        <w:tblW w:w="9173" w:type="dxa"/>
        <w:tblLook w:val="04A0" w:firstRow="1" w:lastRow="0" w:firstColumn="1" w:lastColumn="0" w:noHBand="0" w:noVBand="1"/>
        <w:tblCaption w:val="Doseage and administration of NRT products on the R/PBS"/>
        <w:tblDescription w:val="The table outlines the brand names, sponsors, dose and frequency of administration for NRT products that are PBS-listed."/>
      </w:tblPr>
      <w:tblGrid>
        <w:gridCol w:w="2667"/>
        <w:gridCol w:w="2667"/>
        <w:gridCol w:w="3839"/>
      </w:tblGrid>
      <w:tr w:rsidR="00B0505A" w:rsidRPr="00E16A8D" w:rsidTr="00986238">
        <w:trPr>
          <w:tblHeader/>
        </w:trPr>
        <w:tc>
          <w:tcPr>
            <w:tcW w:w="2667" w:type="dxa"/>
            <w:shd w:val="clear" w:color="auto" w:fill="BFBFBF" w:themeFill="background1" w:themeFillShade="BF"/>
          </w:tcPr>
          <w:p w:rsidR="00B0505A" w:rsidRPr="00E16A8D" w:rsidRDefault="00B0505A" w:rsidP="00A35800">
            <w:pPr>
              <w:pStyle w:val="Tableheading"/>
              <w:rPr>
                <w:sz w:val="20"/>
                <w:szCs w:val="20"/>
              </w:rPr>
            </w:pPr>
            <w:r w:rsidRPr="00E16A8D">
              <w:rPr>
                <w:sz w:val="20"/>
                <w:szCs w:val="20"/>
              </w:rPr>
              <w:t>Brand name and sponsor</w:t>
            </w:r>
          </w:p>
        </w:tc>
        <w:tc>
          <w:tcPr>
            <w:tcW w:w="2667" w:type="dxa"/>
            <w:shd w:val="clear" w:color="auto" w:fill="BFBFBF" w:themeFill="background1" w:themeFillShade="BF"/>
          </w:tcPr>
          <w:p w:rsidR="00B0505A" w:rsidRPr="00E16A8D" w:rsidRDefault="00B0505A" w:rsidP="00A35800">
            <w:pPr>
              <w:pStyle w:val="Tableheading"/>
              <w:rPr>
                <w:sz w:val="20"/>
                <w:szCs w:val="20"/>
              </w:rPr>
            </w:pPr>
            <w:r>
              <w:rPr>
                <w:sz w:val="20"/>
                <w:szCs w:val="20"/>
              </w:rPr>
              <w:t>Dose</w:t>
            </w:r>
          </w:p>
        </w:tc>
        <w:tc>
          <w:tcPr>
            <w:tcW w:w="3839" w:type="dxa"/>
            <w:shd w:val="clear" w:color="auto" w:fill="BFBFBF" w:themeFill="background1" w:themeFillShade="BF"/>
          </w:tcPr>
          <w:p w:rsidR="00B0505A" w:rsidRPr="00E16A8D" w:rsidRDefault="00986238" w:rsidP="00A35800">
            <w:pPr>
              <w:pStyle w:val="Tableheading"/>
              <w:rPr>
                <w:sz w:val="20"/>
                <w:szCs w:val="20"/>
              </w:rPr>
            </w:pPr>
            <w:r>
              <w:rPr>
                <w:sz w:val="20"/>
                <w:szCs w:val="20"/>
              </w:rPr>
              <w:t>F</w:t>
            </w:r>
            <w:r w:rsidR="00B0505A" w:rsidRPr="00E16A8D">
              <w:rPr>
                <w:sz w:val="20"/>
                <w:szCs w:val="20"/>
              </w:rPr>
              <w:t xml:space="preserve">requency of administration </w:t>
            </w:r>
          </w:p>
        </w:tc>
      </w:tr>
      <w:tr w:rsidR="007441A1" w:rsidRPr="00E16A8D" w:rsidTr="00986238">
        <w:trPr>
          <w:trHeight w:val="969"/>
        </w:trPr>
        <w:tc>
          <w:tcPr>
            <w:tcW w:w="2667" w:type="dxa"/>
          </w:tcPr>
          <w:p w:rsidR="007441A1" w:rsidRPr="00E16A8D" w:rsidRDefault="007441A1" w:rsidP="00A35800">
            <w:pPr>
              <w:pStyle w:val="Tablewriting"/>
              <w:rPr>
                <w:color w:val="auto"/>
              </w:rPr>
            </w:pPr>
            <w:r w:rsidRPr="00E16A8D">
              <w:rPr>
                <w:color w:val="auto"/>
              </w:rPr>
              <w:t xml:space="preserve">Nicotinell® </w:t>
            </w:r>
            <w:r w:rsidR="004D6DB1">
              <w:rPr>
                <w:color w:val="auto"/>
              </w:rPr>
              <w:t>Perrigo Australia Pty Limited</w:t>
            </w:r>
            <w:r w:rsidRPr="00E16A8D">
              <w:rPr>
                <w:color w:val="auto"/>
              </w:rPr>
              <w:t xml:space="preserve"> </w:t>
            </w:r>
          </w:p>
          <w:p w:rsidR="007441A1" w:rsidRPr="00E16A8D" w:rsidRDefault="007441A1" w:rsidP="00986238">
            <w:pPr>
              <w:pStyle w:val="Tablewriting"/>
              <w:rPr>
                <w:color w:val="auto"/>
              </w:rPr>
            </w:pPr>
          </w:p>
        </w:tc>
        <w:tc>
          <w:tcPr>
            <w:tcW w:w="2667" w:type="dxa"/>
          </w:tcPr>
          <w:p w:rsidR="007441A1" w:rsidRPr="00986238" w:rsidRDefault="007441A1" w:rsidP="00986238">
            <w:pPr>
              <w:pStyle w:val="Tablewriting"/>
            </w:pPr>
            <w:r w:rsidRPr="00E16A8D">
              <w:rPr>
                <w:color w:val="auto"/>
              </w:rPr>
              <w:t>7</w:t>
            </w:r>
            <w:r w:rsidR="00A555AC">
              <w:rPr>
                <w:color w:val="auto"/>
              </w:rPr>
              <w:t xml:space="preserve"> </w:t>
            </w:r>
            <w:r w:rsidRPr="00E16A8D">
              <w:rPr>
                <w:color w:val="auto"/>
              </w:rPr>
              <w:t>mg/24 hours patch, 14</w:t>
            </w:r>
            <w:r w:rsidR="00A555AC">
              <w:rPr>
                <w:color w:val="auto"/>
              </w:rPr>
              <w:t xml:space="preserve"> </w:t>
            </w:r>
            <w:r w:rsidRPr="00E16A8D">
              <w:rPr>
                <w:color w:val="auto"/>
              </w:rPr>
              <w:t>mg/24 hours or 21mg/24 hours</w:t>
            </w:r>
          </w:p>
        </w:tc>
        <w:tc>
          <w:tcPr>
            <w:tcW w:w="3839" w:type="dxa"/>
            <w:vMerge w:val="restart"/>
          </w:tcPr>
          <w:p w:rsidR="007441A1" w:rsidRDefault="007441A1" w:rsidP="00A35800">
            <w:pPr>
              <w:pStyle w:val="Tablewriting"/>
              <w:rPr>
                <w:color w:val="auto"/>
              </w:rPr>
            </w:pPr>
          </w:p>
          <w:p w:rsidR="007441A1" w:rsidRDefault="007441A1" w:rsidP="00A35800">
            <w:pPr>
              <w:pStyle w:val="Tablewriting"/>
              <w:rPr>
                <w:color w:val="auto"/>
              </w:rPr>
            </w:pPr>
          </w:p>
          <w:p w:rsidR="007441A1" w:rsidRDefault="007441A1" w:rsidP="00A35800">
            <w:pPr>
              <w:pStyle w:val="Tablewriting"/>
              <w:rPr>
                <w:color w:val="auto"/>
              </w:rPr>
            </w:pPr>
          </w:p>
          <w:p w:rsidR="00DA2CE7" w:rsidRDefault="00DA2CE7" w:rsidP="00DA2CE7">
            <w:pPr>
              <w:pStyle w:val="Tablewriting"/>
              <w:rPr>
                <w:color w:val="auto"/>
              </w:rPr>
            </w:pPr>
          </w:p>
          <w:p w:rsidR="007441A1" w:rsidRPr="00E16A8D" w:rsidRDefault="007441A1" w:rsidP="00696297">
            <w:pPr>
              <w:pStyle w:val="Tablewriting"/>
              <w:rPr>
                <w:color w:val="auto"/>
              </w:rPr>
            </w:pPr>
            <w:r>
              <w:rPr>
                <w:color w:val="auto"/>
              </w:rPr>
              <w:t xml:space="preserve">Apply one patch to the skin once a day. </w:t>
            </w:r>
            <w:r w:rsidR="00BF313C">
              <w:rPr>
                <w:color w:val="auto"/>
              </w:rPr>
              <w:t>Treatment should not exceed 12 weeks.</w:t>
            </w:r>
          </w:p>
        </w:tc>
      </w:tr>
      <w:tr w:rsidR="007441A1" w:rsidRPr="00E16A8D" w:rsidTr="007526B4">
        <w:trPr>
          <w:trHeight w:val="573"/>
        </w:trPr>
        <w:tc>
          <w:tcPr>
            <w:tcW w:w="2667" w:type="dxa"/>
          </w:tcPr>
          <w:p w:rsidR="007441A1" w:rsidRPr="00E16A8D" w:rsidRDefault="007441A1" w:rsidP="00986238">
            <w:pPr>
              <w:pStyle w:val="Tablewriting"/>
              <w:rPr>
                <w:color w:val="auto"/>
              </w:rPr>
            </w:pPr>
            <w:r w:rsidRPr="00E16A8D">
              <w:rPr>
                <w:color w:val="auto"/>
              </w:rPr>
              <w:t xml:space="preserve">Nicabate P® </w:t>
            </w:r>
            <w:r>
              <w:rPr>
                <w:color w:val="auto"/>
              </w:rPr>
              <w:t xml:space="preserve">and </w:t>
            </w:r>
            <w:r>
              <w:t xml:space="preserve">Nicabate CQ 21® </w:t>
            </w:r>
            <w:r w:rsidRPr="00E16A8D">
              <w:rPr>
                <w:color w:val="auto"/>
              </w:rPr>
              <w:t>GlaxoSmithKline Australia Pty Limited</w:t>
            </w:r>
          </w:p>
          <w:p w:rsidR="007441A1" w:rsidRPr="00E16A8D" w:rsidRDefault="007441A1" w:rsidP="00A35800">
            <w:pPr>
              <w:pStyle w:val="Tablewriting"/>
              <w:rPr>
                <w:color w:val="auto"/>
              </w:rPr>
            </w:pPr>
          </w:p>
        </w:tc>
        <w:tc>
          <w:tcPr>
            <w:tcW w:w="2667" w:type="dxa"/>
          </w:tcPr>
          <w:p w:rsidR="007441A1" w:rsidRPr="00E16A8D" w:rsidRDefault="007441A1" w:rsidP="00986238">
            <w:pPr>
              <w:pStyle w:val="Tablewriting"/>
              <w:rPr>
                <w:color w:val="auto"/>
              </w:rPr>
            </w:pPr>
            <w:r w:rsidRPr="00E16A8D">
              <w:rPr>
                <w:color w:val="auto"/>
              </w:rPr>
              <w:t>21</w:t>
            </w:r>
            <w:r w:rsidR="00A555AC">
              <w:rPr>
                <w:color w:val="auto"/>
              </w:rPr>
              <w:t xml:space="preserve"> </w:t>
            </w:r>
            <w:r w:rsidRPr="00E16A8D">
              <w:rPr>
                <w:color w:val="auto"/>
              </w:rPr>
              <w:t>mg/24 hours</w:t>
            </w:r>
            <w:r>
              <w:rPr>
                <w:color w:val="auto"/>
              </w:rPr>
              <w:t xml:space="preserve"> patch</w:t>
            </w:r>
          </w:p>
          <w:p w:rsidR="007441A1" w:rsidRPr="00E16A8D" w:rsidRDefault="007441A1" w:rsidP="00A35800">
            <w:pPr>
              <w:pStyle w:val="Tablewriting"/>
              <w:rPr>
                <w:color w:val="auto"/>
              </w:rPr>
            </w:pPr>
          </w:p>
        </w:tc>
        <w:tc>
          <w:tcPr>
            <w:tcW w:w="3839" w:type="dxa"/>
            <w:vMerge/>
          </w:tcPr>
          <w:p w:rsidR="007441A1" w:rsidRDefault="007441A1" w:rsidP="00A35800">
            <w:pPr>
              <w:pStyle w:val="Tablewriting"/>
              <w:rPr>
                <w:color w:val="auto"/>
              </w:rPr>
            </w:pPr>
          </w:p>
        </w:tc>
      </w:tr>
      <w:tr w:rsidR="007441A1" w:rsidRPr="00E16A8D" w:rsidTr="00986238">
        <w:trPr>
          <w:trHeight w:val="903"/>
        </w:trPr>
        <w:tc>
          <w:tcPr>
            <w:tcW w:w="2667" w:type="dxa"/>
          </w:tcPr>
          <w:p w:rsidR="007441A1" w:rsidRPr="00E16A8D" w:rsidRDefault="007441A1" w:rsidP="00A35800">
            <w:pPr>
              <w:pStyle w:val="Tablewriting"/>
              <w:rPr>
                <w:color w:val="auto"/>
              </w:rPr>
            </w:pPr>
            <w:r>
              <w:t>QuitX® Alphapharm Pty Limited</w:t>
            </w:r>
          </w:p>
        </w:tc>
        <w:tc>
          <w:tcPr>
            <w:tcW w:w="2667" w:type="dxa"/>
          </w:tcPr>
          <w:p w:rsidR="007441A1" w:rsidRPr="00E16A8D" w:rsidRDefault="007441A1" w:rsidP="00A35800">
            <w:pPr>
              <w:pStyle w:val="Tablewriting"/>
              <w:rPr>
                <w:color w:val="auto"/>
              </w:rPr>
            </w:pPr>
            <w:r>
              <w:rPr>
                <w:color w:val="auto"/>
              </w:rPr>
              <w:t>7</w:t>
            </w:r>
            <w:r w:rsidR="00A555AC">
              <w:rPr>
                <w:color w:val="auto"/>
              </w:rPr>
              <w:t xml:space="preserve"> </w:t>
            </w:r>
            <w:r>
              <w:rPr>
                <w:color w:val="auto"/>
              </w:rPr>
              <w:t>mg/24 hours, 14</w:t>
            </w:r>
            <w:r w:rsidR="00A555AC">
              <w:rPr>
                <w:color w:val="auto"/>
              </w:rPr>
              <w:t xml:space="preserve"> </w:t>
            </w:r>
            <w:r>
              <w:rPr>
                <w:color w:val="auto"/>
              </w:rPr>
              <w:t>mg/24 hours and 21</w:t>
            </w:r>
            <w:r w:rsidR="00A555AC">
              <w:rPr>
                <w:color w:val="auto"/>
              </w:rPr>
              <w:t xml:space="preserve"> </w:t>
            </w:r>
            <w:r>
              <w:rPr>
                <w:color w:val="auto"/>
              </w:rPr>
              <w:t>mg/24 hours patches</w:t>
            </w:r>
          </w:p>
        </w:tc>
        <w:tc>
          <w:tcPr>
            <w:tcW w:w="3839" w:type="dxa"/>
            <w:vMerge/>
          </w:tcPr>
          <w:p w:rsidR="007441A1" w:rsidRDefault="007441A1" w:rsidP="00A35800">
            <w:pPr>
              <w:pStyle w:val="Tablewriting"/>
              <w:rPr>
                <w:color w:val="auto"/>
              </w:rPr>
            </w:pPr>
          </w:p>
        </w:tc>
      </w:tr>
      <w:tr w:rsidR="007441A1" w:rsidRPr="00E16A8D" w:rsidTr="007526B4">
        <w:trPr>
          <w:trHeight w:val="573"/>
        </w:trPr>
        <w:tc>
          <w:tcPr>
            <w:tcW w:w="2667" w:type="dxa"/>
          </w:tcPr>
          <w:p w:rsidR="007441A1" w:rsidRPr="00E16A8D" w:rsidRDefault="007441A1" w:rsidP="00A35800">
            <w:pPr>
              <w:pStyle w:val="Tablewriting"/>
              <w:rPr>
                <w:color w:val="auto"/>
              </w:rPr>
            </w:pPr>
            <w:r w:rsidRPr="00E16A8D">
              <w:rPr>
                <w:color w:val="auto"/>
              </w:rPr>
              <w:t>Nicorette</w:t>
            </w:r>
            <w:r>
              <w:rPr>
                <w:color w:val="auto"/>
              </w:rPr>
              <w:t xml:space="preserve">® </w:t>
            </w:r>
            <w:r w:rsidRPr="00E16A8D">
              <w:rPr>
                <w:color w:val="auto"/>
              </w:rPr>
              <w:t>Johnson &amp; Johnson Pty Limited</w:t>
            </w:r>
          </w:p>
        </w:tc>
        <w:tc>
          <w:tcPr>
            <w:tcW w:w="2667" w:type="dxa"/>
          </w:tcPr>
          <w:p w:rsidR="007441A1" w:rsidRPr="00E16A8D" w:rsidRDefault="007441A1" w:rsidP="00A35800">
            <w:pPr>
              <w:pStyle w:val="Tablewriting"/>
              <w:rPr>
                <w:color w:val="auto"/>
              </w:rPr>
            </w:pPr>
            <w:r>
              <w:rPr>
                <w:color w:val="auto"/>
              </w:rPr>
              <w:t>5</w:t>
            </w:r>
            <w:r w:rsidR="00A555AC">
              <w:rPr>
                <w:color w:val="auto"/>
              </w:rPr>
              <w:t xml:space="preserve"> </w:t>
            </w:r>
            <w:r>
              <w:rPr>
                <w:color w:val="auto"/>
              </w:rPr>
              <w:t>mg/16 hours, 10</w:t>
            </w:r>
            <w:r w:rsidR="00A555AC">
              <w:rPr>
                <w:color w:val="auto"/>
              </w:rPr>
              <w:t xml:space="preserve"> </w:t>
            </w:r>
            <w:r>
              <w:rPr>
                <w:color w:val="auto"/>
              </w:rPr>
              <w:t xml:space="preserve">mg/16 hours, </w:t>
            </w:r>
            <w:r w:rsidRPr="00E16A8D">
              <w:rPr>
                <w:color w:val="auto"/>
              </w:rPr>
              <w:t>15</w:t>
            </w:r>
            <w:r w:rsidR="00A555AC">
              <w:rPr>
                <w:color w:val="auto"/>
              </w:rPr>
              <w:t xml:space="preserve"> </w:t>
            </w:r>
            <w:r w:rsidRPr="00E16A8D">
              <w:rPr>
                <w:color w:val="auto"/>
              </w:rPr>
              <w:t>mg/16 hours</w:t>
            </w:r>
            <w:r>
              <w:rPr>
                <w:color w:val="auto"/>
              </w:rPr>
              <w:t xml:space="preserve"> patches</w:t>
            </w:r>
          </w:p>
        </w:tc>
        <w:tc>
          <w:tcPr>
            <w:tcW w:w="3839" w:type="dxa"/>
            <w:vMerge w:val="restart"/>
          </w:tcPr>
          <w:p w:rsidR="0025029B" w:rsidRDefault="0025029B" w:rsidP="00DA2CE7">
            <w:pPr>
              <w:pStyle w:val="Tablewriting"/>
              <w:rPr>
                <w:color w:val="auto"/>
              </w:rPr>
            </w:pPr>
          </w:p>
          <w:p w:rsidR="007441A1" w:rsidRDefault="007441A1" w:rsidP="00696297">
            <w:pPr>
              <w:pStyle w:val="Tablewriting"/>
              <w:rPr>
                <w:color w:val="auto"/>
              </w:rPr>
            </w:pPr>
            <w:r>
              <w:rPr>
                <w:color w:val="auto"/>
              </w:rPr>
              <w:t xml:space="preserve">Apply one patch to the skin </w:t>
            </w:r>
            <w:r w:rsidR="00DA2CE7">
              <w:rPr>
                <w:color w:val="auto"/>
              </w:rPr>
              <w:t>upon waking</w:t>
            </w:r>
            <w:r>
              <w:rPr>
                <w:color w:val="auto"/>
              </w:rPr>
              <w:t xml:space="preserve"> and remove at bedtime</w:t>
            </w:r>
            <w:r w:rsidR="00DA2CE7">
              <w:rPr>
                <w:color w:val="auto"/>
              </w:rPr>
              <w:t>.</w:t>
            </w:r>
            <w:r w:rsidR="00BF313C">
              <w:rPr>
                <w:color w:val="auto"/>
              </w:rPr>
              <w:t xml:space="preserve"> Treat</w:t>
            </w:r>
            <w:r w:rsidR="00696297">
              <w:rPr>
                <w:color w:val="auto"/>
              </w:rPr>
              <w:t>ment should not exceed 12 weeks.</w:t>
            </w:r>
          </w:p>
        </w:tc>
      </w:tr>
      <w:tr w:rsidR="007441A1" w:rsidRPr="00E16A8D" w:rsidTr="007526B4">
        <w:trPr>
          <w:trHeight w:val="573"/>
        </w:trPr>
        <w:tc>
          <w:tcPr>
            <w:tcW w:w="2667" w:type="dxa"/>
          </w:tcPr>
          <w:p w:rsidR="007441A1" w:rsidRPr="00E16A8D" w:rsidRDefault="007441A1" w:rsidP="00A35800">
            <w:pPr>
              <w:pStyle w:val="Tablewriting"/>
              <w:rPr>
                <w:color w:val="auto"/>
              </w:rPr>
            </w:pPr>
            <w:r w:rsidRPr="00E16A8D">
              <w:rPr>
                <w:color w:val="auto"/>
              </w:rPr>
              <w:t>Nicorette Invisipatch® Johnson &amp; Johnson Pty Limited</w:t>
            </w:r>
          </w:p>
        </w:tc>
        <w:tc>
          <w:tcPr>
            <w:tcW w:w="2667" w:type="dxa"/>
          </w:tcPr>
          <w:p w:rsidR="007441A1" w:rsidRDefault="007441A1" w:rsidP="007526B4">
            <w:pPr>
              <w:pStyle w:val="Tablewriting"/>
              <w:rPr>
                <w:color w:val="auto"/>
              </w:rPr>
            </w:pPr>
            <w:r w:rsidRPr="00E16A8D">
              <w:rPr>
                <w:color w:val="auto"/>
              </w:rPr>
              <w:t>25</w:t>
            </w:r>
            <w:r w:rsidR="00A555AC">
              <w:rPr>
                <w:color w:val="auto"/>
              </w:rPr>
              <w:t xml:space="preserve"> </w:t>
            </w:r>
            <w:r w:rsidRPr="00E16A8D">
              <w:rPr>
                <w:color w:val="auto"/>
              </w:rPr>
              <w:t>mg/16 hours</w:t>
            </w:r>
            <w:r>
              <w:rPr>
                <w:color w:val="auto"/>
              </w:rPr>
              <w:t xml:space="preserve"> patch</w:t>
            </w:r>
          </w:p>
          <w:p w:rsidR="007441A1" w:rsidRPr="00E16A8D" w:rsidRDefault="007441A1" w:rsidP="00A35800">
            <w:pPr>
              <w:pStyle w:val="Tablewriting"/>
              <w:rPr>
                <w:color w:val="auto"/>
              </w:rPr>
            </w:pPr>
          </w:p>
        </w:tc>
        <w:tc>
          <w:tcPr>
            <w:tcW w:w="3839" w:type="dxa"/>
            <w:vMerge/>
          </w:tcPr>
          <w:p w:rsidR="007441A1" w:rsidRDefault="007441A1" w:rsidP="00A35800">
            <w:pPr>
              <w:pStyle w:val="Tablewriting"/>
              <w:rPr>
                <w:color w:val="auto"/>
              </w:rPr>
            </w:pPr>
          </w:p>
        </w:tc>
      </w:tr>
    </w:tbl>
    <w:p w:rsidR="00A35800" w:rsidRDefault="003370D0" w:rsidP="00A35800">
      <w:pPr>
        <w:pStyle w:val="Notes"/>
        <w:rPr>
          <w:highlight w:val="yellow"/>
        </w:rPr>
      </w:pPr>
      <w:r w:rsidRPr="00696297">
        <w:t>Source:</w:t>
      </w:r>
      <w:r w:rsidR="00696297" w:rsidRPr="00696297">
        <w:t xml:space="preserve"> </w:t>
      </w:r>
      <w:r w:rsidR="00696297">
        <w:t>Product Information accessed on TGA website</w:t>
      </w:r>
      <w:r w:rsidR="00696297">
        <w:rPr>
          <w:rStyle w:val="FootnoteReference"/>
        </w:rPr>
        <w:footnoteReference w:id="12"/>
      </w:r>
    </w:p>
    <w:p w:rsidR="007441A1" w:rsidRPr="001D603D" w:rsidRDefault="007441A1" w:rsidP="007441A1">
      <w:pPr>
        <w:pStyle w:val="Tabletitle"/>
      </w:pPr>
      <w:r w:rsidRPr="001D603D">
        <w:t xml:space="preserve">Table </w:t>
      </w:r>
      <w:r w:rsidR="00F60090">
        <w:t>3</w:t>
      </w:r>
      <w:r w:rsidRPr="001D603D">
        <w:t xml:space="preserve">: Dose </w:t>
      </w:r>
      <w:r w:rsidR="002658C7" w:rsidRPr="001D603D">
        <w:t xml:space="preserve">for 24 hours patches </w:t>
      </w:r>
      <w:r w:rsidRPr="001D603D">
        <w:t>by step</w:t>
      </w:r>
      <w:r w:rsidR="00E314A6">
        <w:t>,</w:t>
      </w:r>
      <w:r w:rsidRPr="001D603D">
        <w:t xml:space="preserve"> duration of treatment</w:t>
      </w:r>
      <w:r w:rsidR="00E314A6">
        <w:t xml:space="preserve"> and </w:t>
      </w:r>
      <w:r w:rsidR="00937EA3" w:rsidRPr="001D603D">
        <w:t>brand name</w:t>
      </w:r>
    </w:p>
    <w:tbl>
      <w:tblPr>
        <w:tblStyle w:val="TableGrid"/>
        <w:tblW w:w="9180" w:type="dxa"/>
        <w:tblLayout w:type="fixed"/>
        <w:tblLook w:val="04A0" w:firstRow="1" w:lastRow="0" w:firstColumn="1" w:lastColumn="0" w:noHBand="0" w:noVBand="1"/>
        <w:tblCaption w:val="Dose for 24 hours NRT patches and duration of treatment"/>
        <w:tblDescription w:val="Table 3 outlines the dose, brand name and duration of therapy for each of the 24 hours patches, by step."/>
      </w:tblPr>
      <w:tblGrid>
        <w:gridCol w:w="1101"/>
        <w:gridCol w:w="3118"/>
        <w:gridCol w:w="4961"/>
      </w:tblGrid>
      <w:tr w:rsidR="007441A1" w:rsidRPr="00A35800" w:rsidTr="007441A1">
        <w:trPr>
          <w:trHeight w:val="694"/>
          <w:tblHeader/>
        </w:trPr>
        <w:tc>
          <w:tcPr>
            <w:tcW w:w="1101" w:type="dxa"/>
            <w:shd w:val="clear" w:color="auto" w:fill="BFBFBF" w:themeFill="background1" w:themeFillShade="BF"/>
          </w:tcPr>
          <w:p w:rsidR="007441A1" w:rsidRPr="00A35800" w:rsidRDefault="007441A1" w:rsidP="007526B4">
            <w:pPr>
              <w:pStyle w:val="Tableheading"/>
              <w:rPr>
                <w:sz w:val="20"/>
                <w:szCs w:val="20"/>
              </w:rPr>
            </w:pPr>
            <w:r>
              <w:rPr>
                <w:sz w:val="20"/>
                <w:szCs w:val="20"/>
              </w:rPr>
              <w:t>Step</w:t>
            </w:r>
          </w:p>
        </w:tc>
        <w:tc>
          <w:tcPr>
            <w:tcW w:w="3118" w:type="dxa"/>
            <w:shd w:val="clear" w:color="auto" w:fill="BFBFBF" w:themeFill="background1" w:themeFillShade="BF"/>
          </w:tcPr>
          <w:p w:rsidR="007441A1" w:rsidRPr="00A35800" w:rsidRDefault="007441A1" w:rsidP="007526B4">
            <w:pPr>
              <w:pStyle w:val="Tableheading"/>
              <w:rPr>
                <w:sz w:val="20"/>
                <w:szCs w:val="20"/>
              </w:rPr>
            </w:pPr>
            <w:r>
              <w:rPr>
                <w:sz w:val="20"/>
                <w:szCs w:val="20"/>
              </w:rPr>
              <w:t>Dose</w:t>
            </w:r>
          </w:p>
        </w:tc>
        <w:tc>
          <w:tcPr>
            <w:tcW w:w="4961" w:type="dxa"/>
            <w:shd w:val="clear" w:color="auto" w:fill="BFBFBF" w:themeFill="background1" w:themeFillShade="BF"/>
          </w:tcPr>
          <w:p w:rsidR="007441A1" w:rsidRPr="00A35800" w:rsidRDefault="007441A1" w:rsidP="00E11121">
            <w:pPr>
              <w:pStyle w:val="Tableheading"/>
              <w:rPr>
                <w:sz w:val="20"/>
                <w:szCs w:val="20"/>
              </w:rPr>
            </w:pPr>
            <w:r>
              <w:rPr>
                <w:sz w:val="20"/>
                <w:szCs w:val="20"/>
              </w:rPr>
              <w:t>Duration</w:t>
            </w:r>
            <w:r w:rsidR="00E11121">
              <w:rPr>
                <w:sz w:val="20"/>
                <w:szCs w:val="20"/>
              </w:rPr>
              <w:t xml:space="preserve"> based on brand name</w:t>
            </w:r>
          </w:p>
        </w:tc>
      </w:tr>
      <w:tr w:rsidR="00E11121" w:rsidRPr="00A35800" w:rsidTr="00E11121">
        <w:trPr>
          <w:trHeight w:val="278"/>
          <w:tblHeader/>
        </w:trPr>
        <w:tc>
          <w:tcPr>
            <w:tcW w:w="1101" w:type="dxa"/>
            <w:vMerge w:val="restart"/>
            <w:shd w:val="clear" w:color="auto" w:fill="auto"/>
          </w:tcPr>
          <w:p w:rsidR="00E11121" w:rsidRPr="00A35800" w:rsidRDefault="00E11121" w:rsidP="007526B4">
            <w:pPr>
              <w:pStyle w:val="Tablewriting"/>
            </w:pPr>
            <w:r>
              <w:t>Step 1</w:t>
            </w:r>
          </w:p>
        </w:tc>
        <w:tc>
          <w:tcPr>
            <w:tcW w:w="3118" w:type="dxa"/>
            <w:vMerge w:val="restart"/>
            <w:shd w:val="clear" w:color="auto" w:fill="auto"/>
          </w:tcPr>
          <w:p w:rsidR="00E11121" w:rsidRPr="004A48CD" w:rsidRDefault="00E11121" w:rsidP="007526B4">
            <w:pPr>
              <w:pStyle w:val="Tablewriting"/>
            </w:pPr>
            <w:r>
              <w:t>21</w:t>
            </w:r>
            <w:r w:rsidR="00A555AC">
              <w:t xml:space="preserve"> </w:t>
            </w:r>
            <w:r>
              <w:t>mg/24 hours patch</w:t>
            </w:r>
          </w:p>
        </w:tc>
        <w:tc>
          <w:tcPr>
            <w:tcW w:w="4961" w:type="dxa"/>
            <w:shd w:val="clear" w:color="auto" w:fill="auto"/>
          </w:tcPr>
          <w:p w:rsidR="00E11121" w:rsidRPr="00A35800" w:rsidRDefault="00E11121" w:rsidP="007526B4">
            <w:pPr>
              <w:pStyle w:val="Tablewriting"/>
            </w:pPr>
            <w:r>
              <w:t>Nicabate</w:t>
            </w:r>
            <w:r w:rsidR="00561FEE">
              <w:t xml:space="preserve"> P</w:t>
            </w:r>
            <w:r w:rsidR="00E314A6">
              <w:t>®</w:t>
            </w:r>
            <w:r>
              <w:t>: 6 weeks (if smoking less than 10 cigarettes/day, have cardiovascular disease or weigh less</w:t>
            </w:r>
            <w:r w:rsidR="00C2153F">
              <w:t xml:space="preserve"> than 45kg, start with </w:t>
            </w:r>
            <w:r>
              <w:t>Step 2 for 6 weeks)</w:t>
            </w:r>
          </w:p>
        </w:tc>
      </w:tr>
      <w:tr w:rsidR="00E11121" w:rsidRPr="00A35800" w:rsidTr="007441A1">
        <w:trPr>
          <w:trHeight w:val="277"/>
          <w:tblHeader/>
        </w:trPr>
        <w:tc>
          <w:tcPr>
            <w:tcW w:w="1101" w:type="dxa"/>
            <w:vMerge/>
            <w:shd w:val="clear" w:color="auto" w:fill="auto"/>
          </w:tcPr>
          <w:p w:rsidR="00E11121" w:rsidRDefault="00E11121" w:rsidP="007526B4">
            <w:pPr>
              <w:pStyle w:val="Tablewriting"/>
            </w:pPr>
          </w:p>
        </w:tc>
        <w:tc>
          <w:tcPr>
            <w:tcW w:w="3118" w:type="dxa"/>
            <w:vMerge/>
            <w:shd w:val="clear" w:color="auto" w:fill="auto"/>
          </w:tcPr>
          <w:p w:rsidR="00E11121" w:rsidRDefault="00E11121" w:rsidP="007526B4">
            <w:pPr>
              <w:pStyle w:val="Tablewriting"/>
            </w:pPr>
          </w:p>
        </w:tc>
        <w:tc>
          <w:tcPr>
            <w:tcW w:w="4961" w:type="dxa"/>
            <w:shd w:val="clear" w:color="auto" w:fill="auto"/>
          </w:tcPr>
          <w:p w:rsidR="00E11121" w:rsidRDefault="00E11121" w:rsidP="00CA3FF6">
            <w:pPr>
              <w:pStyle w:val="Tablewriting"/>
            </w:pPr>
            <w:r>
              <w:t>QuitX</w:t>
            </w:r>
            <w:r w:rsidR="00E314A6">
              <w:t>®</w:t>
            </w:r>
            <w:r w:rsidR="004307BB">
              <w:t xml:space="preserve"> and Nicotinell</w:t>
            </w:r>
            <w:r w:rsidR="00E314A6">
              <w:t>®</w:t>
            </w:r>
            <w:r>
              <w:t>: 4 weeks (if smoki</w:t>
            </w:r>
            <w:r w:rsidR="00CA3FF6">
              <w:t>ng less than 20 cigarettes/day,</w:t>
            </w:r>
            <w:r>
              <w:t xml:space="preserve"> start with Step 2</w:t>
            </w:r>
            <w:r w:rsidR="00E60692">
              <w:t xml:space="preserve"> for </w:t>
            </w:r>
            <w:r w:rsidR="00CA3FF6">
              <w:t>a total of 8</w:t>
            </w:r>
            <w:r w:rsidR="00E60692">
              <w:t xml:space="preserve"> weeks then Step 3 for </w:t>
            </w:r>
            <w:r w:rsidR="00CA3FF6">
              <w:t>4</w:t>
            </w:r>
            <w:r w:rsidR="00E60692">
              <w:t xml:space="preserve"> weeks)</w:t>
            </w:r>
          </w:p>
        </w:tc>
      </w:tr>
      <w:tr w:rsidR="004307BB" w:rsidRPr="00A35800" w:rsidTr="004307BB">
        <w:trPr>
          <w:trHeight w:val="270"/>
          <w:tblHeader/>
        </w:trPr>
        <w:tc>
          <w:tcPr>
            <w:tcW w:w="1101" w:type="dxa"/>
            <w:vMerge w:val="restart"/>
            <w:shd w:val="clear" w:color="auto" w:fill="auto"/>
          </w:tcPr>
          <w:p w:rsidR="004307BB" w:rsidRPr="00A35800" w:rsidRDefault="004307BB" w:rsidP="007526B4">
            <w:pPr>
              <w:pStyle w:val="Tablewriting"/>
            </w:pPr>
            <w:r>
              <w:t>Step 2</w:t>
            </w:r>
          </w:p>
        </w:tc>
        <w:tc>
          <w:tcPr>
            <w:tcW w:w="3118" w:type="dxa"/>
            <w:vMerge w:val="restart"/>
            <w:shd w:val="clear" w:color="auto" w:fill="auto"/>
          </w:tcPr>
          <w:p w:rsidR="004307BB" w:rsidRPr="00A35800" w:rsidRDefault="004307BB" w:rsidP="007526B4">
            <w:pPr>
              <w:pStyle w:val="Tablewriting"/>
            </w:pPr>
            <w:r>
              <w:t>14</w:t>
            </w:r>
            <w:r w:rsidR="00A555AC">
              <w:t xml:space="preserve"> </w:t>
            </w:r>
            <w:r>
              <w:t>mg/24 hours patch</w:t>
            </w:r>
          </w:p>
        </w:tc>
        <w:tc>
          <w:tcPr>
            <w:tcW w:w="4961" w:type="dxa"/>
            <w:shd w:val="clear" w:color="auto" w:fill="auto"/>
          </w:tcPr>
          <w:p w:rsidR="004307BB" w:rsidRPr="00A35800" w:rsidRDefault="004307BB" w:rsidP="007526B4">
            <w:pPr>
              <w:pStyle w:val="Tablewriting"/>
            </w:pPr>
            <w:r>
              <w:t>Nicabate</w:t>
            </w:r>
            <w:r w:rsidR="00E314A6">
              <w:t>®</w:t>
            </w:r>
            <w:r>
              <w:t>: 2 weeks</w:t>
            </w:r>
          </w:p>
        </w:tc>
      </w:tr>
      <w:tr w:rsidR="004307BB" w:rsidRPr="00A35800" w:rsidTr="007441A1">
        <w:trPr>
          <w:trHeight w:val="270"/>
          <w:tblHeader/>
        </w:trPr>
        <w:tc>
          <w:tcPr>
            <w:tcW w:w="1101" w:type="dxa"/>
            <w:vMerge/>
            <w:shd w:val="clear" w:color="auto" w:fill="auto"/>
          </w:tcPr>
          <w:p w:rsidR="004307BB" w:rsidRDefault="004307BB" w:rsidP="007526B4">
            <w:pPr>
              <w:pStyle w:val="Tablewriting"/>
            </w:pPr>
          </w:p>
        </w:tc>
        <w:tc>
          <w:tcPr>
            <w:tcW w:w="3118" w:type="dxa"/>
            <w:vMerge/>
            <w:shd w:val="clear" w:color="auto" w:fill="auto"/>
          </w:tcPr>
          <w:p w:rsidR="004307BB" w:rsidRDefault="004307BB" w:rsidP="007526B4">
            <w:pPr>
              <w:pStyle w:val="Tablewriting"/>
            </w:pPr>
          </w:p>
        </w:tc>
        <w:tc>
          <w:tcPr>
            <w:tcW w:w="4961" w:type="dxa"/>
            <w:shd w:val="clear" w:color="auto" w:fill="auto"/>
          </w:tcPr>
          <w:p w:rsidR="004307BB" w:rsidRPr="00A35800" w:rsidRDefault="004307BB" w:rsidP="007526B4">
            <w:pPr>
              <w:pStyle w:val="Tablewriting"/>
            </w:pPr>
            <w:r>
              <w:t>QuitX</w:t>
            </w:r>
            <w:r w:rsidR="00E314A6">
              <w:t>®</w:t>
            </w:r>
            <w:r>
              <w:t xml:space="preserve"> and Nicotinell</w:t>
            </w:r>
            <w:r w:rsidR="00E314A6">
              <w:t>®</w:t>
            </w:r>
            <w:r>
              <w:t>: 4 weeks</w:t>
            </w:r>
          </w:p>
        </w:tc>
      </w:tr>
      <w:tr w:rsidR="004307BB" w:rsidRPr="00A35800" w:rsidTr="004307BB">
        <w:trPr>
          <w:trHeight w:val="270"/>
          <w:tblHeader/>
        </w:trPr>
        <w:tc>
          <w:tcPr>
            <w:tcW w:w="1101" w:type="dxa"/>
            <w:vMerge w:val="restart"/>
            <w:shd w:val="clear" w:color="auto" w:fill="auto"/>
          </w:tcPr>
          <w:p w:rsidR="004307BB" w:rsidRDefault="004307BB" w:rsidP="007526B4">
            <w:pPr>
              <w:pStyle w:val="Tablewriting"/>
            </w:pPr>
            <w:r>
              <w:t>Step 3</w:t>
            </w:r>
          </w:p>
        </w:tc>
        <w:tc>
          <w:tcPr>
            <w:tcW w:w="3118" w:type="dxa"/>
            <w:vMerge w:val="restart"/>
            <w:shd w:val="clear" w:color="auto" w:fill="auto"/>
          </w:tcPr>
          <w:p w:rsidR="004307BB" w:rsidRDefault="004307BB" w:rsidP="007526B4">
            <w:pPr>
              <w:pStyle w:val="Tablewriting"/>
            </w:pPr>
            <w:r>
              <w:t>7</w:t>
            </w:r>
            <w:r w:rsidR="00A555AC">
              <w:t xml:space="preserve"> </w:t>
            </w:r>
            <w:r>
              <w:t>mg/24 hours patch</w:t>
            </w:r>
          </w:p>
        </w:tc>
        <w:tc>
          <w:tcPr>
            <w:tcW w:w="4961" w:type="dxa"/>
            <w:shd w:val="clear" w:color="auto" w:fill="auto"/>
          </w:tcPr>
          <w:p w:rsidR="004307BB" w:rsidRDefault="004307BB" w:rsidP="007526B4">
            <w:pPr>
              <w:pStyle w:val="Tablewriting"/>
            </w:pPr>
            <w:r>
              <w:t>Nicabate</w:t>
            </w:r>
            <w:r w:rsidR="00E314A6">
              <w:t>®</w:t>
            </w:r>
            <w:r>
              <w:t>: 2-4 weeks</w:t>
            </w:r>
          </w:p>
        </w:tc>
      </w:tr>
      <w:tr w:rsidR="004307BB" w:rsidRPr="00A35800" w:rsidTr="007441A1">
        <w:trPr>
          <w:trHeight w:val="270"/>
          <w:tblHeader/>
        </w:trPr>
        <w:tc>
          <w:tcPr>
            <w:tcW w:w="1101" w:type="dxa"/>
            <w:vMerge/>
            <w:shd w:val="clear" w:color="auto" w:fill="auto"/>
          </w:tcPr>
          <w:p w:rsidR="004307BB" w:rsidRDefault="004307BB" w:rsidP="007526B4">
            <w:pPr>
              <w:pStyle w:val="Tablewriting"/>
            </w:pPr>
          </w:p>
        </w:tc>
        <w:tc>
          <w:tcPr>
            <w:tcW w:w="3118" w:type="dxa"/>
            <w:vMerge/>
            <w:shd w:val="clear" w:color="auto" w:fill="auto"/>
          </w:tcPr>
          <w:p w:rsidR="004307BB" w:rsidRDefault="004307BB" w:rsidP="007526B4">
            <w:pPr>
              <w:pStyle w:val="Tablewriting"/>
            </w:pPr>
          </w:p>
        </w:tc>
        <w:tc>
          <w:tcPr>
            <w:tcW w:w="4961" w:type="dxa"/>
            <w:shd w:val="clear" w:color="auto" w:fill="auto"/>
          </w:tcPr>
          <w:p w:rsidR="004307BB" w:rsidRDefault="004307BB" w:rsidP="007526B4">
            <w:pPr>
              <w:pStyle w:val="Tablewriting"/>
            </w:pPr>
            <w:r>
              <w:t>QuitX</w:t>
            </w:r>
            <w:r w:rsidR="00E314A6">
              <w:t>®</w:t>
            </w:r>
            <w:r>
              <w:t xml:space="preserve"> and Nicotinell</w:t>
            </w:r>
            <w:r w:rsidR="00E314A6">
              <w:t>®</w:t>
            </w:r>
            <w:r>
              <w:t>: 4 weeks</w:t>
            </w:r>
          </w:p>
        </w:tc>
      </w:tr>
    </w:tbl>
    <w:p w:rsidR="00E11121" w:rsidRPr="00E314A6" w:rsidRDefault="00E314A6" w:rsidP="0025029B">
      <w:pPr>
        <w:pStyle w:val="Tabletitle"/>
        <w:spacing w:before="0" w:after="0"/>
        <w:rPr>
          <w:b w:val="0"/>
          <w:sz w:val="20"/>
          <w:szCs w:val="20"/>
          <w:highlight w:val="yellow"/>
        </w:rPr>
      </w:pPr>
      <w:r w:rsidRPr="00E314A6">
        <w:rPr>
          <w:b w:val="0"/>
          <w:sz w:val="20"/>
          <w:szCs w:val="20"/>
        </w:rPr>
        <w:t>Source: Product Information accessed on TGA website</w:t>
      </w:r>
      <w:r w:rsidR="00324656">
        <w:rPr>
          <w:rStyle w:val="FootnoteReference"/>
          <w:b w:val="0"/>
          <w:sz w:val="20"/>
          <w:szCs w:val="20"/>
        </w:rPr>
        <w:footnoteReference w:id="13"/>
      </w:r>
    </w:p>
    <w:p w:rsidR="0037628C" w:rsidRDefault="0037628C" w:rsidP="002658C7">
      <w:pPr>
        <w:pStyle w:val="Tabletitle"/>
      </w:pPr>
    </w:p>
    <w:p w:rsidR="0037628C" w:rsidRDefault="0037628C" w:rsidP="002658C7">
      <w:pPr>
        <w:pStyle w:val="Tabletitle"/>
      </w:pPr>
    </w:p>
    <w:p w:rsidR="00EA7A80" w:rsidRDefault="00EA7A80" w:rsidP="002658C7">
      <w:pPr>
        <w:pStyle w:val="Tabletitle"/>
      </w:pPr>
    </w:p>
    <w:p w:rsidR="002658C7" w:rsidRPr="001D603D" w:rsidRDefault="002658C7" w:rsidP="002658C7">
      <w:pPr>
        <w:pStyle w:val="Tabletitle"/>
      </w:pPr>
      <w:r w:rsidRPr="001D603D">
        <w:lastRenderedPageBreak/>
        <w:t xml:space="preserve">Table </w:t>
      </w:r>
      <w:r w:rsidR="00F60090">
        <w:t>4</w:t>
      </w:r>
      <w:r w:rsidRPr="001D603D">
        <w:t>: Dose for 16 hours patches (Nicorette</w:t>
      </w:r>
      <w:r w:rsidR="00C5547F">
        <w:t>®</w:t>
      </w:r>
      <w:r w:rsidRPr="001D603D">
        <w:t>) by step and duration of treatment</w:t>
      </w:r>
    </w:p>
    <w:tbl>
      <w:tblPr>
        <w:tblStyle w:val="TableGrid"/>
        <w:tblW w:w="9180" w:type="dxa"/>
        <w:tblLayout w:type="fixed"/>
        <w:tblLook w:val="04A0" w:firstRow="1" w:lastRow="0" w:firstColumn="1" w:lastColumn="0" w:noHBand="0" w:noVBand="1"/>
        <w:tblCaption w:val="Dose for 16 hours patches by step and duration of treatment"/>
        <w:tblDescription w:val="This table outlines the dose and duration of treatment for the 16 hours patches by step."/>
      </w:tblPr>
      <w:tblGrid>
        <w:gridCol w:w="1101"/>
        <w:gridCol w:w="3118"/>
        <w:gridCol w:w="4961"/>
      </w:tblGrid>
      <w:tr w:rsidR="002658C7" w:rsidRPr="00A35800" w:rsidTr="007526B4">
        <w:trPr>
          <w:trHeight w:val="694"/>
          <w:tblHeader/>
        </w:trPr>
        <w:tc>
          <w:tcPr>
            <w:tcW w:w="1101" w:type="dxa"/>
            <w:shd w:val="clear" w:color="auto" w:fill="BFBFBF" w:themeFill="background1" w:themeFillShade="BF"/>
          </w:tcPr>
          <w:p w:rsidR="002658C7" w:rsidRPr="00A35800" w:rsidRDefault="002658C7" w:rsidP="007526B4">
            <w:pPr>
              <w:pStyle w:val="Tableheading"/>
              <w:rPr>
                <w:sz w:val="20"/>
                <w:szCs w:val="20"/>
              </w:rPr>
            </w:pPr>
            <w:r>
              <w:rPr>
                <w:sz w:val="20"/>
                <w:szCs w:val="20"/>
              </w:rPr>
              <w:t>Step</w:t>
            </w:r>
          </w:p>
        </w:tc>
        <w:tc>
          <w:tcPr>
            <w:tcW w:w="3118" w:type="dxa"/>
            <w:shd w:val="clear" w:color="auto" w:fill="BFBFBF" w:themeFill="background1" w:themeFillShade="BF"/>
          </w:tcPr>
          <w:p w:rsidR="002658C7" w:rsidRPr="00A35800" w:rsidRDefault="002658C7" w:rsidP="007526B4">
            <w:pPr>
              <w:pStyle w:val="Tableheading"/>
              <w:rPr>
                <w:sz w:val="20"/>
                <w:szCs w:val="20"/>
              </w:rPr>
            </w:pPr>
            <w:r>
              <w:rPr>
                <w:sz w:val="20"/>
                <w:szCs w:val="20"/>
              </w:rPr>
              <w:t>Dose</w:t>
            </w:r>
          </w:p>
        </w:tc>
        <w:tc>
          <w:tcPr>
            <w:tcW w:w="4961" w:type="dxa"/>
            <w:shd w:val="clear" w:color="auto" w:fill="BFBFBF" w:themeFill="background1" w:themeFillShade="BF"/>
          </w:tcPr>
          <w:p w:rsidR="002658C7" w:rsidRPr="00A35800" w:rsidRDefault="002658C7" w:rsidP="007526B4">
            <w:pPr>
              <w:pStyle w:val="Tableheading"/>
              <w:rPr>
                <w:sz w:val="20"/>
                <w:szCs w:val="20"/>
              </w:rPr>
            </w:pPr>
            <w:r>
              <w:rPr>
                <w:sz w:val="20"/>
                <w:szCs w:val="20"/>
              </w:rPr>
              <w:t>Duration of treatment</w:t>
            </w:r>
          </w:p>
        </w:tc>
      </w:tr>
      <w:tr w:rsidR="002658C7" w:rsidRPr="00A35800" w:rsidTr="007526B4">
        <w:trPr>
          <w:trHeight w:val="982"/>
          <w:tblHeader/>
        </w:trPr>
        <w:tc>
          <w:tcPr>
            <w:tcW w:w="1101" w:type="dxa"/>
            <w:shd w:val="clear" w:color="auto" w:fill="auto"/>
          </w:tcPr>
          <w:p w:rsidR="002658C7" w:rsidRPr="00A35800" w:rsidRDefault="002658C7" w:rsidP="007526B4">
            <w:pPr>
              <w:pStyle w:val="Tablewriting"/>
            </w:pPr>
            <w:r>
              <w:t>Step 1 - Invisipatch</w:t>
            </w:r>
          </w:p>
        </w:tc>
        <w:tc>
          <w:tcPr>
            <w:tcW w:w="3118" w:type="dxa"/>
            <w:shd w:val="clear" w:color="auto" w:fill="auto"/>
          </w:tcPr>
          <w:p w:rsidR="002658C7" w:rsidRPr="004A48CD" w:rsidRDefault="002658C7" w:rsidP="002658C7">
            <w:pPr>
              <w:pStyle w:val="Tablewriting"/>
            </w:pPr>
            <w:r>
              <w:t>25</w:t>
            </w:r>
            <w:r w:rsidR="00A555AC">
              <w:t xml:space="preserve"> </w:t>
            </w:r>
            <w:r>
              <w:t>mg/16 hours patch</w:t>
            </w:r>
          </w:p>
        </w:tc>
        <w:tc>
          <w:tcPr>
            <w:tcW w:w="4961" w:type="dxa"/>
            <w:shd w:val="clear" w:color="auto" w:fill="auto"/>
          </w:tcPr>
          <w:p w:rsidR="002658C7" w:rsidRPr="00A35800" w:rsidRDefault="002658C7" w:rsidP="007526B4">
            <w:pPr>
              <w:pStyle w:val="Tablewriting"/>
            </w:pPr>
            <w:r>
              <w:t xml:space="preserve">8 weeks (If smoking 15 cigarettes or more per day) </w:t>
            </w:r>
          </w:p>
        </w:tc>
      </w:tr>
      <w:tr w:rsidR="002658C7" w:rsidRPr="00A35800" w:rsidTr="007526B4">
        <w:trPr>
          <w:trHeight w:val="546"/>
          <w:tblHeader/>
        </w:trPr>
        <w:tc>
          <w:tcPr>
            <w:tcW w:w="1101" w:type="dxa"/>
            <w:shd w:val="clear" w:color="auto" w:fill="auto"/>
          </w:tcPr>
          <w:p w:rsidR="002658C7" w:rsidRPr="00A35800" w:rsidRDefault="002658C7" w:rsidP="007526B4">
            <w:pPr>
              <w:pStyle w:val="Tablewriting"/>
            </w:pPr>
            <w:r>
              <w:t>Step 2</w:t>
            </w:r>
          </w:p>
        </w:tc>
        <w:tc>
          <w:tcPr>
            <w:tcW w:w="3118" w:type="dxa"/>
            <w:shd w:val="clear" w:color="auto" w:fill="auto"/>
          </w:tcPr>
          <w:p w:rsidR="002658C7" w:rsidRPr="00A35800" w:rsidRDefault="002658C7" w:rsidP="002658C7">
            <w:pPr>
              <w:pStyle w:val="Tablewriting"/>
            </w:pPr>
            <w:r>
              <w:t>15</w:t>
            </w:r>
            <w:r w:rsidR="00A555AC">
              <w:t xml:space="preserve"> </w:t>
            </w:r>
            <w:r>
              <w:t>mg/16 hours patch</w:t>
            </w:r>
          </w:p>
        </w:tc>
        <w:tc>
          <w:tcPr>
            <w:tcW w:w="4961" w:type="dxa"/>
            <w:shd w:val="clear" w:color="auto" w:fill="auto"/>
          </w:tcPr>
          <w:p w:rsidR="002658C7" w:rsidRPr="00A35800" w:rsidRDefault="002658C7" w:rsidP="002658C7">
            <w:pPr>
              <w:pStyle w:val="Tablewriting"/>
            </w:pPr>
            <w:r>
              <w:t>4 weeks (May progress to Steps 3 and 4 when patient has fewer cravings for a total treatment duration of 12 weeks)</w:t>
            </w:r>
          </w:p>
        </w:tc>
      </w:tr>
      <w:tr w:rsidR="002658C7" w:rsidRPr="00A35800" w:rsidTr="007526B4">
        <w:trPr>
          <w:trHeight w:val="546"/>
          <w:tblHeader/>
        </w:trPr>
        <w:tc>
          <w:tcPr>
            <w:tcW w:w="1101" w:type="dxa"/>
            <w:shd w:val="clear" w:color="auto" w:fill="auto"/>
          </w:tcPr>
          <w:p w:rsidR="002658C7" w:rsidRDefault="002658C7" w:rsidP="007526B4">
            <w:pPr>
              <w:pStyle w:val="Tablewriting"/>
            </w:pPr>
            <w:r>
              <w:t>Step 3</w:t>
            </w:r>
          </w:p>
        </w:tc>
        <w:tc>
          <w:tcPr>
            <w:tcW w:w="3118" w:type="dxa"/>
            <w:shd w:val="clear" w:color="auto" w:fill="auto"/>
          </w:tcPr>
          <w:p w:rsidR="002658C7" w:rsidRDefault="002658C7" w:rsidP="007526B4">
            <w:pPr>
              <w:pStyle w:val="Tablewriting"/>
            </w:pPr>
            <w:r>
              <w:t>10</w:t>
            </w:r>
            <w:r w:rsidR="00A555AC">
              <w:t xml:space="preserve"> </w:t>
            </w:r>
            <w:r>
              <w:t>mg/16 hours patch</w:t>
            </w:r>
          </w:p>
        </w:tc>
        <w:tc>
          <w:tcPr>
            <w:tcW w:w="4961" w:type="dxa"/>
            <w:shd w:val="clear" w:color="auto" w:fill="auto"/>
          </w:tcPr>
          <w:p w:rsidR="002658C7" w:rsidRDefault="002658C7" w:rsidP="007526B4">
            <w:pPr>
              <w:pStyle w:val="Tablewriting"/>
            </w:pPr>
            <w:r>
              <w:t xml:space="preserve">As required </w:t>
            </w:r>
          </w:p>
        </w:tc>
      </w:tr>
      <w:tr w:rsidR="002658C7" w:rsidRPr="00A35800" w:rsidTr="007526B4">
        <w:trPr>
          <w:trHeight w:val="546"/>
          <w:tblHeader/>
        </w:trPr>
        <w:tc>
          <w:tcPr>
            <w:tcW w:w="1101" w:type="dxa"/>
            <w:shd w:val="clear" w:color="auto" w:fill="auto"/>
          </w:tcPr>
          <w:p w:rsidR="002658C7" w:rsidRDefault="002658C7" w:rsidP="007526B4">
            <w:pPr>
              <w:pStyle w:val="Tablewriting"/>
            </w:pPr>
            <w:r>
              <w:t>Step 4</w:t>
            </w:r>
          </w:p>
        </w:tc>
        <w:tc>
          <w:tcPr>
            <w:tcW w:w="3118" w:type="dxa"/>
            <w:shd w:val="clear" w:color="auto" w:fill="auto"/>
          </w:tcPr>
          <w:p w:rsidR="002658C7" w:rsidRDefault="002658C7" w:rsidP="007526B4">
            <w:pPr>
              <w:pStyle w:val="Tablewriting"/>
            </w:pPr>
            <w:r>
              <w:t>5</w:t>
            </w:r>
            <w:r w:rsidR="00A555AC">
              <w:t xml:space="preserve"> </w:t>
            </w:r>
            <w:r>
              <w:t>mg/15 hours patch</w:t>
            </w:r>
          </w:p>
        </w:tc>
        <w:tc>
          <w:tcPr>
            <w:tcW w:w="4961" w:type="dxa"/>
            <w:shd w:val="clear" w:color="auto" w:fill="auto"/>
          </w:tcPr>
          <w:p w:rsidR="002658C7" w:rsidRDefault="002658C7" w:rsidP="007526B4">
            <w:pPr>
              <w:pStyle w:val="Tablewriting"/>
            </w:pPr>
            <w:r>
              <w:t>As required</w:t>
            </w:r>
          </w:p>
        </w:tc>
      </w:tr>
    </w:tbl>
    <w:p w:rsidR="00F17D4B" w:rsidRPr="00E16A8D" w:rsidRDefault="00C5547F" w:rsidP="00F17D4B">
      <w:pPr>
        <w:rPr>
          <w:sz w:val="20"/>
          <w:szCs w:val="20"/>
        </w:rPr>
      </w:pPr>
      <w:r>
        <w:rPr>
          <w:sz w:val="20"/>
          <w:szCs w:val="20"/>
        </w:rPr>
        <w:t>Source: Product Information accessed on TGA website</w:t>
      </w:r>
      <w:r>
        <w:rPr>
          <w:rStyle w:val="FootnoteReference"/>
          <w:sz w:val="20"/>
          <w:szCs w:val="20"/>
        </w:rPr>
        <w:footnoteReference w:id="14"/>
      </w:r>
    </w:p>
    <w:p w:rsidR="001420B3" w:rsidRPr="0096665D" w:rsidRDefault="001420B3" w:rsidP="00DD1896">
      <w:pPr>
        <w:pStyle w:val="Heading3"/>
        <w:rPr>
          <w:sz w:val="24"/>
          <w:szCs w:val="24"/>
        </w:rPr>
      </w:pPr>
      <w:r w:rsidRPr="0096665D">
        <w:rPr>
          <w:sz w:val="24"/>
          <w:szCs w:val="24"/>
        </w:rPr>
        <w:t>Clinical situation</w:t>
      </w:r>
    </w:p>
    <w:p w:rsidR="000554EC" w:rsidRDefault="000554EC" w:rsidP="00DD1896">
      <w:pPr>
        <w:shd w:val="clear" w:color="auto" w:fill="FFFFFF"/>
        <w:spacing w:before="120" w:after="100" w:afterAutospacing="1" w:line="281" w:lineRule="atLeast"/>
      </w:pPr>
      <w:r>
        <w:t xml:space="preserve">According to the 2013 National Drug Strategy Household Survey (NDSHS) conducted by the Australian Institute of Health and Welfare (AIHW), the average number of people who smoke daily has declined significantly over 2010-2013 </w:t>
      </w:r>
      <w:r w:rsidR="00E767C2">
        <w:t xml:space="preserve">period </w:t>
      </w:r>
      <w:r>
        <w:t xml:space="preserve">(from 15.1% </w:t>
      </w:r>
      <w:r w:rsidRPr="000554EC">
        <w:t xml:space="preserve">to 12.8%). </w:t>
      </w:r>
      <w:r w:rsidRPr="000554EC">
        <w:rPr>
          <w:rFonts w:eastAsia="Times New Roman" w:cs="Times New Roman"/>
        </w:rPr>
        <w:t>Younger people are </w:t>
      </w:r>
      <w:r w:rsidRPr="000554EC">
        <w:rPr>
          <w:rFonts w:eastAsia="Times New Roman" w:cs="Times New Roman"/>
          <w:bCs/>
        </w:rPr>
        <w:t>delaying the take up </w:t>
      </w:r>
      <w:r>
        <w:rPr>
          <w:rFonts w:eastAsia="Times New Roman" w:cs="Times New Roman"/>
        </w:rPr>
        <w:t>of smoking. T</w:t>
      </w:r>
      <w:r w:rsidRPr="000554EC">
        <w:rPr>
          <w:rFonts w:eastAsia="Times New Roman" w:cs="Times New Roman"/>
        </w:rPr>
        <w:t xml:space="preserve">he age at which 14–24-year-olds smoked their first full cigarette increased from 14.2 in 1995 to 15.9 years in 2013. </w:t>
      </w:r>
      <w:r w:rsidR="0096665D">
        <w:rPr>
          <w:rFonts w:eastAsia="Times New Roman" w:cs="Times New Roman"/>
        </w:rPr>
        <w:t>Furthermore, s</w:t>
      </w:r>
      <w:r w:rsidRPr="000554EC">
        <w:rPr>
          <w:rFonts w:eastAsia="Times New Roman" w:cs="Times New Roman"/>
        </w:rPr>
        <w:t>mokers reduced the </w:t>
      </w:r>
      <w:r w:rsidRPr="000554EC">
        <w:rPr>
          <w:rFonts w:eastAsia="Times New Roman" w:cs="Times New Roman"/>
          <w:bCs/>
        </w:rPr>
        <w:t>average number of cigarettes </w:t>
      </w:r>
      <w:r>
        <w:rPr>
          <w:rFonts w:eastAsia="Times New Roman" w:cs="Times New Roman"/>
        </w:rPr>
        <w:t>smoked per day</w:t>
      </w:r>
      <w:r w:rsidRPr="000554EC">
        <w:rPr>
          <w:rFonts w:eastAsia="Times New Roman" w:cs="Times New Roman"/>
        </w:rPr>
        <w:t xml:space="preserve">; from </w:t>
      </w:r>
      <w:r>
        <w:rPr>
          <w:rFonts w:eastAsia="Times New Roman" w:cs="Times New Roman"/>
        </w:rPr>
        <w:t>15.8</w:t>
      </w:r>
      <w:r w:rsidRPr="000554EC">
        <w:rPr>
          <w:rFonts w:eastAsia="Times New Roman" w:cs="Times New Roman"/>
        </w:rPr>
        <w:t xml:space="preserve"> cigarettes in 2010 to </w:t>
      </w:r>
      <w:r>
        <w:rPr>
          <w:rFonts w:eastAsia="Times New Roman" w:cs="Times New Roman"/>
        </w:rPr>
        <w:t>13.7</w:t>
      </w:r>
      <w:r w:rsidRPr="000554EC">
        <w:rPr>
          <w:rFonts w:eastAsia="Times New Roman" w:cs="Times New Roman"/>
        </w:rPr>
        <w:t xml:space="preserve"> in 2013.</w:t>
      </w:r>
      <w:r>
        <w:rPr>
          <w:rFonts w:eastAsia="Times New Roman" w:cs="Times New Roman"/>
        </w:rPr>
        <w:t xml:space="preserve"> </w:t>
      </w:r>
      <w:r w:rsidR="00FB050D">
        <w:t>There was variation in the number of cigarettes smoked per day between age groups. A heavy smoker is considered to be someone who smokes 20 or more cigarettes per day. In 2013, 3 in 10 (33%) smokers were considered heavy smokers and heavy smoking was highest among people aged 50–69 with more than 4 in 10 (44%) smoking 20 or more cigarettes per day</w:t>
      </w:r>
      <w:r w:rsidR="00F67998">
        <w:t>.</w:t>
      </w:r>
      <w:bookmarkStart w:id="2" w:name="_Ref434312154"/>
      <w:r w:rsidR="00F67998">
        <w:rPr>
          <w:rStyle w:val="FootnoteReference"/>
        </w:rPr>
        <w:footnoteReference w:id="15"/>
      </w:r>
      <w:bookmarkEnd w:id="2"/>
      <w:r w:rsidR="00FB050D">
        <w:t xml:space="preserve"> </w:t>
      </w:r>
    </w:p>
    <w:p w:rsidR="00B23818" w:rsidRPr="00B23818" w:rsidRDefault="00B23818" w:rsidP="00B23818">
      <w:pPr>
        <w:autoSpaceDE w:val="0"/>
        <w:autoSpaceDN w:val="0"/>
        <w:adjustRightInd w:val="0"/>
        <w:spacing w:after="0"/>
        <w:rPr>
          <w:rFonts w:cs="MyriadPro-Light"/>
        </w:rPr>
      </w:pPr>
      <w:r w:rsidRPr="00B23818">
        <w:rPr>
          <w:rFonts w:cs="MyriadPro-Light"/>
        </w:rPr>
        <w:t>The NDSHS 2013 survey was the first time that respondents were asked about their use of battery operated electronic cigarettes</w:t>
      </w:r>
      <w:r>
        <w:rPr>
          <w:rFonts w:cs="MyriadPro-Light"/>
        </w:rPr>
        <w:t xml:space="preserve">. They are </w:t>
      </w:r>
      <w:r w:rsidRPr="00B23818">
        <w:rPr>
          <w:rFonts w:cs="MyriadPro-Light"/>
        </w:rPr>
        <w:t xml:space="preserve">devices for creating aerosols which contain nicotine and/or flavouring agents, the aerosol then being inhaled. The visual, physio-sensory and behavioural aspects of electronic cigarettes simulate the act of tobacco smoking. </w:t>
      </w:r>
      <w:r>
        <w:rPr>
          <w:rFonts w:cs="MyriadPro-Light"/>
        </w:rPr>
        <w:t>In 2013,</w:t>
      </w:r>
      <w:r w:rsidRPr="00B23818">
        <w:rPr>
          <w:rFonts w:cs="MyriadPro-Light"/>
        </w:rPr>
        <w:t xml:space="preserve"> 1 in 7 (14.8%) smokers aged 14 or older had used battery-operated electronic cigarettes in the last 12 months.</w:t>
      </w:r>
      <w:r w:rsidR="00773FD6">
        <w:rPr>
          <w:rFonts w:cs="MyriadPro-Light"/>
          <w:vertAlign w:val="superscript"/>
        </w:rPr>
        <w:t>15</w:t>
      </w:r>
      <w:r w:rsidRPr="00B23818">
        <w:rPr>
          <w:rFonts w:cs="MyriadPro-Light"/>
        </w:rPr>
        <w:t xml:space="preserve"> </w:t>
      </w:r>
    </w:p>
    <w:p w:rsidR="00E767C2" w:rsidRDefault="00E767C2" w:rsidP="00DD1896">
      <w:pPr>
        <w:shd w:val="clear" w:color="auto" w:fill="FFFFFF"/>
        <w:spacing w:before="120" w:after="100" w:afterAutospacing="1" w:line="281" w:lineRule="atLeast"/>
      </w:pPr>
      <w:r>
        <w:t xml:space="preserve">As smoking rates continued to decline, people were less likely to view tobacco as a drug that causes the most deaths (decreasing from 36% in 2010 to 32% in 2013) or thought that tobacco was of most concern to the general community (declining from 15.4% in 2010 to 14.5% in 2013). Support for policies aimed at reducing the harm that tobacco causes remained high in 2013. In particular, there were rising levels of support for a rise in tax on tobacco products to pay for health education and to contribute to treatment costs. Smokers were the least likely to support policies aimed at reducing tobacco-related harm, </w:t>
      </w:r>
      <w:r>
        <w:lastRenderedPageBreak/>
        <w:t>particularly for measures related to increases in taxes on tobacco products, but, along with non-smokers, showed strong support f</w:t>
      </w:r>
      <w:r w:rsidR="00F67998">
        <w:t>or measures relating to minors.</w:t>
      </w:r>
      <w:r w:rsidR="00773FD6">
        <w:rPr>
          <w:vertAlign w:val="superscript"/>
        </w:rPr>
        <w:t>15</w:t>
      </w:r>
      <w:r w:rsidR="00F67998">
        <w:t xml:space="preserve"> </w:t>
      </w:r>
    </w:p>
    <w:p w:rsidR="00E767C2" w:rsidRDefault="00E767C2" w:rsidP="00DD1896">
      <w:pPr>
        <w:shd w:val="clear" w:color="auto" w:fill="FFFFFF"/>
        <w:spacing w:before="120" w:after="100" w:afterAutospacing="1" w:line="281" w:lineRule="atLeast"/>
      </w:pPr>
      <w:r>
        <w:t xml:space="preserve">The National Tobacco Strategy 2012-2018 developed by the Intergovernmental Committee on Drugs (IGCD) Standing Committee on Tobacco, has the aim of reducing </w:t>
      </w:r>
      <w:r w:rsidR="007A12F6">
        <w:t xml:space="preserve">the national smoking rate to 10% </w:t>
      </w:r>
      <w:r>
        <w:t>of the population, and halving the Indigenous smoking rate by 2018. The strategy has been developed with input from a range of stakeholders, including governments, health groups, community-based organisations, industry organisations and the public. All health ministers endorsed the strategy at the 9 November 2012 meeting of the Standing Council on Health.</w:t>
      </w:r>
      <w:bookmarkStart w:id="3" w:name="_Ref434313016"/>
      <w:r w:rsidR="00F67998">
        <w:rPr>
          <w:rStyle w:val="FootnoteReference"/>
        </w:rPr>
        <w:footnoteReference w:id="16"/>
      </w:r>
      <w:bookmarkEnd w:id="3"/>
    </w:p>
    <w:p w:rsidR="00354FE3" w:rsidRDefault="005B5587" w:rsidP="00DD1896">
      <w:pPr>
        <w:shd w:val="clear" w:color="auto" w:fill="FFFFFF"/>
        <w:spacing w:before="120" w:after="100" w:afterAutospacing="1" w:line="281" w:lineRule="atLeast"/>
      </w:pPr>
      <w:r>
        <w:t>The National Tobacco Strategy states that m</w:t>
      </w:r>
      <w:r w:rsidR="00354FE3">
        <w:t>ass media campaigns are highly effective components of tobacco control programs, second only to price increases. The media environment in Australia is changing rapidly and campaigns must adapt to a range of communication challenges and opportunities such as the rapid growth in the number of free-to-air channels and the increasing importance of subscription television, the internet and social media.</w:t>
      </w:r>
      <w:r w:rsidR="00773FD6">
        <w:rPr>
          <w:vertAlign w:val="superscript"/>
        </w:rPr>
        <w:t>16</w:t>
      </w:r>
    </w:p>
    <w:p w:rsidR="00567196" w:rsidRDefault="00567196" w:rsidP="00DD1896">
      <w:pPr>
        <w:shd w:val="clear" w:color="auto" w:fill="FFFFFF"/>
        <w:spacing w:before="120" w:after="100" w:afterAutospacing="1" w:line="281" w:lineRule="atLeast"/>
      </w:pPr>
      <w:r>
        <w:t>The NDSHS indicated that t</w:t>
      </w:r>
      <w:r w:rsidR="00354FE3">
        <w:t>he majority of smokers attempted to make a change to their smoking behaviour in the last year. Smokers trying to quit or change their smoking behaviour tried mainly due to costs and concern for their health.</w:t>
      </w:r>
      <w:r w:rsidR="00773FD6">
        <w:rPr>
          <w:vertAlign w:val="superscript"/>
        </w:rPr>
        <w:t>15</w:t>
      </w:r>
      <w:r w:rsidR="00E0666C">
        <w:t xml:space="preserve"> </w:t>
      </w:r>
      <w:r w:rsidR="00C339B8">
        <w:t xml:space="preserve">In March 2012, </w:t>
      </w:r>
      <w:r w:rsidR="00871FF5">
        <w:t>a s</w:t>
      </w:r>
      <w:r w:rsidR="00C339B8">
        <w:t>urvey</w:t>
      </w:r>
      <w:r w:rsidR="00871FF5">
        <w:t xml:space="preserve"> on quit smoking habits found that </w:t>
      </w:r>
      <w:r w:rsidR="00871FF5">
        <w:rPr>
          <w:rFonts w:cs="Arial"/>
          <w:color w:val="000000"/>
          <w:shd w:val="clear" w:color="auto" w:fill="FFFFFF"/>
        </w:rPr>
        <w:t>a</w:t>
      </w:r>
      <w:r w:rsidR="005A32C1" w:rsidRPr="00871FF5">
        <w:rPr>
          <w:rFonts w:cs="Arial"/>
          <w:color w:val="000000"/>
          <w:shd w:val="clear" w:color="auto" w:fill="FFFFFF"/>
        </w:rPr>
        <w:t>round</w:t>
      </w:r>
      <w:r w:rsidR="005A32C1">
        <w:rPr>
          <w:rFonts w:cs="Arial"/>
          <w:color w:val="000000"/>
          <w:shd w:val="clear" w:color="auto" w:fill="FFFFFF"/>
        </w:rPr>
        <w:t xml:space="preserve"> 40.1%</w:t>
      </w:r>
      <w:r w:rsidR="005A32C1" w:rsidRPr="005A32C1">
        <w:rPr>
          <w:rFonts w:cs="Arial"/>
          <w:color w:val="000000"/>
          <w:shd w:val="clear" w:color="auto" w:fill="FFFFFF"/>
        </w:rPr>
        <w:t xml:space="preserve"> of smokers report attempts to quit in a given year </w:t>
      </w:r>
      <w:r w:rsidR="00C339B8">
        <w:rPr>
          <w:rFonts w:cs="Arial"/>
          <w:color w:val="000000"/>
          <w:shd w:val="clear" w:color="auto" w:fill="FFFFFF"/>
        </w:rPr>
        <w:t>with</w:t>
      </w:r>
      <w:r w:rsidR="005A32C1" w:rsidRPr="005A32C1">
        <w:rPr>
          <w:rFonts w:cs="Arial"/>
          <w:color w:val="000000"/>
          <w:shd w:val="clear" w:color="auto" w:fill="FFFFFF"/>
        </w:rPr>
        <w:t xml:space="preserve"> an average of 2.1 attempts. Based on free recall, this translates to an average annual quit attempt rate of 0.82 attempts per smoker. Estimates derived only from the preceding month to adjust for recall bias indicate an annual rate of approximately one attempt per smoker. There is a high prevalence of quit-related activity, with more than a third of smokers reporting thoughts or actions related to quitting in a given month. More than half the surveyed smokers eventually succeeded in quitting for at least 1 month, and a majority of these for over 6 months.</w:t>
      </w:r>
      <w:r w:rsidR="00C339B8">
        <w:rPr>
          <w:rFonts w:cs="Arial"/>
          <w:color w:val="000000"/>
          <w:shd w:val="clear" w:color="auto" w:fill="FFFFFF"/>
        </w:rPr>
        <w:t xml:space="preserve"> </w:t>
      </w:r>
      <w:r w:rsidR="00C339B8">
        <w:t>Smokers think a lot about stopping and make many unsuccessful quit attempts. Many have been able to last for extended peri</w:t>
      </w:r>
      <w:r w:rsidR="009534BF">
        <w:t xml:space="preserve">ods and then </w:t>
      </w:r>
      <w:r w:rsidR="005B5587">
        <w:t>relapsed</w:t>
      </w:r>
      <w:r w:rsidR="00C339B8">
        <w:t>.</w:t>
      </w:r>
      <w:bookmarkStart w:id="4" w:name="_Ref437519691"/>
      <w:r w:rsidR="00E0666C">
        <w:rPr>
          <w:rStyle w:val="FootnoteReference"/>
        </w:rPr>
        <w:footnoteReference w:id="17"/>
      </w:r>
      <w:bookmarkEnd w:id="4"/>
    </w:p>
    <w:p w:rsidR="00DF0B13" w:rsidRPr="007247B9" w:rsidRDefault="00DF0B13" w:rsidP="00FE645A">
      <w:pPr>
        <w:pStyle w:val="Heading3"/>
      </w:pPr>
      <w:r w:rsidRPr="007247B9">
        <w:t>PBS listing details</w:t>
      </w:r>
      <w:r w:rsidR="00D151EB">
        <w:t xml:space="preserve"> (as at </w:t>
      </w:r>
      <w:r w:rsidR="00AA1FBB">
        <w:t>December</w:t>
      </w:r>
      <w:r w:rsidR="001B1E6D">
        <w:t xml:space="preserve"> 2015</w:t>
      </w:r>
      <w:r w:rsidR="00D151EB">
        <w:t>)</w:t>
      </w:r>
    </w:p>
    <w:p w:rsidR="00596689" w:rsidRPr="00596689" w:rsidRDefault="00596689" w:rsidP="00C245EA">
      <w:pPr>
        <w:pStyle w:val="Heading2"/>
        <w:rPr>
          <w:b w:val="0"/>
          <w:i w:val="0"/>
        </w:rPr>
      </w:pPr>
      <w:r>
        <w:rPr>
          <w:b w:val="0"/>
          <w:i w:val="0"/>
        </w:rPr>
        <w:t>PBS listing details are available at Appendix A.</w:t>
      </w:r>
    </w:p>
    <w:p w:rsidR="004C3186" w:rsidRDefault="004C3186" w:rsidP="00C245EA">
      <w:pPr>
        <w:pStyle w:val="Heading2"/>
      </w:pPr>
      <w:r>
        <w:t>Restriction</w:t>
      </w:r>
    </w:p>
    <w:p w:rsidR="002D346C" w:rsidRPr="00031D57" w:rsidRDefault="006775F1" w:rsidP="00031D57">
      <w:pPr>
        <w:rPr>
          <w:color w:val="0000FF" w:themeColor="hyperlink"/>
          <w:u w:val="single"/>
        </w:rPr>
      </w:pPr>
      <w:r w:rsidRPr="006775F1">
        <w:t xml:space="preserve">For </w:t>
      </w:r>
      <w:r w:rsidR="00835337">
        <w:t xml:space="preserve">details of the current PBS listing refer to the </w:t>
      </w:r>
      <w:r w:rsidR="00835337" w:rsidRPr="005F4167">
        <w:t>PBS website</w:t>
      </w:r>
      <w:r w:rsidR="00835337">
        <w:rPr>
          <w:rStyle w:val="Hyperlink"/>
        </w:rPr>
        <w:t>.</w:t>
      </w:r>
    </w:p>
    <w:p w:rsidR="004F19D0" w:rsidRDefault="004F19D0" w:rsidP="00C245EA">
      <w:pPr>
        <w:pStyle w:val="Heading2"/>
      </w:pPr>
    </w:p>
    <w:p w:rsidR="009C35F2" w:rsidRDefault="009C35F2" w:rsidP="00C245EA">
      <w:pPr>
        <w:pStyle w:val="Heading2"/>
      </w:pPr>
      <w:r w:rsidRPr="00675BB1">
        <w:lastRenderedPageBreak/>
        <w:t>Date of listing on PBS</w:t>
      </w:r>
    </w:p>
    <w:p w:rsidR="002D346C" w:rsidRDefault="002D346C" w:rsidP="002D346C">
      <w:pPr>
        <w:spacing w:after="0"/>
      </w:pPr>
      <w:r>
        <w:t>Bupropion: 22 August 2000</w:t>
      </w:r>
    </w:p>
    <w:p w:rsidR="002D346C" w:rsidRDefault="002D346C" w:rsidP="00F62ED2">
      <w:pPr>
        <w:spacing w:after="0"/>
      </w:pPr>
    </w:p>
    <w:p w:rsidR="002D346C" w:rsidRDefault="002D346C" w:rsidP="002D346C">
      <w:pPr>
        <w:spacing w:after="0"/>
      </w:pPr>
      <w:r>
        <w:t>NRT: 1 May 2000 (Repatriation only)</w:t>
      </w:r>
    </w:p>
    <w:p w:rsidR="002D346C" w:rsidRDefault="002D346C" w:rsidP="002D346C">
      <w:pPr>
        <w:spacing w:after="0"/>
      </w:pPr>
      <w:r>
        <w:t xml:space="preserve">          1 December 2008 (Aboriginal and Torres Strait Islander population)</w:t>
      </w:r>
    </w:p>
    <w:p w:rsidR="002D346C" w:rsidRDefault="002D346C" w:rsidP="00F62ED2">
      <w:pPr>
        <w:spacing w:after="0"/>
      </w:pPr>
      <w:r>
        <w:t xml:space="preserve">          1 February 2011 (general population)</w:t>
      </w:r>
    </w:p>
    <w:p w:rsidR="002D346C" w:rsidRDefault="002D346C" w:rsidP="00F62ED2">
      <w:pPr>
        <w:spacing w:after="0"/>
      </w:pPr>
    </w:p>
    <w:p w:rsidR="00F62ED2" w:rsidRDefault="00F62ED2" w:rsidP="00F62ED2">
      <w:pPr>
        <w:spacing w:after="0"/>
      </w:pPr>
      <w:r>
        <w:t xml:space="preserve">Varenicline: 1 </w:t>
      </w:r>
      <w:r w:rsidR="00E43946">
        <w:t>January</w:t>
      </w:r>
      <w:r>
        <w:t xml:space="preserve"> 200</w:t>
      </w:r>
      <w:r w:rsidR="00E43946">
        <w:t>8</w:t>
      </w:r>
    </w:p>
    <w:p w:rsidR="00675BB1" w:rsidRPr="00627C77" w:rsidRDefault="00675BB1" w:rsidP="00C245EA">
      <w:pPr>
        <w:pStyle w:val="Heading2"/>
        <w:rPr>
          <w:color w:val="FF0000"/>
        </w:rPr>
      </w:pPr>
      <w:r w:rsidRPr="00675BB1">
        <w:t>Changes to listing</w:t>
      </w:r>
      <w:r w:rsidR="00627C77">
        <w:t xml:space="preserve"> </w:t>
      </w:r>
    </w:p>
    <w:p w:rsidR="006C5FF8" w:rsidRPr="00596689" w:rsidRDefault="00281B51" w:rsidP="006C5FF8">
      <w:r>
        <w:t xml:space="preserve">Changes to the listings of PBS smoking cessation therapies are extensive and have been included in Appendix </w:t>
      </w:r>
      <w:r w:rsidR="00F02C04">
        <w:t>B</w:t>
      </w:r>
      <w:r>
        <w:t xml:space="preserve">. </w:t>
      </w:r>
      <w:r w:rsidR="00BF544D" w:rsidRPr="002F61CA">
        <w:t xml:space="preserve">Current PBS listing details are available from </w:t>
      </w:r>
      <w:r w:rsidR="00BF544D">
        <w:t xml:space="preserve">the </w:t>
      </w:r>
      <w:r w:rsidR="00BF544D" w:rsidRPr="005F4167">
        <w:t>PBS website</w:t>
      </w:r>
      <w:r>
        <w:t xml:space="preserve">. </w:t>
      </w:r>
    </w:p>
    <w:p w:rsidR="00736041" w:rsidRPr="005E22C2" w:rsidRDefault="00394AEE" w:rsidP="00FE645A">
      <w:pPr>
        <w:pStyle w:val="Heading3"/>
      </w:pPr>
      <w:r>
        <w:t>Relevant aspects of</w:t>
      </w:r>
      <w:r w:rsidR="00736041" w:rsidRPr="005E22C2">
        <w:t xml:space="preserve"> consideration</w:t>
      </w:r>
      <w:r>
        <w:t xml:space="preserve"> by the Pharmaceutical Benefits Advisory Committee (PBAC)</w:t>
      </w:r>
    </w:p>
    <w:p w:rsidR="007526B4" w:rsidRPr="007526B4" w:rsidRDefault="007526B4" w:rsidP="006752A4">
      <w:pPr>
        <w:rPr>
          <w:u w:val="single"/>
        </w:rPr>
      </w:pPr>
      <w:r>
        <w:rPr>
          <w:u w:val="single"/>
        </w:rPr>
        <w:t>NRT</w:t>
      </w:r>
    </w:p>
    <w:p w:rsidR="006752A4" w:rsidRDefault="006752A4" w:rsidP="006752A4">
      <w:r w:rsidRPr="00055197">
        <w:t xml:space="preserve">At the March 2010 meeting, the PBAC recommended the listing of nicotine transdermal patches releasing </w:t>
      </w:r>
      <w:r w:rsidR="007A12F6">
        <w:t>15 mg /</w:t>
      </w:r>
      <w:r w:rsidRPr="00EB686B">
        <w:t>16 hours</w:t>
      </w:r>
      <w:r w:rsidRPr="00055197">
        <w:t xml:space="preserve"> (Nicorette</w:t>
      </w:r>
      <w:r w:rsidR="00553130">
        <w:t>®</w:t>
      </w:r>
      <w:r w:rsidRPr="00055197">
        <w:t xml:space="preserve">) on the PBS for the general population as an Authority </w:t>
      </w:r>
      <w:r w:rsidR="00E46C4B">
        <w:t>R</w:t>
      </w:r>
      <w:r w:rsidRPr="00055197">
        <w:t>equired listing as an aid to cessation of smoking in patients who have entered or are entering a comprehensive support and counselling program in the context of a public health priority area</w:t>
      </w:r>
      <w:r>
        <w:t>.</w:t>
      </w:r>
      <w:r w:rsidRPr="00EB686B">
        <w:t xml:space="preserve"> </w:t>
      </w:r>
      <w:r w:rsidRPr="00055197">
        <w:t xml:space="preserve">The PBAC recommended that the listing of nicotine patches be limited </w:t>
      </w:r>
      <w:r w:rsidR="00553130">
        <w:t xml:space="preserve">to </w:t>
      </w:r>
      <w:r w:rsidRPr="00055197">
        <w:t>a maximum of 12 weeks treatment in a 12 month period</w:t>
      </w:r>
      <w:r w:rsidR="004C1993">
        <w:t>.</w:t>
      </w:r>
    </w:p>
    <w:p w:rsidR="00596689" w:rsidRDefault="00596689" w:rsidP="00596689">
      <w:r>
        <w:t xml:space="preserve">For further details, refer to the </w:t>
      </w:r>
      <w:r w:rsidRPr="005F4167">
        <w:t>Public Summary Document</w:t>
      </w:r>
      <w:r>
        <w:t xml:space="preserve"> from the March 2010 PBAC meeting. </w:t>
      </w:r>
    </w:p>
    <w:p w:rsidR="006752A4" w:rsidRDefault="006752A4" w:rsidP="006752A4">
      <w:r w:rsidRPr="00EE276D">
        <w:t xml:space="preserve">At the November 2011 PBAC meeting, the PBAC recommended listing a </w:t>
      </w:r>
      <w:r w:rsidR="004C1993">
        <w:t>25 mg/</w:t>
      </w:r>
      <w:r w:rsidRPr="00EB686B">
        <w:t>16 hour</w:t>
      </w:r>
      <w:r w:rsidRPr="00EE276D">
        <w:t xml:space="preserve"> nicotine transdermal patch (Nicorette®) on the PBS as an Authority Required benefit under the same listing </w:t>
      </w:r>
      <w:r w:rsidR="004C1993">
        <w:t>conditions as 21 mg/</w:t>
      </w:r>
      <w:r w:rsidRPr="00EE276D">
        <w:t>24 hour nicotin</w:t>
      </w:r>
      <w:r w:rsidR="00DE632F">
        <w:t>e transdermal patches (Nicabate </w:t>
      </w:r>
      <w:r w:rsidRPr="00EE276D">
        <w:t>P®, Nicotinell Step 1®)</w:t>
      </w:r>
      <w:r w:rsidR="004C1993">
        <w:t>.</w:t>
      </w:r>
    </w:p>
    <w:p w:rsidR="006752A4" w:rsidRDefault="006752A4" w:rsidP="006752A4">
      <w:r>
        <w:t>Subsequently, two additional lower strength patche</w:t>
      </w:r>
      <w:r w:rsidR="00323361">
        <w:t>s were added to the PBS (</w:t>
      </w:r>
      <w:r>
        <w:t xml:space="preserve">5572G, 5573H) on 1 January 2012. </w:t>
      </w:r>
    </w:p>
    <w:p w:rsidR="00703DCD" w:rsidRDefault="00703DCD" w:rsidP="00703DCD">
      <w:r w:rsidRPr="00455C81">
        <w:t>In December 2012, the PBAC noted the findings of the October 2012 Drug Utilisation Sub-Committee (DUSC) review of NRT utilisation showed a lower than expected utilisation for the period 1 February 2011 to 31 December 2011.  The PBAC considered that the data supported the streamlining of listings for nicotine transdermal patche</w:t>
      </w:r>
      <w:r w:rsidR="00A92569">
        <w:t>s.</w:t>
      </w:r>
      <w:r w:rsidRPr="00455C81">
        <w:t xml:space="preserve"> The PBAC considered that streamlining of nicotine transdermal patches </w:t>
      </w:r>
      <w:r w:rsidR="00596689">
        <w:t>w</w:t>
      </w:r>
      <w:r w:rsidRPr="00455C81">
        <w:t>ould not significantly change the pattern of utilisation of these products on the PBS.</w:t>
      </w:r>
      <w:r w:rsidR="00E46C4B" w:rsidRPr="00E46C4B">
        <w:t xml:space="preserve"> </w:t>
      </w:r>
    </w:p>
    <w:p w:rsidR="00703DCD" w:rsidRDefault="00703DCD" w:rsidP="00731524">
      <w:pPr>
        <w:spacing w:after="0"/>
      </w:pPr>
      <w:r w:rsidRPr="00455C81">
        <w:t xml:space="preserve">The PBAC agreed that streamlining would serve to reduce prescriber burden, and was not likely to be associated with any major safety issues.  </w:t>
      </w:r>
    </w:p>
    <w:p w:rsidR="007526B4" w:rsidRDefault="007526B4" w:rsidP="00703DCD">
      <w:pPr>
        <w:spacing w:after="0"/>
        <w:jc w:val="both"/>
      </w:pPr>
    </w:p>
    <w:p w:rsidR="00EA7A80" w:rsidRDefault="00EA7A80" w:rsidP="00703DCD">
      <w:pPr>
        <w:spacing w:after="0"/>
        <w:jc w:val="both"/>
        <w:rPr>
          <w:u w:val="single"/>
        </w:rPr>
      </w:pPr>
    </w:p>
    <w:p w:rsidR="007526B4" w:rsidRDefault="007526B4" w:rsidP="00703DCD">
      <w:pPr>
        <w:spacing w:after="0"/>
        <w:jc w:val="both"/>
        <w:rPr>
          <w:u w:val="single"/>
        </w:rPr>
      </w:pPr>
      <w:r>
        <w:rPr>
          <w:u w:val="single"/>
        </w:rPr>
        <w:lastRenderedPageBreak/>
        <w:t>Varenicline</w:t>
      </w:r>
    </w:p>
    <w:p w:rsidR="007526B4" w:rsidRDefault="007526B4" w:rsidP="00703DCD">
      <w:pPr>
        <w:spacing w:after="0"/>
        <w:jc w:val="both"/>
        <w:rPr>
          <w:u w:val="single"/>
        </w:rPr>
      </w:pPr>
    </w:p>
    <w:p w:rsidR="00E035FD" w:rsidRDefault="007526B4" w:rsidP="00731524">
      <w:r>
        <w:t xml:space="preserve">The PBAC recommended listing varenicline at its July 2007 meeting. </w:t>
      </w:r>
      <w:r w:rsidRPr="00C17E16">
        <w:t>The PBAC noted the DUSC advice that the sponsor’s utilisation estimates may have overestimated usage, and re</w:t>
      </w:r>
      <w:r>
        <w:t>quested the DUSC monitor usage.</w:t>
      </w:r>
    </w:p>
    <w:p w:rsidR="00E035FD" w:rsidRPr="000809D4" w:rsidRDefault="00E035FD" w:rsidP="00E035FD">
      <w:r>
        <w:t xml:space="preserve">For further </w:t>
      </w:r>
      <w:r w:rsidR="00030964">
        <w:t>details</w:t>
      </w:r>
      <w:r>
        <w:t xml:space="preserve">, refer to the </w:t>
      </w:r>
      <w:r w:rsidRPr="005F4167">
        <w:t>Public Summary Document</w:t>
      </w:r>
      <w:r>
        <w:t xml:space="preserve"> from the July 2007 PBAC meeting.</w:t>
      </w:r>
    </w:p>
    <w:p w:rsidR="00E6231B" w:rsidRDefault="00E6231B" w:rsidP="00731524">
      <w:pPr>
        <w:rPr>
          <w:color w:val="FF0000"/>
        </w:rPr>
      </w:pPr>
      <w:r>
        <w:t xml:space="preserve">In October 2009, the DUSC conducted a twelve month utilisation analysis which determined that whilst there were greater than expected numbers of patients initiating varenicline, there were high discontinuation numbers before treatment completion. </w:t>
      </w:r>
    </w:p>
    <w:p w:rsidR="007526B4" w:rsidRDefault="00596689" w:rsidP="00990D0F">
      <w:pPr>
        <w:pStyle w:val="Header"/>
      </w:pPr>
      <w:r>
        <w:t>In March 2014, t</w:t>
      </w:r>
      <w:r w:rsidR="00E6231B" w:rsidRPr="00E6231B">
        <w:t xml:space="preserve">he PBAC recommended a change to the listing of varenicline to allow an additional course within a twelve month period for patients who have been unsuccessful in achieving abstinence from smoking during or after a course of PBS-subsidised varenicline.  This recommendation was made on the basis of acceptable cost effectiveness to placebo, bupropion and </w:t>
      </w:r>
      <w:r w:rsidR="00D7363D">
        <w:t>NRT.</w:t>
      </w:r>
      <w:r w:rsidR="00E6231B" w:rsidRPr="00E6231B">
        <w:rPr>
          <w:rFonts w:cs="Arial"/>
          <w:iCs/>
          <w:color w:val="FF00FF"/>
        </w:rPr>
        <w:t xml:space="preserve"> </w:t>
      </w:r>
      <w:r w:rsidR="00E6231B" w:rsidRPr="00E6231B">
        <w:rPr>
          <w:rFonts w:cs="Arial"/>
          <w:iCs/>
        </w:rPr>
        <w:t xml:space="preserve">The PBAC considered that repeated courses of varenicline within a twelve month period were of acceptable safety based on the currently known safety profile of varenicline, which incorporates worldwide usage, and the </w:t>
      </w:r>
      <w:r w:rsidR="00E6231B" w:rsidRPr="00E6231B">
        <w:t>information provided in the submission.</w:t>
      </w:r>
      <w:r w:rsidR="00E6231B">
        <w:t xml:space="preserve"> </w:t>
      </w:r>
      <w:r w:rsidR="00E6231B" w:rsidRPr="00E6231B">
        <w:t>The PBAC accepted that varenicline is of superior efficacy to placebo, bupropion and NRT, and no worse in terms of safety to bupropion.  The PBAC noted that no claim was made with respect to comparative safety to placebo or NRT.  The PBAC considered that varenicline is of inferior safety to placebo and NRT.</w:t>
      </w:r>
      <w:r w:rsidR="00E6231B">
        <w:t xml:space="preserve"> </w:t>
      </w:r>
    </w:p>
    <w:p w:rsidR="00D23081" w:rsidRDefault="00D23081" w:rsidP="00990D0F">
      <w:pPr>
        <w:pStyle w:val="Header"/>
      </w:pPr>
    </w:p>
    <w:p w:rsidR="00D23081" w:rsidRDefault="00D23081" w:rsidP="00990D0F">
      <w:pPr>
        <w:pStyle w:val="Header"/>
        <w:rPr>
          <w:rFonts w:cs="Arial"/>
          <w:snapToGrid w:val="0"/>
          <w:lang w:eastAsia="en-US"/>
        </w:rPr>
      </w:pPr>
      <w:r>
        <w:t xml:space="preserve">For further details, refer to the </w:t>
      </w:r>
      <w:r w:rsidRPr="005F4167">
        <w:t>Public Summary Document</w:t>
      </w:r>
      <w:r>
        <w:t xml:space="preserve"> from the March 2014 PBAC meeting.</w:t>
      </w:r>
    </w:p>
    <w:p w:rsidR="00990D0F" w:rsidRPr="00990D0F" w:rsidRDefault="00990D0F" w:rsidP="00990D0F">
      <w:pPr>
        <w:pStyle w:val="Header"/>
        <w:rPr>
          <w:rFonts w:ascii="Arial" w:hAnsi="Arial" w:cs="Arial"/>
          <w:b/>
          <w:snapToGrid w:val="0"/>
          <w:lang w:eastAsia="en-US"/>
        </w:rPr>
      </w:pPr>
    </w:p>
    <w:p w:rsidR="00DD7D1A" w:rsidRDefault="00DD7D1A" w:rsidP="00E6231B">
      <w:pPr>
        <w:jc w:val="both"/>
        <w:rPr>
          <w:u w:val="single"/>
        </w:rPr>
      </w:pPr>
      <w:r>
        <w:rPr>
          <w:u w:val="single"/>
        </w:rPr>
        <w:t>Bupropion</w:t>
      </w:r>
    </w:p>
    <w:p w:rsidR="00E36647" w:rsidRPr="008A1A42" w:rsidRDefault="00990D0F" w:rsidP="00E36647">
      <w:pPr>
        <w:outlineLvl w:val="0"/>
        <w:rPr>
          <w:rFonts w:cs="Arial"/>
        </w:rPr>
      </w:pPr>
      <w:r>
        <w:t xml:space="preserve">The PBAC </w:t>
      </w:r>
      <w:r w:rsidR="00147252">
        <w:t>recommended listing bupropion on</w:t>
      </w:r>
      <w:r>
        <w:t xml:space="preserve"> the PBS at it</w:t>
      </w:r>
      <w:r w:rsidR="00E36647">
        <w:t xml:space="preserve">s September 2000 meeting as an </w:t>
      </w:r>
      <w:r w:rsidR="00E36647" w:rsidRPr="008A1A42">
        <w:rPr>
          <w:rFonts w:cs="Arial"/>
        </w:rPr>
        <w:t xml:space="preserve">Authority </w:t>
      </w:r>
      <w:r w:rsidR="00E36647">
        <w:rPr>
          <w:rFonts w:cs="Arial"/>
        </w:rPr>
        <w:t>R</w:t>
      </w:r>
      <w:r w:rsidR="00E36647" w:rsidRPr="008A1A42">
        <w:rPr>
          <w:rFonts w:cs="Arial"/>
        </w:rPr>
        <w:t>equired listing for use within a comprehensive treatment program in those who have unsuccessfully attempted to stop smoking with nicotine replacement therapy or in whom nicotine replace</w:t>
      </w:r>
      <w:r w:rsidR="00E36647">
        <w:rPr>
          <w:rFonts w:cs="Arial"/>
        </w:rPr>
        <w:t>ment therapy is contraindicated. At the time of listing, there were no other PBS subsidised treatment options available for smoking cessation and as such t</w:t>
      </w:r>
      <w:r w:rsidR="00E36647" w:rsidRPr="008A1A42">
        <w:rPr>
          <w:rFonts w:cs="Arial"/>
        </w:rPr>
        <w:t>he perspective taken was that of the savings to the health care system arising from the preventio</w:t>
      </w:r>
      <w:r w:rsidR="00E36647">
        <w:rPr>
          <w:rFonts w:cs="Arial"/>
        </w:rPr>
        <w:t>n of smoking-related m</w:t>
      </w:r>
      <w:r w:rsidR="00070F1A">
        <w:rPr>
          <w:rFonts w:cs="Arial"/>
        </w:rPr>
        <w:t>orbidity</w:t>
      </w:r>
      <w:r w:rsidR="00E36647">
        <w:rPr>
          <w:rFonts w:cs="Arial"/>
        </w:rPr>
        <w:t>.</w:t>
      </w:r>
    </w:p>
    <w:p w:rsidR="006752A4" w:rsidRDefault="00147252" w:rsidP="00D94863">
      <w:r>
        <w:t xml:space="preserve">For further details, refer to the </w:t>
      </w:r>
      <w:r w:rsidRPr="005F4167">
        <w:t>Public Summary Document</w:t>
      </w:r>
      <w:r>
        <w:t xml:space="preserve"> from the September 2000 PBAC meeting.</w:t>
      </w:r>
    </w:p>
    <w:p w:rsidR="00094DCF" w:rsidRDefault="00ED633B" w:rsidP="00FE645A">
      <w:pPr>
        <w:pStyle w:val="Heading3"/>
      </w:pPr>
      <w:r>
        <w:t xml:space="preserve">Previous reviews by </w:t>
      </w:r>
      <w:r w:rsidR="00177B86">
        <w:t xml:space="preserve">the </w:t>
      </w:r>
      <w:r>
        <w:t>DUSC</w:t>
      </w:r>
    </w:p>
    <w:p w:rsidR="00447392" w:rsidRDefault="00447392" w:rsidP="00A35800">
      <w:r>
        <w:t xml:space="preserve">The DUSC </w:t>
      </w:r>
      <w:r w:rsidR="009C5E5E">
        <w:t>S</w:t>
      </w:r>
      <w:r>
        <w:t xml:space="preserve">ecretariat conducted a review of NRT utilisation for the DUSC October 2012 meeting and the key findings </w:t>
      </w:r>
      <w:r w:rsidR="00D23081">
        <w:t>were</w:t>
      </w:r>
      <w:r>
        <w:t xml:space="preserve"> as follows:</w:t>
      </w:r>
    </w:p>
    <w:p w:rsidR="00447392" w:rsidRPr="00447392" w:rsidRDefault="00447392" w:rsidP="00447392">
      <w:pPr>
        <w:numPr>
          <w:ilvl w:val="0"/>
          <w:numId w:val="6"/>
        </w:numPr>
        <w:spacing w:after="0"/>
        <w:ind w:left="284" w:hanging="284"/>
      </w:pPr>
      <w:r w:rsidRPr="00447392">
        <w:t xml:space="preserve">Fewer numbers of patients than expected at the time of listing were initiated on nicotine patches (NRT). </w:t>
      </w:r>
    </w:p>
    <w:p w:rsidR="00447392" w:rsidRPr="00447392" w:rsidRDefault="00447392" w:rsidP="00447392">
      <w:pPr>
        <w:numPr>
          <w:ilvl w:val="0"/>
          <w:numId w:val="6"/>
        </w:numPr>
        <w:spacing w:after="0"/>
        <w:ind w:left="284" w:hanging="284"/>
      </w:pPr>
      <w:r w:rsidRPr="00447392">
        <w:lastRenderedPageBreak/>
        <w:t xml:space="preserve">About a quarter of a million prescriptions were filled for NRT in 2010 which </w:t>
      </w:r>
      <w:r w:rsidR="00B73FF8">
        <w:t>was</w:t>
      </w:r>
      <w:r w:rsidRPr="00447392">
        <w:t xml:space="preserve"> less than expected. </w:t>
      </w:r>
    </w:p>
    <w:p w:rsidR="00447392" w:rsidRPr="00447392" w:rsidRDefault="00447392" w:rsidP="00447392">
      <w:pPr>
        <w:numPr>
          <w:ilvl w:val="0"/>
          <w:numId w:val="6"/>
        </w:numPr>
        <w:spacing w:after="0"/>
        <w:ind w:left="284" w:hanging="284"/>
      </w:pPr>
      <w:r w:rsidRPr="00447392">
        <w:t>The act</w:t>
      </w:r>
      <w:r w:rsidR="00F90596">
        <w:t>ual use of varenicline (Champix®</w:t>
      </w:r>
      <w:r w:rsidRPr="00447392">
        <w:t>) since NRT was PBS listed for the general population has decreased. The number of patients starting varenicline was about 25% lower than the previous 12</w:t>
      </w:r>
      <w:r w:rsidR="008B5344">
        <w:t xml:space="preserve"> </w:t>
      </w:r>
      <w:r w:rsidRPr="00447392">
        <w:t xml:space="preserve">months and PBS benefits for treatment with varenicline was around 26% lower than the previous 12 months. The apparent reduction is likely to be a combination of reduced demand and listing of NRT.  Immediately prior to listing of nicotine there was a major media campaign and a change in excise for cigarettes. Published evidence has shown that these programs have a significant but short lived impact on people seeking to quit. The peak in supply of varenicline just prior to listing of NRT shows the impact of the media and excise measures on utilisation of smoking cessation aids. </w:t>
      </w:r>
      <w:r w:rsidR="00B73FF8">
        <w:t>It</w:t>
      </w:r>
      <w:r w:rsidRPr="00447392">
        <w:t xml:space="preserve"> is difficult to determine the likely extent of any substitution as the utilisation of both NRT and varenicline are highly variable.</w:t>
      </w:r>
    </w:p>
    <w:p w:rsidR="00447392" w:rsidRPr="00447392" w:rsidRDefault="00447392" w:rsidP="00447392">
      <w:pPr>
        <w:numPr>
          <w:ilvl w:val="0"/>
          <w:numId w:val="6"/>
        </w:numPr>
        <w:spacing w:after="0"/>
        <w:ind w:left="284" w:hanging="284"/>
      </w:pPr>
      <w:r w:rsidRPr="00447392">
        <w:t>The uptake of NRT in its first year of listing has been gradual and for most of the year follows a similar pattern to varenicline utilisation.  The pattern for both these drugs is different to bupropion which had a high peak at listing, attributed to it being the first PBS subsidised product for smoking cessation, followed by a decline that has stabilised at a low level.</w:t>
      </w:r>
    </w:p>
    <w:p w:rsidR="00BE040F" w:rsidRDefault="00BE040F" w:rsidP="005A637F">
      <w:pPr>
        <w:spacing w:after="0"/>
      </w:pPr>
    </w:p>
    <w:p w:rsidR="006F21D2" w:rsidRPr="00D07D5C" w:rsidRDefault="00BE040F" w:rsidP="006F21D2">
      <w:pPr>
        <w:rPr>
          <w:color w:val="FF0000"/>
        </w:rPr>
      </w:pPr>
      <w:r w:rsidRPr="00121970">
        <w:t>DUSC noted that the utilisation of NRT was lower than expected but considered that to some extent this may be due to previous supply shortages. Nonetheless, DUSC was encouraged by the number of patients attempting to quit smoking. DUSC observed that utilisation of smoking cessation therapies varies throughout the year, influenced by media campaigns and seasonal factors. DUSC noted PBAC concerns when recommending NRT for PBS listing in 2010 that utilisation and total costs were highly uncertain. Given that use has been well within the bounds expected, DUSC recommended that the PBAC consider removing the requirement for a telephone authority approval from the PBS restriction for NRT.</w:t>
      </w:r>
      <w:r w:rsidR="00121970">
        <w:rPr>
          <w:rStyle w:val="FootnoteReference"/>
        </w:rPr>
        <w:footnoteReference w:id="18"/>
      </w:r>
      <w:r>
        <w:rPr>
          <w:color w:val="FF0000"/>
        </w:rPr>
        <w:t xml:space="preserve"> </w:t>
      </w:r>
    </w:p>
    <w:p w:rsidR="00E677DD" w:rsidRPr="005E22C2" w:rsidRDefault="00E677DD" w:rsidP="00587724">
      <w:pPr>
        <w:pStyle w:val="Heading4"/>
      </w:pPr>
      <w:r w:rsidRPr="005E22C2">
        <w:t>Method</w:t>
      </w:r>
      <w:r w:rsidR="001B5D37" w:rsidRPr="005E22C2">
        <w:t>s</w:t>
      </w:r>
    </w:p>
    <w:p w:rsidR="00F02C04" w:rsidRDefault="00D54C33" w:rsidP="00524D13">
      <w:r>
        <w:t xml:space="preserve">Data for NRT, varenicline and bupropion were extracted from the DUSC and Department of Human Services (DHS) prescription databases from the </w:t>
      </w:r>
      <w:r w:rsidR="00EB0F24">
        <w:t xml:space="preserve">earliest available data. </w:t>
      </w:r>
    </w:p>
    <w:p w:rsidR="009B0912" w:rsidRDefault="00AF79AB" w:rsidP="00524D13">
      <w:r w:rsidRPr="0014296E">
        <w:t>The DUSC database contains an estimate of under co-payment prescriptions (Guild Survey) prior to</w:t>
      </w:r>
      <w:r w:rsidRPr="001A5570">
        <w:t xml:space="preserve"> April 2012; and contains actual under co-payment data from April</w:t>
      </w:r>
      <w:r>
        <w:t> </w:t>
      </w:r>
      <w:r w:rsidRPr="001A5570">
        <w:t>2012</w:t>
      </w:r>
      <w:r>
        <w:t xml:space="preserve">.  The DUSC database also contains a private prescription estimate to August 2012; use of this estimate in the analysis is indicated by a footnote to the figure or table. </w:t>
      </w:r>
      <w:r w:rsidR="009B0912">
        <w:t>It includes data on t</w:t>
      </w:r>
      <w:r w:rsidR="00A0072D">
        <w:t xml:space="preserve">he item supplied, the quantity and </w:t>
      </w:r>
      <w:r w:rsidR="009B0912">
        <w:t>cost to Government</w:t>
      </w:r>
      <w:r w:rsidR="00A0072D">
        <w:t>.</w:t>
      </w:r>
    </w:p>
    <w:p w:rsidR="00970D1D" w:rsidRDefault="00F02C04" w:rsidP="00970D1D">
      <w:pPr>
        <w:spacing w:after="0"/>
      </w:pPr>
      <w:r w:rsidRPr="001D5E0C">
        <w:t xml:space="preserve">For the patient level analysis, </w:t>
      </w:r>
      <w:r>
        <w:t xml:space="preserve">de-identified </w:t>
      </w:r>
      <w:r w:rsidRPr="001D5E0C">
        <w:t>data were extracted from the DHS Supplied Prescriptions database by date of supply for the calendar years 200</w:t>
      </w:r>
      <w:r>
        <w:t>0</w:t>
      </w:r>
      <w:r w:rsidRPr="001D5E0C">
        <w:t xml:space="preserve"> - 201</w:t>
      </w:r>
      <w:r>
        <w:t>5</w:t>
      </w:r>
      <w:r w:rsidRPr="001D5E0C">
        <w:t xml:space="preserve"> inclusive for all </w:t>
      </w:r>
      <w:r>
        <w:t>smoking cessation</w:t>
      </w:r>
      <w:r w:rsidRPr="001D5E0C">
        <w:t xml:space="preserve"> Anatomic Therapeutic Classification (ATC) codes. These data include </w:t>
      </w:r>
      <w:r w:rsidRPr="001D5E0C">
        <w:lastRenderedPageBreak/>
        <w:t>patient date of birth, which allows fo</w:t>
      </w:r>
      <w:r>
        <w:t xml:space="preserve">r analyses based on patient age, and the de-identified personal identification number (PIN), which allows for analyses of </w:t>
      </w:r>
      <w:r w:rsidR="00970D1D">
        <w:t xml:space="preserve">the number of people supplied smoking cessation therapies of </w:t>
      </w:r>
      <w:r>
        <w:t>same day supply</w:t>
      </w:r>
      <w:r w:rsidR="00970D1D">
        <w:t>,</w:t>
      </w:r>
      <w:r>
        <w:t xml:space="preserve"> and reattempts to smoking cessation therapy.</w:t>
      </w:r>
      <w:r w:rsidR="00970D1D" w:rsidRPr="00970D1D">
        <w:t xml:space="preserve"> </w:t>
      </w:r>
      <w:r w:rsidR="00970D1D">
        <w:t>While supply on the same day of multiple R/PBS subsidised therapies is likely to underestimate the extent of co-administration of extended release products, it provides, with reasonable certainty, a low estimate of co-administration.</w:t>
      </w:r>
    </w:p>
    <w:p w:rsidR="00F02C04" w:rsidRDefault="00F02C04" w:rsidP="00A0072D">
      <w:pPr>
        <w:spacing w:after="0"/>
      </w:pPr>
    </w:p>
    <w:p w:rsidR="00970D1D" w:rsidRDefault="00A0072D" w:rsidP="00970D1D">
      <w:pPr>
        <w:spacing w:after="0"/>
      </w:pPr>
      <w:r>
        <w:t xml:space="preserve">For the purpose of </w:t>
      </w:r>
      <w:r w:rsidR="00D33527">
        <w:t>determining the coverage time of a prescription in patient level analyses,</w:t>
      </w:r>
      <w:r>
        <w:t xml:space="preserve"> a treatment course has been defined as 12 weeks. This coincides with the PBS treatment criteria for smoking cessation therapy. Note that varenicline can be extended for a further 12 weeks (to a total of 24 weeks of therapy) under the PBS, to improve the likelihood of long term abstinence, if tolerated and at the discretion of the prescriber. </w:t>
      </w:r>
      <w:r w:rsidR="00970D1D">
        <w:t xml:space="preserve">A “reattempt” at smoking cessation was defined as being a subsequent supply of any smoking cessation therapy, after a gap of more than twelve weeks since completion of a treatment course of any smoking cessation therapy. The cut off point for reattempts was </w:t>
      </w:r>
      <w:r w:rsidR="00F420CE">
        <w:br/>
      </w:r>
      <w:r w:rsidR="00970D1D">
        <w:t xml:space="preserve">30 September 2015.  </w:t>
      </w:r>
    </w:p>
    <w:p w:rsidR="00EA7F63" w:rsidRDefault="00EA7F63" w:rsidP="00A0072D">
      <w:pPr>
        <w:spacing w:after="0"/>
      </w:pPr>
    </w:p>
    <w:p w:rsidR="00524D13" w:rsidRDefault="00E7594B" w:rsidP="00524D13">
      <w:r>
        <w:t xml:space="preserve">As this analysis uses date of supply </w:t>
      </w:r>
      <w:r w:rsidR="005E085C">
        <w:t xml:space="preserve">prescription </w:t>
      </w:r>
      <w:r>
        <w:t xml:space="preserve">data, there may be small differences compared with publicly available </w:t>
      </w:r>
      <w:r w:rsidR="00D54C33">
        <w:t>DHS</w:t>
      </w:r>
      <w:r>
        <w:t xml:space="preserve"> Medicare date of processing data.</w:t>
      </w:r>
      <w:r w:rsidR="00576B18">
        <w:rPr>
          <w:rStyle w:val="FootnoteReference"/>
        </w:rPr>
        <w:footnoteReference w:id="19"/>
      </w:r>
      <w:r w:rsidR="00576B18">
        <w:t xml:space="preserve">  </w:t>
      </w:r>
      <w:r w:rsidR="0090691F">
        <w:t xml:space="preserve">The </w:t>
      </w:r>
      <w:r w:rsidR="00AC5054">
        <w:t xml:space="preserve">publicly available </w:t>
      </w:r>
      <w:r w:rsidR="0090691F">
        <w:t xml:space="preserve">DHS Medicare data </w:t>
      </w:r>
      <w:r w:rsidR="008E3F8C">
        <w:t xml:space="preserve">only </w:t>
      </w:r>
      <w:r w:rsidR="0090691F">
        <w:t xml:space="preserve">includes </w:t>
      </w:r>
      <w:r w:rsidR="00524D13">
        <w:t xml:space="preserve">subsidised R/PBS prescriptions </w:t>
      </w:r>
      <w:r w:rsidR="008E3F8C">
        <w:t xml:space="preserve">with prescriptions </w:t>
      </w:r>
      <w:r w:rsidR="00524D13">
        <w:t xml:space="preserve">under </w:t>
      </w:r>
      <w:r w:rsidR="00DD29A3">
        <w:t xml:space="preserve">the </w:t>
      </w:r>
      <w:r w:rsidR="00524D13">
        <w:t xml:space="preserve">patient co-payment </w:t>
      </w:r>
      <w:r w:rsidR="008E3F8C">
        <w:t>not included</w:t>
      </w:r>
      <w:r w:rsidR="00524D13">
        <w:t>.</w:t>
      </w:r>
      <w:r w:rsidR="00DD29A3">
        <w:t xml:space="preserve">  The DHS Medicare data used in this report includes under co-payment prescriptions from 1 April 2012.</w:t>
      </w:r>
    </w:p>
    <w:p w:rsidR="00EB0F24" w:rsidRPr="00EB0F24" w:rsidRDefault="00EB0F24" w:rsidP="00EB0F24">
      <w:pPr>
        <w:autoSpaceDE w:val="0"/>
        <w:autoSpaceDN w:val="0"/>
        <w:adjustRightInd w:val="0"/>
        <w:spacing w:after="0"/>
        <w:rPr>
          <w:rFonts w:cs="Calibri+FPEF"/>
        </w:rPr>
      </w:pPr>
      <w:r w:rsidRPr="00EB0F24">
        <w:rPr>
          <w:rFonts w:cs="Calibri+FPEF"/>
        </w:rPr>
        <w:t>There are special PBS supply arrangements for clients of eligible remote area Aboriginal</w:t>
      </w:r>
    </w:p>
    <w:p w:rsidR="00EB0F24" w:rsidRDefault="00EB0F24" w:rsidP="00C21C91">
      <w:pPr>
        <w:autoSpaceDE w:val="0"/>
        <w:autoSpaceDN w:val="0"/>
        <w:adjustRightInd w:val="0"/>
        <w:spacing w:after="0"/>
        <w:rPr>
          <w:rFonts w:cs="Calibri+FPEF"/>
          <w:color w:val="FF0000"/>
        </w:rPr>
      </w:pPr>
      <w:r w:rsidRPr="00EB0F24">
        <w:rPr>
          <w:rFonts w:cs="Calibri+FPEF"/>
        </w:rPr>
        <w:t>Health Services (AHSs). AHSs are able to receive bulk suppl</w:t>
      </w:r>
      <w:r w:rsidR="00C21C91">
        <w:rPr>
          <w:rFonts w:cs="Calibri+FPEF"/>
        </w:rPr>
        <w:t xml:space="preserve">ies of PBS medicines through an </w:t>
      </w:r>
      <w:r w:rsidRPr="00EB0F24">
        <w:rPr>
          <w:rFonts w:cs="Calibri+FPEF"/>
        </w:rPr>
        <w:t>approved community or hospital pharmacy. Data on ite</w:t>
      </w:r>
      <w:r w:rsidR="00C21C91">
        <w:rPr>
          <w:rFonts w:cs="Calibri+FPEF"/>
        </w:rPr>
        <w:t xml:space="preserve">ms supplied to AHSs include the </w:t>
      </w:r>
      <w:r w:rsidRPr="00EB0F24">
        <w:rPr>
          <w:rFonts w:cs="Calibri+FPEF"/>
        </w:rPr>
        <w:t>item and quantity supplied, month of supply, the nam</w:t>
      </w:r>
      <w:r w:rsidR="00C21C91">
        <w:rPr>
          <w:rFonts w:cs="Calibri+FPEF"/>
        </w:rPr>
        <w:t xml:space="preserve">e of the AHS, State and cost to </w:t>
      </w:r>
      <w:r w:rsidRPr="00EB0F24">
        <w:rPr>
          <w:rFonts w:cs="Calibri+FPEF"/>
        </w:rPr>
        <w:t>Government. The supply data relate to the pharmacy supp</w:t>
      </w:r>
      <w:r w:rsidR="00C21C91">
        <w:rPr>
          <w:rFonts w:cs="Calibri+FPEF"/>
        </w:rPr>
        <w:t xml:space="preserve">lying the items to the AHS. For </w:t>
      </w:r>
      <w:r w:rsidRPr="00EB0F24">
        <w:rPr>
          <w:rFonts w:cs="Calibri+FPEF"/>
        </w:rPr>
        <w:t>medicines supplied to AHSs, there are no data on whethe</w:t>
      </w:r>
      <w:r w:rsidR="00C21C91">
        <w:rPr>
          <w:rFonts w:cs="Calibri+FPEF"/>
        </w:rPr>
        <w:t xml:space="preserve">r the products were supplied to </w:t>
      </w:r>
      <w:r w:rsidRPr="00EB0F24">
        <w:rPr>
          <w:rFonts w:cs="Calibri+FPEF"/>
        </w:rPr>
        <w:t xml:space="preserve">patients or any other patient-level data. </w:t>
      </w:r>
      <w:r w:rsidRPr="00C063FA">
        <w:rPr>
          <w:rFonts w:cs="Calibri+FPEF"/>
        </w:rPr>
        <w:t>Data on the numbe</w:t>
      </w:r>
      <w:r w:rsidR="0068673E">
        <w:rPr>
          <w:rFonts w:cs="Calibri+FPEF"/>
        </w:rPr>
        <w:t>r of packs supplied to AHSs</w:t>
      </w:r>
      <w:r w:rsidR="00C21C91" w:rsidRPr="00C063FA">
        <w:rPr>
          <w:rFonts w:cs="Calibri+FPEF"/>
        </w:rPr>
        <w:t xml:space="preserve"> are </w:t>
      </w:r>
      <w:r w:rsidR="00DC6CCB">
        <w:rPr>
          <w:rFonts w:cs="Calibri+FPEF"/>
        </w:rPr>
        <w:t xml:space="preserve">presented in a separate </w:t>
      </w:r>
      <w:r w:rsidR="00DC6CCB" w:rsidRPr="00F02C04">
        <w:rPr>
          <w:rFonts w:cs="Calibri+FPEF"/>
        </w:rPr>
        <w:t>table (</w:t>
      </w:r>
      <w:r w:rsidR="004F0CEC" w:rsidRPr="00F02C04">
        <w:rPr>
          <w:rFonts w:cs="Calibri+FPEF"/>
        </w:rPr>
        <w:t>T</w:t>
      </w:r>
      <w:r w:rsidR="00DC6CCB" w:rsidRPr="00F02C04">
        <w:rPr>
          <w:rFonts w:cs="Calibri+FPEF"/>
        </w:rPr>
        <w:t xml:space="preserve">able </w:t>
      </w:r>
      <w:r w:rsidR="0068673E">
        <w:rPr>
          <w:rFonts w:cs="Calibri+FPEF"/>
        </w:rPr>
        <w:t>9</w:t>
      </w:r>
      <w:r w:rsidR="00DC6CCB" w:rsidRPr="00F02C04">
        <w:rPr>
          <w:rFonts w:cs="Calibri+FPEF"/>
        </w:rPr>
        <w:t>).</w:t>
      </w:r>
    </w:p>
    <w:p w:rsidR="00DC6CCB" w:rsidRDefault="00DC6CCB" w:rsidP="00C21C91">
      <w:pPr>
        <w:autoSpaceDE w:val="0"/>
        <w:autoSpaceDN w:val="0"/>
        <w:adjustRightInd w:val="0"/>
        <w:spacing w:after="0"/>
        <w:rPr>
          <w:rFonts w:cs="Calibri+FPEF"/>
          <w:color w:val="FF0000"/>
        </w:rPr>
      </w:pPr>
    </w:p>
    <w:p w:rsidR="0037628C" w:rsidRDefault="0037628C" w:rsidP="001F4906">
      <w:pPr>
        <w:pStyle w:val="Heading4"/>
      </w:pPr>
    </w:p>
    <w:p w:rsidR="0037628C" w:rsidRDefault="0037628C" w:rsidP="001F4906">
      <w:pPr>
        <w:pStyle w:val="Heading4"/>
      </w:pPr>
    </w:p>
    <w:p w:rsidR="0037628C" w:rsidRDefault="0037628C" w:rsidP="001F4906">
      <w:pPr>
        <w:pStyle w:val="Heading4"/>
      </w:pPr>
    </w:p>
    <w:p w:rsidR="0037628C" w:rsidRDefault="0037628C" w:rsidP="001F4906">
      <w:pPr>
        <w:pStyle w:val="Heading4"/>
      </w:pPr>
    </w:p>
    <w:p w:rsidR="00EA7A80" w:rsidRDefault="00EA7A80" w:rsidP="001F4906">
      <w:pPr>
        <w:pStyle w:val="Heading4"/>
      </w:pPr>
    </w:p>
    <w:p w:rsidR="00C714D0" w:rsidRPr="005E22C2" w:rsidRDefault="00C714D0" w:rsidP="001F4906">
      <w:pPr>
        <w:pStyle w:val="Heading4"/>
      </w:pPr>
      <w:r w:rsidRPr="005E22C2">
        <w:lastRenderedPageBreak/>
        <w:t>Results</w:t>
      </w:r>
    </w:p>
    <w:p w:rsidR="00736041" w:rsidRPr="005E22C2" w:rsidRDefault="001B5D37" w:rsidP="00FE645A">
      <w:pPr>
        <w:pStyle w:val="Heading3"/>
      </w:pPr>
      <w:r w:rsidRPr="005E22C2">
        <w:t xml:space="preserve">Analysis </w:t>
      </w:r>
      <w:r w:rsidR="00736041" w:rsidRPr="005E22C2">
        <w:t xml:space="preserve">of </w:t>
      </w:r>
      <w:r w:rsidR="0063631C">
        <w:t>d</w:t>
      </w:r>
      <w:r w:rsidR="00E677DD" w:rsidRPr="005E22C2">
        <w:t xml:space="preserve">rug </w:t>
      </w:r>
      <w:r w:rsidR="0063631C">
        <w:t>u</w:t>
      </w:r>
      <w:r w:rsidR="00E677DD" w:rsidRPr="005E22C2">
        <w:t>tilisation</w:t>
      </w:r>
    </w:p>
    <w:p w:rsidR="006A44F5" w:rsidRPr="005E22C2" w:rsidRDefault="00736041" w:rsidP="001F4906">
      <w:pPr>
        <w:pStyle w:val="Heading2"/>
      </w:pPr>
      <w:r w:rsidRPr="005E22C2">
        <w:t>Overall utilisation</w:t>
      </w:r>
    </w:p>
    <w:p w:rsidR="00B001A5" w:rsidRDefault="007371E9" w:rsidP="001B6AFA">
      <w:pPr>
        <w:spacing w:after="0"/>
      </w:pPr>
      <w:r>
        <w:rPr>
          <w:noProof/>
        </w:rPr>
        <mc:AlternateContent>
          <mc:Choice Requires="wps">
            <w:drawing>
              <wp:anchor distT="0" distB="0" distL="114300" distR="114300" simplePos="0" relativeHeight="251659264" behindDoc="0" locked="0" layoutInCell="1" allowOverlap="1" wp14:anchorId="7CA3A53A" wp14:editId="2D069AC8">
                <wp:simplePos x="0" y="0"/>
                <wp:positionH relativeFrom="column">
                  <wp:posOffset>3306445</wp:posOffset>
                </wp:positionH>
                <wp:positionV relativeFrom="paragraph">
                  <wp:posOffset>370205</wp:posOffset>
                </wp:positionV>
                <wp:extent cx="1152525" cy="200025"/>
                <wp:effectExtent l="0" t="0" r="28575" b="28575"/>
                <wp:wrapNone/>
                <wp:docPr id="307" name="Text Box 2" descr="Tobacco tax increase" title="Tobacco tax increas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200025"/>
                        </a:xfrm>
                        <a:prstGeom prst="rect">
                          <a:avLst/>
                        </a:prstGeom>
                        <a:solidFill>
                          <a:srgbClr val="FFFFFF"/>
                        </a:solidFill>
                        <a:ln w="9525">
                          <a:solidFill>
                            <a:srgbClr val="000000"/>
                          </a:solidFill>
                          <a:miter lim="800000"/>
                          <a:headEnd/>
                          <a:tailEnd/>
                        </a:ln>
                      </wps:spPr>
                      <wps:txbx>
                        <w:txbxContent>
                          <w:p w:rsidR="00D14ABD" w:rsidRPr="00EE0327" w:rsidRDefault="00D14ABD" w:rsidP="007371E9">
                            <w:pPr>
                              <w:jc w:val="center"/>
                              <w:rPr>
                                <w:sz w:val="16"/>
                                <w:szCs w:val="16"/>
                              </w:rPr>
                            </w:pPr>
                            <w:r w:rsidRPr="00EE0327">
                              <w:rPr>
                                <w:sz w:val="16"/>
                                <w:szCs w:val="16"/>
                              </w:rPr>
                              <w:t>Tobacco t</w:t>
                            </w:r>
                            <w:r>
                              <w:rPr>
                                <w:sz w:val="16"/>
                                <w:szCs w:val="16"/>
                              </w:rPr>
                              <w:t>ax increase</w:t>
                            </w:r>
                            <w:r w:rsidRPr="00EE0327">
                              <w:rPr>
                                <w:sz w:val="16"/>
                                <w:szCs w:val="1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alt="Title: Tobacco tax increase - Description: Tobacco tax increase" style="position:absolute;margin-left:260.35pt;margin-top:29.15pt;width:90.7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">
                <v:textbox>
                  <w:txbxContent>
                    <w:p w:rsidR="00D14ABD" w:rsidRPr="00EE0327" w:rsidRDefault="00D14ABD" w:rsidP="007371E9">
                      <w:pPr>
                        <w:jc w:val="center"/>
                        <w:rPr>
                          <w:sz w:val="16"/>
                          <w:szCs w:val="16"/>
                        </w:rPr>
                      </w:pPr>
                      <w:r w:rsidRPr="00EE0327">
                        <w:rPr>
                          <w:sz w:val="16"/>
                          <w:szCs w:val="16"/>
                        </w:rPr>
                        <w:t>Tobacco t</w:t>
                      </w:r>
                      <w:r>
                        <w:rPr>
                          <w:sz w:val="16"/>
                          <w:szCs w:val="16"/>
                        </w:rPr>
                        <w:t>ax increase</w:t>
                      </w:r>
                      <w:r w:rsidRPr="00EE0327">
                        <w:rPr>
                          <w:sz w:val="16"/>
                          <w:szCs w:val="16"/>
                        </w:rPr>
                        <w:t xml:space="preserve"> </w:t>
                      </w:r>
                    </w:p>
                  </w:txbxContent>
                </v:textbox>
              </v:shape>
            </w:pict>
          </mc:Fallback>
        </mc:AlternateContent>
      </w:r>
      <w:r>
        <w:rPr>
          <w:noProof/>
        </w:rPr>
        <w:drawing>
          <wp:inline distT="0" distB="0" distL="0" distR="0" wp14:anchorId="716CB61B" wp14:editId="729326A3">
            <wp:extent cx="5687695" cy="3703320"/>
            <wp:effectExtent l="0" t="0" r="27305" b="11430"/>
            <wp:docPr id="8" name="Chart 8" descr="This graph illustrates the utilisation of bupropion, nicotine and varenicline by date of supply from July 2000 to September 2015. The tobacco tax increase and NRT streamlined authority dates have been indicated. " title="Drug utilisation for R/PBS listed smoking cessation therapy per quarter from July 2000 to September 201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35800" w:rsidRPr="00DC6CCB" w:rsidRDefault="00E1353A" w:rsidP="001B6AFA">
      <w:pPr>
        <w:pStyle w:val="Figurecaption"/>
        <w:spacing w:before="0" w:after="0"/>
        <w:rPr>
          <w:b/>
          <w:sz w:val="24"/>
          <w:szCs w:val="24"/>
        </w:rPr>
      </w:pPr>
      <w:r w:rsidRPr="00DC6CCB">
        <w:rPr>
          <w:b/>
          <w:sz w:val="24"/>
          <w:szCs w:val="24"/>
        </w:rPr>
        <w:t xml:space="preserve">Figure 1: </w:t>
      </w:r>
      <w:r w:rsidR="003205B9" w:rsidRPr="00DC6CCB">
        <w:rPr>
          <w:b/>
          <w:sz w:val="24"/>
          <w:szCs w:val="24"/>
        </w:rPr>
        <w:t xml:space="preserve">Drug utilisation for </w:t>
      </w:r>
      <w:r w:rsidR="00B001A5" w:rsidRPr="00DC6CCB">
        <w:rPr>
          <w:b/>
          <w:sz w:val="24"/>
          <w:szCs w:val="24"/>
        </w:rPr>
        <w:t xml:space="preserve">R/PBS </w:t>
      </w:r>
      <w:r w:rsidR="003205B9" w:rsidRPr="00DC6CCB">
        <w:rPr>
          <w:b/>
          <w:sz w:val="24"/>
          <w:szCs w:val="24"/>
        </w:rPr>
        <w:t xml:space="preserve">listed smoking cessation therapy </w:t>
      </w:r>
      <w:r w:rsidR="00B001A5" w:rsidRPr="00DC6CCB">
        <w:rPr>
          <w:b/>
          <w:sz w:val="24"/>
          <w:szCs w:val="24"/>
        </w:rPr>
        <w:t xml:space="preserve">per quarter from </w:t>
      </w:r>
      <w:r w:rsidR="00650785" w:rsidRPr="00DC6CCB">
        <w:rPr>
          <w:b/>
          <w:sz w:val="24"/>
          <w:szCs w:val="24"/>
        </w:rPr>
        <w:t>July</w:t>
      </w:r>
      <w:r w:rsidR="00B001A5" w:rsidRPr="00DC6CCB">
        <w:rPr>
          <w:b/>
          <w:sz w:val="24"/>
          <w:szCs w:val="24"/>
        </w:rPr>
        <w:t xml:space="preserve"> 2000 to </w:t>
      </w:r>
      <w:r w:rsidR="00C2264B" w:rsidRPr="00DC6CCB">
        <w:rPr>
          <w:b/>
          <w:sz w:val="24"/>
          <w:szCs w:val="24"/>
        </w:rPr>
        <w:t>September</w:t>
      </w:r>
      <w:r w:rsidR="00B001A5" w:rsidRPr="00DC6CCB">
        <w:rPr>
          <w:b/>
          <w:sz w:val="24"/>
          <w:szCs w:val="24"/>
        </w:rPr>
        <w:t xml:space="preserve"> 2015.</w:t>
      </w:r>
    </w:p>
    <w:p w:rsidR="00550D00" w:rsidRDefault="00DC6CCB" w:rsidP="00DC6CCB">
      <w:pPr>
        <w:pStyle w:val="Figurecaption"/>
        <w:spacing w:before="0"/>
      </w:pPr>
      <w:r>
        <w:t>Prescriptions by</w:t>
      </w:r>
      <w:r w:rsidR="00B001A5">
        <w:t xml:space="preserve"> date of supply. </w:t>
      </w:r>
      <w:r w:rsidR="00183B6A">
        <w:t xml:space="preserve">Includes under co-payment estimate and actual. Includes private estimate. </w:t>
      </w:r>
      <w:r>
        <w:t>Source: DUSC database accessed November 2015.</w:t>
      </w:r>
    </w:p>
    <w:p w:rsidR="0051440B" w:rsidRDefault="0051440B" w:rsidP="0051440B">
      <w:pPr>
        <w:pStyle w:val="Figurecaption"/>
        <w:rPr>
          <w:sz w:val="24"/>
          <w:szCs w:val="24"/>
        </w:rPr>
      </w:pPr>
    </w:p>
    <w:p w:rsidR="0051440B" w:rsidRPr="00357D53" w:rsidRDefault="00A11B79" w:rsidP="0051440B">
      <w:pPr>
        <w:pStyle w:val="Figurecaption"/>
        <w:rPr>
          <w:b/>
          <w:sz w:val="24"/>
          <w:szCs w:val="24"/>
        </w:rPr>
      </w:pPr>
      <w:r w:rsidRPr="00357D53">
        <w:rPr>
          <w:b/>
          <w:sz w:val="24"/>
          <w:szCs w:val="24"/>
        </w:rPr>
        <w:t xml:space="preserve">Table </w:t>
      </w:r>
      <w:r w:rsidR="00EA7A80">
        <w:rPr>
          <w:b/>
          <w:sz w:val="24"/>
          <w:szCs w:val="24"/>
        </w:rPr>
        <w:t>5</w:t>
      </w:r>
      <w:r w:rsidRPr="00357D53">
        <w:rPr>
          <w:b/>
          <w:sz w:val="24"/>
          <w:szCs w:val="24"/>
        </w:rPr>
        <w:t xml:space="preserve">: </w:t>
      </w:r>
      <w:r w:rsidR="00357D53" w:rsidRPr="00357D53">
        <w:rPr>
          <w:b/>
          <w:sz w:val="24"/>
          <w:szCs w:val="24"/>
        </w:rPr>
        <w:t xml:space="preserve">Number of R/PBS subsidised </w:t>
      </w:r>
      <w:r w:rsidR="006273B3">
        <w:rPr>
          <w:b/>
          <w:sz w:val="24"/>
          <w:szCs w:val="24"/>
        </w:rPr>
        <w:t xml:space="preserve">smoking cessation </w:t>
      </w:r>
      <w:r w:rsidR="00357D53" w:rsidRPr="00357D53">
        <w:rPr>
          <w:b/>
          <w:sz w:val="24"/>
          <w:szCs w:val="24"/>
        </w:rPr>
        <w:t xml:space="preserve">prescriptions supplied </w:t>
      </w:r>
    </w:p>
    <w:tbl>
      <w:tblPr>
        <w:tblStyle w:val="TableGrid"/>
        <w:tblW w:w="0" w:type="auto"/>
        <w:tblLook w:val="04A0" w:firstRow="1" w:lastRow="0" w:firstColumn="1" w:lastColumn="0" w:noHBand="0" w:noVBand="1"/>
        <w:tblCaption w:val="Number of R/PBS subsidised smoking cessation prescriptions supplied"/>
        <w:tblDescription w:val="This table indicates the number of R/PBS prescriptions that were supplied in 2013 and 2014. "/>
      </w:tblPr>
      <w:tblGrid>
        <w:gridCol w:w="1526"/>
        <w:gridCol w:w="2835"/>
      </w:tblGrid>
      <w:tr w:rsidR="003E5E16" w:rsidTr="00992DDA">
        <w:trPr>
          <w:tblHeader/>
        </w:trPr>
        <w:tc>
          <w:tcPr>
            <w:tcW w:w="1526" w:type="dxa"/>
            <w:shd w:val="clear" w:color="auto" w:fill="BFBFBF" w:themeFill="background1" w:themeFillShade="BF"/>
          </w:tcPr>
          <w:p w:rsidR="003E5E16" w:rsidRPr="00357D53" w:rsidRDefault="003E5E16" w:rsidP="00282707">
            <w:pPr>
              <w:pStyle w:val="Figurecaption"/>
              <w:jc w:val="center"/>
              <w:rPr>
                <w:b/>
              </w:rPr>
            </w:pPr>
            <w:r w:rsidRPr="00357D53">
              <w:rPr>
                <w:b/>
              </w:rPr>
              <w:t>Year</w:t>
            </w:r>
          </w:p>
        </w:tc>
        <w:tc>
          <w:tcPr>
            <w:tcW w:w="2835" w:type="dxa"/>
            <w:shd w:val="clear" w:color="auto" w:fill="BFBFBF" w:themeFill="background1" w:themeFillShade="BF"/>
          </w:tcPr>
          <w:p w:rsidR="003E5E16" w:rsidRPr="00357D53" w:rsidRDefault="003E5E16" w:rsidP="00282707">
            <w:pPr>
              <w:pStyle w:val="Figurecaption"/>
              <w:jc w:val="center"/>
              <w:rPr>
                <w:b/>
              </w:rPr>
            </w:pPr>
            <w:r w:rsidRPr="00357D53">
              <w:rPr>
                <w:b/>
              </w:rPr>
              <w:t>Number of R/PBS Prescriptions</w:t>
            </w:r>
          </w:p>
        </w:tc>
      </w:tr>
      <w:tr w:rsidR="003E5E16" w:rsidTr="0095245F">
        <w:tc>
          <w:tcPr>
            <w:tcW w:w="1526" w:type="dxa"/>
          </w:tcPr>
          <w:p w:rsidR="003E5E16" w:rsidRPr="00357D53" w:rsidRDefault="003E5E16" w:rsidP="0051440B">
            <w:pPr>
              <w:pStyle w:val="Figurecaption"/>
            </w:pPr>
            <w:r w:rsidRPr="00357D53">
              <w:t>2013</w:t>
            </w:r>
          </w:p>
        </w:tc>
        <w:tc>
          <w:tcPr>
            <w:tcW w:w="2835" w:type="dxa"/>
          </w:tcPr>
          <w:p w:rsidR="003E5E16" w:rsidRPr="00357D53" w:rsidRDefault="006273B3" w:rsidP="0095245F">
            <w:pPr>
              <w:pStyle w:val="Figurecaption"/>
              <w:jc w:val="right"/>
            </w:pPr>
            <w:r>
              <w:t>495,928</w:t>
            </w:r>
          </w:p>
        </w:tc>
      </w:tr>
      <w:tr w:rsidR="003E5E16" w:rsidTr="0095245F">
        <w:tc>
          <w:tcPr>
            <w:tcW w:w="1526" w:type="dxa"/>
          </w:tcPr>
          <w:p w:rsidR="003E5E16" w:rsidRPr="00357D53" w:rsidRDefault="003E5E16" w:rsidP="0051440B">
            <w:pPr>
              <w:pStyle w:val="Figurecaption"/>
            </w:pPr>
            <w:r w:rsidRPr="00357D53">
              <w:t>2014</w:t>
            </w:r>
          </w:p>
        </w:tc>
        <w:tc>
          <w:tcPr>
            <w:tcW w:w="2835" w:type="dxa"/>
          </w:tcPr>
          <w:p w:rsidR="003E5E16" w:rsidRPr="00357D53" w:rsidRDefault="006273B3" w:rsidP="0095245F">
            <w:pPr>
              <w:pStyle w:val="Figurecaption"/>
              <w:jc w:val="right"/>
            </w:pPr>
            <w:r>
              <w:t>487,472</w:t>
            </w:r>
          </w:p>
        </w:tc>
      </w:tr>
    </w:tbl>
    <w:p w:rsidR="00970D1D" w:rsidRPr="00970D1D" w:rsidRDefault="00970D1D" w:rsidP="00970D1D">
      <w:pPr>
        <w:spacing w:after="0"/>
        <w:rPr>
          <w:rStyle w:val="FigurecaptionChar"/>
        </w:rPr>
      </w:pPr>
      <w:r w:rsidRPr="00970D1D">
        <w:rPr>
          <w:sz w:val="20"/>
          <w:szCs w:val="20"/>
        </w:rPr>
        <w:t>Prescriptions by date of supply. Includes under co-payment estimate and actual.</w:t>
      </w:r>
    </w:p>
    <w:p w:rsidR="00A97BF9" w:rsidRPr="00A97BF9" w:rsidRDefault="00A97BF9" w:rsidP="00A97BF9">
      <w:r w:rsidRPr="0030713E">
        <w:rPr>
          <w:rStyle w:val="FigurecaptionChar"/>
        </w:rPr>
        <w:t xml:space="preserve">Source: DUSC database, </w:t>
      </w:r>
      <w:r w:rsidR="001715C3">
        <w:rPr>
          <w:rStyle w:val="FigurecaptionChar"/>
        </w:rPr>
        <w:t>November</w:t>
      </w:r>
      <w:r w:rsidRPr="0030713E">
        <w:rPr>
          <w:rStyle w:val="FigurecaptionChar"/>
        </w:rPr>
        <w:t> 201</w:t>
      </w:r>
      <w:r w:rsidR="001715C3">
        <w:rPr>
          <w:rStyle w:val="FigurecaptionChar"/>
        </w:rPr>
        <w:t>5</w:t>
      </w:r>
      <w:r w:rsidRPr="0030713E">
        <w:rPr>
          <w:rStyle w:val="FigurecaptionChar"/>
        </w:rPr>
        <w:t>.</w:t>
      </w:r>
    </w:p>
    <w:p w:rsidR="00FC216A" w:rsidRDefault="00FC216A" w:rsidP="004F19D0">
      <w:pPr>
        <w:pStyle w:val="Figurecaption"/>
        <w:spacing w:after="0"/>
        <w:rPr>
          <w:sz w:val="24"/>
          <w:szCs w:val="24"/>
        </w:rPr>
      </w:pPr>
      <w:r>
        <w:rPr>
          <w:sz w:val="24"/>
          <w:szCs w:val="24"/>
        </w:rPr>
        <w:t xml:space="preserve">In 2014, the overall use of R/PBS smoking cessation therapies was 487,472 prescriptions, down by 1.7% from 2013 (n=495,928) (Table </w:t>
      </w:r>
      <w:r w:rsidR="00EA7A80">
        <w:rPr>
          <w:sz w:val="24"/>
          <w:szCs w:val="24"/>
        </w:rPr>
        <w:t>5</w:t>
      </w:r>
      <w:r>
        <w:rPr>
          <w:sz w:val="24"/>
          <w:szCs w:val="24"/>
        </w:rPr>
        <w:t xml:space="preserve">). </w:t>
      </w:r>
    </w:p>
    <w:p w:rsidR="00157481" w:rsidRPr="004F19D0" w:rsidRDefault="00157481" w:rsidP="004F19D0">
      <w:pPr>
        <w:pStyle w:val="Figurecaption"/>
        <w:spacing w:before="0" w:after="0"/>
        <w:rPr>
          <w:sz w:val="16"/>
          <w:szCs w:val="16"/>
        </w:rPr>
      </w:pPr>
    </w:p>
    <w:p w:rsidR="004F19D0" w:rsidRDefault="007A7BE9" w:rsidP="004F19D0">
      <w:pPr>
        <w:pStyle w:val="Figurecaption"/>
        <w:spacing w:before="0"/>
        <w:rPr>
          <w:sz w:val="24"/>
          <w:szCs w:val="24"/>
        </w:rPr>
      </w:pPr>
      <w:r>
        <w:rPr>
          <w:sz w:val="24"/>
          <w:szCs w:val="24"/>
        </w:rPr>
        <w:t>Figure 1 depicts v</w:t>
      </w:r>
      <w:r w:rsidR="00017639">
        <w:rPr>
          <w:sz w:val="24"/>
          <w:szCs w:val="24"/>
        </w:rPr>
        <w:t xml:space="preserve">arenicline </w:t>
      </w:r>
      <w:r>
        <w:rPr>
          <w:sz w:val="24"/>
          <w:szCs w:val="24"/>
        </w:rPr>
        <w:t>as</w:t>
      </w:r>
      <w:r w:rsidR="00017639">
        <w:rPr>
          <w:sz w:val="24"/>
          <w:szCs w:val="24"/>
        </w:rPr>
        <w:t xml:space="preserve"> the most utilised smoking cessation therapy on the R/PBS since its listing </w:t>
      </w:r>
      <w:r>
        <w:rPr>
          <w:sz w:val="24"/>
          <w:szCs w:val="24"/>
        </w:rPr>
        <w:t>in January 2008 with NRT as the second most utilised</w:t>
      </w:r>
      <w:r w:rsidR="00183B6A">
        <w:rPr>
          <w:sz w:val="24"/>
          <w:szCs w:val="24"/>
        </w:rPr>
        <w:t xml:space="preserve"> since its listing</w:t>
      </w:r>
      <w:r>
        <w:rPr>
          <w:sz w:val="24"/>
          <w:szCs w:val="24"/>
        </w:rPr>
        <w:t xml:space="preserve">. Bupropion had a </w:t>
      </w:r>
      <w:r w:rsidR="00970D1D">
        <w:rPr>
          <w:sz w:val="24"/>
          <w:szCs w:val="24"/>
        </w:rPr>
        <w:t>substantial</w:t>
      </w:r>
      <w:r>
        <w:rPr>
          <w:sz w:val="24"/>
          <w:szCs w:val="24"/>
        </w:rPr>
        <w:t xml:space="preserve"> initial uptake when it was listed in August 2000 as the sole subsidised therapy; however, its utilisation has declined</w:t>
      </w:r>
      <w:r w:rsidR="00EC76D6">
        <w:rPr>
          <w:sz w:val="24"/>
          <w:szCs w:val="24"/>
        </w:rPr>
        <w:t xml:space="preserve"> and </w:t>
      </w:r>
      <w:r w:rsidR="009B3169">
        <w:rPr>
          <w:sz w:val="24"/>
          <w:szCs w:val="24"/>
        </w:rPr>
        <w:t>not changed markedly over the study period</w:t>
      </w:r>
      <w:r>
        <w:rPr>
          <w:sz w:val="24"/>
          <w:szCs w:val="24"/>
        </w:rPr>
        <w:t xml:space="preserve">. </w:t>
      </w:r>
    </w:p>
    <w:p w:rsidR="007A7BE9" w:rsidRDefault="00FF3A15" w:rsidP="004F19D0">
      <w:pPr>
        <w:pStyle w:val="Figurecaption"/>
        <w:spacing w:before="0"/>
        <w:rPr>
          <w:sz w:val="24"/>
          <w:szCs w:val="24"/>
        </w:rPr>
      </w:pPr>
      <w:r>
        <w:rPr>
          <w:sz w:val="24"/>
          <w:szCs w:val="24"/>
        </w:rPr>
        <w:lastRenderedPageBreak/>
        <w:t xml:space="preserve">There was </w:t>
      </w:r>
      <w:r w:rsidR="00550069">
        <w:rPr>
          <w:sz w:val="24"/>
          <w:szCs w:val="24"/>
        </w:rPr>
        <w:t>a peak in</w:t>
      </w:r>
      <w:r>
        <w:rPr>
          <w:sz w:val="24"/>
          <w:szCs w:val="24"/>
        </w:rPr>
        <w:t xml:space="preserve"> the</w:t>
      </w:r>
      <w:r w:rsidR="00550069">
        <w:rPr>
          <w:sz w:val="24"/>
          <w:szCs w:val="24"/>
        </w:rPr>
        <w:t xml:space="preserve"> utilisation of varenicline in Quarter 2 of 2010</w:t>
      </w:r>
      <w:r>
        <w:rPr>
          <w:sz w:val="24"/>
          <w:szCs w:val="24"/>
        </w:rPr>
        <w:t xml:space="preserve"> (Figure 1)</w:t>
      </w:r>
      <w:r w:rsidR="00183B6A">
        <w:rPr>
          <w:sz w:val="24"/>
          <w:szCs w:val="24"/>
        </w:rPr>
        <w:t>, which may have been due to the 25% increase in tobacco tax on 30 April 2010</w:t>
      </w:r>
      <w:bookmarkStart w:id="5" w:name="_Ref437937315"/>
      <w:r w:rsidR="00EA7A80">
        <w:rPr>
          <w:sz w:val="24"/>
          <w:szCs w:val="24"/>
        </w:rPr>
        <w:t>.</w:t>
      </w:r>
      <w:r w:rsidR="00183B6A">
        <w:rPr>
          <w:rStyle w:val="FootnoteReference"/>
          <w:sz w:val="24"/>
          <w:szCs w:val="24"/>
        </w:rPr>
        <w:footnoteReference w:id="20"/>
      </w:r>
      <w:bookmarkEnd w:id="5"/>
      <w:r w:rsidR="00550069">
        <w:rPr>
          <w:sz w:val="24"/>
          <w:szCs w:val="24"/>
        </w:rPr>
        <w:t xml:space="preserve"> </w:t>
      </w:r>
      <w:r w:rsidR="009B3169">
        <w:rPr>
          <w:sz w:val="24"/>
          <w:szCs w:val="24"/>
        </w:rPr>
        <w:t>As mentioned earlier in this report, t</w:t>
      </w:r>
      <w:r w:rsidR="009B3169" w:rsidRPr="009B3169">
        <w:rPr>
          <w:sz w:val="24"/>
          <w:szCs w:val="24"/>
        </w:rPr>
        <w:t xml:space="preserve">he National Tobacco Strategy states that </w:t>
      </w:r>
      <w:r w:rsidR="009B3169">
        <w:rPr>
          <w:sz w:val="24"/>
          <w:szCs w:val="24"/>
        </w:rPr>
        <w:t xml:space="preserve">price increases to tobacco products </w:t>
      </w:r>
      <w:r w:rsidR="009B3169" w:rsidRPr="009B3169">
        <w:rPr>
          <w:sz w:val="24"/>
          <w:szCs w:val="24"/>
        </w:rPr>
        <w:t xml:space="preserve">are </w:t>
      </w:r>
      <w:r w:rsidR="009B3169">
        <w:rPr>
          <w:sz w:val="24"/>
          <w:szCs w:val="24"/>
        </w:rPr>
        <w:t xml:space="preserve">the second most </w:t>
      </w:r>
      <w:r w:rsidR="009B3169" w:rsidRPr="009B3169">
        <w:rPr>
          <w:sz w:val="24"/>
          <w:szCs w:val="24"/>
        </w:rPr>
        <w:t>highly effective components of tobacco control programs</w:t>
      </w:r>
      <w:r w:rsidR="009B3169">
        <w:rPr>
          <w:sz w:val="24"/>
          <w:szCs w:val="24"/>
        </w:rPr>
        <w:t xml:space="preserve"> after mass media campaigns.</w:t>
      </w:r>
      <w:r w:rsidR="00773FD6">
        <w:rPr>
          <w:sz w:val="24"/>
          <w:szCs w:val="24"/>
          <w:vertAlign w:val="superscript"/>
        </w:rPr>
        <w:t>16</w:t>
      </w:r>
      <w:r w:rsidR="009B3169">
        <w:rPr>
          <w:sz w:val="24"/>
          <w:szCs w:val="24"/>
        </w:rPr>
        <w:t xml:space="preserve"> </w:t>
      </w:r>
    </w:p>
    <w:p w:rsidR="007A7BE9" w:rsidRDefault="007A7BE9" w:rsidP="0051440B">
      <w:pPr>
        <w:pStyle w:val="Figurecaption"/>
        <w:rPr>
          <w:sz w:val="24"/>
          <w:szCs w:val="24"/>
        </w:rPr>
      </w:pPr>
    </w:p>
    <w:p w:rsidR="00EC76D6" w:rsidRDefault="00183B6A" w:rsidP="0051440B">
      <w:pPr>
        <w:pStyle w:val="Figurecaption"/>
        <w:rPr>
          <w:sz w:val="24"/>
          <w:szCs w:val="24"/>
        </w:rPr>
      </w:pPr>
      <w:r>
        <w:rPr>
          <w:sz w:val="24"/>
          <w:szCs w:val="24"/>
        </w:rPr>
        <w:t xml:space="preserve">Subsidised use of these three therapies has remained stable since 2012. </w:t>
      </w:r>
      <w:r w:rsidR="00D51E63">
        <w:rPr>
          <w:sz w:val="24"/>
          <w:szCs w:val="24"/>
        </w:rPr>
        <w:t xml:space="preserve">NRT </w:t>
      </w:r>
      <w:r w:rsidR="00157481">
        <w:rPr>
          <w:sz w:val="24"/>
          <w:szCs w:val="24"/>
        </w:rPr>
        <w:t>went from</w:t>
      </w:r>
      <w:r w:rsidR="00D51E63">
        <w:rPr>
          <w:sz w:val="24"/>
          <w:szCs w:val="24"/>
        </w:rPr>
        <w:t xml:space="preserve"> </w:t>
      </w:r>
      <w:r w:rsidR="00157481">
        <w:rPr>
          <w:sz w:val="24"/>
          <w:szCs w:val="24"/>
        </w:rPr>
        <w:t xml:space="preserve">Authority Required to </w:t>
      </w:r>
      <w:r>
        <w:rPr>
          <w:sz w:val="24"/>
          <w:szCs w:val="24"/>
        </w:rPr>
        <w:t>streamlined a</w:t>
      </w:r>
      <w:r w:rsidR="00D51E63">
        <w:rPr>
          <w:sz w:val="24"/>
          <w:szCs w:val="24"/>
        </w:rPr>
        <w:t>uthorit</w:t>
      </w:r>
      <w:r w:rsidR="00FC216A">
        <w:rPr>
          <w:sz w:val="24"/>
          <w:szCs w:val="24"/>
        </w:rPr>
        <w:t>y in December 2013. Figure 1 depicts no major change in utilisation</w:t>
      </w:r>
      <w:r w:rsidR="00157481">
        <w:rPr>
          <w:sz w:val="24"/>
          <w:szCs w:val="24"/>
        </w:rPr>
        <w:t xml:space="preserve"> of NRT at the time of this change in restriction</w:t>
      </w:r>
      <w:r w:rsidR="00FC216A">
        <w:rPr>
          <w:sz w:val="24"/>
          <w:szCs w:val="24"/>
        </w:rPr>
        <w:t xml:space="preserve">. In September 2015, NRT became Restricted Benefit. The effect of this change is </w:t>
      </w:r>
      <w:r w:rsidR="009B3169">
        <w:rPr>
          <w:sz w:val="24"/>
          <w:szCs w:val="24"/>
        </w:rPr>
        <w:t xml:space="preserve">yet to be determined. </w:t>
      </w:r>
    </w:p>
    <w:p w:rsidR="00A162B8" w:rsidRDefault="00183B6A" w:rsidP="0051440B">
      <w:pPr>
        <w:pStyle w:val="Heading2"/>
      </w:pPr>
      <w:r>
        <w:t>People supplied smoking cessation therapy</w:t>
      </w:r>
    </w:p>
    <w:p w:rsidR="00DB261E" w:rsidRDefault="00877CE5" w:rsidP="00315BA1">
      <w:pPr>
        <w:spacing w:after="0"/>
      </w:pPr>
      <w:r>
        <w:rPr>
          <w:noProof/>
        </w:rPr>
        <w:drawing>
          <wp:inline distT="0" distB="0" distL="0" distR="0" wp14:anchorId="123E2C96" wp14:editId="76412339">
            <wp:extent cx="5687695" cy="3529967"/>
            <wp:effectExtent l="0" t="0" r="27305" b="13335"/>
            <wp:docPr id="6" name="Chart 6" descr="This figure depicts the therapy that people were supplied for their first supply of an R/PBS subsidised smoking cessation therapy. It indicates when NRT was listed on the PBS for the general population. " title="Smoking cessation therapy choice for people receiving their first R/PBS supply by yea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46CBC" w:rsidRPr="00A602F3" w:rsidRDefault="007C2556" w:rsidP="00315BA1">
      <w:pPr>
        <w:spacing w:after="0"/>
      </w:pPr>
      <w:r w:rsidRPr="00A602F3">
        <w:rPr>
          <w:b/>
        </w:rPr>
        <w:t xml:space="preserve">Figure </w:t>
      </w:r>
      <w:r w:rsidR="00F60090">
        <w:rPr>
          <w:b/>
        </w:rPr>
        <w:t>2</w:t>
      </w:r>
      <w:r w:rsidRPr="00A602F3">
        <w:rPr>
          <w:b/>
        </w:rPr>
        <w:t xml:space="preserve">: </w:t>
      </w:r>
      <w:r w:rsidR="002B635D">
        <w:rPr>
          <w:b/>
        </w:rPr>
        <w:t>Smoking cessation therapy choice for people receiving their first R/PBS supply by year</w:t>
      </w:r>
    </w:p>
    <w:p w:rsidR="00286EAF" w:rsidRPr="00A97BF9" w:rsidRDefault="00286EAF" w:rsidP="00286EAF">
      <w:pPr>
        <w:spacing w:after="0"/>
        <w:rPr>
          <w:sz w:val="20"/>
          <w:szCs w:val="20"/>
        </w:rPr>
      </w:pPr>
      <w:r w:rsidRPr="00A97BF9">
        <w:rPr>
          <w:sz w:val="20"/>
          <w:szCs w:val="20"/>
        </w:rPr>
        <w:t>For the purpose of this study, “</w:t>
      </w:r>
      <w:r w:rsidR="00A602F3">
        <w:rPr>
          <w:sz w:val="20"/>
          <w:szCs w:val="20"/>
        </w:rPr>
        <w:t>first attempt</w:t>
      </w:r>
      <w:r w:rsidRPr="00A97BF9">
        <w:rPr>
          <w:sz w:val="20"/>
          <w:szCs w:val="20"/>
        </w:rPr>
        <w:t xml:space="preserve">” has been defined as no </w:t>
      </w:r>
      <w:r w:rsidR="002B635D">
        <w:rPr>
          <w:sz w:val="20"/>
          <w:szCs w:val="20"/>
        </w:rPr>
        <w:t xml:space="preserve">prior </w:t>
      </w:r>
      <w:r w:rsidRPr="00A97BF9">
        <w:rPr>
          <w:sz w:val="20"/>
          <w:szCs w:val="20"/>
        </w:rPr>
        <w:t xml:space="preserve">supply of PBS subsidised smoking cessation therapy since May 2000, to coincide with the listing of bupropion. </w:t>
      </w:r>
    </w:p>
    <w:p w:rsidR="00286EAF" w:rsidRDefault="00286EAF" w:rsidP="00286EAF">
      <w:pPr>
        <w:rPr>
          <w:rStyle w:val="FigurecaptionChar"/>
        </w:rPr>
      </w:pPr>
      <w:r w:rsidRPr="0030713E">
        <w:rPr>
          <w:rStyle w:val="FigurecaptionChar"/>
        </w:rPr>
        <w:t xml:space="preserve">Source: </w:t>
      </w:r>
      <w:r w:rsidR="00A602F3">
        <w:rPr>
          <w:rStyle w:val="FigurecaptionChar"/>
        </w:rPr>
        <w:t>DHS Medicare</w:t>
      </w:r>
      <w:r w:rsidRPr="0030713E">
        <w:rPr>
          <w:rStyle w:val="FigurecaptionChar"/>
        </w:rPr>
        <w:t xml:space="preserve"> </w:t>
      </w:r>
      <w:r w:rsidR="00A602F3">
        <w:rPr>
          <w:rStyle w:val="FigurecaptionChar"/>
        </w:rPr>
        <w:t>D</w:t>
      </w:r>
      <w:r w:rsidRPr="0030713E">
        <w:rPr>
          <w:rStyle w:val="FigurecaptionChar"/>
        </w:rPr>
        <w:t xml:space="preserve">atabase, </w:t>
      </w:r>
      <w:r>
        <w:rPr>
          <w:rStyle w:val="FigurecaptionChar"/>
        </w:rPr>
        <w:t>November 2015</w:t>
      </w:r>
      <w:r w:rsidRPr="0030713E">
        <w:rPr>
          <w:rStyle w:val="FigurecaptionChar"/>
        </w:rPr>
        <w:t>.</w:t>
      </w:r>
    </w:p>
    <w:p w:rsidR="00323C8F" w:rsidRDefault="002B635D" w:rsidP="004E0BA2">
      <w:pPr>
        <w:spacing w:after="0"/>
      </w:pPr>
      <w:r>
        <w:t>Figure 2 shows that the number of first attempts peaked with the introduction of each new subsidised therapy then declined over time.</w:t>
      </w:r>
    </w:p>
    <w:p w:rsidR="002B635D" w:rsidRDefault="002B635D" w:rsidP="004E0BA2">
      <w:pPr>
        <w:spacing w:after="0"/>
      </w:pPr>
    </w:p>
    <w:p w:rsidR="00FD2BF3" w:rsidRDefault="00FD2BF3">
      <w:pPr>
        <w:spacing w:line="276" w:lineRule="auto"/>
        <w:rPr>
          <w:b/>
          <w:i/>
        </w:rPr>
      </w:pPr>
      <w:r>
        <w:br w:type="page"/>
      </w:r>
    </w:p>
    <w:p w:rsidR="002B635D" w:rsidRDefault="002B635D" w:rsidP="002B635D">
      <w:pPr>
        <w:pStyle w:val="Heading2"/>
        <w:spacing w:before="0"/>
      </w:pPr>
      <w:r>
        <w:lastRenderedPageBreak/>
        <w:t>First and subsequent smoking cessation therapy choice</w:t>
      </w:r>
    </w:p>
    <w:p w:rsidR="004E0BA2" w:rsidRDefault="00970D1D" w:rsidP="004E0BA2">
      <w:pPr>
        <w:spacing w:after="0"/>
      </w:pPr>
      <w:r>
        <w:t xml:space="preserve">Tables </w:t>
      </w:r>
      <w:r w:rsidR="00E60A4E">
        <w:t>6</w:t>
      </w:r>
      <w:r>
        <w:t>-</w:t>
      </w:r>
      <w:r w:rsidR="00E60A4E">
        <w:t>8</w:t>
      </w:r>
      <w:r>
        <w:t xml:space="preserve"> show the sequence of smoking cessation therapies supplied.</w:t>
      </w:r>
    </w:p>
    <w:p w:rsidR="004F19D0" w:rsidRDefault="004F19D0" w:rsidP="00315BA1">
      <w:pPr>
        <w:spacing w:after="0"/>
        <w:rPr>
          <w:b/>
        </w:rPr>
      </w:pPr>
    </w:p>
    <w:p w:rsidR="00AF45BA" w:rsidRPr="008B7248" w:rsidRDefault="004F19D0" w:rsidP="00315BA1">
      <w:pPr>
        <w:spacing w:after="0"/>
        <w:rPr>
          <w:b/>
        </w:rPr>
      </w:pPr>
      <w:r>
        <w:rPr>
          <w:b/>
        </w:rPr>
        <w:t>Ta</w:t>
      </w:r>
      <w:r w:rsidR="008B7248" w:rsidRPr="008B7248">
        <w:rPr>
          <w:b/>
        </w:rPr>
        <w:t xml:space="preserve">ble </w:t>
      </w:r>
      <w:r w:rsidR="00E60A4E">
        <w:rPr>
          <w:b/>
        </w:rPr>
        <w:t>6</w:t>
      </w:r>
      <w:r w:rsidR="008B7248" w:rsidRPr="008B7248">
        <w:rPr>
          <w:b/>
        </w:rPr>
        <w:t xml:space="preserve">: </w:t>
      </w:r>
      <w:r w:rsidR="00970D1D">
        <w:rPr>
          <w:b/>
        </w:rPr>
        <w:t>R/</w:t>
      </w:r>
      <w:r w:rsidR="00241DB7">
        <w:rPr>
          <w:b/>
        </w:rPr>
        <w:t>PBS subsidised smoking</w:t>
      </w:r>
      <w:r w:rsidR="002B635D">
        <w:rPr>
          <w:b/>
        </w:rPr>
        <w:t xml:space="preserve"> cessation therapy choice for people </w:t>
      </w:r>
      <w:r w:rsidR="00241DB7">
        <w:rPr>
          <w:b/>
        </w:rPr>
        <w:t>who made their first quit attempt in 2012</w:t>
      </w:r>
    </w:p>
    <w:tbl>
      <w:tblPr>
        <w:tblStyle w:val="TableGrid"/>
        <w:tblW w:w="0" w:type="auto"/>
        <w:tblLook w:val="04A0" w:firstRow="1" w:lastRow="0" w:firstColumn="1" w:lastColumn="0" w:noHBand="0" w:noVBand="1"/>
        <w:tblCaption w:val="R/PBS subsidised smoking cessation therapy choice for people who made their first quit attempt in 2012"/>
        <w:tblDescription w:val="Table 6 has 6 columns. In these columns, it illustrates what the choice of therapy was for a person's first attempt and three subsequent reattempts, if there were any for the year 2012. It also indicates the number of people choosing these therapies and their percentage of the total people in the cohort. "/>
      </w:tblPr>
      <w:tblGrid>
        <w:gridCol w:w="1668"/>
        <w:gridCol w:w="1842"/>
        <w:gridCol w:w="1843"/>
        <w:gridCol w:w="1701"/>
        <w:gridCol w:w="1134"/>
        <w:gridCol w:w="985"/>
      </w:tblGrid>
      <w:tr w:rsidR="00E87C3E" w:rsidTr="00992DDA">
        <w:trPr>
          <w:tblHeader/>
        </w:trPr>
        <w:tc>
          <w:tcPr>
            <w:tcW w:w="1668" w:type="dxa"/>
            <w:shd w:val="clear" w:color="auto" w:fill="BFBFBF" w:themeFill="background1" w:themeFillShade="BF"/>
          </w:tcPr>
          <w:p w:rsidR="00E87C3E" w:rsidRPr="00A231F5" w:rsidRDefault="00B60F50" w:rsidP="00282707">
            <w:pPr>
              <w:jc w:val="center"/>
              <w:rPr>
                <w:b/>
                <w:sz w:val="20"/>
                <w:szCs w:val="20"/>
              </w:rPr>
            </w:pPr>
            <w:r>
              <w:rPr>
                <w:b/>
                <w:sz w:val="20"/>
                <w:szCs w:val="20"/>
              </w:rPr>
              <w:t>First attempt</w:t>
            </w:r>
          </w:p>
        </w:tc>
        <w:tc>
          <w:tcPr>
            <w:tcW w:w="1842" w:type="dxa"/>
            <w:shd w:val="clear" w:color="auto" w:fill="BFBFBF" w:themeFill="background1" w:themeFillShade="BF"/>
          </w:tcPr>
          <w:p w:rsidR="00E87C3E" w:rsidRPr="00A231F5" w:rsidRDefault="00E87C3E" w:rsidP="00282707">
            <w:pPr>
              <w:jc w:val="center"/>
              <w:rPr>
                <w:b/>
                <w:sz w:val="20"/>
                <w:szCs w:val="20"/>
              </w:rPr>
            </w:pPr>
            <w:r w:rsidRPr="00A231F5">
              <w:rPr>
                <w:b/>
                <w:sz w:val="20"/>
                <w:szCs w:val="20"/>
              </w:rPr>
              <w:t>Reattempting drug therapy</w:t>
            </w:r>
          </w:p>
        </w:tc>
        <w:tc>
          <w:tcPr>
            <w:tcW w:w="1843" w:type="dxa"/>
            <w:shd w:val="clear" w:color="auto" w:fill="BFBFBF" w:themeFill="background1" w:themeFillShade="BF"/>
          </w:tcPr>
          <w:p w:rsidR="00E87C3E" w:rsidRPr="00A231F5" w:rsidRDefault="00E87C3E" w:rsidP="00282707">
            <w:pPr>
              <w:jc w:val="center"/>
              <w:rPr>
                <w:b/>
                <w:sz w:val="20"/>
                <w:szCs w:val="20"/>
              </w:rPr>
            </w:pPr>
            <w:r w:rsidRPr="00A231F5">
              <w:rPr>
                <w:b/>
                <w:sz w:val="20"/>
                <w:szCs w:val="20"/>
              </w:rPr>
              <w:t>Secondary reattempting drug therapy</w:t>
            </w:r>
          </w:p>
        </w:tc>
        <w:tc>
          <w:tcPr>
            <w:tcW w:w="1701" w:type="dxa"/>
            <w:shd w:val="clear" w:color="auto" w:fill="BFBFBF" w:themeFill="background1" w:themeFillShade="BF"/>
          </w:tcPr>
          <w:p w:rsidR="00E87C3E" w:rsidRPr="00A231F5" w:rsidRDefault="00E87C3E" w:rsidP="00282707">
            <w:pPr>
              <w:jc w:val="center"/>
              <w:rPr>
                <w:b/>
                <w:sz w:val="20"/>
                <w:szCs w:val="20"/>
              </w:rPr>
            </w:pPr>
            <w:r w:rsidRPr="00A231F5">
              <w:rPr>
                <w:b/>
                <w:sz w:val="20"/>
                <w:szCs w:val="20"/>
              </w:rPr>
              <w:t>Tertiary reattempting drug therapy</w:t>
            </w:r>
          </w:p>
        </w:tc>
        <w:tc>
          <w:tcPr>
            <w:tcW w:w="1134" w:type="dxa"/>
            <w:shd w:val="clear" w:color="auto" w:fill="BFBFBF" w:themeFill="background1" w:themeFillShade="BF"/>
          </w:tcPr>
          <w:p w:rsidR="00E87C3E" w:rsidRPr="00A231F5" w:rsidRDefault="00E87C3E" w:rsidP="00970D1D">
            <w:pPr>
              <w:jc w:val="center"/>
              <w:rPr>
                <w:b/>
                <w:sz w:val="20"/>
                <w:szCs w:val="20"/>
              </w:rPr>
            </w:pPr>
            <w:r w:rsidRPr="00A231F5">
              <w:rPr>
                <w:b/>
                <w:sz w:val="20"/>
                <w:szCs w:val="20"/>
              </w:rPr>
              <w:t xml:space="preserve">Number of </w:t>
            </w:r>
            <w:r w:rsidR="00970D1D">
              <w:rPr>
                <w:b/>
                <w:sz w:val="20"/>
                <w:szCs w:val="20"/>
              </w:rPr>
              <w:t>people</w:t>
            </w:r>
          </w:p>
        </w:tc>
        <w:tc>
          <w:tcPr>
            <w:tcW w:w="985" w:type="dxa"/>
            <w:shd w:val="clear" w:color="auto" w:fill="BFBFBF" w:themeFill="background1" w:themeFillShade="BF"/>
          </w:tcPr>
          <w:p w:rsidR="00E87C3E" w:rsidRPr="00A231F5" w:rsidRDefault="00E87C3E" w:rsidP="00970D1D">
            <w:pPr>
              <w:jc w:val="center"/>
              <w:rPr>
                <w:b/>
                <w:sz w:val="20"/>
                <w:szCs w:val="20"/>
              </w:rPr>
            </w:pPr>
            <w:r w:rsidRPr="00A231F5">
              <w:rPr>
                <w:b/>
                <w:sz w:val="20"/>
                <w:szCs w:val="20"/>
              </w:rPr>
              <w:t xml:space="preserve">% of total </w:t>
            </w:r>
            <w:r w:rsidR="00970D1D">
              <w:rPr>
                <w:b/>
                <w:sz w:val="20"/>
                <w:szCs w:val="20"/>
              </w:rPr>
              <w:t>people in cohort</w:t>
            </w:r>
          </w:p>
        </w:tc>
      </w:tr>
      <w:tr w:rsidR="00D17877" w:rsidTr="001C58BC">
        <w:tc>
          <w:tcPr>
            <w:tcW w:w="1668" w:type="dxa"/>
          </w:tcPr>
          <w:p w:rsidR="00D17877" w:rsidRPr="00A231F5" w:rsidRDefault="00D17877" w:rsidP="00A35800">
            <w:pPr>
              <w:rPr>
                <w:sz w:val="20"/>
                <w:szCs w:val="20"/>
              </w:rPr>
            </w:pPr>
            <w:r w:rsidRPr="00A231F5">
              <w:rPr>
                <w:sz w:val="20"/>
                <w:szCs w:val="20"/>
              </w:rPr>
              <w:t>Varenicline</w:t>
            </w:r>
          </w:p>
        </w:tc>
        <w:tc>
          <w:tcPr>
            <w:tcW w:w="1842" w:type="dxa"/>
          </w:tcPr>
          <w:p w:rsidR="00D17877" w:rsidRPr="00A231F5" w:rsidRDefault="00D17877" w:rsidP="00A35800">
            <w:pPr>
              <w:rPr>
                <w:sz w:val="20"/>
                <w:szCs w:val="20"/>
              </w:rPr>
            </w:pPr>
            <w:r w:rsidRPr="00A231F5">
              <w:rPr>
                <w:sz w:val="20"/>
                <w:szCs w:val="20"/>
              </w:rPr>
              <w:t>-</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62091</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49.8%</w:t>
            </w:r>
          </w:p>
        </w:tc>
      </w:tr>
      <w:tr w:rsidR="00D17877" w:rsidTr="001C58BC">
        <w:tc>
          <w:tcPr>
            <w:tcW w:w="1668" w:type="dxa"/>
          </w:tcPr>
          <w:p w:rsidR="00D17877" w:rsidRPr="00A231F5" w:rsidRDefault="00D17877" w:rsidP="00A35800">
            <w:pPr>
              <w:rPr>
                <w:sz w:val="20"/>
                <w:szCs w:val="20"/>
              </w:rPr>
            </w:pPr>
            <w:r w:rsidRPr="00A231F5">
              <w:rPr>
                <w:sz w:val="20"/>
                <w:szCs w:val="20"/>
              </w:rPr>
              <w:t>Nicotine</w:t>
            </w:r>
          </w:p>
        </w:tc>
        <w:tc>
          <w:tcPr>
            <w:tcW w:w="1842" w:type="dxa"/>
          </w:tcPr>
          <w:p w:rsidR="00D17877" w:rsidRPr="00A231F5" w:rsidRDefault="00D17877" w:rsidP="00A35800">
            <w:pPr>
              <w:rPr>
                <w:sz w:val="20"/>
                <w:szCs w:val="20"/>
              </w:rPr>
            </w:pPr>
            <w:r w:rsidRPr="00A231F5">
              <w:rPr>
                <w:sz w:val="20"/>
                <w:szCs w:val="20"/>
              </w:rPr>
              <w:t>-</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20531</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16.5%</w:t>
            </w:r>
          </w:p>
        </w:tc>
      </w:tr>
      <w:tr w:rsidR="00D17877" w:rsidTr="001C58BC">
        <w:tc>
          <w:tcPr>
            <w:tcW w:w="1668" w:type="dxa"/>
          </w:tcPr>
          <w:p w:rsidR="00D17877" w:rsidRPr="00A231F5" w:rsidRDefault="00D17877" w:rsidP="00A35800">
            <w:pPr>
              <w:rPr>
                <w:sz w:val="20"/>
                <w:szCs w:val="20"/>
              </w:rPr>
            </w:pPr>
            <w:r w:rsidRPr="00A231F5">
              <w:rPr>
                <w:sz w:val="20"/>
                <w:szCs w:val="20"/>
              </w:rPr>
              <w:t>Varenicline</w:t>
            </w:r>
          </w:p>
        </w:tc>
        <w:tc>
          <w:tcPr>
            <w:tcW w:w="1842" w:type="dxa"/>
          </w:tcPr>
          <w:p w:rsidR="00D17877" w:rsidRPr="00A231F5" w:rsidRDefault="00D17877" w:rsidP="00A35800">
            <w:pPr>
              <w:rPr>
                <w:sz w:val="20"/>
                <w:szCs w:val="20"/>
              </w:rPr>
            </w:pPr>
            <w:r w:rsidRPr="00A231F5">
              <w:rPr>
                <w:sz w:val="20"/>
                <w:szCs w:val="20"/>
              </w:rPr>
              <w:t>Varenicline</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15749</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12.6%</w:t>
            </w:r>
          </w:p>
        </w:tc>
      </w:tr>
      <w:tr w:rsidR="00D17877" w:rsidTr="001C58BC">
        <w:tc>
          <w:tcPr>
            <w:tcW w:w="1668" w:type="dxa"/>
          </w:tcPr>
          <w:p w:rsidR="00D17877" w:rsidRPr="00A231F5" w:rsidRDefault="00D17877" w:rsidP="00A35800">
            <w:pPr>
              <w:rPr>
                <w:sz w:val="20"/>
                <w:szCs w:val="20"/>
              </w:rPr>
            </w:pPr>
            <w:r w:rsidRPr="00A231F5">
              <w:rPr>
                <w:sz w:val="20"/>
                <w:szCs w:val="20"/>
              </w:rPr>
              <w:t>Varenicline</w:t>
            </w:r>
          </w:p>
        </w:tc>
        <w:tc>
          <w:tcPr>
            <w:tcW w:w="1842" w:type="dxa"/>
          </w:tcPr>
          <w:p w:rsidR="00D17877" w:rsidRPr="00A231F5" w:rsidRDefault="00D17877" w:rsidP="00A35800">
            <w:pPr>
              <w:rPr>
                <w:sz w:val="20"/>
                <w:szCs w:val="20"/>
              </w:rPr>
            </w:pPr>
            <w:r w:rsidRPr="00A231F5">
              <w:rPr>
                <w:sz w:val="20"/>
                <w:szCs w:val="20"/>
              </w:rPr>
              <w:t>Varenicline</w:t>
            </w:r>
          </w:p>
        </w:tc>
        <w:tc>
          <w:tcPr>
            <w:tcW w:w="1843" w:type="dxa"/>
          </w:tcPr>
          <w:p w:rsidR="00D17877" w:rsidRPr="00A231F5" w:rsidRDefault="00D17877" w:rsidP="00A35800">
            <w:pPr>
              <w:rPr>
                <w:sz w:val="20"/>
                <w:szCs w:val="20"/>
              </w:rPr>
            </w:pPr>
            <w:r w:rsidRPr="00A231F5">
              <w:rPr>
                <w:sz w:val="20"/>
                <w:szCs w:val="20"/>
              </w:rPr>
              <w:t>Varenicline</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3806</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3.1%</w:t>
            </w:r>
          </w:p>
        </w:tc>
      </w:tr>
      <w:tr w:rsidR="00D17877" w:rsidTr="001C58BC">
        <w:tc>
          <w:tcPr>
            <w:tcW w:w="1668" w:type="dxa"/>
          </w:tcPr>
          <w:p w:rsidR="00D17877" w:rsidRPr="00A231F5" w:rsidRDefault="00D17877" w:rsidP="00A35800">
            <w:pPr>
              <w:rPr>
                <w:sz w:val="20"/>
                <w:szCs w:val="20"/>
              </w:rPr>
            </w:pPr>
            <w:r w:rsidRPr="00A231F5">
              <w:rPr>
                <w:sz w:val="20"/>
                <w:szCs w:val="20"/>
              </w:rPr>
              <w:t>Nicotine</w:t>
            </w:r>
          </w:p>
        </w:tc>
        <w:tc>
          <w:tcPr>
            <w:tcW w:w="1842" w:type="dxa"/>
          </w:tcPr>
          <w:p w:rsidR="00D17877" w:rsidRPr="00A231F5" w:rsidRDefault="00D17877" w:rsidP="00A35800">
            <w:pPr>
              <w:rPr>
                <w:sz w:val="20"/>
                <w:szCs w:val="20"/>
              </w:rPr>
            </w:pPr>
            <w:r w:rsidRPr="00A231F5">
              <w:rPr>
                <w:sz w:val="20"/>
                <w:szCs w:val="20"/>
              </w:rPr>
              <w:t>Nicotine</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2975</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2.4%</w:t>
            </w:r>
          </w:p>
        </w:tc>
      </w:tr>
      <w:tr w:rsidR="00D17877" w:rsidTr="001C58BC">
        <w:tc>
          <w:tcPr>
            <w:tcW w:w="1668" w:type="dxa"/>
          </w:tcPr>
          <w:p w:rsidR="00D17877" w:rsidRPr="00A231F5" w:rsidRDefault="00D17877" w:rsidP="00A35800">
            <w:pPr>
              <w:rPr>
                <w:sz w:val="20"/>
                <w:szCs w:val="20"/>
              </w:rPr>
            </w:pPr>
            <w:r w:rsidRPr="00A231F5">
              <w:rPr>
                <w:sz w:val="20"/>
                <w:szCs w:val="20"/>
              </w:rPr>
              <w:t>Varenicline</w:t>
            </w:r>
          </w:p>
        </w:tc>
        <w:tc>
          <w:tcPr>
            <w:tcW w:w="1842" w:type="dxa"/>
          </w:tcPr>
          <w:p w:rsidR="00D17877" w:rsidRPr="00A231F5" w:rsidRDefault="00D17877" w:rsidP="000A3608">
            <w:pPr>
              <w:rPr>
                <w:sz w:val="20"/>
                <w:szCs w:val="20"/>
              </w:rPr>
            </w:pPr>
            <w:r w:rsidRPr="00A231F5">
              <w:rPr>
                <w:sz w:val="20"/>
                <w:szCs w:val="20"/>
              </w:rPr>
              <w:t xml:space="preserve">Nicotine </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2435</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2.0%</w:t>
            </w:r>
          </w:p>
        </w:tc>
      </w:tr>
      <w:tr w:rsidR="00D17877" w:rsidTr="001C58BC">
        <w:tc>
          <w:tcPr>
            <w:tcW w:w="1668" w:type="dxa"/>
          </w:tcPr>
          <w:p w:rsidR="00D17877" w:rsidRPr="00A231F5" w:rsidRDefault="00D17877" w:rsidP="00A35800">
            <w:pPr>
              <w:rPr>
                <w:sz w:val="20"/>
                <w:szCs w:val="20"/>
              </w:rPr>
            </w:pPr>
            <w:r w:rsidRPr="00A231F5">
              <w:rPr>
                <w:sz w:val="20"/>
                <w:szCs w:val="20"/>
              </w:rPr>
              <w:t>Nicotine</w:t>
            </w:r>
          </w:p>
        </w:tc>
        <w:tc>
          <w:tcPr>
            <w:tcW w:w="1842" w:type="dxa"/>
          </w:tcPr>
          <w:p w:rsidR="00D17877" w:rsidRPr="00A231F5" w:rsidRDefault="00D17877" w:rsidP="000A3608">
            <w:pPr>
              <w:rPr>
                <w:sz w:val="20"/>
                <w:szCs w:val="20"/>
              </w:rPr>
            </w:pPr>
            <w:r w:rsidRPr="00A231F5">
              <w:rPr>
                <w:sz w:val="20"/>
                <w:szCs w:val="20"/>
              </w:rPr>
              <w:t xml:space="preserve">Varenicline </w:t>
            </w:r>
          </w:p>
        </w:tc>
        <w:tc>
          <w:tcPr>
            <w:tcW w:w="1843" w:type="dxa"/>
          </w:tcPr>
          <w:p w:rsidR="00D17877" w:rsidRPr="00A231F5" w:rsidRDefault="00D17877" w:rsidP="00A35800">
            <w:pPr>
              <w:rPr>
                <w:sz w:val="20"/>
                <w:szCs w:val="20"/>
              </w:rPr>
            </w:pPr>
            <w:r w:rsidRPr="00A231F5">
              <w:rPr>
                <w:sz w:val="20"/>
                <w:szCs w:val="20"/>
              </w:rPr>
              <w:t>-</w:t>
            </w:r>
          </w:p>
        </w:tc>
        <w:tc>
          <w:tcPr>
            <w:tcW w:w="1701" w:type="dxa"/>
          </w:tcPr>
          <w:p w:rsidR="00D17877" w:rsidRPr="00A231F5" w:rsidRDefault="00D17877" w:rsidP="00A35800">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2292</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1.8%</w:t>
            </w:r>
          </w:p>
        </w:tc>
      </w:tr>
      <w:tr w:rsidR="00D17877" w:rsidTr="001C58BC">
        <w:tc>
          <w:tcPr>
            <w:tcW w:w="1668" w:type="dxa"/>
          </w:tcPr>
          <w:p w:rsidR="00D17877" w:rsidRPr="00A231F5" w:rsidRDefault="00D17877" w:rsidP="004D6DB1">
            <w:pPr>
              <w:rPr>
                <w:sz w:val="20"/>
                <w:szCs w:val="20"/>
              </w:rPr>
            </w:pPr>
            <w:r w:rsidRPr="00A231F5">
              <w:rPr>
                <w:sz w:val="20"/>
                <w:szCs w:val="20"/>
              </w:rPr>
              <w:t>Nicotine</w:t>
            </w:r>
          </w:p>
        </w:tc>
        <w:tc>
          <w:tcPr>
            <w:tcW w:w="1842" w:type="dxa"/>
          </w:tcPr>
          <w:p w:rsidR="00D17877" w:rsidRPr="00A231F5" w:rsidRDefault="00D17877" w:rsidP="004D6DB1">
            <w:pPr>
              <w:rPr>
                <w:sz w:val="20"/>
                <w:szCs w:val="20"/>
              </w:rPr>
            </w:pPr>
            <w:r w:rsidRPr="00A231F5">
              <w:rPr>
                <w:sz w:val="20"/>
                <w:szCs w:val="20"/>
              </w:rPr>
              <w:t>Nicotine (repeat)</w:t>
            </w:r>
            <w:r w:rsidR="00502F91" w:rsidRPr="00502F91">
              <w:rPr>
                <w:sz w:val="20"/>
                <w:szCs w:val="20"/>
                <w:vertAlign w:val="superscript"/>
              </w:rPr>
              <w:t>Ɨ</w:t>
            </w:r>
          </w:p>
        </w:tc>
        <w:tc>
          <w:tcPr>
            <w:tcW w:w="1843" w:type="dxa"/>
          </w:tcPr>
          <w:p w:rsidR="00D17877" w:rsidRPr="00A231F5" w:rsidRDefault="00D17877" w:rsidP="004D6DB1">
            <w:pPr>
              <w:rPr>
                <w:sz w:val="20"/>
                <w:szCs w:val="20"/>
              </w:rPr>
            </w:pPr>
            <w:r w:rsidRPr="00A231F5">
              <w:rPr>
                <w:sz w:val="20"/>
                <w:szCs w:val="20"/>
              </w:rPr>
              <w:t>-</w:t>
            </w:r>
          </w:p>
        </w:tc>
        <w:tc>
          <w:tcPr>
            <w:tcW w:w="1701" w:type="dxa"/>
          </w:tcPr>
          <w:p w:rsidR="00D17877" w:rsidRPr="00A231F5" w:rsidRDefault="00D17877" w:rsidP="004D6DB1">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2227</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1.8%</w:t>
            </w:r>
          </w:p>
        </w:tc>
      </w:tr>
      <w:tr w:rsidR="00D17877" w:rsidTr="001C58BC">
        <w:tc>
          <w:tcPr>
            <w:tcW w:w="1668" w:type="dxa"/>
          </w:tcPr>
          <w:p w:rsidR="00D17877" w:rsidRPr="00A231F5" w:rsidRDefault="00D17877" w:rsidP="004D6DB1">
            <w:pPr>
              <w:rPr>
                <w:sz w:val="20"/>
                <w:szCs w:val="20"/>
              </w:rPr>
            </w:pPr>
            <w:r w:rsidRPr="00A231F5">
              <w:rPr>
                <w:sz w:val="20"/>
                <w:szCs w:val="20"/>
              </w:rPr>
              <w:t>Bupropion</w:t>
            </w:r>
          </w:p>
        </w:tc>
        <w:tc>
          <w:tcPr>
            <w:tcW w:w="1842" w:type="dxa"/>
          </w:tcPr>
          <w:p w:rsidR="00D17877" w:rsidRPr="00A231F5" w:rsidRDefault="00D17877" w:rsidP="004D6DB1">
            <w:pPr>
              <w:rPr>
                <w:sz w:val="20"/>
                <w:szCs w:val="20"/>
              </w:rPr>
            </w:pPr>
            <w:r w:rsidRPr="00A231F5">
              <w:rPr>
                <w:sz w:val="20"/>
                <w:szCs w:val="20"/>
              </w:rPr>
              <w:t>-</w:t>
            </w:r>
          </w:p>
        </w:tc>
        <w:tc>
          <w:tcPr>
            <w:tcW w:w="1843" w:type="dxa"/>
          </w:tcPr>
          <w:p w:rsidR="00D17877" w:rsidRPr="00A231F5" w:rsidRDefault="00D17877" w:rsidP="004D6DB1">
            <w:pPr>
              <w:rPr>
                <w:sz w:val="20"/>
                <w:szCs w:val="20"/>
              </w:rPr>
            </w:pPr>
            <w:r w:rsidRPr="00A231F5">
              <w:rPr>
                <w:sz w:val="20"/>
                <w:szCs w:val="20"/>
              </w:rPr>
              <w:t>-</w:t>
            </w:r>
          </w:p>
        </w:tc>
        <w:tc>
          <w:tcPr>
            <w:tcW w:w="1701" w:type="dxa"/>
          </w:tcPr>
          <w:p w:rsidR="00D17877" w:rsidRPr="00A231F5" w:rsidRDefault="00D17877" w:rsidP="004D6DB1">
            <w:pPr>
              <w:rPr>
                <w:sz w:val="20"/>
                <w:szCs w:val="20"/>
              </w:rPr>
            </w:pPr>
            <w:r w:rsidRPr="00A231F5">
              <w:rPr>
                <w:sz w:val="20"/>
                <w:szCs w:val="20"/>
              </w:rPr>
              <w:t>-</w:t>
            </w:r>
          </w:p>
        </w:tc>
        <w:tc>
          <w:tcPr>
            <w:tcW w:w="1134" w:type="dxa"/>
          </w:tcPr>
          <w:p w:rsidR="00D17877" w:rsidRPr="00A231F5" w:rsidRDefault="00D17877" w:rsidP="0095245F">
            <w:pPr>
              <w:jc w:val="right"/>
              <w:rPr>
                <w:sz w:val="20"/>
                <w:szCs w:val="20"/>
              </w:rPr>
            </w:pPr>
            <w:r w:rsidRPr="00A231F5">
              <w:rPr>
                <w:sz w:val="20"/>
                <w:szCs w:val="20"/>
              </w:rPr>
              <w:t>1387</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1.1%</w:t>
            </w:r>
          </w:p>
        </w:tc>
      </w:tr>
      <w:tr w:rsidR="00D17877" w:rsidTr="001C58BC">
        <w:tc>
          <w:tcPr>
            <w:tcW w:w="1668" w:type="dxa"/>
          </w:tcPr>
          <w:p w:rsidR="00D17877" w:rsidRPr="00A231F5" w:rsidRDefault="00D17877" w:rsidP="004D6DB1">
            <w:pPr>
              <w:rPr>
                <w:sz w:val="20"/>
                <w:szCs w:val="20"/>
              </w:rPr>
            </w:pPr>
            <w:r w:rsidRPr="00A231F5">
              <w:rPr>
                <w:sz w:val="20"/>
                <w:szCs w:val="20"/>
              </w:rPr>
              <w:t>Varenicline</w:t>
            </w:r>
          </w:p>
        </w:tc>
        <w:tc>
          <w:tcPr>
            <w:tcW w:w="1842" w:type="dxa"/>
          </w:tcPr>
          <w:p w:rsidR="00D17877" w:rsidRPr="00A231F5" w:rsidRDefault="00D17877" w:rsidP="004D6DB1">
            <w:pPr>
              <w:rPr>
                <w:sz w:val="20"/>
                <w:szCs w:val="20"/>
              </w:rPr>
            </w:pPr>
            <w:r w:rsidRPr="00A231F5">
              <w:rPr>
                <w:sz w:val="20"/>
                <w:szCs w:val="20"/>
              </w:rPr>
              <w:t>Varenicline</w:t>
            </w:r>
          </w:p>
        </w:tc>
        <w:tc>
          <w:tcPr>
            <w:tcW w:w="1843" w:type="dxa"/>
          </w:tcPr>
          <w:p w:rsidR="00D17877" w:rsidRPr="00A231F5" w:rsidRDefault="00D17877" w:rsidP="004D6DB1">
            <w:pPr>
              <w:rPr>
                <w:sz w:val="20"/>
                <w:szCs w:val="20"/>
              </w:rPr>
            </w:pPr>
            <w:r w:rsidRPr="00A231F5">
              <w:rPr>
                <w:sz w:val="20"/>
                <w:szCs w:val="20"/>
              </w:rPr>
              <w:t>Varenicline</w:t>
            </w:r>
          </w:p>
        </w:tc>
        <w:tc>
          <w:tcPr>
            <w:tcW w:w="1701" w:type="dxa"/>
          </w:tcPr>
          <w:p w:rsidR="00D17877" w:rsidRPr="00A231F5" w:rsidRDefault="00D17877" w:rsidP="004D6DB1">
            <w:pPr>
              <w:rPr>
                <w:sz w:val="20"/>
                <w:szCs w:val="20"/>
              </w:rPr>
            </w:pPr>
            <w:r w:rsidRPr="00A231F5">
              <w:rPr>
                <w:sz w:val="20"/>
                <w:szCs w:val="20"/>
              </w:rPr>
              <w:t>Varenicline</w:t>
            </w:r>
          </w:p>
        </w:tc>
        <w:tc>
          <w:tcPr>
            <w:tcW w:w="1134" w:type="dxa"/>
          </w:tcPr>
          <w:p w:rsidR="00D17877" w:rsidRPr="00A231F5" w:rsidRDefault="00D17877" w:rsidP="0095245F">
            <w:pPr>
              <w:jc w:val="right"/>
              <w:rPr>
                <w:sz w:val="20"/>
                <w:szCs w:val="20"/>
              </w:rPr>
            </w:pPr>
            <w:r w:rsidRPr="00A231F5">
              <w:rPr>
                <w:sz w:val="20"/>
                <w:szCs w:val="20"/>
              </w:rPr>
              <w:t>740</w:t>
            </w:r>
          </w:p>
        </w:tc>
        <w:tc>
          <w:tcPr>
            <w:tcW w:w="985" w:type="dxa"/>
            <w:vAlign w:val="center"/>
          </w:tcPr>
          <w:p w:rsidR="00D17877" w:rsidRPr="00A231F5" w:rsidRDefault="00D17877" w:rsidP="0095245F">
            <w:pPr>
              <w:jc w:val="right"/>
              <w:rPr>
                <w:sz w:val="20"/>
                <w:szCs w:val="20"/>
              </w:rPr>
            </w:pPr>
            <w:r w:rsidRPr="00A231F5">
              <w:rPr>
                <w:rFonts w:ascii="Calibri" w:hAnsi="Calibri"/>
                <w:color w:val="000000"/>
                <w:sz w:val="20"/>
                <w:szCs w:val="20"/>
              </w:rPr>
              <w:t>0.6%</w:t>
            </w:r>
          </w:p>
        </w:tc>
      </w:tr>
      <w:tr w:rsidR="00D17877" w:rsidTr="00A231F5">
        <w:tc>
          <w:tcPr>
            <w:tcW w:w="7054" w:type="dxa"/>
            <w:gridSpan w:val="4"/>
          </w:tcPr>
          <w:p w:rsidR="00D17877" w:rsidRPr="00A231F5" w:rsidRDefault="00D17877" w:rsidP="00970D1D">
            <w:pPr>
              <w:rPr>
                <w:b/>
                <w:sz w:val="20"/>
                <w:szCs w:val="20"/>
              </w:rPr>
            </w:pPr>
            <w:r w:rsidRPr="00A231F5">
              <w:rPr>
                <w:b/>
                <w:sz w:val="20"/>
                <w:szCs w:val="20"/>
              </w:rPr>
              <w:t xml:space="preserve">Total </w:t>
            </w:r>
            <w:r w:rsidR="00970D1D">
              <w:rPr>
                <w:b/>
                <w:sz w:val="20"/>
                <w:szCs w:val="20"/>
              </w:rPr>
              <w:t>people</w:t>
            </w:r>
            <w:r w:rsidRPr="00A231F5">
              <w:rPr>
                <w:b/>
                <w:sz w:val="20"/>
                <w:szCs w:val="20"/>
              </w:rPr>
              <w:t xml:space="preserve"> in </w:t>
            </w:r>
            <w:r w:rsidR="00A231F5" w:rsidRPr="00A231F5">
              <w:rPr>
                <w:b/>
                <w:sz w:val="20"/>
                <w:szCs w:val="20"/>
              </w:rPr>
              <w:t xml:space="preserve">top 10 most common </w:t>
            </w:r>
            <w:r w:rsidR="002B7F53">
              <w:rPr>
                <w:b/>
                <w:sz w:val="20"/>
                <w:szCs w:val="20"/>
              </w:rPr>
              <w:t>sequences</w:t>
            </w:r>
            <w:r w:rsidR="00A231F5" w:rsidRPr="00A231F5">
              <w:rPr>
                <w:b/>
                <w:sz w:val="20"/>
                <w:szCs w:val="20"/>
              </w:rPr>
              <w:t xml:space="preserve"> </w:t>
            </w:r>
          </w:p>
        </w:tc>
        <w:tc>
          <w:tcPr>
            <w:tcW w:w="1134" w:type="dxa"/>
          </w:tcPr>
          <w:p w:rsidR="00D17877" w:rsidRPr="00A231F5" w:rsidRDefault="00A231F5" w:rsidP="0095245F">
            <w:pPr>
              <w:jc w:val="right"/>
              <w:rPr>
                <w:rFonts w:ascii="Calibri" w:hAnsi="Calibri"/>
                <w:color w:val="000000"/>
                <w:sz w:val="20"/>
                <w:szCs w:val="20"/>
              </w:rPr>
            </w:pPr>
            <w:r w:rsidRPr="00A231F5">
              <w:rPr>
                <w:rFonts w:ascii="Calibri" w:hAnsi="Calibri"/>
                <w:color w:val="000000"/>
                <w:sz w:val="20"/>
                <w:szCs w:val="20"/>
              </w:rPr>
              <w:t>114233</w:t>
            </w:r>
          </w:p>
        </w:tc>
        <w:tc>
          <w:tcPr>
            <w:tcW w:w="985" w:type="dxa"/>
          </w:tcPr>
          <w:p w:rsidR="00D17877" w:rsidRPr="00A231F5" w:rsidRDefault="00A231F5" w:rsidP="0095245F">
            <w:pPr>
              <w:jc w:val="right"/>
              <w:rPr>
                <w:sz w:val="20"/>
                <w:szCs w:val="20"/>
              </w:rPr>
            </w:pPr>
            <w:r w:rsidRPr="00A231F5">
              <w:rPr>
                <w:sz w:val="20"/>
                <w:szCs w:val="20"/>
              </w:rPr>
              <w:t>91.7%</w:t>
            </w:r>
          </w:p>
        </w:tc>
      </w:tr>
      <w:tr w:rsidR="00887421" w:rsidTr="00A231F5">
        <w:tc>
          <w:tcPr>
            <w:tcW w:w="7054" w:type="dxa"/>
            <w:gridSpan w:val="4"/>
          </w:tcPr>
          <w:p w:rsidR="00887421" w:rsidRPr="00A231F5" w:rsidRDefault="00887421"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using other </w:t>
            </w:r>
            <w:r w:rsidR="002B7F53">
              <w:rPr>
                <w:b/>
                <w:sz w:val="20"/>
                <w:szCs w:val="20"/>
              </w:rPr>
              <w:t>sequences</w:t>
            </w:r>
          </w:p>
        </w:tc>
        <w:tc>
          <w:tcPr>
            <w:tcW w:w="1134" w:type="dxa"/>
          </w:tcPr>
          <w:p w:rsidR="00887421" w:rsidRPr="00A231F5" w:rsidRDefault="00A231F5" w:rsidP="0095245F">
            <w:pPr>
              <w:jc w:val="right"/>
              <w:rPr>
                <w:rFonts w:ascii="Calibri" w:hAnsi="Calibri"/>
                <w:color w:val="000000"/>
                <w:sz w:val="20"/>
                <w:szCs w:val="20"/>
              </w:rPr>
            </w:pPr>
            <w:r w:rsidRPr="00A231F5">
              <w:rPr>
                <w:rFonts w:ascii="Calibri" w:hAnsi="Calibri"/>
                <w:color w:val="000000"/>
                <w:sz w:val="20"/>
                <w:szCs w:val="20"/>
              </w:rPr>
              <w:t>10405</w:t>
            </w:r>
          </w:p>
        </w:tc>
        <w:tc>
          <w:tcPr>
            <w:tcW w:w="985" w:type="dxa"/>
          </w:tcPr>
          <w:p w:rsidR="00887421" w:rsidRPr="00A231F5" w:rsidRDefault="00A231F5" w:rsidP="0095245F">
            <w:pPr>
              <w:jc w:val="right"/>
              <w:rPr>
                <w:sz w:val="20"/>
                <w:szCs w:val="20"/>
              </w:rPr>
            </w:pPr>
            <w:r w:rsidRPr="00A231F5">
              <w:rPr>
                <w:sz w:val="20"/>
                <w:szCs w:val="20"/>
              </w:rPr>
              <w:t>8.3%</w:t>
            </w:r>
          </w:p>
        </w:tc>
      </w:tr>
      <w:tr w:rsidR="00887421" w:rsidTr="00A231F5">
        <w:tc>
          <w:tcPr>
            <w:tcW w:w="7054" w:type="dxa"/>
            <w:gridSpan w:val="4"/>
          </w:tcPr>
          <w:p w:rsidR="00887421" w:rsidRPr="00A231F5" w:rsidRDefault="00887421"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attempting smoking cessation therapy</w:t>
            </w:r>
          </w:p>
        </w:tc>
        <w:tc>
          <w:tcPr>
            <w:tcW w:w="1134" w:type="dxa"/>
          </w:tcPr>
          <w:p w:rsidR="00887421" w:rsidRPr="00A231F5" w:rsidRDefault="00887421" w:rsidP="0095245F">
            <w:pPr>
              <w:jc w:val="right"/>
              <w:rPr>
                <w:rFonts w:ascii="Calibri" w:hAnsi="Calibri"/>
                <w:color w:val="000000"/>
                <w:sz w:val="20"/>
                <w:szCs w:val="20"/>
              </w:rPr>
            </w:pPr>
            <w:r w:rsidRPr="00A231F5">
              <w:rPr>
                <w:rFonts w:ascii="Calibri" w:hAnsi="Calibri"/>
                <w:color w:val="000000"/>
                <w:sz w:val="20"/>
                <w:szCs w:val="20"/>
              </w:rPr>
              <w:t>124638</w:t>
            </w:r>
          </w:p>
        </w:tc>
        <w:tc>
          <w:tcPr>
            <w:tcW w:w="985" w:type="dxa"/>
          </w:tcPr>
          <w:p w:rsidR="00887421" w:rsidRPr="00A231F5" w:rsidRDefault="00D17877" w:rsidP="0095245F">
            <w:pPr>
              <w:jc w:val="right"/>
              <w:rPr>
                <w:sz w:val="20"/>
                <w:szCs w:val="20"/>
              </w:rPr>
            </w:pPr>
            <w:r w:rsidRPr="00A231F5">
              <w:rPr>
                <w:sz w:val="20"/>
                <w:szCs w:val="20"/>
              </w:rPr>
              <w:t>100%</w:t>
            </w:r>
          </w:p>
        </w:tc>
      </w:tr>
    </w:tbl>
    <w:p w:rsidR="00286EAF" w:rsidRDefault="00286EAF" w:rsidP="00286EAF">
      <w:pPr>
        <w:spacing w:after="0"/>
        <w:rPr>
          <w:rStyle w:val="FigurecaptionChar"/>
        </w:rPr>
      </w:pPr>
      <w:r w:rsidRPr="0030713E">
        <w:rPr>
          <w:rStyle w:val="FigurecaptionChar"/>
        </w:rPr>
        <w:t>Source: D</w:t>
      </w:r>
      <w:r w:rsidR="00502F91">
        <w:rPr>
          <w:rStyle w:val="FigurecaptionChar"/>
        </w:rPr>
        <w:t>HS Medicare</w:t>
      </w:r>
      <w:r w:rsidRPr="0030713E">
        <w:rPr>
          <w:rStyle w:val="FigurecaptionChar"/>
        </w:rPr>
        <w:t xml:space="preserve"> </w:t>
      </w:r>
      <w:r w:rsidR="00502F91">
        <w:rPr>
          <w:rStyle w:val="FigurecaptionChar"/>
        </w:rPr>
        <w:t>D</w:t>
      </w:r>
      <w:r w:rsidRPr="0030713E">
        <w:rPr>
          <w:rStyle w:val="FigurecaptionChar"/>
        </w:rPr>
        <w:t xml:space="preserve">atabase, </w:t>
      </w:r>
      <w:r>
        <w:rPr>
          <w:rStyle w:val="FigurecaptionChar"/>
        </w:rPr>
        <w:t>November 2015</w:t>
      </w:r>
      <w:r w:rsidRPr="0030713E">
        <w:rPr>
          <w:rStyle w:val="FigurecaptionChar"/>
        </w:rPr>
        <w:t>.</w:t>
      </w:r>
    </w:p>
    <w:p w:rsidR="00502F91" w:rsidRDefault="00502F91" w:rsidP="00286EAF">
      <w:pPr>
        <w:spacing w:after="0"/>
        <w:rPr>
          <w:sz w:val="20"/>
          <w:szCs w:val="20"/>
        </w:rPr>
      </w:pPr>
      <w:r w:rsidRPr="00502F91">
        <w:rPr>
          <w:sz w:val="20"/>
          <w:szCs w:val="20"/>
          <w:vertAlign w:val="superscript"/>
        </w:rPr>
        <w:t>Ɨ</w:t>
      </w:r>
      <w:r>
        <w:rPr>
          <w:sz w:val="20"/>
          <w:szCs w:val="20"/>
          <w:vertAlign w:val="superscript"/>
        </w:rPr>
        <w:t xml:space="preserve"> </w:t>
      </w:r>
      <w:r>
        <w:rPr>
          <w:sz w:val="20"/>
          <w:szCs w:val="20"/>
        </w:rPr>
        <w:t>A repeat prescription was used to obtain the supply.</w:t>
      </w:r>
    </w:p>
    <w:p w:rsidR="00F65A84" w:rsidRPr="00502F91" w:rsidRDefault="00F65A84" w:rsidP="00286EAF">
      <w:pPr>
        <w:spacing w:after="0"/>
        <w:rPr>
          <w:sz w:val="20"/>
          <w:szCs w:val="20"/>
          <w:lang w:eastAsia="en-US"/>
        </w:rPr>
      </w:pPr>
    </w:p>
    <w:p w:rsidR="002C4DEF" w:rsidRPr="008B7248" w:rsidRDefault="002C4DEF" w:rsidP="00315BA1">
      <w:pPr>
        <w:spacing w:after="0"/>
        <w:rPr>
          <w:b/>
        </w:rPr>
      </w:pPr>
      <w:r w:rsidRPr="008B7248">
        <w:rPr>
          <w:b/>
        </w:rPr>
        <w:t xml:space="preserve">Table </w:t>
      </w:r>
      <w:r w:rsidR="00E60A4E">
        <w:rPr>
          <w:b/>
        </w:rPr>
        <w:t>7</w:t>
      </w:r>
      <w:r w:rsidRPr="008B7248">
        <w:rPr>
          <w:b/>
        </w:rPr>
        <w:t xml:space="preserve">: </w:t>
      </w:r>
      <w:r w:rsidR="00970D1D">
        <w:rPr>
          <w:b/>
        </w:rPr>
        <w:t>R/</w:t>
      </w:r>
      <w:r>
        <w:rPr>
          <w:b/>
        </w:rPr>
        <w:t>PBS subsidised smoking cessation therapy choice for p</w:t>
      </w:r>
      <w:r w:rsidR="002B635D">
        <w:rPr>
          <w:b/>
        </w:rPr>
        <w:t>eople</w:t>
      </w:r>
      <w:r>
        <w:rPr>
          <w:b/>
        </w:rPr>
        <w:t xml:space="preserve"> who made their first quit attempt in 2013</w:t>
      </w:r>
    </w:p>
    <w:tbl>
      <w:tblPr>
        <w:tblStyle w:val="TableGrid"/>
        <w:tblW w:w="0" w:type="auto"/>
        <w:tblLook w:val="04A0" w:firstRow="1" w:lastRow="0" w:firstColumn="1" w:lastColumn="0" w:noHBand="0" w:noVBand="1"/>
        <w:tblCaption w:val="R/PBS subsidised smoking cessation therapy choice for people who made their first quit attempt in 2013"/>
        <w:tblDescription w:val="Table 6 has 6 columns. In these columns, it illustrates what the choice of therapy was for a person's first attempt and three subsequent reattempts, if there were any for the year 2013. It also indicates the number of people choosing these therapies and their percentage of the total people in the cohort. "/>
      </w:tblPr>
      <w:tblGrid>
        <w:gridCol w:w="1668"/>
        <w:gridCol w:w="1842"/>
        <w:gridCol w:w="1843"/>
        <w:gridCol w:w="1701"/>
        <w:gridCol w:w="1134"/>
        <w:gridCol w:w="985"/>
      </w:tblGrid>
      <w:tr w:rsidR="002C4DEF" w:rsidTr="00992DDA">
        <w:trPr>
          <w:tblHeader/>
        </w:trPr>
        <w:tc>
          <w:tcPr>
            <w:tcW w:w="1668" w:type="dxa"/>
            <w:shd w:val="clear" w:color="auto" w:fill="BFBFBF" w:themeFill="background1" w:themeFillShade="BF"/>
          </w:tcPr>
          <w:p w:rsidR="002C4DEF" w:rsidRPr="00A231F5" w:rsidRDefault="002C4DEF" w:rsidP="00282707">
            <w:pPr>
              <w:jc w:val="center"/>
              <w:rPr>
                <w:b/>
                <w:sz w:val="20"/>
                <w:szCs w:val="20"/>
              </w:rPr>
            </w:pPr>
            <w:r w:rsidRPr="00A231F5">
              <w:rPr>
                <w:b/>
                <w:sz w:val="20"/>
                <w:szCs w:val="20"/>
              </w:rPr>
              <w:t>Initiating Drug</w:t>
            </w:r>
          </w:p>
        </w:tc>
        <w:tc>
          <w:tcPr>
            <w:tcW w:w="1842" w:type="dxa"/>
            <w:shd w:val="clear" w:color="auto" w:fill="BFBFBF" w:themeFill="background1" w:themeFillShade="BF"/>
          </w:tcPr>
          <w:p w:rsidR="002C4DEF" w:rsidRPr="00A231F5" w:rsidRDefault="002C4DEF" w:rsidP="00282707">
            <w:pPr>
              <w:jc w:val="center"/>
              <w:rPr>
                <w:b/>
                <w:sz w:val="20"/>
                <w:szCs w:val="20"/>
              </w:rPr>
            </w:pPr>
            <w:r w:rsidRPr="00A231F5">
              <w:rPr>
                <w:b/>
                <w:sz w:val="20"/>
                <w:szCs w:val="20"/>
              </w:rPr>
              <w:t>Reattempting drug therapy</w:t>
            </w:r>
          </w:p>
        </w:tc>
        <w:tc>
          <w:tcPr>
            <w:tcW w:w="1843" w:type="dxa"/>
            <w:shd w:val="clear" w:color="auto" w:fill="BFBFBF" w:themeFill="background1" w:themeFillShade="BF"/>
          </w:tcPr>
          <w:p w:rsidR="002C4DEF" w:rsidRPr="00A231F5" w:rsidRDefault="002C4DEF" w:rsidP="00282707">
            <w:pPr>
              <w:jc w:val="center"/>
              <w:rPr>
                <w:b/>
                <w:sz w:val="20"/>
                <w:szCs w:val="20"/>
              </w:rPr>
            </w:pPr>
            <w:r w:rsidRPr="00A231F5">
              <w:rPr>
                <w:b/>
                <w:sz w:val="20"/>
                <w:szCs w:val="20"/>
              </w:rPr>
              <w:t>Secondary reattempting drug therapy</w:t>
            </w:r>
          </w:p>
        </w:tc>
        <w:tc>
          <w:tcPr>
            <w:tcW w:w="1701" w:type="dxa"/>
            <w:shd w:val="clear" w:color="auto" w:fill="BFBFBF" w:themeFill="background1" w:themeFillShade="BF"/>
          </w:tcPr>
          <w:p w:rsidR="002C4DEF" w:rsidRPr="00A231F5" w:rsidRDefault="002C4DEF" w:rsidP="00282707">
            <w:pPr>
              <w:jc w:val="center"/>
              <w:rPr>
                <w:b/>
                <w:sz w:val="20"/>
                <w:szCs w:val="20"/>
              </w:rPr>
            </w:pPr>
            <w:r w:rsidRPr="00A231F5">
              <w:rPr>
                <w:b/>
                <w:sz w:val="20"/>
                <w:szCs w:val="20"/>
              </w:rPr>
              <w:t>Tertiary reattempting drug therapy</w:t>
            </w:r>
          </w:p>
        </w:tc>
        <w:tc>
          <w:tcPr>
            <w:tcW w:w="1134" w:type="dxa"/>
            <w:shd w:val="clear" w:color="auto" w:fill="BFBFBF" w:themeFill="background1" w:themeFillShade="BF"/>
          </w:tcPr>
          <w:p w:rsidR="002C4DEF" w:rsidRPr="00A231F5" w:rsidRDefault="002C4DEF" w:rsidP="00970D1D">
            <w:pPr>
              <w:jc w:val="center"/>
              <w:rPr>
                <w:b/>
                <w:sz w:val="20"/>
                <w:szCs w:val="20"/>
              </w:rPr>
            </w:pPr>
            <w:r w:rsidRPr="00A231F5">
              <w:rPr>
                <w:b/>
                <w:sz w:val="20"/>
                <w:szCs w:val="20"/>
              </w:rPr>
              <w:t xml:space="preserve">Number of </w:t>
            </w:r>
            <w:r w:rsidR="00970D1D">
              <w:rPr>
                <w:b/>
                <w:sz w:val="20"/>
                <w:szCs w:val="20"/>
              </w:rPr>
              <w:t>people</w:t>
            </w:r>
          </w:p>
        </w:tc>
        <w:tc>
          <w:tcPr>
            <w:tcW w:w="985" w:type="dxa"/>
            <w:shd w:val="clear" w:color="auto" w:fill="BFBFBF" w:themeFill="background1" w:themeFillShade="BF"/>
          </w:tcPr>
          <w:p w:rsidR="002C4DEF" w:rsidRPr="00A231F5" w:rsidRDefault="002C4DEF" w:rsidP="00970D1D">
            <w:pPr>
              <w:jc w:val="center"/>
              <w:rPr>
                <w:b/>
                <w:sz w:val="20"/>
                <w:szCs w:val="20"/>
              </w:rPr>
            </w:pPr>
            <w:r w:rsidRPr="00A231F5">
              <w:rPr>
                <w:b/>
                <w:sz w:val="20"/>
                <w:szCs w:val="20"/>
              </w:rPr>
              <w:t xml:space="preserve">% of total </w:t>
            </w:r>
            <w:r w:rsidR="00970D1D">
              <w:rPr>
                <w:b/>
                <w:sz w:val="20"/>
                <w:szCs w:val="20"/>
              </w:rPr>
              <w:t>people in cohort</w:t>
            </w:r>
          </w:p>
        </w:tc>
      </w:tr>
      <w:tr w:rsidR="002C4DEF" w:rsidTr="009873B1">
        <w:tc>
          <w:tcPr>
            <w:tcW w:w="1668" w:type="dxa"/>
          </w:tcPr>
          <w:p w:rsidR="002C4DEF" w:rsidRPr="00A231F5" w:rsidRDefault="002C4DEF" w:rsidP="009873B1">
            <w:pPr>
              <w:rPr>
                <w:sz w:val="20"/>
                <w:szCs w:val="20"/>
              </w:rPr>
            </w:pPr>
            <w:r>
              <w:rPr>
                <w:sz w:val="20"/>
                <w:szCs w:val="20"/>
              </w:rPr>
              <w:t>Varenicline</w:t>
            </w:r>
          </w:p>
        </w:tc>
        <w:tc>
          <w:tcPr>
            <w:tcW w:w="1842" w:type="dxa"/>
          </w:tcPr>
          <w:p w:rsidR="002C4DEF" w:rsidRPr="00A231F5" w:rsidRDefault="002C4DEF" w:rsidP="009873B1">
            <w:pPr>
              <w:rPr>
                <w:sz w:val="20"/>
                <w:szCs w:val="20"/>
              </w:rPr>
            </w:pPr>
            <w:r>
              <w:rPr>
                <w:sz w:val="20"/>
                <w:szCs w:val="20"/>
              </w:rPr>
              <w:t>-</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56172</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55.5%</w:t>
            </w:r>
          </w:p>
        </w:tc>
      </w:tr>
      <w:tr w:rsidR="002C4DEF" w:rsidTr="009873B1">
        <w:tc>
          <w:tcPr>
            <w:tcW w:w="1668" w:type="dxa"/>
          </w:tcPr>
          <w:p w:rsidR="002C4DEF" w:rsidRPr="00A231F5" w:rsidRDefault="002C4DEF" w:rsidP="009873B1">
            <w:pPr>
              <w:rPr>
                <w:sz w:val="20"/>
                <w:szCs w:val="20"/>
              </w:rPr>
            </w:pPr>
            <w:r>
              <w:rPr>
                <w:sz w:val="20"/>
                <w:szCs w:val="20"/>
              </w:rPr>
              <w:t>Nicotine</w:t>
            </w:r>
          </w:p>
        </w:tc>
        <w:tc>
          <w:tcPr>
            <w:tcW w:w="1842" w:type="dxa"/>
          </w:tcPr>
          <w:p w:rsidR="002C4DEF" w:rsidRPr="00A231F5" w:rsidRDefault="002C4DEF" w:rsidP="009873B1">
            <w:pPr>
              <w:rPr>
                <w:sz w:val="20"/>
                <w:szCs w:val="20"/>
              </w:rPr>
            </w:pPr>
            <w:r>
              <w:rPr>
                <w:sz w:val="20"/>
                <w:szCs w:val="20"/>
              </w:rPr>
              <w:t>-</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17339</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17.1%</w:t>
            </w:r>
          </w:p>
        </w:tc>
      </w:tr>
      <w:tr w:rsidR="002C4DEF" w:rsidTr="009873B1">
        <w:tc>
          <w:tcPr>
            <w:tcW w:w="1668" w:type="dxa"/>
          </w:tcPr>
          <w:p w:rsidR="002C4DEF" w:rsidRPr="00A231F5" w:rsidRDefault="002C4DEF" w:rsidP="009873B1">
            <w:pPr>
              <w:rPr>
                <w:sz w:val="20"/>
                <w:szCs w:val="20"/>
              </w:rPr>
            </w:pPr>
            <w:r>
              <w:rPr>
                <w:sz w:val="20"/>
                <w:szCs w:val="20"/>
              </w:rPr>
              <w:t>Varenicline</w:t>
            </w:r>
          </w:p>
        </w:tc>
        <w:tc>
          <w:tcPr>
            <w:tcW w:w="1842" w:type="dxa"/>
          </w:tcPr>
          <w:p w:rsidR="002C4DEF" w:rsidRPr="00A231F5" w:rsidRDefault="002C4DEF" w:rsidP="009873B1">
            <w:pPr>
              <w:rPr>
                <w:sz w:val="20"/>
                <w:szCs w:val="20"/>
              </w:rPr>
            </w:pPr>
            <w:r>
              <w:rPr>
                <w:sz w:val="20"/>
                <w:szCs w:val="20"/>
              </w:rPr>
              <w:t>Varenicline</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11221</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11.1%</w:t>
            </w:r>
          </w:p>
        </w:tc>
      </w:tr>
      <w:tr w:rsidR="002C4DEF" w:rsidTr="009873B1">
        <w:tc>
          <w:tcPr>
            <w:tcW w:w="1668" w:type="dxa"/>
          </w:tcPr>
          <w:p w:rsidR="002C4DEF" w:rsidRPr="00A231F5" w:rsidRDefault="002C4DEF" w:rsidP="009873B1">
            <w:pPr>
              <w:rPr>
                <w:sz w:val="20"/>
                <w:szCs w:val="20"/>
              </w:rPr>
            </w:pPr>
            <w:r>
              <w:rPr>
                <w:sz w:val="20"/>
                <w:szCs w:val="20"/>
              </w:rPr>
              <w:t>Nicotine</w:t>
            </w:r>
          </w:p>
        </w:tc>
        <w:tc>
          <w:tcPr>
            <w:tcW w:w="1842" w:type="dxa"/>
          </w:tcPr>
          <w:p w:rsidR="002C4DEF" w:rsidRPr="00A231F5" w:rsidRDefault="002C4DEF" w:rsidP="009873B1">
            <w:pPr>
              <w:rPr>
                <w:sz w:val="20"/>
                <w:szCs w:val="20"/>
              </w:rPr>
            </w:pPr>
            <w:r>
              <w:rPr>
                <w:sz w:val="20"/>
                <w:szCs w:val="20"/>
              </w:rPr>
              <w:t>Nicotine</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2160</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2.1%</w:t>
            </w:r>
          </w:p>
        </w:tc>
      </w:tr>
      <w:tr w:rsidR="002C4DEF" w:rsidTr="009873B1">
        <w:tc>
          <w:tcPr>
            <w:tcW w:w="1668" w:type="dxa"/>
          </w:tcPr>
          <w:p w:rsidR="002C4DEF" w:rsidRPr="00A231F5" w:rsidRDefault="002C4DEF" w:rsidP="009873B1">
            <w:pPr>
              <w:rPr>
                <w:sz w:val="20"/>
                <w:szCs w:val="20"/>
              </w:rPr>
            </w:pPr>
            <w:r>
              <w:rPr>
                <w:sz w:val="20"/>
                <w:szCs w:val="20"/>
              </w:rPr>
              <w:t>Varenicline</w:t>
            </w:r>
          </w:p>
        </w:tc>
        <w:tc>
          <w:tcPr>
            <w:tcW w:w="1842" w:type="dxa"/>
          </w:tcPr>
          <w:p w:rsidR="002C4DEF" w:rsidRPr="00A231F5" w:rsidRDefault="002C4DEF" w:rsidP="009873B1">
            <w:pPr>
              <w:rPr>
                <w:sz w:val="20"/>
                <w:szCs w:val="20"/>
              </w:rPr>
            </w:pPr>
            <w:r>
              <w:rPr>
                <w:sz w:val="20"/>
                <w:szCs w:val="20"/>
              </w:rPr>
              <w:t>Nicotine</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1730</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1.7%</w:t>
            </w:r>
          </w:p>
        </w:tc>
      </w:tr>
      <w:tr w:rsidR="002C4DEF" w:rsidTr="009873B1">
        <w:tc>
          <w:tcPr>
            <w:tcW w:w="1668" w:type="dxa"/>
          </w:tcPr>
          <w:p w:rsidR="002C4DEF" w:rsidRPr="00A231F5" w:rsidRDefault="002C4DEF" w:rsidP="009873B1">
            <w:pPr>
              <w:rPr>
                <w:sz w:val="20"/>
                <w:szCs w:val="20"/>
              </w:rPr>
            </w:pPr>
            <w:r>
              <w:rPr>
                <w:sz w:val="20"/>
                <w:szCs w:val="20"/>
              </w:rPr>
              <w:t>Varenicline</w:t>
            </w:r>
          </w:p>
        </w:tc>
        <w:tc>
          <w:tcPr>
            <w:tcW w:w="1842" w:type="dxa"/>
          </w:tcPr>
          <w:p w:rsidR="002C4DEF" w:rsidRPr="00A231F5" w:rsidRDefault="002C4DEF" w:rsidP="009873B1">
            <w:pPr>
              <w:rPr>
                <w:sz w:val="20"/>
                <w:szCs w:val="20"/>
              </w:rPr>
            </w:pPr>
            <w:r>
              <w:rPr>
                <w:sz w:val="20"/>
                <w:szCs w:val="20"/>
              </w:rPr>
              <w:t>Varenicline</w:t>
            </w:r>
          </w:p>
        </w:tc>
        <w:tc>
          <w:tcPr>
            <w:tcW w:w="1843" w:type="dxa"/>
          </w:tcPr>
          <w:p w:rsidR="002C4DEF" w:rsidRPr="00A231F5" w:rsidRDefault="002C4DEF" w:rsidP="009873B1">
            <w:pPr>
              <w:rPr>
                <w:sz w:val="20"/>
                <w:szCs w:val="20"/>
              </w:rPr>
            </w:pPr>
            <w:r>
              <w:rPr>
                <w:sz w:val="20"/>
                <w:szCs w:val="20"/>
              </w:rPr>
              <w:t>Varenicline</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1659</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1.6%</w:t>
            </w:r>
          </w:p>
        </w:tc>
      </w:tr>
      <w:tr w:rsidR="002C4DEF" w:rsidTr="009873B1">
        <w:tc>
          <w:tcPr>
            <w:tcW w:w="1668" w:type="dxa"/>
          </w:tcPr>
          <w:p w:rsidR="002C4DEF" w:rsidRPr="00A231F5" w:rsidRDefault="002C4DEF" w:rsidP="009873B1">
            <w:pPr>
              <w:rPr>
                <w:sz w:val="20"/>
                <w:szCs w:val="20"/>
              </w:rPr>
            </w:pPr>
            <w:r>
              <w:rPr>
                <w:sz w:val="20"/>
                <w:szCs w:val="20"/>
              </w:rPr>
              <w:t>Nicotine</w:t>
            </w:r>
          </w:p>
        </w:tc>
        <w:tc>
          <w:tcPr>
            <w:tcW w:w="1842" w:type="dxa"/>
          </w:tcPr>
          <w:p w:rsidR="002C4DEF" w:rsidRPr="00A231F5" w:rsidRDefault="002C4DEF" w:rsidP="009873B1">
            <w:pPr>
              <w:rPr>
                <w:sz w:val="20"/>
                <w:szCs w:val="20"/>
              </w:rPr>
            </w:pPr>
            <w:r>
              <w:rPr>
                <w:sz w:val="20"/>
                <w:szCs w:val="20"/>
              </w:rPr>
              <w:t>Nicotine (repeat)</w:t>
            </w:r>
            <w:r w:rsidR="00502F91" w:rsidRPr="00502F91">
              <w:rPr>
                <w:sz w:val="20"/>
                <w:szCs w:val="20"/>
                <w:vertAlign w:val="superscript"/>
              </w:rPr>
              <w:t xml:space="preserve"> Ɨ</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1648</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1.6%</w:t>
            </w:r>
          </w:p>
        </w:tc>
      </w:tr>
      <w:tr w:rsidR="002C4DEF" w:rsidTr="009873B1">
        <w:tc>
          <w:tcPr>
            <w:tcW w:w="1668" w:type="dxa"/>
          </w:tcPr>
          <w:p w:rsidR="002C4DEF" w:rsidRPr="00A231F5" w:rsidRDefault="002C4DEF" w:rsidP="009873B1">
            <w:pPr>
              <w:rPr>
                <w:sz w:val="20"/>
                <w:szCs w:val="20"/>
              </w:rPr>
            </w:pPr>
            <w:r>
              <w:rPr>
                <w:sz w:val="20"/>
                <w:szCs w:val="20"/>
              </w:rPr>
              <w:t>Bupropion</w:t>
            </w:r>
          </w:p>
        </w:tc>
        <w:tc>
          <w:tcPr>
            <w:tcW w:w="1842" w:type="dxa"/>
          </w:tcPr>
          <w:p w:rsidR="002C4DEF" w:rsidRPr="00A231F5" w:rsidRDefault="002C4DEF" w:rsidP="009873B1">
            <w:pPr>
              <w:rPr>
                <w:sz w:val="20"/>
                <w:szCs w:val="20"/>
              </w:rPr>
            </w:pPr>
            <w:r>
              <w:rPr>
                <w:sz w:val="20"/>
                <w:szCs w:val="20"/>
              </w:rPr>
              <w:t>-</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1494</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1.5%</w:t>
            </w:r>
          </w:p>
        </w:tc>
      </w:tr>
      <w:tr w:rsidR="002C4DEF" w:rsidTr="009873B1">
        <w:tc>
          <w:tcPr>
            <w:tcW w:w="1668" w:type="dxa"/>
          </w:tcPr>
          <w:p w:rsidR="002C4DEF" w:rsidRPr="00A231F5" w:rsidRDefault="002C4DEF" w:rsidP="009873B1">
            <w:pPr>
              <w:rPr>
                <w:sz w:val="20"/>
                <w:szCs w:val="20"/>
              </w:rPr>
            </w:pPr>
            <w:r>
              <w:rPr>
                <w:sz w:val="20"/>
                <w:szCs w:val="20"/>
              </w:rPr>
              <w:t>Nicotine</w:t>
            </w:r>
          </w:p>
        </w:tc>
        <w:tc>
          <w:tcPr>
            <w:tcW w:w="1842" w:type="dxa"/>
          </w:tcPr>
          <w:p w:rsidR="002C4DEF" w:rsidRPr="00A231F5" w:rsidRDefault="002C4DEF" w:rsidP="009873B1">
            <w:pPr>
              <w:rPr>
                <w:sz w:val="20"/>
                <w:szCs w:val="20"/>
              </w:rPr>
            </w:pPr>
            <w:r>
              <w:rPr>
                <w:sz w:val="20"/>
                <w:szCs w:val="20"/>
              </w:rPr>
              <w:t>Varenicline</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1425</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1.4%</w:t>
            </w:r>
          </w:p>
        </w:tc>
      </w:tr>
      <w:tr w:rsidR="002C4DEF" w:rsidTr="009873B1">
        <w:tc>
          <w:tcPr>
            <w:tcW w:w="1668" w:type="dxa"/>
          </w:tcPr>
          <w:p w:rsidR="002C4DEF" w:rsidRPr="00A231F5" w:rsidRDefault="002C4DEF" w:rsidP="009873B1">
            <w:pPr>
              <w:rPr>
                <w:sz w:val="20"/>
                <w:szCs w:val="20"/>
              </w:rPr>
            </w:pPr>
            <w:r>
              <w:rPr>
                <w:sz w:val="20"/>
                <w:szCs w:val="20"/>
              </w:rPr>
              <w:t>Varenicline</w:t>
            </w:r>
          </w:p>
        </w:tc>
        <w:tc>
          <w:tcPr>
            <w:tcW w:w="1842" w:type="dxa"/>
          </w:tcPr>
          <w:p w:rsidR="002C4DEF" w:rsidRPr="00A231F5" w:rsidRDefault="002C4DEF" w:rsidP="009873B1">
            <w:pPr>
              <w:rPr>
                <w:sz w:val="20"/>
                <w:szCs w:val="20"/>
              </w:rPr>
            </w:pPr>
            <w:r>
              <w:rPr>
                <w:sz w:val="20"/>
                <w:szCs w:val="20"/>
              </w:rPr>
              <w:t>Bupropion</w:t>
            </w:r>
          </w:p>
        </w:tc>
        <w:tc>
          <w:tcPr>
            <w:tcW w:w="1843" w:type="dxa"/>
          </w:tcPr>
          <w:p w:rsidR="002C4DEF" w:rsidRPr="00A231F5" w:rsidRDefault="002C4DEF" w:rsidP="009873B1">
            <w:pPr>
              <w:rPr>
                <w:sz w:val="20"/>
                <w:szCs w:val="20"/>
              </w:rPr>
            </w:pPr>
            <w:r>
              <w:rPr>
                <w:sz w:val="20"/>
                <w:szCs w:val="20"/>
              </w:rPr>
              <w:t>-</w:t>
            </w:r>
          </w:p>
        </w:tc>
        <w:tc>
          <w:tcPr>
            <w:tcW w:w="1701" w:type="dxa"/>
          </w:tcPr>
          <w:p w:rsidR="002C4DEF" w:rsidRPr="00A231F5" w:rsidRDefault="002C4DEF" w:rsidP="009873B1">
            <w:pPr>
              <w:rPr>
                <w:sz w:val="20"/>
                <w:szCs w:val="20"/>
              </w:rPr>
            </w:pPr>
            <w:r>
              <w:rPr>
                <w:sz w:val="20"/>
                <w:szCs w:val="20"/>
              </w:rPr>
              <w:t>-</w:t>
            </w:r>
          </w:p>
        </w:tc>
        <w:tc>
          <w:tcPr>
            <w:tcW w:w="1134" w:type="dxa"/>
          </w:tcPr>
          <w:p w:rsidR="002C4DEF" w:rsidRPr="003E0B27" w:rsidRDefault="002C4DEF" w:rsidP="0095245F">
            <w:pPr>
              <w:jc w:val="right"/>
              <w:rPr>
                <w:sz w:val="20"/>
                <w:szCs w:val="20"/>
              </w:rPr>
            </w:pPr>
            <w:r w:rsidRPr="003E0B27">
              <w:rPr>
                <w:sz w:val="20"/>
                <w:szCs w:val="20"/>
              </w:rPr>
              <w:t>331</w:t>
            </w:r>
          </w:p>
        </w:tc>
        <w:tc>
          <w:tcPr>
            <w:tcW w:w="985" w:type="dxa"/>
            <w:vAlign w:val="bottom"/>
          </w:tcPr>
          <w:p w:rsidR="002C4DEF" w:rsidRPr="003E0B27" w:rsidRDefault="002C4DEF" w:rsidP="0095245F">
            <w:pPr>
              <w:jc w:val="right"/>
              <w:rPr>
                <w:sz w:val="20"/>
                <w:szCs w:val="20"/>
              </w:rPr>
            </w:pPr>
            <w:r w:rsidRPr="003E0B27">
              <w:rPr>
                <w:rFonts w:ascii="Calibri" w:hAnsi="Calibri"/>
                <w:sz w:val="20"/>
                <w:szCs w:val="20"/>
              </w:rPr>
              <w:t>0.3%</w:t>
            </w:r>
          </w:p>
        </w:tc>
      </w:tr>
      <w:tr w:rsidR="002C4DEF" w:rsidTr="009873B1">
        <w:tc>
          <w:tcPr>
            <w:tcW w:w="7054" w:type="dxa"/>
            <w:gridSpan w:val="4"/>
          </w:tcPr>
          <w:p w:rsidR="002C4DEF" w:rsidRPr="00A231F5" w:rsidRDefault="002C4DEF" w:rsidP="00970D1D">
            <w:pPr>
              <w:rPr>
                <w:b/>
                <w:sz w:val="20"/>
                <w:szCs w:val="20"/>
              </w:rPr>
            </w:pPr>
            <w:r w:rsidRPr="00A231F5">
              <w:rPr>
                <w:b/>
                <w:sz w:val="20"/>
                <w:szCs w:val="20"/>
              </w:rPr>
              <w:t xml:space="preserve">Total </w:t>
            </w:r>
            <w:r w:rsidR="00970D1D">
              <w:rPr>
                <w:b/>
                <w:sz w:val="20"/>
                <w:szCs w:val="20"/>
              </w:rPr>
              <w:t>people</w:t>
            </w:r>
            <w:r w:rsidRPr="00A231F5">
              <w:rPr>
                <w:b/>
                <w:sz w:val="20"/>
                <w:szCs w:val="20"/>
              </w:rPr>
              <w:t xml:space="preserve"> in top 10 most common </w:t>
            </w:r>
            <w:r w:rsidR="002B7F53">
              <w:rPr>
                <w:b/>
                <w:sz w:val="20"/>
                <w:szCs w:val="20"/>
              </w:rPr>
              <w:t>sequences</w:t>
            </w:r>
            <w:r w:rsidRPr="00A231F5">
              <w:rPr>
                <w:b/>
                <w:sz w:val="20"/>
                <w:szCs w:val="20"/>
              </w:rPr>
              <w:t xml:space="preserve"> </w:t>
            </w:r>
          </w:p>
        </w:tc>
        <w:tc>
          <w:tcPr>
            <w:tcW w:w="1134" w:type="dxa"/>
          </w:tcPr>
          <w:p w:rsidR="002C4DEF" w:rsidRPr="00A231F5" w:rsidRDefault="002C4DEF" w:rsidP="0095245F">
            <w:pPr>
              <w:jc w:val="right"/>
              <w:rPr>
                <w:rFonts w:ascii="Calibri" w:hAnsi="Calibri"/>
                <w:color w:val="000000"/>
                <w:sz w:val="20"/>
                <w:szCs w:val="20"/>
              </w:rPr>
            </w:pPr>
            <w:r>
              <w:rPr>
                <w:rFonts w:ascii="Calibri" w:hAnsi="Calibri"/>
                <w:color w:val="000000"/>
                <w:sz w:val="20"/>
                <w:szCs w:val="20"/>
              </w:rPr>
              <w:t>95179</w:t>
            </w:r>
          </w:p>
        </w:tc>
        <w:tc>
          <w:tcPr>
            <w:tcW w:w="985" w:type="dxa"/>
          </w:tcPr>
          <w:p w:rsidR="002C4DEF" w:rsidRPr="00A231F5" w:rsidRDefault="002C4DEF" w:rsidP="0095245F">
            <w:pPr>
              <w:jc w:val="right"/>
              <w:rPr>
                <w:sz w:val="20"/>
                <w:szCs w:val="20"/>
              </w:rPr>
            </w:pPr>
            <w:r>
              <w:rPr>
                <w:sz w:val="20"/>
                <w:szCs w:val="20"/>
              </w:rPr>
              <w:t>94%</w:t>
            </w:r>
          </w:p>
        </w:tc>
      </w:tr>
      <w:tr w:rsidR="002C4DEF" w:rsidTr="009873B1">
        <w:tc>
          <w:tcPr>
            <w:tcW w:w="7054" w:type="dxa"/>
            <w:gridSpan w:val="4"/>
          </w:tcPr>
          <w:p w:rsidR="002C4DEF" w:rsidRPr="00A231F5" w:rsidRDefault="002C4DEF"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using other </w:t>
            </w:r>
            <w:r w:rsidR="002B7F53">
              <w:rPr>
                <w:b/>
                <w:sz w:val="20"/>
                <w:szCs w:val="20"/>
              </w:rPr>
              <w:t>sequences</w:t>
            </w:r>
          </w:p>
        </w:tc>
        <w:tc>
          <w:tcPr>
            <w:tcW w:w="1134" w:type="dxa"/>
          </w:tcPr>
          <w:p w:rsidR="002C4DEF" w:rsidRPr="00A231F5" w:rsidRDefault="002C4DEF" w:rsidP="0095245F">
            <w:pPr>
              <w:jc w:val="right"/>
              <w:rPr>
                <w:rFonts w:ascii="Calibri" w:hAnsi="Calibri"/>
                <w:color w:val="000000"/>
                <w:sz w:val="20"/>
                <w:szCs w:val="20"/>
              </w:rPr>
            </w:pPr>
            <w:r>
              <w:rPr>
                <w:rFonts w:ascii="Calibri" w:hAnsi="Calibri"/>
                <w:color w:val="000000"/>
                <w:sz w:val="20"/>
                <w:szCs w:val="20"/>
              </w:rPr>
              <w:t>6033</w:t>
            </w:r>
          </w:p>
        </w:tc>
        <w:tc>
          <w:tcPr>
            <w:tcW w:w="985" w:type="dxa"/>
          </w:tcPr>
          <w:p w:rsidR="002C4DEF" w:rsidRPr="00A231F5" w:rsidRDefault="002C4DEF" w:rsidP="0095245F">
            <w:pPr>
              <w:jc w:val="right"/>
              <w:rPr>
                <w:sz w:val="20"/>
                <w:szCs w:val="20"/>
              </w:rPr>
            </w:pPr>
            <w:r>
              <w:rPr>
                <w:sz w:val="20"/>
                <w:szCs w:val="20"/>
              </w:rPr>
              <w:t>6%</w:t>
            </w:r>
          </w:p>
        </w:tc>
      </w:tr>
      <w:tr w:rsidR="002C4DEF" w:rsidTr="009873B1">
        <w:tc>
          <w:tcPr>
            <w:tcW w:w="7054" w:type="dxa"/>
            <w:gridSpan w:val="4"/>
          </w:tcPr>
          <w:p w:rsidR="002C4DEF" w:rsidRPr="00A231F5" w:rsidRDefault="002C4DEF"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attempting smoking cessation therapy</w:t>
            </w:r>
          </w:p>
        </w:tc>
        <w:tc>
          <w:tcPr>
            <w:tcW w:w="1134" w:type="dxa"/>
          </w:tcPr>
          <w:p w:rsidR="002C4DEF" w:rsidRPr="00A231F5" w:rsidRDefault="002C4DEF" w:rsidP="0095245F">
            <w:pPr>
              <w:jc w:val="right"/>
              <w:rPr>
                <w:rFonts w:ascii="Calibri" w:hAnsi="Calibri"/>
                <w:color w:val="000000"/>
                <w:sz w:val="20"/>
                <w:szCs w:val="20"/>
              </w:rPr>
            </w:pPr>
            <w:r>
              <w:rPr>
                <w:rFonts w:ascii="Calibri" w:hAnsi="Calibri"/>
                <w:color w:val="000000"/>
                <w:sz w:val="20"/>
                <w:szCs w:val="20"/>
              </w:rPr>
              <w:t>101212</w:t>
            </w:r>
          </w:p>
        </w:tc>
        <w:tc>
          <w:tcPr>
            <w:tcW w:w="985" w:type="dxa"/>
          </w:tcPr>
          <w:p w:rsidR="002C4DEF" w:rsidRPr="00A231F5" w:rsidRDefault="002C4DEF" w:rsidP="0095245F">
            <w:pPr>
              <w:jc w:val="right"/>
              <w:rPr>
                <w:sz w:val="20"/>
                <w:szCs w:val="20"/>
              </w:rPr>
            </w:pPr>
            <w:r>
              <w:rPr>
                <w:sz w:val="20"/>
                <w:szCs w:val="20"/>
              </w:rPr>
              <w:t>100%</w:t>
            </w:r>
          </w:p>
        </w:tc>
      </w:tr>
    </w:tbl>
    <w:p w:rsidR="00502F91" w:rsidRDefault="00286EAF" w:rsidP="00502F91">
      <w:pPr>
        <w:spacing w:after="0"/>
        <w:rPr>
          <w:rStyle w:val="FigurecaptionChar"/>
        </w:rPr>
      </w:pPr>
      <w:r w:rsidRPr="0030713E">
        <w:rPr>
          <w:rStyle w:val="FigurecaptionChar"/>
        </w:rPr>
        <w:t>Source: D</w:t>
      </w:r>
      <w:r w:rsidR="00502F91">
        <w:rPr>
          <w:rStyle w:val="FigurecaptionChar"/>
        </w:rPr>
        <w:t>HS</w:t>
      </w:r>
      <w:r w:rsidRPr="0030713E">
        <w:rPr>
          <w:rStyle w:val="FigurecaptionChar"/>
        </w:rPr>
        <w:t xml:space="preserve"> </w:t>
      </w:r>
      <w:r w:rsidR="00502F91">
        <w:rPr>
          <w:rStyle w:val="FigurecaptionChar"/>
        </w:rPr>
        <w:t>Medicare D</w:t>
      </w:r>
      <w:r w:rsidRPr="0030713E">
        <w:rPr>
          <w:rStyle w:val="FigurecaptionChar"/>
        </w:rPr>
        <w:t xml:space="preserve">atabase, </w:t>
      </w:r>
      <w:r>
        <w:rPr>
          <w:rStyle w:val="FigurecaptionChar"/>
        </w:rPr>
        <w:t>November 2015</w:t>
      </w:r>
      <w:r w:rsidRPr="0030713E">
        <w:rPr>
          <w:rStyle w:val="FigurecaptionChar"/>
        </w:rPr>
        <w:t>.</w:t>
      </w:r>
    </w:p>
    <w:p w:rsidR="00502F91" w:rsidRDefault="00502F91" w:rsidP="00502F91">
      <w:pPr>
        <w:spacing w:after="0"/>
        <w:rPr>
          <w:rStyle w:val="FigurecaptionChar"/>
        </w:rPr>
      </w:pPr>
      <w:r w:rsidRPr="00502F91">
        <w:rPr>
          <w:sz w:val="20"/>
          <w:szCs w:val="20"/>
          <w:vertAlign w:val="superscript"/>
        </w:rPr>
        <w:t>Ɨ</w:t>
      </w:r>
      <w:r>
        <w:rPr>
          <w:sz w:val="20"/>
          <w:szCs w:val="20"/>
          <w:vertAlign w:val="superscript"/>
        </w:rPr>
        <w:t xml:space="preserve"> </w:t>
      </w:r>
      <w:r>
        <w:rPr>
          <w:sz w:val="20"/>
          <w:szCs w:val="20"/>
        </w:rPr>
        <w:t>A repeat prescription was used to obtain the supply.</w:t>
      </w:r>
    </w:p>
    <w:p w:rsidR="002C4DEF" w:rsidRDefault="002C4DEF" w:rsidP="00A35800"/>
    <w:p w:rsidR="00FC0ED4" w:rsidRDefault="00FC0ED4" w:rsidP="00315BA1">
      <w:pPr>
        <w:spacing w:after="0"/>
        <w:rPr>
          <w:b/>
        </w:rPr>
      </w:pPr>
    </w:p>
    <w:p w:rsidR="00FC0ED4" w:rsidRDefault="00FC0ED4" w:rsidP="00315BA1">
      <w:pPr>
        <w:spacing w:after="0"/>
        <w:rPr>
          <w:b/>
        </w:rPr>
      </w:pPr>
    </w:p>
    <w:p w:rsidR="003E0B27" w:rsidRPr="008B7248" w:rsidRDefault="003E0B27" w:rsidP="00315BA1">
      <w:pPr>
        <w:spacing w:after="0"/>
        <w:rPr>
          <w:b/>
        </w:rPr>
      </w:pPr>
      <w:r w:rsidRPr="008B7248">
        <w:rPr>
          <w:b/>
        </w:rPr>
        <w:lastRenderedPageBreak/>
        <w:t xml:space="preserve">Table </w:t>
      </w:r>
      <w:r w:rsidR="00E60A4E">
        <w:rPr>
          <w:b/>
        </w:rPr>
        <w:t>8</w:t>
      </w:r>
      <w:r w:rsidRPr="008B7248">
        <w:rPr>
          <w:b/>
        </w:rPr>
        <w:t xml:space="preserve">: </w:t>
      </w:r>
      <w:r w:rsidR="00970D1D">
        <w:rPr>
          <w:b/>
        </w:rPr>
        <w:t>R/</w:t>
      </w:r>
      <w:r>
        <w:rPr>
          <w:b/>
        </w:rPr>
        <w:t>PBS subsidised smoking cessation therapy choice for p</w:t>
      </w:r>
      <w:r w:rsidR="002B635D">
        <w:rPr>
          <w:b/>
        </w:rPr>
        <w:t>eople</w:t>
      </w:r>
      <w:r>
        <w:rPr>
          <w:b/>
        </w:rPr>
        <w:t xml:space="preserve"> who made their first quit attempt in 2014</w:t>
      </w:r>
    </w:p>
    <w:tbl>
      <w:tblPr>
        <w:tblStyle w:val="TableGrid"/>
        <w:tblW w:w="0" w:type="auto"/>
        <w:tblLook w:val="04A0" w:firstRow="1" w:lastRow="0" w:firstColumn="1" w:lastColumn="0" w:noHBand="0" w:noVBand="1"/>
        <w:tblCaption w:val="R/PBS subsidised smoking cessation therapy choice for people who made their first quit attempt in 2014"/>
        <w:tblDescription w:val="Table 6 has 6 columns. In these columns, it illustrates what the choice of therapy was for a person's first attempt and three subsequent reattempts, if there were any for the year 2014. It also indicates the number of people choosing these therapies and their percentage of the total people in the cohort. "/>
      </w:tblPr>
      <w:tblGrid>
        <w:gridCol w:w="1668"/>
        <w:gridCol w:w="1842"/>
        <w:gridCol w:w="1843"/>
        <w:gridCol w:w="1701"/>
        <w:gridCol w:w="1134"/>
        <w:gridCol w:w="985"/>
      </w:tblGrid>
      <w:tr w:rsidR="003E0B27" w:rsidTr="00992DDA">
        <w:trPr>
          <w:tblHeader/>
        </w:trPr>
        <w:tc>
          <w:tcPr>
            <w:tcW w:w="1668" w:type="dxa"/>
            <w:shd w:val="clear" w:color="auto" w:fill="BFBFBF" w:themeFill="background1" w:themeFillShade="BF"/>
          </w:tcPr>
          <w:p w:rsidR="003E0B27" w:rsidRPr="00A231F5" w:rsidRDefault="003E0B27" w:rsidP="00282707">
            <w:pPr>
              <w:jc w:val="center"/>
              <w:rPr>
                <w:b/>
                <w:sz w:val="20"/>
                <w:szCs w:val="20"/>
              </w:rPr>
            </w:pPr>
            <w:r w:rsidRPr="00A231F5">
              <w:rPr>
                <w:b/>
                <w:sz w:val="20"/>
                <w:szCs w:val="20"/>
              </w:rPr>
              <w:t>Initiating Drug</w:t>
            </w:r>
          </w:p>
        </w:tc>
        <w:tc>
          <w:tcPr>
            <w:tcW w:w="1842" w:type="dxa"/>
            <w:shd w:val="clear" w:color="auto" w:fill="BFBFBF" w:themeFill="background1" w:themeFillShade="BF"/>
          </w:tcPr>
          <w:p w:rsidR="003E0B27" w:rsidRPr="00A231F5" w:rsidRDefault="003E0B27" w:rsidP="00282707">
            <w:pPr>
              <w:jc w:val="center"/>
              <w:rPr>
                <w:b/>
                <w:sz w:val="20"/>
                <w:szCs w:val="20"/>
              </w:rPr>
            </w:pPr>
            <w:r w:rsidRPr="00A231F5">
              <w:rPr>
                <w:b/>
                <w:sz w:val="20"/>
                <w:szCs w:val="20"/>
              </w:rPr>
              <w:t>Reattempting drug therapy</w:t>
            </w:r>
          </w:p>
        </w:tc>
        <w:tc>
          <w:tcPr>
            <w:tcW w:w="1843" w:type="dxa"/>
            <w:shd w:val="clear" w:color="auto" w:fill="BFBFBF" w:themeFill="background1" w:themeFillShade="BF"/>
          </w:tcPr>
          <w:p w:rsidR="003E0B27" w:rsidRPr="00A231F5" w:rsidRDefault="003E0B27" w:rsidP="00282707">
            <w:pPr>
              <w:jc w:val="center"/>
              <w:rPr>
                <w:b/>
                <w:sz w:val="20"/>
                <w:szCs w:val="20"/>
              </w:rPr>
            </w:pPr>
            <w:r w:rsidRPr="00A231F5">
              <w:rPr>
                <w:b/>
                <w:sz w:val="20"/>
                <w:szCs w:val="20"/>
              </w:rPr>
              <w:t>Secondary reattempting drug therapy</w:t>
            </w:r>
          </w:p>
        </w:tc>
        <w:tc>
          <w:tcPr>
            <w:tcW w:w="1701" w:type="dxa"/>
            <w:shd w:val="clear" w:color="auto" w:fill="BFBFBF" w:themeFill="background1" w:themeFillShade="BF"/>
          </w:tcPr>
          <w:p w:rsidR="003E0B27" w:rsidRPr="00A231F5" w:rsidRDefault="003E0B27" w:rsidP="00282707">
            <w:pPr>
              <w:jc w:val="center"/>
              <w:rPr>
                <w:b/>
                <w:sz w:val="20"/>
                <w:szCs w:val="20"/>
              </w:rPr>
            </w:pPr>
            <w:r w:rsidRPr="00A231F5">
              <w:rPr>
                <w:b/>
                <w:sz w:val="20"/>
                <w:szCs w:val="20"/>
              </w:rPr>
              <w:t>Tertiary reattempting drug therapy</w:t>
            </w:r>
          </w:p>
        </w:tc>
        <w:tc>
          <w:tcPr>
            <w:tcW w:w="1134" w:type="dxa"/>
            <w:shd w:val="clear" w:color="auto" w:fill="BFBFBF" w:themeFill="background1" w:themeFillShade="BF"/>
          </w:tcPr>
          <w:p w:rsidR="003E0B27" w:rsidRPr="00A231F5" w:rsidRDefault="003E0B27" w:rsidP="00970D1D">
            <w:pPr>
              <w:jc w:val="center"/>
              <w:rPr>
                <w:b/>
                <w:sz w:val="20"/>
                <w:szCs w:val="20"/>
              </w:rPr>
            </w:pPr>
            <w:r w:rsidRPr="00A231F5">
              <w:rPr>
                <w:b/>
                <w:sz w:val="20"/>
                <w:szCs w:val="20"/>
              </w:rPr>
              <w:t xml:space="preserve">Number of </w:t>
            </w:r>
            <w:r w:rsidR="00970D1D">
              <w:rPr>
                <w:b/>
                <w:sz w:val="20"/>
                <w:szCs w:val="20"/>
              </w:rPr>
              <w:t>people</w:t>
            </w:r>
          </w:p>
        </w:tc>
        <w:tc>
          <w:tcPr>
            <w:tcW w:w="985" w:type="dxa"/>
            <w:shd w:val="clear" w:color="auto" w:fill="BFBFBF" w:themeFill="background1" w:themeFillShade="BF"/>
          </w:tcPr>
          <w:p w:rsidR="003E0B27" w:rsidRPr="00A231F5" w:rsidRDefault="003E0B27" w:rsidP="00970D1D">
            <w:pPr>
              <w:jc w:val="center"/>
              <w:rPr>
                <w:b/>
                <w:sz w:val="20"/>
                <w:szCs w:val="20"/>
              </w:rPr>
            </w:pPr>
            <w:r w:rsidRPr="00A231F5">
              <w:rPr>
                <w:b/>
                <w:sz w:val="20"/>
                <w:szCs w:val="20"/>
              </w:rPr>
              <w:t xml:space="preserve">% of total </w:t>
            </w:r>
            <w:r w:rsidR="00970D1D">
              <w:rPr>
                <w:b/>
                <w:sz w:val="20"/>
                <w:szCs w:val="20"/>
              </w:rPr>
              <w:t>people in cohort</w:t>
            </w:r>
          </w:p>
        </w:tc>
      </w:tr>
      <w:tr w:rsidR="003E0B27" w:rsidTr="009873B1">
        <w:tc>
          <w:tcPr>
            <w:tcW w:w="1668" w:type="dxa"/>
          </w:tcPr>
          <w:p w:rsidR="003E0B27" w:rsidRPr="00A231F5" w:rsidRDefault="003E0B27" w:rsidP="009873B1">
            <w:pPr>
              <w:rPr>
                <w:sz w:val="20"/>
                <w:szCs w:val="20"/>
              </w:rPr>
            </w:pPr>
            <w:r>
              <w:rPr>
                <w:sz w:val="20"/>
                <w:szCs w:val="20"/>
              </w:rPr>
              <w:t>Varenicline</w:t>
            </w:r>
          </w:p>
        </w:tc>
        <w:tc>
          <w:tcPr>
            <w:tcW w:w="1842" w:type="dxa"/>
          </w:tcPr>
          <w:p w:rsidR="003E0B27" w:rsidRPr="00A231F5" w:rsidRDefault="003E0B27" w:rsidP="009873B1">
            <w:pPr>
              <w:rPr>
                <w:sz w:val="20"/>
                <w:szCs w:val="20"/>
              </w:rPr>
            </w:pPr>
            <w:r>
              <w:rPr>
                <w:sz w:val="20"/>
                <w:szCs w:val="20"/>
              </w:rPr>
              <w:t>-</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54140</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61.1%</w:t>
            </w:r>
          </w:p>
        </w:tc>
      </w:tr>
      <w:tr w:rsidR="003E0B27" w:rsidTr="009873B1">
        <w:tc>
          <w:tcPr>
            <w:tcW w:w="1668" w:type="dxa"/>
          </w:tcPr>
          <w:p w:rsidR="003E0B27" w:rsidRPr="00A231F5" w:rsidRDefault="003E0B27" w:rsidP="009873B1">
            <w:pPr>
              <w:rPr>
                <w:sz w:val="20"/>
                <w:szCs w:val="20"/>
              </w:rPr>
            </w:pPr>
            <w:r>
              <w:rPr>
                <w:sz w:val="20"/>
                <w:szCs w:val="20"/>
              </w:rPr>
              <w:t>Nicotine</w:t>
            </w:r>
          </w:p>
        </w:tc>
        <w:tc>
          <w:tcPr>
            <w:tcW w:w="1842" w:type="dxa"/>
          </w:tcPr>
          <w:p w:rsidR="003E0B27" w:rsidRPr="00A231F5" w:rsidRDefault="003E0B27" w:rsidP="009873B1">
            <w:pPr>
              <w:rPr>
                <w:sz w:val="20"/>
                <w:szCs w:val="20"/>
              </w:rPr>
            </w:pPr>
            <w:r>
              <w:rPr>
                <w:sz w:val="20"/>
                <w:szCs w:val="20"/>
              </w:rPr>
              <w:t>-</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17440</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19.7%</w:t>
            </w:r>
          </w:p>
        </w:tc>
      </w:tr>
      <w:tr w:rsidR="003E0B27" w:rsidTr="009873B1">
        <w:tc>
          <w:tcPr>
            <w:tcW w:w="1668" w:type="dxa"/>
          </w:tcPr>
          <w:p w:rsidR="003E0B27" w:rsidRPr="00A231F5" w:rsidRDefault="003E0B27" w:rsidP="009873B1">
            <w:pPr>
              <w:rPr>
                <w:sz w:val="20"/>
                <w:szCs w:val="20"/>
              </w:rPr>
            </w:pPr>
            <w:r>
              <w:rPr>
                <w:sz w:val="20"/>
                <w:szCs w:val="20"/>
              </w:rPr>
              <w:t>Varenicline</w:t>
            </w:r>
          </w:p>
        </w:tc>
        <w:tc>
          <w:tcPr>
            <w:tcW w:w="1842" w:type="dxa"/>
          </w:tcPr>
          <w:p w:rsidR="003E0B27" w:rsidRPr="00A231F5" w:rsidRDefault="003E0B27" w:rsidP="009873B1">
            <w:pPr>
              <w:rPr>
                <w:sz w:val="20"/>
                <w:szCs w:val="20"/>
              </w:rPr>
            </w:pPr>
            <w:r>
              <w:rPr>
                <w:sz w:val="20"/>
                <w:szCs w:val="20"/>
              </w:rPr>
              <w:t>Varenicline</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6620</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7.5%</w:t>
            </w:r>
          </w:p>
        </w:tc>
      </w:tr>
      <w:tr w:rsidR="003E0B27" w:rsidTr="009873B1">
        <w:tc>
          <w:tcPr>
            <w:tcW w:w="1668" w:type="dxa"/>
          </w:tcPr>
          <w:p w:rsidR="003E0B27" w:rsidRPr="00A231F5" w:rsidRDefault="003E0B27" w:rsidP="009873B1">
            <w:pPr>
              <w:rPr>
                <w:sz w:val="20"/>
                <w:szCs w:val="20"/>
              </w:rPr>
            </w:pPr>
            <w:r>
              <w:rPr>
                <w:sz w:val="20"/>
                <w:szCs w:val="20"/>
              </w:rPr>
              <w:t>Bupropion</w:t>
            </w:r>
          </w:p>
        </w:tc>
        <w:tc>
          <w:tcPr>
            <w:tcW w:w="1842" w:type="dxa"/>
          </w:tcPr>
          <w:p w:rsidR="003E0B27" w:rsidRPr="00A231F5" w:rsidRDefault="003E0B27" w:rsidP="009873B1">
            <w:pPr>
              <w:rPr>
                <w:sz w:val="20"/>
                <w:szCs w:val="20"/>
              </w:rPr>
            </w:pPr>
            <w:r>
              <w:rPr>
                <w:sz w:val="20"/>
                <w:szCs w:val="20"/>
              </w:rPr>
              <w:t>-</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1699</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1.9%</w:t>
            </w:r>
          </w:p>
        </w:tc>
      </w:tr>
      <w:tr w:rsidR="003E0B27" w:rsidTr="009873B1">
        <w:tc>
          <w:tcPr>
            <w:tcW w:w="1668" w:type="dxa"/>
          </w:tcPr>
          <w:p w:rsidR="003E0B27" w:rsidRPr="00A231F5" w:rsidRDefault="003E0B27" w:rsidP="009873B1">
            <w:pPr>
              <w:rPr>
                <w:sz w:val="20"/>
                <w:szCs w:val="20"/>
              </w:rPr>
            </w:pPr>
            <w:r>
              <w:rPr>
                <w:sz w:val="20"/>
                <w:szCs w:val="20"/>
              </w:rPr>
              <w:t>Nicotine</w:t>
            </w:r>
          </w:p>
        </w:tc>
        <w:tc>
          <w:tcPr>
            <w:tcW w:w="1842" w:type="dxa"/>
          </w:tcPr>
          <w:p w:rsidR="003E0B27" w:rsidRPr="00A231F5" w:rsidRDefault="003E0B27" w:rsidP="009873B1">
            <w:pPr>
              <w:rPr>
                <w:sz w:val="20"/>
                <w:szCs w:val="20"/>
              </w:rPr>
            </w:pPr>
            <w:r>
              <w:rPr>
                <w:sz w:val="20"/>
                <w:szCs w:val="20"/>
              </w:rPr>
              <w:t>Nicotine (repeat)</w:t>
            </w:r>
            <w:r w:rsidR="00502F91" w:rsidRPr="00502F91">
              <w:rPr>
                <w:sz w:val="20"/>
                <w:szCs w:val="20"/>
                <w:vertAlign w:val="superscript"/>
              </w:rPr>
              <w:t xml:space="preserve"> Ɨ</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1674</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1.9%</w:t>
            </w:r>
          </w:p>
        </w:tc>
      </w:tr>
      <w:tr w:rsidR="003E0B27" w:rsidTr="009873B1">
        <w:tc>
          <w:tcPr>
            <w:tcW w:w="1668" w:type="dxa"/>
          </w:tcPr>
          <w:p w:rsidR="003E0B27" w:rsidRPr="00A231F5" w:rsidRDefault="003E0B27" w:rsidP="009873B1">
            <w:pPr>
              <w:rPr>
                <w:sz w:val="20"/>
                <w:szCs w:val="20"/>
              </w:rPr>
            </w:pPr>
            <w:r>
              <w:rPr>
                <w:sz w:val="20"/>
                <w:szCs w:val="20"/>
              </w:rPr>
              <w:t>Nicotine</w:t>
            </w:r>
          </w:p>
        </w:tc>
        <w:tc>
          <w:tcPr>
            <w:tcW w:w="1842" w:type="dxa"/>
          </w:tcPr>
          <w:p w:rsidR="003E0B27" w:rsidRPr="00A231F5" w:rsidRDefault="003E0B27" w:rsidP="009873B1">
            <w:pPr>
              <w:rPr>
                <w:sz w:val="20"/>
                <w:szCs w:val="20"/>
              </w:rPr>
            </w:pPr>
            <w:r>
              <w:rPr>
                <w:sz w:val="20"/>
                <w:szCs w:val="20"/>
              </w:rPr>
              <w:t>Nicotine</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1414</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1.6%</w:t>
            </w:r>
          </w:p>
        </w:tc>
      </w:tr>
      <w:tr w:rsidR="003E0B27" w:rsidTr="009873B1">
        <w:tc>
          <w:tcPr>
            <w:tcW w:w="1668" w:type="dxa"/>
          </w:tcPr>
          <w:p w:rsidR="003E0B27" w:rsidRPr="00A231F5" w:rsidRDefault="003E0B27" w:rsidP="009873B1">
            <w:pPr>
              <w:rPr>
                <w:sz w:val="20"/>
                <w:szCs w:val="20"/>
              </w:rPr>
            </w:pPr>
            <w:r>
              <w:rPr>
                <w:sz w:val="20"/>
                <w:szCs w:val="20"/>
              </w:rPr>
              <w:t>Varenicline</w:t>
            </w:r>
          </w:p>
        </w:tc>
        <w:tc>
          <w:tcPr>
            <w:tcW w:w="1842" w:type="dxa"/>
          </w:tcPr>
          <w:p w:rsidR="003E0B27" w:rsidRPr="00A231F5" w:rsidRDefault="003E0B27" w:rsidP="009873B1">
            <w:pPr>
              <w:rPr>
                <w:sz w:val="20"/>
                <w:szCs w:val="20"/>
              </w:rPr>
            </w:pPr>
            <w:r>
              <w:rPr>
                <w:sz w:val="20"/>
                <w:szCs w:val="20"/>
              </w:rPr>
              <w:t>Nicotine</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1034</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1.2%</w:t>
            </w:r>
          </w:p>
        </w:tc>
      </w:tr>
      <w:tr w:rsidR="003E0B27" w:rsidTr="009873B1">
        <w:tc>
          <w:tcPr>
            <w:tcW w:w="1668" w:type="dxa"/>
          </w:tcPr>
          <w:p w:rsidR="003E0B27" w:rsidRPr="00A231F5" w:rsidRDefault="003E0B27" w:rsidP="009873B1">
            <w:pPr>
              <w:rPr>
                <w:sz w:val="20"/>
                <w:szCs w:val="20"/>
              </w:rPr>
            </w:pPr>
            <w:r>
              <w:rPr>
                <w:sz w:val="20"/>
                <w:szCs w:val="20"/>
              </w:rPr>
              <w:t>Nicotine</w:t>
            </w:r>
          </w:p>
        </w:tc>
        <w:tc>
          <w:tcPr>
            <w:tcW w:w="1842" w:type="dxa"/>
          </w:tcPr>
          <w:p w:rsidR="003E0B27" w:rsidRPr="00A231F5" w:rsidRDefault="003E0B27" w:rsidP="009873B1">
            <w:pPr>
              <w:rPr>
                <w:sz w:val="20"/>
                <w:szCs w:val="20"/>
              </w:rPr>
            </w:pPr>
            <w:r>
              <w:rPr>
                <w:sz w:val="20"/>
                <w:szCs w:val="20"/>
              </w:rPr>
              <w:t>Varenicline</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756</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0.9%</w:t>
            </w:r>
          </w:p>
        </w:tc>
      </w:tr>
      <w:tr w:rsidR="003E0B27" w:rsidTr="009873B1">
        <w:tc>
          <w:tcPr>
            <w:tcW w:w="1668" w:type="dxa"/>
          </w:tcPr>
          <w:p w:rsidR="003E0B27" w:rsidRPr="00A231F5" w:rsidRDefault="003E0B27" w:rsidP="009873B1">
            <w:pPr>
              <w:rPr>
                <w:sz w:val="20"/>
                <w:szCs w:val="20"/>
              </w:rPr>
            </w:pPr>
            <w:r>
              <w:rPr>
                <w:sz w:val="20"/>
                <w:szCs w:val="20"/>
              </w:rPr>
              <w:t>Varenicline</w:t>
            </w:r>
          </w:p>
        </w:tc>
        <w:tc>
          <w:tcPr>
            <w:tcW w:w="1842" w:type="dxa"/>
          </w:tcPr>
          <w:p w:rsidR="003E0B27" w:rsidRPr="00A231F5" w:rsidRDefault="003E0B27" w:rsidP="009873B1">
            <w:pPr>
              <w:rPr>
                <w:sz w:val="20"/>
                <w:szCs w:val="20"/>
              </w:rPr>
            </w:pPr>
            <w:r>
              <w:rPr>
                <w:sz w:val="20"/>
                <w:szCs w:val="20"/>
              </w:rPr>
              <w:t>Varenicline</w:t>
            </w:r>
          </w:p>
        </w:tc>
        <w:tc>
          <w:tcPr>
            <w:tcW w:w="1843" w:type="dxa"/>
          </w:tcPr>
          <w:p w:rsidR="003E0B27" w:rsidRPr="00A231F5" w:rsidRDefault="003E0B27" w:rsidP="009873B1">
            <w:pPr>
              <w:rPr>
                <w:sz w:val="20"/>
                <w:szCs w:val="20"/>
              </w:rPr>
            </w:pPr>
            <w:r>
              <w:rPr>
                <w:sz w:val="20"/>
                <w:szCs w:val="20"/>
              </w:rPr>
              <w:t>Varenicline</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451</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0.5%</w:t>
            </w:r>
          </w:p>
        </w:tc>
      </w:tr>
      <w:tr w:rsidR="003E0B27" w:rsidTr="009873B1">
        <w:tc>
          <w:tcPr>
            <w:tcW w:w="1668" w:type="dxa"/>
          </w:tcPr>
          <w:p w:rsidR="003E0B27" w:rsidRPr="00A231F5" w:rsidRDefault="003E0B27" w:rsidP="009873B1">
            <w:pPr>
              <w:rPr>
                <w:sz w:val="20"/>
                <w:szCs w:val="20"/>
              </w:rPr>
            </w:pPr>
            <w:r>
              <w:rPr>
                <w:sz w:val="20"/>
                <w:szCs w:val="20"/>
              </w:rPr>
              <w:t>Varenicline</w:t>
            </w:r>
          </w:p>
        </w:tc>
        <w:tc>
          <w:tcPr>
            <w:tcW w:w="1842" w:type="dxa"/>
          </w:tcPr>
          <w:p w:rsidR="003E0B27" w:rsidRPr="00A231F5" w:rsidRDefault="003E0B27" w:rsidP="009873B1">
            <w:pPr>
              <w:rPr>
                <w:sz w:val="20"/>
                <w:szCs w:val="20"/>
              </w:rPr>
            </w:pPr>
            <w:r>
              <w:rPr>
                <w:sz w:val="20"/>
                <w:szCs w:val="20"/>
              </w:rPr>
              <w:t>Nicotine</w:t>
            </w:r>
          </w:p>
        </w:tc>
        <w:tc>
          <w:tcPr>
            <w:tcW w:w="1843" w:type="dxa"/>
          </w:tcPr>
          <w:p w:rsidR="003E0B27" w:rsidRPr="00A231F5" w:rsidRDefault="003E0B27" w:rsidP="009873B1">
            <w:pPr>
              <w:rPr>
                <w:sz w:val="20"/>
                <w:szCs w:val="20"/>
              </w:rPr>
            </w:pPr>
            <w:r>
              <w:rPr>
                <w:sz w:val="20"/>
                <w:szCs w:val="20"/>
              </w:rPr>
              <w:t>-</w:t>
            </w:r>
          </w:p>
        </w:tc>
        <w:tc>
          <w:tcPr>
            <w:tcW w:w="1701" w:type="dxa"/>
          </w:tcPr>
          <w:p w:rsidR="003E0B27" w:rsidRPr="00A231F5" w:rsidRDefault="003E0B27" w:rsidP="009873B1">
            <w:pPr>
              <w:rPr>
                <w:sz w:val="20"/>
                <w:szCs w:val="20"/>
              </w:rPr>
            </w:pPr>
            <w:r>
              <w:rPr>
                <w:sz w:val="20"/>
                <w:szCs w:val="20"/>
              </w:rPr>
              <w:t>-</w:t>
            </w:r>
          </w:p>
        </w:tc>
        <w:tc>
          <w:tcPr>
            <w:tcW w:w="1134" w:type="dxa"/>
          </w:tcPr>
          <w:p w:rsidR="003E0B27" w:rsidRPr="003E0B27" w:rsidRDefault="003E0B27" w:rsidP="0095245F">
            <w:pPr>
              <w:jc w:val="right"/>
              <w:rPr>
                <w:sz w:val="20"/>
                <w:szCs w:val="20"/>
              </w:rPr>
            </w:pPr>
            <w:r>
              <w:rPr>
                <w:sz w:val="20"/>
                <w:szCs w:val="20"/>
              </w:rPr>
              <w:t>318</w:t>
            </w:r>
          </w:p>
        </w:tc>
        <w:tc>
          <w:tcPr>
            <w:tcW w:w="985" w:type="dxa"/>
            <w:vAlign w:val="bottom"/>
          </w:tcPr>
          <w:p w:rsidR="003E0B27" w:rsidRPr="003E0B27" w:rsidRDefault="003E0B27" w:rsidP="0095245F">
            <w:pPr>
              <w:jc w:val="right"/>
              <w:rPr>
                <w:sz w:val="20"/>
                <w:szCs w:val="20"/>
              </w:rPr>
            </w:pPr>
            <w:r w:rsidRPr="003E0B27">
              <w:rPr>
                <w:rFonts w:ascii="Calibri" w:hAnsi="Calibri"/>
                <w:sz w:val="20"/>
                <w:szCs w:val="20"/>
              </w:rPr>
              <w:t>0.4%</w:t>
            </w:r>
          </w:p>
        </w:tc>
      </w:tr>
      <w:tr w:rsidR="003E0B27" w:rsidTr="009873B1">
        <w:tc>
          <w:tcPr>
            <w:tcW w:w="7054" w:type="dxa"/>
            <w:gridSpan w:val="4"/>
          </w:tcPr>
          <w:p w:rsidR="003E0B27" w:rsidRPr="00A231F5" w:rsidRDefault="003E0B27"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in top 10 most common </w:t>
            </w:r>
            <w:r w:rsidR="002B7F53">
              <w:rPr>
                <w:b/>
                <w:sz w:val="20"/>
                <w:szCs w:val="20"/>
              </w:rPr>
              <w:t>sequences</w:t>
            </w:r>
          </w:p>
        </w:tc>
        <w:tc>
          <w:tcPr>
            <w:tcW w:w="1134" w:type="dxa"/>
          </w:tcPr>
          <w:p w:rsidR="003E0B27" w:rsidRPr="00A231F5" w:rsidRDefault="003E0B27" w:rsidP="0095245F">
            <w:pPr>
              <w:jc w:val="right"/>
              <w:rPr>
                <w:rFonts w:ascii="Calibri" w:hAnsi="Calibri"/>
                <w:color w:val="000000"/>
                <w:sz w:val="20"/>
                <w:szCs w:val="20"/>
              </w:rPr>
            </w:pPr>
            <w:r>
              <w:rPr>
                <w:rFonts w:ascii="Calibri" w:hAnsi="Calibri"/>
                <w:color w:val="000000"/>
                <w:sz w:val="20"/>
                <w:szCs w:val="20"/>
              </w:rPr>
              <w:t>85546</w:t>
            </w:r>
          </w:p>
        </w:tc>
        <w:tc>
          <w:tcPr>
            <w:tcW w:w="985" w:type="dxa"/>
          </w:tcPr>
          <w:p w:rsidR="003E0B27" w:rsidRPr="00A231F5" w:rsidRDefault="003E0B27" w:rsidP="0095245F">
            <w:pPr>
              <w:jc w:val="right"/>
              <w:rPr>
                <w:sz w:val="20"/>
                <w:szCs w:val="20"/>
              </w:rPr>
            </w:pPr>
            <w:r>
              <w:rPr>
                <w:sz w:val="20"/>
                <w:szCs w:val="20"/>
              </w:rPr>
              <w:t>96.6%</w:t>
            </w:r>
          </w:p>
        </w:tc>
      </w:tr>
      <w:tr w:rsidR="003E0B27" w:rsidTr="009873B1">
        <w:tc>
          <w:tcPr>
            <w:tcW w:w="7054" w:type="dxa"/>
            <w:gridSpan w:val="4"/>
          </w:tcPr>
          <w:p w:rsidR="003E0B27" w:rsidRPr="00A231F5" w:rsidRDefault="003E0B27"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using other </w:t>
            </w:r>
            <w:r w:rsidR="002B7F53">
              <w:rPr>
                <w:b/>
                <w:sz w:val="20"/>
                <w:szCs w:val="20"/>
              </w:rPr>
              <w:t>sequences</w:t>
            </w:r>
          </w:p>
        </w:tc>
        <w:tc>
          <w:tcPr>
            <w:tcW w:w="1134" w:type="dxa"/>
          </w:tcPr>
          <w:p w:rsidR="003E0B27" w:rsidRPr="00A231F5" w:rsidRDefault="003E0B27" w:rsidP="0095245F">
            <w:pPr>
              <w:jc w:val="right"/>
              <w:rPr>
                <w:rFonts w:ascii="Calibri" w:hAnsi="Calibri"/>
                <w:color w:val="000000"/>
                <w:sz w:val="20"/>
                <w:szCs w:val="20"/>
              </w:rPr>
            </w:pPr>
            <w:r>
              <w:rPr>
                <w:rFonts w:ascii="Calibri" w:hAnsi="Calibri"/>
                <w:color w:val="000000"/>
                <w:sz w:val="20"/>
                <w:szCs w:val="20"/>
              </w:rPr>
              <w:t>3020</w:t>
            </w:r>
          </w:p>
        </w:tc>
        <w:tc>
          <w:tcPr>
            <w:tcW w:w="985" w:type="dxa"/>
          </w:tcPr>
          <w:p w:rsidR="003E0B27" w:rsidRPr="00A231F5" w:rsidRDefault="003E0B27" w:rsidP="0095245F">
            <w:pPr>
              <w:jc w:val="right"/>
              <w:rPr>
                <w:sz w:val="20"/>
                <w:szCs w:val="20"/>
              </w:rPr>
            </w:pPr>
            <w:r>
              <w:rPr>
                <w:sz w:val="20"/>
                <w:szCs w:val="20"/>
              </w:rPr>
              <w:t>3.4%</w:t>
            </w:r>
          </w:p>
        </w:tc>
      </w:tr>
      <w:tr w:rsidR="003E0B27" w:rsidTr="009873B1">
        <w:tc>
          <w:tcPr>
            <w:tcW w:w="7054" w:type="dxa"/>
            <w:gridSpan w:val="4"/>
          </w:tcPr>
          <w:p w:rsidR="003E0B27" w:rsidRPr="00A231F5" w:rsidRDefault="003E0B27" w:rsidP="00970D1D">
            <w:pPr>
              <w:rPr>
                <w:b/>
                <w:sz w:val="20"/>
                <w:szCs w:val="20"/>
              </w:rPr>
            </w:pPr>
            <w:r w:rsidRPr="00A231F5">
              <w:rPr>
                <w:b/>
                <w:sz w:val="20"/>
                <w:szCs w:val="20"/>
              </w:rPr>
              <w:t>Total p</w:t>
            </w:r>
            <w:r w:rsidR="00970D1D">
              <w:rPr>
                <w:b/>
                <w:sz w:val="20"/>
                <w:szCs w:val="20"/>
              </w:rPr>
              <w:t>eople</w:t>
            </w:r>
            <w:r w:rsidRPr="00A231F5">
              <w:rPr>
                <w:b/>
                <w:sz w:val="20"/>
                <w:szCs w:val="20"/>
              </w:rPr>
              <w:t xml:space="preserve"> attempting smoking cessation therapy</w:t>
            </w:r>
          </w:p>
        </w:tc>
        <w:tc>
          <w:tcPr>
            <w:tcW w:w="1134" w:type="dxa"/>
          </w:tcPr>
          <w:p w:rsidR="003E0B27" w:rsidRPr="00A231F5" w:rsidRDefault="003E0B27" w:rsidP="0095245F">
            <w:pPr>
              <w:jc w:val="right"/>
              <w:rPr>
                <w:rFonts w:ascii="Calibri" w:hAnsi="Calibri"/>
                <w:color w:val="000000"/>
                <w:sz w:val="20"/>
                <w:szCs w:val="20"/>
              </w:rPr>
            </w:pPr>
            <w:r>
              <w:rPr>
                <w:rFonts w:ascii="Calibri" w:hAnsi="Calibri"/>
                <w:color w:val="000000"/>
                <w:sz w:val="20"/>
                <w:szCs w:val="20"/>
              </w:rPr>
              <w:t>88566</w:t>
            </w:r>
          </w:p>
        </w:tc>
        <w:tc>
          <w:tcPr>
            <w:tcW w:w="985" w:type="dxa"/>
          </w:tcPr>
          <w:p w:rsidR="003E0B27" w:rsidRPr="00A231F5" w:rsidRDefault="003E0B27" w:rsidP="0095245F">
            <w:pPr>
              <w:jc w:val="right"/>
              <w:rPr>
                <w:sz w:val="20"/>
                <w:szCs w:val="20"/>
              </w:rPr>
            </w:pPr>
            <w:r>
              <w:rPr>
                <w:sz w:val="20"/>
                <w:szCs w:val="20"/>
              </w:rPr>
              <w:t>100%</w:t>
            </w:r>
          </w:p>
        </w:tc>
      </w:tr>
    </w:tbl>
    <w:p w:rsidR="00286EAF" w:rsidRDefault="00286EAF" w:rsidP="00502F91">
      <w:pPr>
        <w:spacing w:after="0"/>
        <w:rPr>
          <w:rStyle w:val="FigurecaptionChar"/>
        </w:rPr>
      </w:pPr>
      <w:r w:rsidRPr="0030713E">
        <w:rPr>
          <w:rStyle w:val="FigurecaptionChar"/>
        </w:rPr>
        <w:t xml:space="preserve">Source: </w:t>
      </w:r>
      <w:r w:rsidR="00502F91">
        <w:rPr>
          <w:rStyle w:val="FigurecaptionChar"/>
        </w:rPr>
        <w:t>DHS Medicare</w:t>
      </w:r>
      <w:r w:rsidRPr="0030713E">
        <w:rPr>
          <w:rStyle w:val="FigurecaptionChar"/>
        </w:rPr>
        <w:t xml:space="preserve"> </w:t>
      </w:r>
      <w:r w:rsidR="00502F91">
        <w:rPr>
          <w:rStyle w:val="FigurecaptionChar"/>
        </w:rPr>
        <w:t>D</w:t>
      </w:r>
      <w:r w:rsidRPr="0030713E">
        <w:rPr>
          <w:rStyle w:val="FigurecaptionChar"/>
        </w:rPr>
        <w:t xml:space="preserve">atabase, </w:t>
      </w:r>
      <w:r>
        <w:rPr>
          <w:rStyle w:val="FigurecaptionChar"/>
        </w:rPr>
        <w:t>November 2015</w:t>
      </w:r>
      <w:r w:rsidRPr="0030713E">
        <w:rPr>
          <w:rStyle w:val="FigurecaptionChar"/>
        </w:rPr>
        <w:t>.</w:t>
      </w:r>
    </w:p>
    <w:p w:rsidR="00502F91" w:rsidRDefault="00502F91" w:rsidP="00502F91">
      <w:pPr>
        <w:spacing w:after="0"/>
        <w:rPr>
          <w:sz w:val="20"/>
          <w:szCs w:val="20"/>
        </w:rPr>
      </w:pPr>
      <w:r w:rsidRPr="00502F91">
        <w:rPr>
          <w:sz w:val="20"/>
          <w:szCs w:val="20"/>
          <w:vertAlign w:val="superscript"/>
        </w:rPr>
        <w:t>Ɨ</w:t>
      </w:r>
      <w:r w:rsidRPr="00502F91">
        <w:rPr>
          <w:sz w:val="20"/>
          <w:szCs w:val="20"/>
        </w:rPr>
        <w:t xml:space="preserve"> </w:t>
      </w:r>
      <w:r>
        <w:rPr>
          <w:sz w:val="20"/>
          <w:szCs w:val="20"/>
        </w:rPr>
        <w:t>A repeat prescription was used to obtain the supply.</w:t>
      </w:r>
    </w:p>
    <w:p w:rsidR="00502F91" w:rsidRDefault="00502F91" w:rsidP="00502F91">
      <w:pPr>
        <w:spacing w:after="0"/>
        <w:rPr>
          <w:rStyle w:val="FigurecaptionChar"/>
        </w:rPr>
      </w:pPr>
    </w:p>
    <w:p w:rsidR="00275402" w:rsidRDefault="00275402" w:rsidP="00275402">
      <w:r>
        <w:t xml:space="preserve">All drugs presented in Tables </w:t>
      </w:r>
      <w:r w:rsidR="00E60A4E">
        <w:t>6-8</w:t>
      </w:r>
      <w:r>
        <w:t xml:space="preserve"> are from original prescriptions, unless indicated otherwise as a repeat prescription. </w:t>
      </w:r>
    </w:p>
    <w:p w:rsidR="004E0BA2" w:rsidRDefault="002B635D" w:rsidP="004E0BA2">
      <w:r>
        <w:t>For each yearly cohort, the most frequent scenario was that people tried varenicline as their first R/PBS subsidised quit attempt, then had no subsequent R/PBS subsidised quit attempts up to the most recent data (September 2015). This scenario occurred for around half of people in each cohort</w:t>
      </w:r>
      <w:r w:rsidR="001E59A1">
        <w:t xml:space="preserve"> (Tables </w:t>
      </w:r>
      <w:r w:rsidR="00E60A4E">
        <w:t>6-8</w:t>
      </w:r>
      <w:r w:rsidR="001E59A1">
        <w:t>)</w:t>
      </w:r>
      <w:r w:rsidR="002B7F53">
        <w:t xml:space="preserve">. </w:t>
      </w:r>
    </w:p>
    <w:p w:rsidR="00C22968" w:rsidRDefault="0051440B" w:rsidP="004E0BA2">
      <w:r>
        <w:t xml:space="preserve">The </w:t>
      </w:r>
      <w:r w:rsidR="002B635D">
        <w:t>next</w:t>
      </w:r>
      <w:r w:rsidR="00C22968">
        <w:t xml:space="preserve"> most frequent</w:t>
      </w:r>
      <w:r>
        <w:t xml:space="preserve"> </w:t>
      </w:r>
      <w:r w:rsidR="002B635D">
        <w:t>drug regimen in each cohort was</w:t>
      </w:r>
      <w:r>
        <w:t xml:space="preserve"> </w:t>
      </w:r>
      <w:r w:rsidR="004E0BA2">
        <w:t>NRT</w:t>
      </w:r>
      <w:r w:rsidR="00C22968">
        <w:t xml:space="preserve"> supplied </w:t>
      </w:r>
      <w:r>
        <w:t xml:space="preserve">as </w:t>
      </w:r>
      <w:r w:rsidR="002B635D">
        <w:t xml:space="preserve">first R/PBS quit attempts </w:t>
      </w:r>
      <w:r w:rsidR="00C22968">
        <w:t xml:space="preserve">with </w:t>
      </w:r>
      <w:r>
        <w:t>no reattem</w:t>
      </w:r>
      <w:r w:rsidR="004E0BA2">
        <w:t>pts made since the</w:t>
      </w:r>
      <w:r>
        <w:t xml:space="preserve"> initial date of supply</w:t>
      </w:r>
      <w:r w:rsidR="00E85400">
        <w:t xml:space="preserve"> (Tables </w:t>
      </w:r>
      <w:r w:rsidR="00E60A4E">
        <w:t>6-8</w:t>
      </w:r>
      <w:r w:rsidR="001E59A1">
        <w:t>)</w:t>
      </w:r>
      <w:r>
        <w:t>. Whether this is indicative of treatment success or relapse with no reattempt cannot be deduced</w:t>
      </w:r>
      <w:r w:rsidR="004E0BA2">
        <w:t xml:space="preserve">. </w:t>
      </w:r>
    </w:p>
    <w:p w:rsidR="001F5B0A" w:rsidRDefault="00970D1D" w:rsidP="004E0BA2">
      <w:r>
        <w:t>I</w:t>
      </w:r>
      <w:r w:rsidR="002B635D">
        <w:t>t is possible that people have used non-subsidised smoking cessation therapies, which are not included in these data.</w:t>
      </w:r>
      <w:r w:rsidR="004E0BA2">
        <w:t xml:space="preserve"> </w:t>
      </w:r>
      <w:r>
        <w:t>As each cohort was followed to the most recent available data (September 2015), the people in the earlier cohorts had more opportunity to reattempt smoking cessation therapy.</w:t>
      </w:r>
    </w:p>
    <w:p w:rsidR="009D20F3" w:rsidRPr="009D20F3" w:rsidRDefault="009D20F3" w:rsidP="007E15BA">
      <w:pPr>
        <w:spacing w:after="0"/>
        <w:rPr>
          <w:b/>
          <w:i/>
        </w:rPr>
      </w:pPr>
      <w:r>
        <w:rPr>
          <w:b/>
          <w:i/>
        </w:rPr>
        <w:t xml:space="preserve">Instances of same day supply </w:t>
      </w:r>
    </w:p>
    <w:p w:rsidR="009D20F3" w:rsidRDefault="009D20F3" w:rsidP="007E15BA">
      <w:pPr>
        <w:spacing w:after="0"/>
        <w:rPr>
          <w:b/>
        </w:rPr>
      </w:pPr>
    </w:p>
    <w:p w:rsidR="009D20F3" w:rsidRDefault="009D20F3" w:rsidP="001715C3">
      <w:r>
        <w:t xml:space="preserve">Patients were observed from the date of </w:t>
      </w:r>
      <w:r w:rsidR="00F60090">
        <w:t xml:space="preserve">their </w:t>
      </w:r>
      <w:r>
        <w:t xml:space="preserve">first </w:t>
      </w:r>
      <w:r w:rsidR="00F60090">
        <w:t xml:space="preserve">quit </w:t>
      </w:r>
      <w:r>
        <w:t xml:space="preserve">attempt </w:t>
      </w:r>
      <w:r w:rsidR="00F60090">
        <w:t xml:space="preserve">via </w:t>
      </w:r>
      <w:r>
        <w:t xml:space="preserve">R/PBS subsidised smoking cessation therapy to see whether they obtained multiple forms of therapy on the same day. Over the period of 2012-2015, very few </w:t>
      </w:r>
      <w:r w:rsidR="00FF7AA2">
        <w:t>people</w:t>
      </w:r>
      <w:r>
        <w:t xml:space="preserve"> </w:t>
      </w:r>
      <w:r w:rsidR="00FF7AA2">
        <w:t>were supplied</w:t>
      </w:r>
      <w:r>
        <w:t xml:space="preserve"> bupropion, NRT and varenicline, or a combination</w:t>
      </w:r>
      <w:r w:rsidR="00F60090">
        <w:t xml:space="preserve"> thereof</w:t>
      </w:r>
      <w:r w:rsidR="004245AA">
        <w:t>,</w:t>
      </w:r>
      <w:r w:rsidR="00FF7AA2">
        <w:t xml:space="preserve"> on the same day</w:t>
      </w:r>
      <w:r>
        <w:t>. There were 20 patients who received both bu</w:t>
      </w:r>
      <w:r w:rsidR="00CE702A">
        <w:t>propion and NRT; one patient who received bupropion and varenicline; and 126 patients who received NRT and varenicline</w:t>
      </w:r>
      <w:r w:rsidR="00FF7AA2">
        <w:t xml:space="preserve"> on the same day</w:t>
      </w:r>
      <w:r w:rsidR="00CE702A">
        <w:t>.</w:t>
      </w:r>
    </w:p>
    <w:p w:rsidR="00FC0ED4" w:rsidRDefault="00FC0ED4" w:rsidP="00A602F3">
      <w:pPr>
        <w:rPr>
          <w:b/>
          <w:i/>
        </w:rPr>
      </w:pPr>
    </w:p>
    <w:p w:rsidR="00A602F3" w:rsidRDefault="00A602F3" w:rsidP="00A602F3">
      <w:pPr>
        <w:rPr>
          <w:b/>
          <w:i/>
        </w:rPr>
      </w:pPr>
      <w:r w:rsidRPr="00A602F3">
        <w:rPr>
          <w:b/>
          <w:i/>
        </w:rPr>
        <w:lastRenderedPageBreak/>
        <w:t>Utilisation by age</w:t>
      </w:r>
    </w:p>
    <w:p w:rsidR="00A602F3" w:rsidRPr="0051440B" w:rsidRDefault="00877CE5" w:rsidP="00A602F3">
      <w:pPr>
        <w:spacing w:after="0"/>
      </w:pPr>
      <w:r>
        <w:rPr>
          <w:noProof/>
        </w:rPr>
        <w:drawing>
          <wp:inline distT="0" distB="0" distL="0" distR="0" wp14:anchorId="3BF12C68" wp14:editId="2E415E6F">
            <wp:extent cx="5687695" cy="3703320"/>
            <wp:effectExtent l="0" t="0" r="27305" b="11430"/>
            <wp:docPr id="2" name="Chart 2" descr="This figure illustrates the distribution by age of people making their first attempt at smoking cessation using either varenicline, nicotine or buproprion in 2014." title="Age distribution of people making their first R/PBS subsidised quit attempt in the calendar year 20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602F3" w:rsidRPr="00A602F3" w:rsidRDefault="00A602F3" w:rsidP="00A602F3">
      <w:pPr>
        <w:spacing w:after="0"/>
        <w:rPr>
          <w:b/>
        </w:rPr>
      </w:pPr>
      <w:r w:rsidRPr="00A602F3">
        <w:rPr>
          <w:b/>
        </w:rPr>
        <w:t xml:space="preserve">Figure </w:t>
      </w:r>
      <w:r w:rsidR="00F60090">
        <w:rPr>
          <w:b/>
        </w:rPr>
        <w:t>3</w:t>
      </w:r>
      <w:r w:rsidRPr="00A602F3">
        <w:rPr>
          <w:b/>
        </w:rPr>
        <w:t xml:space="preserve">: Age distribution </w:t>
      </w:r>
      <w:r w:rsidR="002841C2">
        <w:rPr>
          <w:b/>
        </w:rPr>
        <w:t>of people</w:t>
      </w:r>
      <w:r w:rsidRPr="00A602F3">
        <w:rPr>
          <w:b/>
        </w:rPr>
        <w:t xml:space="preserve"> </w:t>
      </w:r>
      <w:r>
        <w:rPr>
          <w:b/>
        </w:rPr>
        <w:t xml:space="preserve">making their first R/PBS subsidised quit attempt </w:t>
      </w:r>
      <w:r w:rsidRPr="00A602F3">
        <w:rPr>
          <w:b/>
        </w:rPr>
        <w:t xml:space="preserve">in the calendar year 2014 </w:t>
      </w:r>
    </w:p>
    <w:p w:rsidR="00A602F3" w:rsidRPr="00A97BF9" w:rsidRDefault="00A602F3" w:rsidP="00A602F3">
      <w:pPr>
        <w:spacing w:after="0"/>
        <w:rPr>
          <w:sz w:val="20"/>
          <w:szCs w:val="20"/>
        </w:rPr>
      </w:pPr>
      <w:r w:rsidRPr="00A97BF9">
        <w:rPr>
          <w:sz w:val="20"/>
          <w:szCs w:val="20"/>
        </w:rPr>
        <w:t>For the purpose of this study, “</w:t>
      </w:r>
      <w:r>
        <w:rPr>
          <w:sz w:val="20"/>
          <w:szCs w:val="20"/>
        </w:rPr>
        <w:t>first attempt</w:t>
      </w:r>
      <w:r w:rsidRPr="00A97BF9">
        <w:rPr>
          <w:sz w:val="20"/>
          <w:szCs w:val="20"/>
        </w:rPr>
        <w:t>” has been defined as no</w:t>
      </w:r>
      <w:r w:rsidR="00FF7AA2">
        <w:rPr>
          <w:sz w:val="20"/>
          <w:szCs w:val="20"/>
        </w:rPr>
        <w:t xml:space="preserve"> prior</w:t>
      </w:r>
      <w:r w:rsidRPr="00A97BF9">
        <w:rPr>
          <w:sz w:val="20"/>
          <w:szCs w:val="20"/>
        </w:rPr>
        <w:t xml:space="preserve"> supply of PBS subsidised smoking cessation therapy since May 2000, to coincide with the listing of bupropion. </w:t>
      </w:r>
    </w:p>
    <w:p w:rsidR="00A602F3" w:rsidRPr="00E84AC2" w:rsidRDefault="00A602F3" w:rsidP="00A602F3">
      <w:r w:rsidRPr="0030713E">
        <w:rPr>
          <w:rStyle w:val="FigurecaptionChar"/>
        </w:rPr>
        <w:t>Source: D</w:t>
      </w:r>
      <w:r>
        <w:rPr>
          <w:rStyle w:val="FigurecaptionChar"/>
        </w:rPr>
        <w:t>HS</w:t>
      </w:r>
      <w:r w:rsidRPr="0030713E">
        <w:rPr>
          <w:rStyle w:val="FigurecaptionChar"/>
        </w:rPr>
        <w:t xml:space="preserve"> database, </w:t>
      </w:r>
      <w:r>
        <w:rPr>
          <w:rStyle w:val="FigurecaptionChar"/>
        </w:rPr>
        <w:t>November 2015</w:t>
      </w:r>
      <w:r w:rsidRPr="0030713E">
        <w:rPr>
          <w:rStyle w:val="FigurecaptionChar"/>
        </w:rPr>
        <w:t>.</w:t>
      </w:r>
    </w:p>
    <w:p w:rsidR="00A602F3" w:rsidRPr="005F44C4" w:rsidRDefault="00FF7AA2" w:rsidP="00A602F3">
      <w:r>
        <w:t>In 2014, varenicline was the most frequently used first R/PBS smoking cessation therapy in most age groups, apart from older people (over 75 years of age) where the use of NRT was more common. NRT was used more frequently as a person’s first R/PBS smoking cessation therapy in middle aged people than in other age groups</w:t>
      </w:r>
      <w:r w:rsidR="002841C2">
        <w:t>. Bupropion usage was low across all the age groups</w:t>
      </w:r>
      <w:r>
        <w:t xml:space="preserve"> (Figure 3).</w:t>
      </w:r>
    </w:p>
    <w:p w:rsidR="00A11A1A" w:rsidRDefault="00215062" w:rsidP="00A11A1A">
      <w:pPr>
        <w:rPr>
          <w:b/>
          <w:i/>
        </w:rPr>
      </w:pPr>
      <w:r>
        <w:rPr>
          <w:b/>
          <w:i/>
        </w:rPr>
        <w:t>Aboriginal health s</w:t>
      </w:r>
      <w:r w:rsidR="00A11A1A">
        <w:rPr>
          <w:b/>
          <w:i/>
        </w:rPr>
        <w:t xml:space="preserve">ervices </w:t>
      </w:r>
      <w:r>
        <w:rPr>
          <w:b/>
          <w:i/>
        </w:rPr>
        <w:t>supply</w:t>
      </w:r>
    </w:p>
    <w:p w:rsidR="00A11A1A" w:rsidRPr="00A11A1A" w:rsidRDefault="00A11A1A" w:rsidP="00315BA1">
      <w:pPr>
        <w:spacing w:after="0"/>
        <w:rPr>
          <w:b/>
        </w:rPr>
      </w:pPr>
      <w:r>
        <w:rPr>
          <w:b/>
        </w:rPr>
        <w:t xml:space="preserve">Table </w:t>
      </w:r>
      <w:r w:rsidR="00E60A4E">
        <w:rPr>
          <w:b/>
        </w:rPr>
        <w:t>9</w:t>
      </w:r>
      <w:r>
        <w:rPr>
          <w:b/>
        </w:rPr>
        <w:t xml:space="preserve">: </w:t>
      </w:r>
      <w:r w:rsidR="00215062">
        <w:rPr>
          <w:b/>
        </w:rPr>
        <w:t>Number of packs of smoking cessation therapy provided by aboriginal health services (AHS)</w:t>
      </w:r>
    </w:p>
    <w:tbl>
      <w:tblPr>
        <w:tblStyle w:val="TableGrid"/>
        <w:tblW w:w="0" w:type="auto"/>
        <w:tblLook w:val="04A0" w:firstRow="1" w:lastRow="0" w:firstColumn="1" w:lastColumn="0" w:noHBand="0" w:noVBand="1"/>
        <w:tblCaption w:val="Number of packs of smoking cessation therapy provided by aboriginal health services"/>
        <w:tblDescription w:val="This table depicts the number of packs of bupropion, NRT and varenicline that were provided by aboriginal health services from 2011 to 2015."/>
      </w:tblPr>
      <w:tblGrid>
        <w:gridCol w:w="1834"/>
        <w:gridCol w:w="1834"/>
        <w:gridCol w:w="1835"/>
        <w:gridCol w:w="1835"/>
        <w:gridCol w:w="1835"/>
      </w:tblGrid>
      <w:tr w:rsidR="0092055C" w:rsidTr="00992DDA">
        <w:trPr>
          <w:tblHeader/>
        </w:trPr>
        <w:tc>
          <w:tcPr>
            <w:tcW w:w="1834" w:type="dxa"/>
            <w:tcBorders>
              <w:top w:val="nil"/>
              <w:left w:val="nil"/>
              <w:bottom w:val="single" w:sz="4" w:space="0" w:color="auto"/>
              <w:right w:val="single" w:sz="4" w:space="0" w:color="auto"/>
            </w:tcBorders>
          </w:tcPr>
          <w:p w:rsidR="0092055C" w:rsidRPr="0092055C" w:rsidRDefault="0092055C" w:rsidP="00282707">
            <w:pPr>
              <w:jc w:val="center"/>
              <w:rPr>
                <w:sz w:val="20"/>
                <w:szCs w:val="20"/>
              </w:rPr>
            </w:pPr>
          </w:p>
        </w:tc>
        <w:tc>
          <w:tcPr>
            <w:tcW w:w="7339" w:type="dxa"/>
            <w:gridSpan w:val="4"/>
            <w:tcBorders>
              <w:left w:val="single" w:sz="4" w:space="0" w:color="auto"/>
            </w:tcBorders>
            <w:shd w:val="clear" w:color="auto" w:fill="BFBFBF" w:themeFill="background1" w:themeFillShade="BF"/>
          </w:tcPr>
          <w:p w:rsidR="0092055C" w:rsidRPr="0092055C" w:rsidRDefault="0092055C" w:rsidP="00282707">
            <w:pPr>
              <w:jc w:val="center"/>
              <w:rPr>
                <w:b/>
                <w:sz w:val="20"/>
                <w:szCs w:val="20"/>
              </w:rPr>
            </w:pPr>
            <w:r w:rsidRPr="0092055C">
              <w:rPr>
                <w:b/>
                <w:sz w:val="20"/>
                <w:szCs w:val="20"/>
              </w:rPr>
              <w:t>Drug</w:t>
            </w:r>
          </w:p>
        </w:tc>
      </w:tr>
      <w:tr w:rsidR="00A11A1A" w:rsidTr="0092055C">
        <w:tc>
          <w:tcPr>
            <w:tcW w:w="1834" w:type="dxa"/>
            <w:tcBorders>
              <w:top w:val="single" w:sz="4" w:space="0" w:color="auto"/>
            </w:tcBorders>
            <w:shd w:val="clear" w:color="auto" w:fill="BFBFBF" w:themeFill="background1" w:themeFillShade="BF"/>
          </w:tcPr>
          <w:p w:rsidR="00A11A1A" w:rsidRPr="0092055C" w:rsidRDefault="00A11A1A" w:rsidP="00282707">
            <w:pPr>
              <w:jc w:val="center"/>
              <w:rPr>
                <w:b/>
                <w:sz w:val="20"/>
                <w:szCs w:val="20"/>
              </w:rPr>
            </w:pPr>
            <w:r w:rsidRPr="0092055C">
              <w:rPr>
                <w:b/>
                <w:sz w:val="20"/>
                <w:szCs w:val="20"/>
              </w:rPr>
              <w:t>Year</w:t>
            </w:r>
          </w:p>
        </w:tc>
        <w:tc>
          <w:tcPr>
            <w:tcW w:w="1834" w:type="dxa"/>
            <w:shd w:val="clear" w:color="auto" w:fill="FFFFFF" w:themeFill="background1"/>
          </w:tcPr>
          <w:p w:rsidR="00A11A1A" w:rsidRPr="0092055C" w:rsidRDefault="0092055C" w:rsidP="00282707">
            <w:pPr>
              <w:jc w:val="center"/>
              <w:rPr>
                <w:b/>
                <w:sz w:val="20"/>
                <w:szCs w:val="20"/>
              </w:rPr>
            </w:pPr>
            <w:r w:rsidRPr="0092055C">
              <w:rPr>
                <w:b/>
                <w:sz w:val="20"/>
                <w:szCs w:val="20"/>
              </w:rPr>
              <w:t>Bupropion</w:t>
            </w:r>
          </w:p>
        </w:tc>
        <w:tc>
          <w:tcPr>
            <w:tcW w:w="1835" w:type="dxa"/>
            <w:shd w:val="clear" w:color="auto" w:fill="FFFFFF" w:themeFill="background1"/>
          </w:tcPr>
          <w:p w:rsidR="00A11A1A" w:rsidRPr="0092055C" w:rsidRDefault="0092055C" w:rsidP="00282707">
            <w:pPr>
              <w:jc w:val="center"/>
              <w:rPr>
                <w:b/>
                <w:sz w:val="20"/>
                <w:szCs w:val="20"/>
              </w:rPr>
            </w:pPr>
            <w:r w:rsidRPr="0092055C">
              <w:rPr>
                <w:b/>
                <w:sz w:val="20"/>
                <w:szCs w:val="20"/>
              </w:rPr>
              <w:t>NRT</w:t>
            </w:r>
          </w:p>
        </w:tc>
        <w:tc>
          <w:tcPr>
            <w:tcW w:w="1835" w:type="dxa"/>
            <w:shd w:val="clear" w:color="auto" w:fill="FFFFFF" w:themeFill="background1"/>
          </w:tcPr>
          <w:p w:rsidR="00A11A1A" w:rsidRPr="0092055C" w:rsidRDefault="0092055C" w:rsidP="00282707">
            <w:pPr>
              <w:jc w:val="center"/>
              <w:rPr>
                <w:b/>
                <w:sz w:val="20"/>
                <w:szCs w:val="20"/>
              </w:rPr>
            </w:pPr>
            <w:r w:rsidRPr="0092055C">
              <w:rPr>
                <w:b/>
                <w:sz w:val="20"/>
                <w:szCs w:val="20"/>
              </w:rPr>
              <w:t>Varenicline</w:t>
            </w:r>
          </w:p>
        </w:tc>
        <w:tc>
          <w:tcPr>
            <w:tcW w:w="1835" w:type="dxa"/>
          </w:tcPr>
          <w:p w:rsidR="00A11A1A" w:rsidRPr="0092055C" w:rsidRDefault="0092055C" w:rsidP="00282707">
            <w:pPr>
              <w:jc w:val="center"/>
              <w:rPr>
                <w:b/>
                <w:sz w:val="20"/>
                <w:szCs w:val="20"/>
              </w:rPr>
            </w:pPr>
            <w:r w:rsidRPr="0092055C">
              <w:rPr>
                <w:b/>
                <w:sz w:val="20"/>
                <w:szCs w:val="20"/>
              </w:rPr>
              <w:t>Total</w:t>
            </w:r>
          </w:p>
        </w:tc>
      </w:tr>
      <w:tr w:rsidR="00A11A1A" w:rsidTr="00A11A1A">
        <w:tc>
          <w:tcPr>
            <w:tcW w:w="1834" w:type="dxa"/>
          </w:tcPr>
          <w:p w:rsidR="00A11A1A" w:rsidRPr="0092055C" w:rsidRDefault="0092055C" w:rsidP="00A11A1A">
            <w:pPr>
              <w:rPr>
                <w:sz w:val="20"/>
                <w:szCs w:val="20"/>
              </w:rPr>
            </w:pPr>
            <w:r w:rsidRPr="0092055C">
              <w:rPr>
                <w:sz w:val="20"/>
                <w:szCs w:val="20"/>
              </w:rPr>
              <w:t>2011</w:t>
            </w:r>
          </w:p>
        </w:tc>
        <w:tc>
          <w:tcPr>
            <w:tcW w:w="1834" w:type="dxa"/>
          </w:tcPr>
          <w:p w:rsidR="00A11A1A" w:rsidRPr="0092055C" w:rsidRDefault="0092055C" w:rsidP="0095245F">
            <w:pPr>
              <w:jc w:val="right"/>
              <w:rPr>
                <w:sz w:val="20"/>
                <w:szCs w:val="20"/>
              </w:rPr>
            </w:pPr>
            <w:r>
              <w:rPr>
                <w:sz w:val="20"/>
                <w:szCs w:val="20"/>
              </w:rPr>
              <w:t>154</w:t>
            </w:r>
          </w:p>
        </w:tc>
        <w:tc>
          <w:tcPr>
            <w:tcW w:w="1835" w:type="dxa"/>
          </w:tcPr>
          <w:p w:rsidR="00A11A1A" w:rsidRPr="0092055C" w:rsidRDefault="0092055C" w:rsidP="0095245F">
            <w:pPr>
              <w:jc w:val="right"/>
              <w:rPr>
                <w:sz w:val="20"/>
                <w:szCs w:val="20"/>
              </w:rPr>
            </w:pPr>
            <w:r>
              <w:rPr>
                <w:sz w:val="20"/>
                <w:szCs w:val="20"/>
              </w:rPr>
              <w:t>2</w:t>
            </w:r>
            <w:r w:rsidR="00282707">
              <w:rPr>
                <w:sz w:val="20"/>
                <w:szCs w:val="20"/>
              </w:rPr>
              <w:t>,</w:t>
            </w:r>
            <w:r>
              <w:rPr>
                <w:sz w:val="20"/>
                <w:szCs w:val="20"/>
              </w:rPr>
              <w:t>030</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831</w:t>
            </w:r>
          </w:p>
        </w:tc>
        <w:tc>
          <w:tcPr>
            <w:tcW w:w="1835" w:type="dxa"/>
          </w:tcPr>
          <w:p w:rsidR="00A11A1A" w:rsidRPr="0092055C" w:rsidRDefault="0092055C" w:rsidP="0095245F">
            <w:pPr>
              <w:jc w:val="right"/>
              <w:rPr>
                <w:b/>
                <w:sz w:val="20"/>
                <w:szCs w:val="20"/>
              </w:rPr>
            </w:pPr>
            <w:r w:rsidRPr="0092055C">
              <w:rPr>
                <w:b/>
                <w:sz w:val="20"/>
                <w:szCs w:val="20"/>
              </w:rPr>
              <w:t>4</w:t>
            </w:r>
            <w:r w:rsidR="00282707">
              <w:rPr>
                <w:b/>
                <w:sz w:val="20"/>
                <w:szCs w:val="20"/>
              </w:rPr>
              <w:t>,</w:t>
            </w:r>
            <w:r w:rsidRPr="0092055C">
              <w:rPr>
                <w:b/>
                <w:sz w:val="20"/>
                <w:szCs w:val="20"/>
              </w:rPr>
              <w:t>015</w:t>
            </w:r>
          </w:p>
        </w:tc>
      </w:tr>
      <w:tr w:rsidR="00A11A1A" w:rsidTr="00A11A1A">
        <w:tc>
          <w:tcPr>
            <w:tcW w:w="1834" w:type="dxa"/>
          </w:tcPr>
          <w:p w:rsidR="00A11A1A" w:rsidRPr="0092055C" w:rsidRDefault="0092055C" w:rsidP="00A11A1A">
            <w:pPr>
              <w:rPr>
                <w:sz w:val="20"/>
                <w:szCs w:val="20"/>
              </w:rPr>
            </w:pPr>
            <w:r w:rsidRPr="0092055C">
              <w:rPr>
                <w:sz w:val="20"/>
                <w:szCs w:val="20"/>
              </w:rPr>
              <w:t>2012</w:t>
            </w:r>
          </w:p>
        </w:tc>
        <w:tc>
          <w:tcPr>
            <w:tcW w:w="1834" w:type="dxa"/>
          </w:tcPr>
          <w:p w:rsidR="00A11A1A" w:rsidRPr="0092055C" w:rsidRDefault="0092055C" w:rsidP="0095245F">
            <w:pPr>
              <w:jc w:val="right"/>
              <w:rPr>
                <w:sz w:val="20"/>
                <w:szCs w:val="20"/>
              </w:rPr>
            </w:pPr>
            <w:r>
              <w:rPr>
                <w:sz w:val="20"/>
                <w:szCs w:val="20"/>
              </w:rPr>
              <w:t>129</w:t>
            </w:r>
          </w:p>
        </w:tc>
        <w:tc>
          <w:tcPr>
            <w:tcW w:w="1835" w:type="dxa"/>
          </w:tcPr>
          <w:p w:rsidR="00A11A1A" w:rsidRPr="0092055C" w:rsidRDefault="0092055C" w:rsidP="0095245F">
            <w:pPr>
              <w:jc w:val="right"/>
              <w:rPr>
                <w:sz w:val="20"/>
                <w:szCs w:val="20"/>
              </w:rPr>
            </w:pPr>
            <w:r>
              <w:rPr>
                <w:sz w:val="20"/>
                <w:szCs w:val="20"/>
              </w:rPr>
              <w:t>2</w:t>
            </w:r>
            <w:r w:rsidR="00282707">
              <w:rPr>
                <w:sz w:val="20"/>
                <w:szCs w:val="20"/>
              </w:rPr>
              <w:t>,</w:t>
            </w:r>
            <w:r>
              <w:rPr>
                <w:sz w:val="20"/>
                <w:szCs w:val="20"/>
              </w:rPr>
              <w:t>682</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915</w:t>
            </w:r>
          </w:p>
        </w:tc>
        <w:tc>
          <w:tcPr>
            <w:tcW w:w="1835" w:type="dxa"/>
          </w:tcPr>
          <w:p w:rsidR="00A11A1A" w:rsidRPr="0092055C" w:rsidRDefault="0092055C" w:rsidP="0095245F">
            <w:pPr>
              <w:jc w:val="right"/>
              <w:rPr>
                <w:b/>
                <w:sz w:val="20"/>
                <w:szCs w:val="20"/>
              </w:rPr>
            </w:pPr>
            <w:r w:rsidRPr="0092055C">
              <w:rPr>
                <w:b/>
                <w:sz w:val="20"/>
                <w:szCs w:val="20"/>
              </w:rPr>
              <w:t>4</w:t>
            </w:r>
            <w:r w:rsidR="00282707">
              <w:rPr>
                <w:b/>
                <w:sz w:val="20"/>
                <w:szCs w:val="20"/>
              </w:rPr>
              <w:t>,</w:t>
            </w:r>
            <w:r w:rsidRPr="0092055C">
              <w:rPr>
                <w:b/>
                <w:sz w:val="20"/>
                <w:szCs w:val="20"/>
              </w:rPr>
              <w:t>726</w:t>
            </w:r>
          </w:p>
        </w:tc>
      </w:tr>
      <w:tr w:rsidR="00A11A1A" w:rsidTr="00A11A1A">
        <w:tc>
          <w:tcPr>
            <w:tcW w:w="1834" w:type="dxa"/>
          </w:tcPr>
          <w:p w:rsidR="00A11A1A" w:rsidRPr="0092055C" w:rsidRDefault="0092055C" w:rsidP="00A11A1A">
            <w:pPr>
              <w:rPr>
                <w:sz w:val="20"/>
                <w:szCs w:val="20"/>
              </w:rPr>
            </w:pPr>
            <w:r w:rsidRPr="0092055C">
              <w:rPr>
                <w:sz w:val="20"/>
                <w:szCs w:val="20"/>
              </w:rPr>
              <w:t>2013</w:t>
            </w:r>
          </w:p>
        </w:tc>
        <w:tc>
          <w:tcPr>
            <w:tcW w:w="1834" w:type="dxa"/>
          </w:tcPr>
          <w:p w:rsidR="00A11A1A" w:rsidRPr="0092055C" w:rsidRDefault="0092055C" w:rsidP="0095245F">
            <w:pPr>
              <w:jc w:val="right"/>
              <w:rPr>
                <w:sz w:val="20"/>
                <w:szCs w:val="20"/>
              </w:rPr>
            </w:pPr>
            <w:r>
              <w:rPr>
                <w:sz w:val="20"/>
                <w:szCs w:val="20"/>
              </w:rPr>
              <w:t>98</w:t>
            </w:r>
          </w:p>
        </w:tc>
        <w:tc>
          <w:tcPr>
            <w:tcW w:w="1835" w:type="dxa"/>
          </w:tcPr>
          <w:p w:rsidR="00A11A1A" w:rsidRPr="0092055C" w:rsidRDefault="0092055C" w:rsidP="0095245F">
            <w:pPr>
              <w:jc w:val="right"/>
              <w:rPr>
                <w:sz w:val="20"/>
                <w:szCs w:val="20"/>
              </w:rPr>
            </w:pPr>
            <w:r>
              <w:rPr>
                <w:sz w:val="20"/>
                <w:szCs w:val="20"/>
              </w:rPr>
              <w:t>2</w:t>
            </w:r>
            <w:r w:rsidR="00282707">
              <w:rPr>
                <w:sz w:val="20"/>
                <w:szCs w:val="20"/>
              </w:rPr>
              <w:t>,</w:t>
            </w:r>
            <w:r>
              <w:rPr>
                <w:sz w:val="20"/>
                <w:szCs w:val="20"/>
              </w:rPr>
              <w:t>797</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869</w:t>
            </w:r>
          </w:p>
        </w:tc>
        <w:tc>
          <w:tcPr>
            <w:tcW w:w="1835" w:type="dxa"/>
          </w:tcPr>
          <w:p w:rsidR="00A11A1A" w:rsidRPr="0092055C" w:rsidRDefault="0092055C" w:rsidP="0095245F">
            <w:pPr>
              <w:jc w:val="right"/>
              <w:rPr>
                <w:b/>
                <w:sz w:val="20"/>
                <w:szCs w:val="20"/>
              </w:rPr>
            </w:pPr>
            <w:r w:rsidRPr="0092055C">
              <w:rPr>
                <w:b/>
                <w:sz w:val="20"/>
                <w:szCs w:val="20"/>
              </w:rPr>
              <w:t>4</w:t>
            </w:r>
            <w:r w:rsidR="00282707">
              <w:rPr>
                <w:b/>
                <w:sz w:val="20"/>
                <w:szCs w:val="20"/>
              </w:rPr>
              <w:t>,</w:t>
            </w:r>
            <w:r w:rsidRPr="0092055C">
              <w:rPr>
                <w:b/>
                <w:sz w:val="20"/>
                <w:szCs w:val="20"/>
              </w:rPr>
              <w:t>763</w:t>
            </w:r>
          </w:p>
        </w:tc>
      </w:tr>
      <w:tr w:rsidR="00A11A1A" w:rsidTr="00A11A1A">
        <w:tc>
          <w:tcPr>
            <w:tcW w:w="1834" w:type="dxa"/>
          </w:tcPr>
          <w:p w:rsidR="00A11A1A" w:rsidRPr="0092055C" w:rsidRDefault="0092055C" w:rsidP="00A11A1A">
            <w:pPr>
              <w:rPr>
                <w:sz w:val="20"/>
                <w:szCs w:val="20"/>
              </w:rPr>
            </w:pPr>
            <w:r w:rsidRPr="0092055C">
              <w:rPr>
                <w:sz w:val="20"/>
                <w:szCs w:val="20"/>
              </w:rPr>
              <w:t>2014</w:t>
            </w:r>
          </w:p>
        </w:tc>
        <w:tc>
          <w:tcPr>
            <w:tcW w:w="1834" w:type="dxa"/>
          </w:tcPr>
          <w:p w:rsidR="00A11A1A" w:rsidRPr="0092055C" w:rsidRDefault="0092055C" w:rsidP="0095245F">
            <w:pPr>
              <w:jc w:val="right"/>
              <w:rPr>
                <w:sz w:val="20"/>
                <w:szCs w:val="20"/>
              </w:rPr>
            </w:pPr>
            <w:r>
              <w:rPr>
                <w:sz w:val="20"/>
                <w:szCs w:val="20"/>
              </w:rPr>
              <w:t>87</w:t>
            </w:r>
          </w:p>
        </w:tc>
        <w:tc>
          <w:tcPr>
            <w:tcW w:w="1835" w:type="dxa"/>
          </w:tcPr>
          <w:p w:rsidR="00A11A1A" w:rsidRPr="0092055C" w:rsidRDefault="0092055C" w:rsidP="0095245F">
            <w:pPr>
              <w:jc w:val="right"/>
              <w:rPr>
                <w:sz w:val="20"/>
                <w:szCs w:val="20"/>
              </w:rPr>
            </w:pPr>
            <w:r>
              <w:rPr>
                <w:sz w:val="20"/>
                <w:szCs w:val="20"/>
              </w:rPr>
              <w:t>3</w:t>
            </w:r>
            <w:r w:rsidR="00282707">
              <w:rPr>
                <w:sz w:val="20"/>
                <w:szCs w:val="20"/>
              </w:rPr>
              <w:t>,</w:t>
            </w:r>
            <w:r>
              <w:rPr>
                <w:sz w:val="20"/>
                <w:szCs w:val="20"/>
              </w:rPr>
              <w:t>342</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807</w:t>
            </w:r>
          </w:p>
        </w:tc>
        <w:tc>
          <w:tcPr>
            <w:tcW w:w="1835" w:type="dxa"/>
          </w:tcPr>
          <w:p w:rsidR="00A11A1A" w:rsidRPr="0092055C" w:rsidRDefault="0092055C" w:rsidP="0095245F">
            <w:pPr>
              <w:jc w:val="right"/>
              <w:rPr>
                <w:b/>
                <w:sz w:val="20"/>
                <w:szCs w:val="20"/>
              </w:rPr>
            </w:pPr>
            <w:r w:rsidRPr="0092055C">
              <w:rPr>
                <w:b/>
                <w:sz w:val="20"/>
                <w:szCs w:val="20"/>
              </w:rPr>
              <w:t>5</w:t>
            </w:r>
            <w:r w:rsidR="00282707">
              <w:rPr>
                <w:b/>
                <w:sz w:val="20"/>
                <w:szCs w:val="20"/>
              </w:rPr>
              <w:t>,</w:t>
            </w:r>
            <w:r w:rsidRPr="0092055C">
              <w:rPr>
                <w:b/>
                <w:sz w:val="20"/>
                <w:szCs w:val="20"/>
              </w:rPr>
              <w:t>236</w:t>
            </w:r>
          </w:p>
        </w:tc>
      </w:tr>
      <w:tr w:rsidR="00A11A1A" w:rsidTr="00A11A1A">
        <w:tc>
          <w:tcPr>
            <w:tcW w:w="1834" w:type="dxa"/>
          </w:tcPr>
          <w:p w:rsidR="00A11A1A" w:rsidRPr="0092055C" w:rsidRDefault="0092055C" w:rsidP="00A11A1A">
            <w:pPr>
              <w:rPr>
                <w:sz w:val="20"/>
                <w:szCs w:val="20"/>
              </w:rPr>
            </w:pPr>
            <w:r w:rsidRPr="0092055C">
              <w:rPr>
                <w:sz w:val="20"/>
                <w:szCs w:val="20"/>
              </w:rPr>
              <w:t>2015</w:t>
            </w:r>
          </w:p>
        </w:tc>
        <w:tc>
          <w:tcPr>
            <w:tcW w:w="1834" w:type="dxa"/>
          </w:tcPr>
          <w:p w:rsidR="00A11A1A" w:rsidRPr="0092055C" w:rsidRDefault="0092055C" w:rsidP="0095245F">
            <w:pPr>
              <w:jc w:val="right"/>
              <w:rPr>
                <w:sz w:val="20"/>
                <w:szCs w:val="20"/>
              </w:rPr>
            </w:pPr>
            <w:r>
              <w:rPr>
                <w:sz w:val="20"/>
                <w:szCs w:val="20"/>
              </w:rPr>
              <w:t>41</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851</w:t>
            </w:r>
          </w:p>
        </w:tc>
        <w:tc>
          <w:tcPr>
            <w:tcW w:w="1835" w:type="dxa"/>
          </w:tcPr>
          <w:p w:rsidR="00A11A1A" w:rsidRPr="0092055C" w:rsidRDefault="0092055C" w:rsidP="0095245F">
            <w:pPr>
              <w:jc w:val="right"/>
              <w:rPr>
                <w:sz w:val="20"/>
                <w:szCs w:val="20"/>
              </w:rPr>
            </w:pPr>
            <w:r>
              <w:rPr>
                <w:sz w:val="20"/>
                <w:szCs w:val="20"/>
              </w:rPr>
              <w:t>1</w:t>
            </w:r>
            <w:r w:rsidR="00282707">
              <w:rPr>
                <w:sz w:val="20"/>
                <w:szCs w:val="20"/>
              </w:rPr>
              <w:t>,</w:t>
            </w:r>
            <w:r>
              <w:rPr>
                <w:sz w:val="20"/>
                <w:szCs w:val="20"/>
              </w:rPr>
              <w:t>027</w:t>
            </w:r>
          </w:p>
        </w:tc>
        <w:tc>
          <w:tcPr>
            <w:tcW w:w="1835" w:type="dxa"/>
          </w:tcPr>
          <w:p w:rsidR="00A11A1A" w:rsidRPr="0092055C" w:rsidRDefault="0092055C" w:rsidP="0095245F">
            <w:pPr>
              <w:jc w:val="right"/>
              <w:rPr>
                <w:b/>
                <w:sz w:val="20"/>
                <w:szCs w:val="20"/>
              </w:rPr>
            </w:pPr>
            <w:r w:rsidRPr="0092055C">
              <w:rPr>
                <w:b/>
                <w:sz w:val="20"/>
                <w:szCs w:val="20"/>
              </w:rPr>
              <w:t>2</w:t>
            </w:r>
            <w:r w:rsidR="00282707">
              <w:rPr>
                <w:b/>
                <w:sz w:val="20"/>
                <w:szCs w:val="20"/>
              </w:rPr>
              <w:t>,</w:t>
            </w:r>
            <w:r w:rsidRPr="0092055C">
              <w:rPr>
                <w:b/>
                <w:sz w:val="20"/>
                <w:szCs w:val="20"/>
              </w:rPr>
              <w:t>919</w:t>
            </w:r>
          </w:p>
        </w:tc>
      </w:tr>
      <w:tr w:rsidR="0092055C" w:rsidTr="00A11A1A">
        <w:tc>
          <w:tcPr>
            <w:tcW w:w="1834" w:type="dxa"/>
          </w:tcPr>
          <w:p w:rsidR="0092055C" w:rsidRPr="0092055C" w:rsidRDefault="00282707" w:rsidP="00A11A1A">
            <w:pPr>
              <w:rPr>
                <w:b/>
                <w:sz w:val="20"/>
                <w:szCs w:val="20"/>
              </w:rPr>
            </w:pPr>
            <w:r>
              <w:rPr>
                <w:b/>
                <w:sz w:val="20"/>
                <w:szCs w:val="20"/>
              </w:rPr>
              <w:t xml:space="preserve">Grand </w:t>
            </w:r>
            <w:r w:rsidR="0092055C" w:rsidRPr="0092055C">
              <w:rPr>
                <w:b/>
                <w:sz w:val="20"/>
                <w:szCs w:val="20"/>
              </w:rPr>
              <w:t>Total</w:t>
            </w:r>
          </w:p>
        </w:tc>
        <w:tc>
          <w:tcPr>
            <w:tcW w:w="1834" w:type="dxa"/>
          </w:tcPr>
          <w:p w:rsidR="0092055C" w:rsidRPr="0092055C" w:rsidRDefault="0092055C" w:rsidP="0095245F">
            <w:pPr>
              <w:jc w:val="right"/>
              <w:rPr>
                <w:b/>
                <w:sz w:val="20"/>
                <w:szCs w:val="20"/>
              </w:rPr>
            </w:pPr>
            <w:r w:rsidRPr="0092055C">
              <w:rPr>
                <w:b/>
                <w:sz w:val="20"/>
                <w:szCs w:val="20"/>
              </w:rPr>
              <w:t>508</w:t>
            </w:r>
          </w:p>
        </w:tc>
        <w:tc>
          <w:tcPr>
            <w:tcW w:w="1835" w:type="dxa"/>
          </w:tcPr>
          <w:p w:rsidR="0092055C" w:rsidRPr="0092055C" w:rsidRDefault="0092055C" w:rsidP="0095245F">
            <w:pPr>
              <w:jc w:val="right"/>
              <w:rPr>
                <w:b/>
                <w:sz w:val="20"/>
                <w:szCs w:val="20"/>
              </w:rPr>
            </w:pPr>
            <w:r w:rsidRPr="0092055C">
              <w:rPr>
                <w:b/>
                <w:sz w:val="20"/>
                <w:szCs w:val="20"/>
              </w:rPr>
              <w:t>12</w:t>
            </w:r>
            <w:r w:rsidR="00282707">
              <w:rPr>
                <w:b/>
                <w:sz w:val="20"/>
                <w:szCs w:val="20"/>
              </w:rPr>
              <w:t>,</w:t>
            </w:r>
            <w:r w:rsidRPr="0092055C">
              <w:rPr>
                <w:b/>
                <w:sz w:val="20"/>
                <w:szCs w:val="20"/>
              </w:rPr>
              <w:t>702</w:t>
            </w:r>
          </w:p>
        </w:tc>
        <w:tc>
          <w:tcPr>
            <w:tcW w:w="1835" w:type="dxa"/>
          </w:tcPr>
          <w:p w:rsidR="0092055C" w:rsidRPr="0092055C" w:rsidRDefault="0092055C" w:rsidP="0095245F">
            <w:pPr>
              <w:jc w:val="right"/>
              <w:rPr>
                <w:b/>
                <w:sz w:val="20"/>
                <w:szCs w:val="20"/>
              </w:rPr>
            </w:pPr>
            <w:r w:rsidRPr="0092055C">
              <w:rPr>
                <w:b/>
                <w:sz w:val="20"/>
                <w:szCs w:val="20"/>
              </w:rPr>
              <w:t>8</w:t>
            </w:r>
            <w:r w:rsidR="00282707">
              <w:rPr>
                <w:b/>
                <w:sz w:val="20"/>
                <w:szCs w:val="20"/>
              </w:rPr>
              <w:t>,</w:t>
            </w:r>
            <w:r w:rsidRPr="0092055C">
              <w:rPr>
                <w:b/>
                <w:sz w:val="20"/>
                <w:szCs w:val="20"/>
              </w:rPr>
              <w:t>449</w:t>
            </w:r>
          </w:p>
        </w:tc>
        <w:tc>
          <w:tcPr>
            <w:tcW w:w="1835" w:type="dxa"/>
          </w:tcPr>
          <w:p w:rsidR="0092055C" w:rsidRPr="0092055C" w:rsidRDefault="0092055C" w:rsidP="0095245F">
            <w:pPr>
              <w:jc w:val="right"/>
              <w:rPr>
                <w:b/>
                <w:sz w:val="20"/>
                <w:szCs w:val="20"/>
              </w:rPr>
            </w:pPr>
            <w:r w:rsidRPr="0092055C">
              <w:rPr>
                <w:b/>
                <w:sz w:val="20"/>
                <w:szCs w:val="20"/>
              </w:rPr>
              <w:t>21</w:t>
            </w:r>
            <w:r w:rsidR="00282707">
              <w:rPr>
                <w:b/>
                <w:sz w:val="20"/>
                <w:szCs w:val="20"/>
              </w:rPr>
              <w:t>,</w:t>
            </w:r>
            <w:r w:rsidRPr="0092055C">
              <w:rPr>
                <w:b/>
                <w:sz w:val="20"/>
                <w:szCs w:val="20"/>
              </w:rPr>
              <w:t>659</w:t>
            </w:r>
          </w:p>
        </w:tc>
      </w:tr>
    </w:tbl>
    <w:p w:rsidR="00215062" w:rsidRPr="00315BA1" w:rsidRDefault="00215062" w:rsidP="00A11A1A">
      <w:pPr>
        <w:rPr>
          <w:sz w:val="20"/>
          <w:szCs w:val="20"/>
        </w:rPr>
      </w:pPr>
      <w:r w:rsidRPr="00315BA1">
        <w:rPr>
          <w:sz w:val="20"/>
          <w:szCs w:val="20"/>
        </w:rPr>
        <w:t>AHS data: September 2015. AHS data is at item level by date of processing.</w:t>
      </w:r>
    </w:p>
    <w:p w:rsidR="00215062" w:rsidRDefault="00215062" w:rsidP="00A11A1A">
      <w:r>
        <w:lastRenderedPageBreak/>
        <w:t>The total number of packs for all smoking cessation therapy through AHS in 2014 was 5236; which is 1% of the number of smoking cessation therapies supplied through the PBS over the same year (n=</w:t>
      </w:r>
      <w:r w:rsidR="00C063FA">
        <w:t>487,472</w:t>
      </w:r>
      <w:r>
        <w:t>)</w:t>
      </w:r>
      <w:r w:rsidR="004F19D0">
        <w:t xml:space="preserve"> (Table </w:t>
      </w:r>
      <w:r w:rsidR="00E60A4E">
        <w:t>9</w:t>
      </w:r>
      <w:r w:rsidR="004F19D0">
        <w:t>)</w:t>
      </w:r>
      <w:r>
        <w:t xml:space="preserve">. </w:t>
      </w:r>
    </w:p>
    <w:p w:rsidR="00293289" w:rsidRPr="00275402" w:rsidRDefault="00293289" w:rsidP="00293289">
      <w:pPr>
        <w:spacing w:after="0"/>
        <w:rPr>
          <w:b/>
          <w:i/>
        </w:rPr>
      </w:pPr>
      <w:r>
        <w:rPr>
          <w:b/>
          <w:i/>
        </w:rPr>
        <w:t xml:space="preserve">Utilisation of NRT </w:t>
      </w:r>
    </w:p>
    <w:p w:rsidR="00293289" w:rsidRDefault="00293289" w:rsidP="00293289">
      <w:pPr>
        <w:spacing w:after="0"/>
        <w:rPr>
          <w:b/>
        </w:rPr>
      </w:pPr>
    </w:p>
    <w:p w:rsidR="00293289" w:rsidRDefault="00293289" w:rsidP="00293289">
      <w:pPr>
        <w:spacing w:after="0"/>
        <w:rPr>
          <w:b/>
        </w:rPr>
      </w:pPr>
      <w:r>
        <w:rPr>
          <w:b/>
        </w:rPr>
        <w:t>Table 1</w:t>
      </w:r>
      <w:r w:rsidR="00E60A4E">
        <w:rPr>
          <w:b/>
        </w:rPr>
        <w:t>0</w:t>
      </w:r>
      <w:r w:rsidR="00A43668">
        <w:rPr>
          <w:b/>
        </w:rPr>
        <w:t xml:space="preserve">: People supplied their first </w:t>
      </w:r>
      <w:r>
        <w:rPr>
          <w:b/>
        </w:rPr>
        <w:t xml:space="preserve">PBS subsidised NRT by duration of therapy   </w:t>
      </w:r>
    </w:p>
    <w:tbl>
      <w:tblPr>
        <w:tblStyle w:val="TableGrid"/>
        <w:tblW w:w="0" w:type="auto"/>
        <w:tblLook w:val="04A0" w:firstRow="1" w:lastRow="0" w:firstColumn="1" w:lastColumn="0" w:noHBand="0" w:noVBand="1"/>
        <w:tblCaption w:val="People supplied their first PBS subsidised NRT by duration of therapy"/>
        <w:tblDescription w:val="This table outlines the number of people who had various weeks of coverage for their NRT by the year in which it was supplied. Weeks 4 to 12 are highlighted in red as they are the coverage weeks permitted under the PBS restriction."/>
      </w:tblPr>
      <w:tblGrid>
        <w:gridCol w:w="1528"/>
        <w:gridCol w:w="1529"/>
        <w:gridCol w:w="1529"/>
        <w:gridCol w:w="1529"/>
        <w:gridCol w:w="1529"/>
        <w:gridCol w:w="1529"/>
      </w:tblGrid>
      <w:tr w:rsidR="00293289" w:rsidTr="00992DDA">
        <w:trPr>
          <w:tblHeader/>
        </w:trPr>
        <w:tc>
          <w:tcPr>
            <w:tcW w:w="1528" w:type="dxa"/>
            <w:tcBorders>
              <w:top w:val="nil"/>
              <w:left w:val="nil"/>
              <w:bottom w:val="single" w:sz="4" w:space="0" w:color="auto"/>
              <w:right w:val="single" w:sz="4" w:space="0" w:color="auto"/>
            </w:tcBorders>
            <w:vAlign w:val="bottom"/>
          </w:tcPr>
          <w:p w:rsidR="00293289" w:rsidRPr="00D66D7B" w:rsidRDefault="00293289" w:rsidP="00970D1D">
            <w:pPr>
              <w:jc w:val="center"/>
              <w:rPr>
                <w:sz w:val="20"/>
                <w:szCs w:val="20"/>
              </w:rPr>
            </w:pPr>
          </w:p>
        </w:tc>
        <w:tc>
          <w:tcPr>
            <w:tcW w:w="7645" w:type="dxa"/>
            <w:gridSpan w:val="5"/>
            <w:tcBorders>
              <w:left w:val="single" w:sz="4" w:space="0" w:color="auto"/>
            </w:tcBorders>
            <w:shd w:val="clear" w:color="auto" w:fill="BFBFBF" w:themeFill="background1" w:themeFillShade="BF"/>
            <w:vAlign w:val="bottom"/>
          </w:tcPr>
          <w:p w:rsidR="00293289" w:rsidRPr="00D66D7B" w:rsidRDefault="00293289" w:rsidP="00970D1D">
            <w:pPr>
              <w:jc w:val="center"/>
              <w:rPr>
                <w:b/>
                <w:sz w:val="20"/>
                <w:szCs w:val="20"/>
              </w:rPr>
            </w:pPr>
            <w:r w:rsidRPr="00D66D7B">
              <w:rPr>
                <w:b/>
                <w:sz w:val="20"/>
                <w:szCs w:val="20"/>
              </w:rPr>
              <w:t>Year</w:t>
            </w:r>
            <w:r>
              <w:rPr>
                <w:b/>
                <w:sz w:val="20"/>
                <w:szCs w:val="20"/>
              </w:rPr>
              <w:t xml:space="preserve"> of first attempt</w:t>
            </w:r>
          </w:p>
        </w:tc>
      </w:tr>
      <w:tr w:rsidR="00293289" w:rsidTr="00970D1D">
        <w:tc>
          <w:tcPr>
            <w:tcW w:w="1528" w:type="dxa"/>
            <w:tcBorders>
              <w:top w:val="single" w:sz="4" w:space="0" w:color="auto"/>
            </w:tcBorders>
            <w:shd w:val="clear" w:color="auto" w:fill="BFBFBF" w:themeFill="background1" w:themeFillShade="BF"/>
            <w:vAlign w:val="bottom"/>
          </w:tcPr>
          <w:p w:rsidR="00293289" w:rsidRPr="00D66D7B" w:rsidRDefault="00293289" w:rsidP="00970D1D">
            <w:pPr>
              <w:jc w:val="center"/>
              <w:rPr>
                <w:b/>
                <w:sz w:val="20"/>
                <w:szCs w:val="20"/>
              </w:rPr>
            </w:pPr>
            <w:r w:rsidRPr="00D66D7B">
              <w:rPr>
                <w:b/>
                <w:sz w:val="20"/>
                <w:szCs w:val="20"/>
              </w:rPr>
              <w:t>Weeks of coverage</w:t>
            </w:r>
          </w:p>
        </w:tc>
        <w:tc>
          <w:tcPr>
            <w:tcW w:w="1529" w:type="dxa"/>
            <w:vAlign w:val="bottom"/>
          </w:tcPr>
          <w:p w:rsidR="00293289" w:rsidRPr="00D66D7B" w:rsidRDefault="00293289" w:rsidP="00970D1D">
            <w:pPr>
              <w:spacing w:before="100" w:beforeAutospacing="1" w:after="100" w:afterAutospacing="1"/>
              <w:jc w:val="center"/>
              <w:rPr>
                <w:b/>
                <w:sz w:val="20"/>
                <w:szCs w:val="20"/>
              </w:rPr>
            </w:pPr>
            <w:r w:rsidRPr="00D66D7B">
              <w:rPr>
                <w:b/>
                <w:sz w:val="20"/>
                <w:szCs w:val="20"/>
              </w:rPr>
              <w:t>2011</w:t>
            </w:r>
          </w:p>
        </w:tc>
        <w:tc>
          <w:tcPr>
            <w:tcW w:w="1529" w:type="dxa"/>
            <w:vAlign w:val="bottom"/>
          </w:tcPr>
          <w:p w:rsidR="00293289" w:rsidRPr="00D66D7B" w:rsidRDefault="00293289" w:rsidP="00970D1D">
            <w:pPr>
              <w:spacing w:before="100" w:beforeAutospacing="1" w:after="100" w:afterAutospacing="1"/>
              <w:jc w:val="center"/>
              <w:rPr>
                <w:b/>
                <w:sz w:val="20"/>
                <w:szCs w:val="20"/>
              </w:rPr>
            </w:pPr>
            <w:r w:rsidRPr="00D66D7B">
              <w:rPr>
                <w:b/>
                <w:sz w:val="20"/>
                <w:szCs w:val="20"/>
              </w:rPr>
              <w:t>2012</w:t>
            </w:r>
          </w:p>
        </w:tc>
        <w:tc>
          <w:tcPr>
            <w:tcW w:w="1529" w:type="dxa"/>
            <w:vAlign w:val="bottom"/>
          </w:tcPr>
          <w:p w:rsidR="00293289" w:rsidRPr="00D66D7B" w:rsidRDefault="00293289" w:rsidP="00970D1D">
            <w:pPr>
              <w:spacing w:before="100" w:beforeAutospacing="1" w:after="100" w:afterAutospacing="1"/>
              <w:jc w:val="center"/>
              <w:rPr>
                <w:b/>
                <w:sz w:val="20"/>
                <w:szCs w:val="20"/>
              </w:rPr>
            </w:pPr>
            <w:r w:rsidRPr="00D66D7B">
              <w:rPr>
                <w:b/>
                <w:sz w:val="20"/>
                <w:szCs w:val="20"/>
              </w:rPr>
              <w:t>2013</w:t>
            </w:r>
          </w:p>
        </w:tc>
        <w:tc>
          <w:tcPr>
            <w:tcW w:w="1529" w:type="dxa"/>
            <w:vAlign w:val="bottom"/>
          </w:tcPr>
          <w:p w:rsidR="00293289" w:rsidRPr="00D66D7B" w:rsidRDefault="00293289" w:rsidP="00970D1D">
            <w:pPr>
              <w:spacing w:before="100" w:beforeAutospacing="1" w:after="100" w:afterAutospacing="1"/>
              <w:jc w:val="center"/>
              <w:rPr>
                <w:b/>
                <w:sz w:val="20"/>
                <w:szCs w:val="20"/>
              </w:rPr>
            </w:pPr>
            <w:r w:rsidRPr="00D66D7B">
              <w:rPr>
                <w:b/>
                <w:sz w:val="20"/>
                <w:szCs w:val="20"/>
              </w:rPr>
              <w:t>2014</w:t>
            </w:r>
          </w:p>
        </w:tc>
        <w:tc>
          <w:tcPr>
            <w:tcW w:w="1529" w:type="dxa"/>
            <w:vAlign w:val="bottom"/>
          </w:tcPr>
          <w:p w:rsidR="00293289" w:rsidRPr="00D66D7B" w:rsidRDefault="00293289" w:rsidP="00970D1D">
            <w:pPr>
              <w:spacing w:before="100" w:beforeAutospacing="1" w:after="100" w:afterAutospacing="1"/>
              <w:jc w:val="center"/>
              <w:rPr>
                <w:b/>
                <w:sz w:val="20"/>
                <w:szCs w:val="20"/>
              </w:rPr>
            </w:pPr>
            <w:r w:rsidRPr="00D66D7B">
              <w:rPr>
                <w:b/>
                <w:sz w:val="20"/>
                <w:szCs w:val="20"/>
              </w:rPr>
              <w:t>2015</w:t>
            </w:r>
            <w:r w:rsidRPr="00084084">
              <w:rPr>
                <w:b/>
                <w:sz w:val="20"/>
                <w:szCs w:val="20"/>
                <w:vertAlign w:val="superscript"/>
              </w:rPr>
              <w:t>Ɨ</w:t>
            </w:r>
          </w:p>
        </w:tc>
      </w:tr>
      <w:tr w:rsidR="00293289" w:rsidTr="00970D1D">
        <w:tc>
          <w:tcPr>
            <w:tcW w:w="1528" w:type="dxa"/>
            <w:vAlign w:val="bottom"/>
          </w:tcPr>
          <w:p w:rsidR="00293289" w:rsidRPr="00D66D7B" w:rsidRDefault="00293289" w:rsidP="00970D1D">
            <w:pPr>
              <w:jc w:val="center"/>
              <w:rPr>
                <w:b/>
                <w:color w:val="C0504D" w:themeColor="accent2"/>
                <w:sz w:val="20"/>
                <w:szCs w:val="20"/>
              </w:rPr>
            </w:pPr>
            <w:r w:rsidRPr="00D66D7B">
              <w:rPr>
                <w:b/>
                <w:color w:val="C0504D" w:themeColor="accent2"/>
                <w:sz w:val="20"/>
                <w:szCs w:val="20"/>
              </w:rPr>
              <w:t>4</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64,320</w:t>
            </w:r>
            <w:r>
              <w:rPr>
                <w:color w:val="C0504D" w:themeColor="accent2"/>
                <w:sz w:val="20"/>
                <w:szCs w:val="20"/>
              </w:rPr>
              <w:t xml:space="preserve"> (47.7%)</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33,985</w:t>
            </w:r>
            <w:r>
              <w:rPr>
                <w:color w:val="C0504D" w:themeColor="accent2"/>
                <w:sz w:val="20"/>
                <w:szCs w:val="20"/>
              </w:rPr>
              <w:t xml:space="preserve"> (54.3%)</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25,990</w:t>
            </w:r>
            <w:r>
              <w:rPr>
                <w:color w:val="C0504D" w:themeColor="accent2"/>
                <w:sz w:val="20"/>
                <w:szCs w:val="20"/>
              </w:rPr>
              <w:t xml:space="preserve"> (55.8%)</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22,940</w:t>
            </w:r>
            <w:r>
              <w:rPr>
                <w:color w:val="C0504D" w:themeColor="accent2"/>
                <w:sz w:val="20"/>
                <w:szCs w:val="20"/>
              </w:rPr>
              <w:t xml:space="preserve"> (56.3%)</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21,104</w:t>
            </w:r>
            <w:r>
              <w:rPr>
                <w:color w:val="C0504D" w:themeColor="accent2"/>
                <w:sz w:val="20"/>
                <w:szCs w:val="20"/>
              </w:rPr>
              <w:t xml:space="preserve"> (68.5%)</w:t>
            </w:r>
          </w:p>
        </w:tc>
      </w:tr>
      <w:tr w:rsidR="00293289" w:rsidTr="00970D1D">
        <w:tc>
          <w:tcPr>
            <w:tcW w:w="1528" w:type="dxa"/>
            <w:vAlign w:val="bottom"/>
          </w:tcPr>
          <w:p w:rsidR="00293289" w:rsidRPr="00D66D7B" w:rsidRDefault="00293289" w:rsidP="00970D1D">
            <w:pPr>
              <w:jc w:val="center"/>
              <w:rPr>
                <w:b/>
                <w:color w:val="C0504D" w:themeColor="accent2"/>
                <w:sz w:val="20"/>
                <w:szCs w:val="20"/>
              </w:rPr>
            </w:pPr>
            <w:r w:rsidRPr="00D66D7B">
              <w:rPr>
                <w:b/>
                <w:color w:val="C0504D" w:themeColor="accent2"/>
                <w:sz w:val="20"/>
                <w:szCs w:val="20"/>
              </w:rPr>
              <w:t>8</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26,479</w:t>
            </w:r>
            <w:r>
              <w:rPr>
                <w:color w:val="C0504D" w:themeColor="accent2"/>
                <w:sz w:val="20"/>
                <w:szCs w:val="20"/>
              </w:rPr>
              <w:t xml:space="preserve"> (19.6%)</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11,726</w:t>
            </w:r>
            <w:r>
              <w:rPr>
                <w:color w:val="C0504D" w:themeColor="accent2"/>
                <w:sz w:val="20"/>
                <w:szCs w:val="20"/>
              </w:rPr>
              <w:t xml:space="preserve"> (18.7%)</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8,625</w:t>
            </w:r>
            <w:r>
              <w:rPr>
                <w:color w:val="C0504D" w:themeColor="accent2"/>
                <w:sz w:val="20"/>
                <w:szCs w:val="20"/>
              </w:rPr>
              <w:t xml:space="preserve"> (18.5%)</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7,197</w:t>
            </w:r>
            <w:r>
              <w:rPr>
                <w:color w:val="C0504D" w:themeColor="accent2"/>
                <w:sz w:val="20"/>
                <w:szCs w:val="20"/>
              </w:rPr>
              <w:t xml:space="preserve"> (17.7%)</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5,097</w:t>
            </w:r>
            <w:r>
              <w:rPr>
                <w:color w:val="C0504D" w:themeColor="accent2"/>
                <w:sz w:val="20"/>
                <w:szCs w:val="20"/>
              </w:rPr>
              <w:t xml:space="preserve"> (16.5%)</w:t>
            </w:r>
          </w:p>
        </w:tc>
      </w:tr>
      <w:tr w:rsidR="00293289" w:rsidTr="00970D1D">
        <w:tc>
          <w:tcPr>
            <w:tcW w:w="1528" w:type="dxa"/>
            <w:vAlign w:val="bottom"/>
          </w:tcPr>
          <w:p w:rsidR="00293289" w:rsidRPr="00D66D7B" w:rsidRDefault="00293289" w:rsidP="00970D1D">
            <w:pPr>
              <w:jc w:val="center"/>
              <w:rPr>
                <w:b/>
                <w:color w:val="C0504D" w:themeColor="accent2"/>
                <w:sz w:val="20"/>
                <w:szCs w:val="20"/>
              </w:rPr>
            </w:pPr>
            <w:r w:rsidRPr="00D66D7B">
              <w:rPr>
                <w:b/>
                <w:color w:val="C0504D" w:themeColor="accent2"/>
                <w:sz w:val="20"/>
                <w:szCs w:val="20"/>
              </w:rPr>
              <w:t>12</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41,976</w:t>
            </w:r>
            <w:r>
              <w:rPr>
                <w:color w:val="C0504D" w:themeColor="accent2"/>
                <w:sz w:val="20"/>
                <w:szCs w:val="20"/>
              </w:rPr>
              <w:t xml:space="preserve"> (31.1%)</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16,257</w:t>
            </w:r>
            <w:r>
              <w:rPr>
                <w:color w:val="C0504D" w:themeColor="accent2"/>
                <w:sz w:val="20"/>
                <w:szCs w:val="20"/>
              </w:rPr>
              <w:t xml:space="preserve"> (26%)</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10,744</w:t>
            </w:r>
            <w:r>
              <w:rPr>
                <w:color w:val="C0504D" w:themeColor="accent2"/>
                <w:sz w:val="20"/>
                <w:szCs w:val="20"/>
              </w:rPr>
              <w:t xml:space="preserve"> (23.1%)</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7,612</w:t>
            </w:r>
            <w:r>
              <w:rPr>
                <w:color w:val="C0504D" w:themeColor="accent2"/>
                <w:sz w:val="20"/>
                <w:szCs w:val="20"/>
              </w:rPr>
              <w:t xml:space="preserve"> (18.7%)</w:t>
            </w:r>
          </w:p>
        </w:tc>
        <w:tc>
          <w:tcPr>
            <w:tcW w:w="1529" w:type="dxa"/>
            <w:vAlign w:val="bottom"/>
          </w:tcPr>
          <w:p w:rsidR="00293289" w:rsidRPr="00D66D7B" w:rsidRDefault="00293289" w:rsidP="00970D1D">
            <w:pPr>
              <w:jc w:val="right"/>
              <w:rPr>
                <w:b/>
                <w:color w:val="C0504D" w:themeColor="accent2"/>
                <w:sz w:val="20"/>
                <w:szCs w:val="20"/>
              </w:rPr>
            </w:pPr>
            <w:r w:rsidRPr="00D66D7B">
              <w:rPr>
                <w:color w:val="C0504D" w:themeColor="accent2"/>
                <w:sz w:val="20"/>
                <w:szCs w:val="20"/>
              </w:rPr>
              <w:t>3,554</w:t>
            </w:r>
            <w:r>
              <w:rPr>
                <w:color w:val="C0504D" w:themeColor="accent2"/>
                <w:sz w:val="20"/>
                <w:szCs w:val="20"/>
              </w:rPr>
              <w:t xml:space="preserve"> (11.5%)</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16</w:t>
            </w:r>
          </w:p>
        </w:tc>
        <w:tc>
          <w:tcPr>
            <w:tcW w:w="1529" w:type="dxa"/>
            <w:vAlign w:val="bottom"/>
          </w:tcPr>
          <w:p w:rsidR="00293289" w:rsidRPr="00D66D7B" w:rsidRDefault="00293289" w:rsidP="00970D1D">
            <w:pPr>
              <w:jc w:val="right"/>
              <w:rPr>
                <w:b/>
                <w:sz w:val="20"/>
                <w:szCs w:val="20"/>
              </w:rPr>
            </w:pPr>
            <w:r w:rsidRPr="00D66D7B">
              <w:rPr>
                <w:sz w:val="20"/>
                <w:szCs w:val="20"/>
              </w:rPr>
              <w:t>1,517</w:t>
            </w:r>
            <w:r>
              <w:rPr>
                <w:sz w:val="20"/>
                <w:szCs w:val="20"/>
              </w:rPr>
              <w:t xml:space="preserve"> (1.1%)</w:t>
            </w:r>
          </w:p>
        </w:tc>
        <w:tc>
          <w:tcPr>
            <w:tcW w:w="1529" w:type="dxa"/>
            <w:vAlign w:val="bottom"/>
          </w:tcPr>
          <w:p w:rsidR="00293289" w:rsidRPr="00D66D7B" w:rsidRDefault="00293289" w:rsidP="00970D1D">
            <w:pPr>
              <w:jc w:val="right"/>
              <w:rPr>
                <w:b/>
                <w:sz w:val="20"/>
                <w:szCs w:val="20"/>
              </w:rPr>
            </w:pPr>
            <w:r w:rsidRPr="00D66D7B">
              <w:rPr>
                <w:sz w:val="20"/>
                <w:szCs w:val="20"/>
              </w:rPr>
              <w:t>437</w:t>
            </w:r>
            <w:r>
              <w:rPr>
                <w:sz w:val="20"/>
                <w:szCs w:val="20"/>
              </w:rPr>
              <w:t xml:space="preserve"> (0.7%)</w:t>
            </w:r>
          </w:p>
        </w:tc>
        <w:tc>
          <w:tcPr>
            <w:tcW w:w="1529" w:type="dxa"/>
            <w:vAlign w:val="bottom"/>
          </w:tcPr>
          <w:p w:rsidR="00293289" w:rsidRPr="00D66D7B" w:rsidRDefault="00293289" w:rsidP="00970D1D">
            <w:pPr>
              <w:jc w:val="right"/>
              <w:rPr>
                <w:b/>
                <w:sz w:val="20"/>
                <w:szCs w:val="20"/>
              </w:rPr>
            </w:pPr>
            <w:r w:rsidRPr="00D66D7B">
              <w:rPr>
                <w:sz w:val="20"/>
                <w:szCs w:val="20"/>
              </w:rPr>
              <w:t>677</w:t>
            </w:r>
            <w:r>
              <w:rPr>
                <w:sz w:val="20"/>
                <w:szCs w:val="20"/>
              </w:rPr>
              <w:t xml:space="preserve"> (1.5%)</w:t>
            </w:r>
          </w:p>
        </w:tc>
        <w:tc>
          <w:tcPr>
            <w:tcW w:w="1529" w:type="dxa"/>
            <w:vAlign w:val="bottom"/>
          </w:tcPr>
          <w:p w:rsidR="00293289" w:rsidRPr="00D66D7B" w:rsidRDefault="00293289" w:rsidP="00970D1D">
            <w:pPr>
              <w:jc w:val="right"/>
              <w:rPr>
                <w:b/>
                <w:sz w:val="20"/>
                <w:szCs w:val="20"/>
              </w:rPr>
            </w:pPr>
            <w:r w:rsidRPr="00D66D7B">
              <w:rPr>
                <w:sz w:val="20"/>
                <w:szCs w:val="20"/>
              </w:rPr>
              <w:t>1,308</w:t>
            </w:r>
            <w:r>
              <w:rPr>
                <w:sz w:val="20"/>
                <w:szCs w:val="20"/>
              </w:rPr>
              <w:t xml:space="preserve"> (3.2%)</w:t>
            </w:r>
          </w:p>
        </w:tc>
        <w:tc>
          <w:tcPr>
            <w:tcW w:w="1529" w:type="dxa"/>
            <w:vAlign w:val="bottom"/>
          </w:tcPr>
          <w:p w:rsidR="00293289" w:rsidRPr="00D66D7B" w:rsidRDefault="00293289" w:rsidP="00970D1D">
            <w:pPr>
              <w:jc w:val="right"/>
              <w:rPr>
                <w:b/>
                <w:sz w:val="20"/>
                <w:szCs w:val="20"/>
              </w:rPr>
            </w:pPr>
            <w:r w:rsidRPr="00D66D7B">
              <w:rPr>
                <w:sz w:val="20"/>
                <w:szCs w:val="20"/>
              </w:rPr>
              <w:t>563</w:t>
            </w:r>
            <w:r>
              <w:rPr>
                <w:sz w:val="20"/>
                <w:szCs w:val="20"/>
              </w:rPr>
              <w:t xml:space="preserve"> (1.8%)</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20</w:t>
            </w:r>
          </w:p>
        </w:tc>
        <w:tc>
          <w:tcPr>
            <w:tcW w:w="1529" w:type="dxa"/>
            <w:vAlign w:val="bottom"/>
          </w:tcPr>
          <w:p w:rsidR="00293289" w:rsidRPr="00D66D7B" w:rsidRDefault="00293289" w:rsidP="00970D1D">
            <w:pPr>
              <w:jc w:val="right"/>
              <w:rPr>
                <w:b/>
                <w:sz w:val="20"/>
                <w:szCs w:val="20"/>
              </w:rPr>
            </w:pPr>
            <w:r w:rsidRPr="00D66D7B">
              <w:rPr>
                <w:sz w:val="20"/>
                <w:szCs w:val="20"/>
              </w:rPr>
              <w:t>433</w:t>
            </w:r>
            <w:r>
              <w:rPr>
                <w:sz w:val="20"/>
                <w:szCs w:val="20"/>
              </w:rPr>
              <w:t xml:space="preserve"> (0.3%)</w:t>
            </w:r>
          </w:p>
        </w:tc>
        <w:tc>
          <w:tcPr>
            <w:tcW w:w="1529" w:type="dxa"/>
            <w:vAlign w:val="bottom"/>
          </w:tcPr>
          <w:p w:rsidR="00293289" w:rsidRPr="00D66D7B" w:rsidRDefault="00293289" w:rsidP="00970D1D">
            <w:pPr>
              <w:jc w:val="right"/>
              <w:rPr>
                <w:b/>
                <w:sz w:val="20"/>
                <w:szCs w:val="20"/>
              </w:rPr>
            </w:pPr>
            <w:r w:rsidRPr="00D66D7B">
              <w:rPr>
                <w:sz w:val="20"/>
                <w:szCs w:val="20"/>
              </w:rPr>
              <w:t>138</w:t>
            </w:r>
            <w:r>
              <w:rPr>
                <w:sz w:val="20"/>
                <w:szCs w:val="20"/>
              </w:rPr>
              <w:t xml:space="preserve"> (0.2%)</w:t>
            </w:r>
          </w:p>
        </w:tc>
        <w:tc>
          <w:tcPr>
            <w:tcW w:w="1529" w:type="dxa"/>
            <w:vAlign w:val="bottom"/>
          </w:tcPr>
          <w:p w:rsidR="00293289" w:rsidRPr="00D66D7B" w:rsidRDefault="00293289" w:rsidP="00970D1D">
            <w:pPr>
              <w:jc w:val="right"/>
              <w:rPr>
                <w:b/>
                <w:sz w:val="20"/>
                <w:szCs w:val="20"/>
              </w:rPr>
            </w:pPr>
            <w:r w:rsidRPr="00D66D7B">
              <w:rPr>
                <w:sz w:val="20"/>
                <w:szCs w:val="20"/>
              </w:rPr>
              <w:t>255</w:t>
            </w:r>
            <w:r>
              <w:rPr>
                <w:sz w:val="20"/>
                <w:szCs w:val="20"/>
              </w:rPr>
              <w:t xml:space="preserve"> (0.5%)</w:t>
            </w:r>
          </w:p>
        </w:tc>
        <w:tc>
          <w:tcPr>
            <w:tcW w:w="1529" w:type="dxa"/>
            <w:vAlign w:val="bottom"/>
          </w:tcPr>
          <w:p w:rsidR="00293289" w:rsidRPr="00D66D7B" w:rsidRDefault="00293289" w:rsidP="00970D1D">
            <w:pPr>
              <w:jc w:val="right"/>
              <w:rPr>
                <w:b/>
                <w:sz w:val="20"/>
                <w:szCs w:val="20"/>
              </w:rPr>
            </w:pPr>
            <w:r w:rsidRPr="00D66D7B">
              <w:rPr>
                <w:sz w:val="20"/>
                <w:szCs w:val="20"/>
              </w:rPr>
              <w:t>653</w:t>
            </w:r>
            <w:r>
              <w:rPr>
                <w:sz w:val="20"/>
                <w:szCs w:val="20"/>
              </w:rPr>
              <w:t xml:space="preserve"> (1.6%)</w:t>
            </w:r>
          </w:p>
        </w:tc>
        <w:tc>
          <w:tcPr>
            <w:tcW w:w="1529" w:type="dxa"/>
            <w:vAlign w:val="bottom"/>
          </w:tcPr>
          <w:p w:rsidR="00293289" w:rsidRPr="00D66D7B" w:rsidRDefault="00293289" w:rsidP="00970D1D">
            <w:pPr>
              <w:jc w:val="right"/>
              <w:rPr>
                <w:b/>
                <w:sz w:val="20"/>
                <w:szCs w:val="20"/>
              </w:rPr>
            </w:pPr>
            <w:r w:rsidRPr="00D66D7B">
              <w:rPr>
                <w:sz w:val="20"/>
                <w:szCs w:val="20"/>
              </w:rPr>
              <w:t>236</w:t>
            </w:r>
            <w:r>
              <w:rPr>
                <w:sz w:val="20"/>
                <w:szCs w:val="20"/>
              </w:rPr>
              <w:t xml:space="preserve"> (0.8%)</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24</w:t>
            </w:r>
          </w:p>
        </w:tc>
        <w:tc>
          <w:tcPr>
            <w:tcW w:w="1529" w:type="dxa"/>
            <w:vAlign w:val="bottom"/>
          </w:tcPr>
          <w:p w:rsidR="00293289" w:rsidRPr="00D66D7B" w:rsidRDefault="00293289" w:rsidP="00970D1D">
            <w:pPr>
              <w:jc w:val="right"/>
              <w:rPr>
                <w:b/>
                <w:sz w:val="20"/>
                <w:szCs w:val="20"/>
              </w:rPr>
            </w:pPr>
            <w:r w:rsidRPr="00D66D7B">
              <w:rPr>
                <w:sz w:val="20"/>
                <w:szCs w:val="20"/>
              </w:rPr>
              <w:t>236</w:t>
            </w:r>
            <w:r>
              <w:rPr>
                <w:sz w:val="20"/>
                <w:szCs w:val="20"/>
              </w:rPr>
              <w:t xml:space="preserve"> (0.2%)</w:t>
            </w:r>
          </w:p>
        </w:tc>
        <w:tc>
          <w:tcPr>
            <w:tcW w:w="1529" w:type="dxa"/>
            <w:vAlign w:val="bottom"/>
          </w:tcPr>
          <w:p w:rsidR="00293289" w:rsidRPr="00D66D7B" w:rsidRDefault="00293289" w:rsidP="00970D1D">
            <w:pPr>
              <w:jc w:val="right"/>
              <w:rPr>
                <w:b/>
                <w:sz w:val="20"/>
                <w:szCs w:val="20"/>
              </w:rPr>
            </w:pPr>
            <w:r w:rsidRPr="00D66D7B">
              <w:rPr>
                <w:sz w:val="20"/>
                <w:szCs w:val="20"/>
              </w:rPr>
              <w:t>59</w:t>
            </w:r>
            <w:r>
              <w:rPr>
                <w:sz w:val="20"/>
                <w:szCs w:val="20"/>
              </w:rPr>
              <w:t xml:space="preserve"> (0.1%)</w:t>
            </w:r>
          </w:p>
        </w:tc>
        <w:tc>
          <w:tcPr>
            <w:tcW w:w="1529" w:type="dxa"/>
            <w:vAlign w:val="bottom"/>
          </w:tcPr>
          <w:p w:rsidR="00293289" w:rsidRPr="00D66D7B" w:rsidRDefault="00293289" w:rsidP="00970D1D">
            <w:pPr>
              <w:jc w:val="right"/>
              <w:rPr>
                <w:b/>
                <w:sz w:val="20"/>
                <w:szCs w:val="20"/>
              </w:rPr>
            </w:pPr>
            <w:r w:rsidRPr="00D66D7B">
              <w:rPr>
                <w:sz w:val="20"/>
                <w:szCs w:val="20"/>
              </w:rPr>
              <w:t>209</w:t>
            </w:r>
            <w:r>
              <w:rPr>
                <w:sz w:val="20"/>
                <w:szCs w:val="20"/>
              </w:rPr>
              <w:t xml:space="preserve"> (0.4%)</w:t>
            </w:r>
          </w:p>
        </w:tc>
        <w:tc>
          <w:tcPr>
            <w:tcW w:w="1529" w:type="dxa"/>
            <w:vAlign w:val="bottom"/>
          </w:tcPr>
          <w:p w:rsidR="00293289" w:rsidRPr="00D66D7B" w:rsidRDefault="00293289" w:rsidP="00970D1D">
            <w:pPr>
              <w:jc w:val="right"/>
              <w:rPr>
                <w:b/>
                <w:sz w:val="20"/>
                <w:szCs w:val="20"/>
              </w:rPr>
            </w:pPr>
            <w:r w:rsidRPr="00D66D7B">
              <w:rPr>
                <w:sz w:val="20"/>
                <w:szCs w:val="20"/>
              </w:rPr>
              <w:t>619</w:t>
            </w:r>
            <w:r>
              <w:rPr>
                <w:sz w:val="20"/>
                <w:szCs w:val="20"/>
              </w:rPr>
              <w:t xml:space="preserve"> (1.5%)</w:t>
            </w:r>
          </w:p>
        </w:tc>
        <w:tc>
          <w:tcPr>
            <w:tcW w:w="1529" w:type="dxa"/>
            <w:vAlign w:val="bottom"/>
          </w:tcPr>
          <w:p w:rsidR="00293289" w:rsidRPr="00D66D7B" w:rsidRDefault="00293289" w:rsidP="00970D1D">
            <w:pPr>
              <w:jc w:val="right"/>
              <w:rPr>
                <w:b/>
                <w:sz w:val="20"/>
                <w:szCs w:val="20"/>
              </w:rPr>
            </w:pPr>
            <w:r w:rsidRPr="00D66D7B">
              <w:rPr>
                <w:sz w:val="20"/>
                <w:szCs w:val="20"/>
              </w:rPr>
              <w:t>172</w:t>
            </w:r>
            <w:r>
              <w:rPr>
                <w:sz w:val="20"/>
                <w:szCs w:val="20"/>
              </w:rPr>
              <w:t xml:space="preserve"> (0.6%)</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28</w:t>
            </w:r>
          </w:p>
        </w:tc>
        <w:tc>
          <w:tcPr>
            <w:tcW w:w="1529" w:type="dxa"/>
            <w:vAlign w:val="bottom"/>
          </w:tcPr>
          <w:p w:rsidR="00293289" w:rsidRPr="00D66D7B" w:rsidRDefault="00293289" w:rsidP="00970D1D">
            <w:pPr>
              <w:jc w:val="right"/>
              <w:rPr>
                <w:b/>
                <w:sz w:val="20"/>
                <w:szCs w:val="20"/>
              </w:rPr>
            </w:pPr>
            <w:r w:rsidRPr="00D66D7B">
              <w:rPr>
                <w:sz w:val="20"/>
                <w:szCs w:val="20"/>
              </w:rPr>
              <w:t>6</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sidRPr="00D66D7B">
              <w:rPr>
                <w:sz w:val="20"/>
                <w:szCs w:val="20"/>
              </w:rPr>
              <w:t>6</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sidRPr="00D66D7B">
              <w:rPr>
                <w:sz w:val="20"/>
                <w:szCs w:val="20"/>
              </w:rPr>
              <w:t>39</w:t>
            </w:r>
            <w:r w:rsidR="00A43668">
              <w:rPr>
                <w:sz w:val="20"/>
                <w:szCs w:val="20"/>
              </w:rPr>
              <w:t xml:space="preserve"> (0.1%)</w:t>
            </w:r>
          </w:p>
        </w:tc>
        <w:tc>
          <w:tcPr>
            <w:tcW w:w="1529" w:type="dxa"/>
            <w:vAlign w:val="bottom"/>
          </w:tcPr>
          <w:p w:rsidR="00293289" w:rsidRPr="00D66D7B" w:rsidRDefault="00293289" w:rsidP="00970D1D">
            <w:pPr>
              <w:jc w:val="right"/>
              <w:rPr>
                <w:b/>
                <w:sz w:val="20"/>
                <w:szCs w:val="20"/>
              </w:rPr>
            </w:pPr>
            <w:r w:rsidRPr="00D66D7B">
              <w:rPr>
                <w:sz w:val="20"/>
                <w:szCs w:val="20"/>
              </w:rPr>
              <w:t>164</w:t>
            </w:r>
            <w:r w:rsidR="00A43668">
              <w:rPr>
                <w:sz w:val="20"/>
                <w:szCs w:val="20"/>
              </w:rPr>
              <w:t xml:space="preserve"> (0.4%)</w:t>
            </w:r>
          </w:p>
        </w:tc>
        <w:tc>
          <w:tcPr>
            <w:tcW w:w="1529" w:type="dxa"/>
            <w:vAlign w:val="bottom"/>
          </w:tcPr>
          <w:p w:rsidR="00293289" w:rsidRPr="00D66D7B" w:rsidRDefault="00293289" w:rsidP="00970D1D">
            <w:pPr>
              <w:jc w:val="right"/>
              <w:rPr>
                <w:b/>
                <w:sz w:val="20"/>
                <w:szCs w:val="20"/>
              </w:rPr>
            </w:pPr>
            <w:r w:rsidRPr="00D66D7B">
              <w:rPr>
                <w:sz w:val="20"/>
                <w:szCs w:val="20"/>
              </w:rPr>
              <w:t>53</w:t>
            </w:r>
            <w:r w:rsidR="00A43668">
              <w:rPr>
                <w:sz w:val="20"/>
                <w:szCs w:val="20"/>
              </w:rPr>
              <w:t xml:space="preserve"> (0.2%)</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32</w:t>
            </w:r>
          </w:p>
        </w:tc>
        <w:tc>
          <w:tcPr>
            <w:tcW w:w="1529" w:type="dxa"/>
            <w:vAlign w:val="bottom"/>
          </w:tcPr>
          <w:p w:rsidR="00293289" w:rsidRPr="00D66D7B" w:rsidRDefault="00293289" w:rsidP="00970D1D">
            <w:pPr>
              <w:jc w:val="right"/>
              <w:rPr>
                <w:b/>
                <w:sz w:val="20"/>
                <w:szCs w:val="20"/>
              </w:rPr>
            </w:pPr>
            <w:r w:rsidRPr="00D66D7B">
              <w:rPr>
                <w:sz w:val="20"/>
                <w:szCs w:val="20"/>
              </w:rPr>
              <w:t>2</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Pr>
                <w:b/>
                <w:sz w:val="20"/>
                <w:szCs w:val="20"/>
              </w:rPr>
              <w:t>-</w:t>
            </w:r>
          </w:p>
        </w:tc>
        <w:tc>
          <w:tcPr>
            <w:tcW w:w="1529" w:type="dxa"/>
            <w:vAlign w:val="bottom"/>
          </w:tcPr>
          <w:p w:rsidR="00293289" w:rsidRPr="00D66D7B" w:rsidRDefault="00293289" w:rsidP="00970D1D">
            <w:pPr>
              <w:jc w:val="right"/>
              <w:rPr>
                <w:b/>
                <w:sz w:val="20"/>
                <w:szCs w:val="20"/>
              </w:rPr>
            </w:pPr>
            <w:r w:rsidRPr="00D66D7B">
              <w:rPr>
                <w:sz w:val="20"/>
                <w:szCs w:val="20"/>
              </w:rPr>
              <w:t>22</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sidRPr="00D66D7B">
              <w:rPr>
                <w:sz w:val="20"/>
                <w:szCs w:val="20"/>
              </w:rPr>
              <w:t>112</w:t>
            </w:r>
            <w:r w:rsidR="00A43668">
              <w:rPr>
                <w:sz w:val="20"/>
                <w:szCs w:val="20"/>
              </w:rPr>
              <w:t xml:space="preserve"> (0.3%)</w:t>
            </w:r>
          </w:p>
        </w:tc>
        <w:tc>
          <w:tcPr>
            <w:tcW w:w="1529" w:type="dxa"/>
            <w:vAlign w:val="bottom"/>
          </w:tcPr>
          <w:p w:rsidR="00293289" w:rsidRPr="00D66D7B" w:rsidRDefault="00293289" w:rsidP="00970D1D">
            <w:pPr>
              <w:jc w:val="right"/>
              <w:rPr>
                <w:b/>
                <w:sz w:val="20"/>
                <w:szCs w:val="20"/>
              </w:rPr>
            </w:pPr>
            <w:r w:rsidRPr="00D66D7B">
              <w:rPr>
                <w:sz w:val="20"/>
                <w:szCs w:val="20"/>
              </w:rPr>
              <w:t>24</w:t>
            </w:r>
            <w:r w:rsidR="00A43668">
              <w:rPr>
                <w:sz w:val="20"/>
                <w:szCs w:val="20"/>
              </w:rPr>
              <w:t xml:space="preserve"> (0.1%)</w:t>
            </w:r>
          </w:p>
        </w:tc>
      </w:tr>
      <w:tr w:rsidR="00293289" w:rsidTr="00970D1D">
        <w:tc>
          <w:tcPr>
            <w:tcW w:w="1528" w:type="dxa"/>
            <w:vAlign w:val="bottom"/>
          </w:tcPr>
          <w:p w:rsidR="00293289" w:rsidRPr="00D66D7B" w:rsidRDefault="00293289" w:rsidP="00970D1D">
            <w:pPr>
              <w:jc w:val="center"/>
              <w:rPr>
                <w:b/>
                <w:sz w:val="20"/>
                <w:szCs w:val="20"/>
              </w:rPr>
            </w:pPr>
            <w:r w:rsidRPr="00D66D7B">
              <w:rPr>
                <w:b/>
                <w:sz w:val="20"/>
                <w:szCs w:val="20"/>
              </w:rPr>
              <w:t>36</w:t>
            </w:r>
          </w:p>
        </w:tc>
        <w:tc>
          <w:tcPr>
            <w:tcW w:w="1529" w:type="dxa"/>
            <w:vAlign w:val="bottom"/>
          </w:tcPr>
          <w:p w:rsidR="00293289" w:rsidRPr="00D66D7B" w:rsidRDefault="00293289" w:rsidP="00970D1D">
            <w:pPr>
              <w:jc w:val="right"/>
              <w:rPr>
                <w:b/>
                <w:sz w:val="20"/>
                <w:szCs w:val="20"/>
              </w:rPr>
            </w:pPr>
            <w:r w:rsidRPr="00D66D7B">
              <w:rPr>
                <w:sz w:val="20"/>
                <w:szCs w:val="20"/>
              </w:rPr>
              <w:t>3</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Pr>
                <w:b/>
                <w:sz w:val="20"/>
                <w:szCs w:val="20"/>
              </w:rPr>
              <w:t>-</w:t>
            </w:r>
          </w:p>
        </w:tc>
        <w:tc>
          <w:tcPr>
            <w:tcW w:w="1529" w:type="dxa"/>
            <w:vAlign w:val="bottom"/>
          </w:tcPr>
          <w:p w:rsidR="00293289" w:rsidRPr="00D66D7B" w:rsidRDefault="00293289" w:rsidP="00970D1D">
            <w:pPr>
              <w:jc w:val="right"/>
              <w:rPr>
                <w:b/>
                <w:sz w:val="20"/>
                <w:szCs w:val="20"/>
              </w:rPr>
            </w:pPr>
            <w:r w:rsidRPr="00D66D7B">
              <w:rPr>
                <w:sz w:val="20"/>
                <w:szCs w:val="20"/>
              </w:rPr>
              <w:t>19</w:t>
            </w:r>
            <w:r w:rsidR="00A43668">
              <w:rPr>
                <w:sz w:val="20"/>
                <w:szCs w:val="20"/>
              </w:rPr>
              <w:t xml:space="preserve"> (&lt;0.1%)</w:t>
            </w:r>
          </w:p>
        </w:tc>
        <w:tc>
          <w:tcPr>
            <w:tcW w:w="1529" w:type="dxa"/>
            <w:vAlign w:val="bottom"/>
          </w:tcPr>
          <w:p w:rsidR="00293289" w:rsidRPr="00D66D7B" w:rsidRDefault="00293289" w:rsidP="00970D1D">
            <w:pPr>
              <w:jc w:val="right"/>
              <w:rPr>
                <w:b/>
                <w:sz w:val="20"/>
                <w:szCs w:val="20"/>
              </w:rPr>
            </w:pPr>
            <w:r w:rsidRPr="00D66D7B">
              <w:rPr>
                <w:sz w:val="20"/>
                <w:szCs w:val="20"/>
              </w:rPr>
              <w:t>113</w:t>
            </w:r>
            <w:r w:rsidR="00A43668">
              <w:rPr>
                <w:sz w:val="20"/>
                <w:szCs w:val="20"/>
              </w:rPr>
              <w:t xml:space="preserve"> (0.3%)</w:t>
            </w:r>
          </w:p>
        </w:tc>
        <w:tc>
          <w:tcPr>
            <w:tcW w:w="1529" w:type="dxa"/>
            <w:vAlign w:val="bottom"/>
          </w:tcPr>
          <w:p w:rsidR="00293289" w:rsidRPr="00D66D7B" w:rsidRDefault="00293289" w:rsidP="00970D1D">
            <w:pPr>
              <w:jc w:val="right"/>
              <w:rPr>
                <w:b/>
                <w:sz w:val="20"/>
                <w:szCs w:val="20"/>
              </w:rPr>
            </w:pPr>
            <w:r w:rsidRPr="00D66D7B">
              <w:rPr>
                <w:sz w:val="20"/>
                <w:szCs w:val="20"/>
              </w:rPr>
              <w:t>11</w:t>
            </w:r>
            <w:r w:rsidR="00A43668">
              <w:rPr>
                <w:sz w:val="20"/>
                <w:szCs w:val="20"/>
              </w:rPr>
              <w:t xml:space="preserve"> (&lt;0.1%)</w:t>
            </w:r>
          </w:p>
        </w:tc>
      </w:tr>
      <w:tr w:rsidR="00293289" w:rsidTr="00970D1D">
        <w:tc>
          <w:tcPr>
            <w:tcW w:w="1528" w:type="dxa"/>
            <w:vAlign w:val="bottom"/>
          </w:tcPr>
          <w:p w:rsidR="00293289" w:rsidRPr="00D66D7B" w:rsidRDefault="00293289" w:rsidP="00A43668">
            <w:pPr>
              <w:jc w:val="center"/>
              <w:rPr>
                <w:b/>
                <w:sz w:val="20"/>
                <w:szCs w:val="20"/>
              </w:rPr>
            </w:pPr>
            <w:r w:rsidRPr="00D66D7B">
              <w:rPr>
                <w:b/>
                <w:bCs/>
                <w:color w:val="000000"/>
                <w:sz w:val="20"/>
                <w:szCs w:val="20"/>
              </w:rPr>
              <w:t>Total</w:t>
            </w:r>
            <w:r>
              <w:rPr>
                <w:b/>
                <w:bCs/>
                <w:color w:val="000000"/>
                <w:sz w:val="20"/>
                <w:szCs w:val="20"/>
              </w:rPr>
              <w:t xml:space="preserve"> number</w:t>
            </w:r>
          </w:p>
        </w:tc>
        <w:tc>
          <w:tcPr>
            <w:tcW w:w="1529" w:type="dxa"/>
            <w:vAlign w:val="bottom"/>
          </w:tcPr>
          <w:p w:rsidR="00293289" w:rsidRPr="00D66D7B" w:rsidRDefault="00293289" w:rsidP="00970D1D">
            <w:pPr>
              <w:jc w:val="right"/>
              <w:rPr>
                <w:b/>
                <w:sz w:val="20"/>
                <w:szCs w:val="20"/>
              </w:rPr>
            </w:pPr>
            <w:r w:rsidRPr="00D66D7B">
              <w:rPr>
                <w:b/>
                <w:bCs/>
                <w:color w:val="000000"/>
                <w:sz w:val="20"/>
                <w:szCs w:val="20"/>
              </w:rPr>
              <w:t>134,972</w:t>
            </w:r>
          </w:p>
        </w:tc>
        <w:tc>
          <w:tcPr>
            <w:tcW w:w="1529" w:type="dxa"/>
            <w:vAlign w:val="bottom"/>
          </w:tcPr>
          <w:p w:rsidR="00293289" w:rsidRPr="00D66D7B" w:rsidRDefault="00293289" w:rsidP="00970D1D">
            <w:pPr>
              <w:jc w:val="right"/>
              <w:rPr>
                <w:b/>
                <w:sz w:val="20"/>
                <w:szCs w:val="20"/>
              </w:rPr>
            </w:pPr>
            <w:r w:rsidRPr="00D66D7B">
              <w:rPr>
                <w:b/>
                <w:bCs/>
                <w:color w:val="000000"/>
                <w:sz w:val="20"/>
                <w:szCs w:val="20"/>
              </w:rPr>
              <w:t>62,608</w:t>
            </w:r>
          </w:p>
        </w:tc>
        <w:tc>
          <w:tcPr>
            <w:tcW w:w="1529" w:type="dxa"/>
            <w:vAlign w:val="bottom"/>
          </w:tcPr>
          <w:p w:rsidR="00293289" w:rsidRPr="00D66D7B" w:rsidRDefault="00293289" w:rsidP="00970D1D">
            <w:pPr>
              <w:jc w:val="right"/>
              <w:rPr>
                <w:b/>
                <w:sz w:val="20"/>
                <w:szCs w:val="20"/>
              </w:rPr>
            </w:pPr>
            <w:r w:rsidRPr="00D66D7B">
              <w:rPr>
                <w:b/>
                <w:bCs/>
                <w:color w:val="000000"/>
                <w:sz w:val="20"/>
                <w:szCs w:val="20"/>
              </w:rPr>
              <w:t>46,580</w:t>
            </w:r>
          </w:p>
        </w:tc>
        <w:tc>
          <w:tcPr>
            <w:tcW w:w="1529" w:type="dxa"/>
            <w:vAlign w:val="bottom"/>
          </w:tcPr>
          <w:p w:rsidR="00293289" w:rsidRPr="00D66D7B" w:rsidRDefault="00293289" w:rsidP="00970D1D">
            <w:pPr>
              <w:jc w:val="right"/>
              <w:rPr>
                <w:b/>
                <w:sz w:val="20"/>
                <w:szCs w:val="20"/>
              </w:rPr>
            </w:pPr>
            <w:r w:rsidRPr="00D66D7B">
              <w:rPr>
                <w:b/>
                <w:bCs/>
                <w:color w:val="000000"/>
                <w:sz w:val="20"/>
                <w:szCs w:val="20"/>
              </w:rPr>
              <w:t>40,718</w:t>
            </w:r>
          </w:p>
        </w:tc>
        <w:tc>
          <w:tcPr>
            <w:tcW w:w="1529" w:type="dxa"/>
            <w:vAlign w:val="bottom"/>
          </w:tcPr>
          <w:p w:rsidR="00293289" w:rsidRPr="00D66D7B" w:rsidRDefault="00293289" w:rsidP="00970D1D">
            <w:pPr>
              <w:jc w:val="right"/>
              <w:rPr>
                <w:b/>
                <w:sz w:val="20"/>
                <w:szCs w:val="20"/>
              </w:rPr>
            </w:pPr>
            <w:r w:rsidRPr="00D66D7B">
              <w:rPr>
                <w:b/>
                <w:bCs/>
                <w:color w:val="000000"/>
                <w:sz w:val="20"/>
                <w:szCs w:val="20"/>
              </w:rPr>
              <w:t>30,814</w:t>
            </w:r>
          </w:p>
        </w:tc>
      </w:tr>
    </w:tbl>
    <w:p w:rsidR="00293289" w:rsidRDefault="00A43668" w:rsidP="00293289">
      <w:pPr>
        <w:spacing w:after="0"/>
        <w:rPr>
          <w:rStyle w:val="FigurecaptionChar"/>
        </w:rPr>
      </w:pPr>
      <w:r>
        <w:rPr>
          <w:rStyle w:val="FigurecaptionChar"/>
        </w:rPr>
        <w:t>People</w:t>
      </w:r>
      <w:r w:rsidR="00293289">
        <w:rPr>
          <w:rStyle w:val="FigurecaptionChar"/>
        </w:rPr>
        <w:t xml:space="preserve"> have been excluded if patient category is repatriation or Closing The Gap (CTG).</w:t>
      </w:r>
    </w:p>
    <w:p w:rsidR="00293289" w:rsidRPr="00084084" w:rsidRDefault="00293289" w:rsidP="00293289">
      <w:pPr>
        <w:spacing w:after="0"/>
        <w:rPr>
          <w:rStyle w:val="FigurecaptionChar"/>
        </w:rPr>
      </w:pPr>
      <w:r w:rsidRPr="00084084">
        <w:rPr>
          <w:b/>
          <w:sz w:val="20"/>
          <w:szCs w:val="20"/>
          <w:vertAlign w:val="superscript"/>
        </w:rPr>
        <w:t>Ɨ</w:t>
      </w:r>
      <w:r w:rsidRPr="00AE723D">
        <w:rPr>
          <w:sz w:val="20"/>
          <w:szCs w:val="20"/>
          <w:vertAlign w:val="superscript"/>
        </w:rPr>
        <w:t xml:space="preserve"> </w:t>
      </w:r>
      <w:r>
        <w:rPr>
          <w:rStyle w:val="FigurecaptionChar"/>
        </w:rPr>
        <w:t>Data from 2015 is part year and available until 30 September.</w:t>
      </w:r>
    </w:p>
    <w:p w:rsidR="00293289" w:rsidRDefault="00293289" w:rsidP="00293289">
      <w:pPr>
        <w:spacing w:after="0"/>
        <w:rPr>
          <w:rStyle w:val="FigurecaptionChar"/>
        </w:rPr>
      </w:pPr>
      <w:r w:rsidRPr="0030713E">
        <w:rPr>
          <w:rStyle w:val="FigurecaptionChar"/>
        </w:rPr>
        <w:t>Source: D</w:t>
      </w:r>
      <w:r>
        <w:rPr>
          <w:rStyle w:val="FigurecaptionChar"/>
        </w:rPr>
        <w:t>HS Medicare</w:t>
      </w:r>
      <w:r w:rsidRPr="0030713E">
        <w:rPr>
          <w:rStyle w:val="FigurecaptionChar"/>
        </w:rPr>
        <w:t xml:space="preserve"> </w:t>
      </w:r>
      <w:r>
        <w:rPr>
          <w:rStyle w:val="FigurecaptionChar"/>
        </w:rPr>
        <w:t>D</w:t>
      </w:r>
      <w:r w:rsidRPr="0030713E">
        <w:rPr>
          <w:rStyle w:val="FigurecaptionChar"/>
        </w:rPr>
        <w:t xml:space="preserve">atabase, </w:t>
      </w:r>
      <w:r>
        <w:rPr>
          <w:rStyle w:val="FigurecaptionChar"/>
        </w:rPr>
        <w:t>November 2015</w:t>
      </w:r>
      <w:r w:rsidRPr="0030713E">
        <w:rPr>
          <w:rStyle w:val="FigurecaptionChar"/>
        </w:rPr>
        <w:t>.</w:t>
      </w:r>
    </w:p>
    <w:p w:rsidR="00FF7AA2" w:rsidRPr="00A97BF9" w:rsidRDefault="00FF7AA2" w:rsidP="00293289">
      <w:pPr>
        <w:spacing w:after="0"/>
        <w:rPr>
          <w:sz w:val="20"/>
          <w:szCs w:val="20"/>
          <w:lang w:eastAsia="en-US"/>
        </w:rPr>
      </w:pPr>
    </w:p>
    <w:p w:rsidR="00FF7AA2" w:rsidRDefault="00A43668" w:rsidP="00293289">
      <w:r>
        <w:t>G</w:t>
      </w:r>
      <w:r w:rsidR="00293289">
        <w:t>eneral and concessional beneficiaries are permitted up to 12 weeks</w:t>
      </w:r>
      <w:r>
        <w:t>’</w:t>
      </w:r>
      <w:r w:rsidR="00293289">
        <w:t xml:space="preserve"> supply of subsidised NRT each year. Table 1</w:t>
      </w:r>
      <w:r w:rsidR="00E60A4E">
        <w:t>0</w:t>
      </w:r>
      <w:r w:rsidR="00293289">
        <w:t xml:space="preserve"> highlights in red the cohorts of people using NRT as permitted in the PBS restriction. Four weeks coverage correlates to one prescription being supplied; eight weeks correlates to two prescriptions (whether it be a repeat or a second original) and 12 weeks to three prescriptions (whether repeats or subsequent original prescriptions). </w:t>
      </w:r>
    </w:p>
    <w:p w:rsidR="00293289" w:rsidRPr="00E064DC" w:rsidRDefault="00FF7AA2" w:rsidP="00293289">
      <w:r>
        <w:t>Table 1</w:t>
      </w:r>
      <w:r w:rsidR="00E60A4E">
        <w:t>0</w:t>
      </w:r>
      <w:r>
        <w:t xml:space="preserve"> indicates that the vast majority of people comply with the restriction requirement of a maximum of 12 weeks of NRT therapy. However, the proportion of people who received greater than 12 weeks of therapy was highest in 2014 after the restriction changed from Authority Required to streamlined authority. </w:t>
      </w:r>
      <w:r w:rsidR="00293289">
        <w:t>Across the five years, the majority of people have four weeks supply of R/PBS subsidised NRT, with the percentage increasing slightly each year. More people are only using NRT for four weeks (</w:t>
      </w:r>
      <w:r w:rsidR="004F19D0">
        <w:t>i.e.</w:t>
      </w:r>
      <w:r w:rsidR="005F69DD">
        <w:t xml:space="preserve"> w</w:t>
      </w:r>
      <w:r w:rsidR="00293289">
        <w:t>ere supplied one prescription). Whether this is indicative of treatment success or attempt failure cannot be determined.</w:t>
      </w:r>
    </w:p>
    <w:p w:rsidR="00293289" w:rsidRDefault="00293289" w:rsidP="00293289">
      <w:r>
        <w:t xml:space="preserve">Note that </w:t>
      </w:r>
      <w:r w:rsidR="00A43668">
        <w:t>people</w:t>
      </w:r>
      <w:r>
        <w:t xml:space="preserve"> who are supplied NRT under the Closing The Gap (CTG) scheme, are permitted two courses every twelve months, and the RPBS has no restriction on the number of courses permitted per year, therefore both have been excluded from the data in Table 1</w:t>
      </w:r>
      <w:r w:rsidR="00E60A4E">
        <w:t>0</w:t>
      </w:r>
      <w:r>
        <w:t>.</w:t>
      </w:r>
    </w:p>
    <w:p w:rsidR="008E662A" w:rsidRDefault="008E662A" w:rsidP="00FE645A">
      <w:pPr>
        <w:pStyle w:val="Heading3"/>
      </w:pPr>
    </w:p>
    <w:p w:rsidR="008E662A" w:rsidRDefault="008E662A" w:rsidP="00FE645A">
      <w:pPr>
        <w:pStyle w:val="Heading3"/>
      </w:pPr>
    </w:p>
    <w:p w:rsidR="008E662A" w:rsidRDefault="008E662A" w:rsidP="00FE645A">
      <w:pPr>
        <w:pStyle w:val="Heading3"/>
      </w:pPr>
    </w:p>
    <w:p w:rsidR="00736041" w:rsidRDefault="001B5D37" w:rsidP="00FE645A">
      <w:pPr>
        <w:pStyle w:val="Heading3"/>
      </w:pPr>
      <w:r w:rsidRPr="005E22C2">
        <w:lastRenderedPageBreak/>
        <w:t xml:space="preserve">Analysis </w:t>
      </w:r>
      <w:r w:rsidR="00481108" w:rsidRPr="005E22C2">
        <w:t xml:space="preserve">of </w:t>
      </w:r>
      <w:r w:rsidR="0063631C">
        <w:t>e</w:t>
      </w:r>
      <w:r w:rsidR="00736041" w:rsidRPr="005E22C2">
        <w:t>xpenditure</w:t>
      </w:r>
    </w:p>
    <w:p w:rsidR="00E4193E" w:rsidRPr="00E4193E" w:rsidRDefault="00E4193E" w:rsidP="00E4193E">
      <w:pPr>
        <w:spacing w:after="0"/>
        <w:rPr>
          <w:b/>
        </w:rPr>
      </w:pPr>
      <w:r w:rsidRPr="00E4193E">
        <w:rPr>
          <w:b/>
        </w:rPr>
        <w:t xml:space="preserve">Table </w:t>
      </w:r>
      <w:r w:rsidR="00F60090">
        <w:rPr>
          <w:b/>
        </w:rPr>
        <w:t>1</w:t>
      </w:r>
      <w:r w:rsidR="00E60A4E">
        <w:rPr>
          <w:b/>
        </w:rPr>
        <w:t>1</w:t>
      </w:r>
      <w:r w:rsidRPr="00E4193E">
        <w:rPr>
          <w:b/>
        </w:rPr>
        <w:t xml:space="preserve">: </w:t>
      </w:r>
      <w:r w:rsidR="00A43668">
        <w:rPr>
          <w:b/>
        </w:rPr>
        <w:t>R/</w:t>
      </w:r>
      <w:r w:rsidRPr="00E4193E">
        <w:rPr>
          <w:b/>
        </w:rPr>
        <w:t>PBS benefits for smoking cessation therapy</w:t>
      </w:r>
    </w:p>
    <w:tbl>
      <w:tblPr>
        <w:tblStyle w:val="TableGrid"/>
        <w:tblW w:w="0" w:type="auto"/>
        <w:tblLook w:val="04A0" w:firstRow="1" w:lastRow="0" w:firstColumn="1" w:lastColumn="0" w:noHBand="0" w:noVBand="1"/>
        <w:tblCaption w:val="R/PBS benefits for smoking cessation therapy"/>
        <w:tblDescription w:val="This table outlines the total benefit amount for smoking cessation therapy by individual year from 2011 to September 2015."/>
      </w:tblPr>
      <w:tblGrid>
        <w:gridCol w:w="3057"/>
        <w:gridCol w:w="3058"/>
      </w:tblGrid>
      <w:tr w:rsidR="00E4193E" w:rsidTr="00992DDA">
        <w:trPr>
          <w:tblHeader/>
        </w:trPr>
        <w:tc>
          <w:tcPr>
            <w:tcW w:w="3057" w:type="dxa"/>
            <w:shd w:val="clear" w:color="auto" w:fill="BFBFBF" w:themeFill="background1" w:themeFillShade="BF"/>
          </w:tcPr>
          <w:p w:rsidR="00E4193E" w:rsidRPr="00E4193E" w:rsidRDefault="00E4193E" w:rsidP="00282707">
            <w:pPr>
              <w:jc w:val="center"/>
              <w:rPr>
                <w:b/>
                <w:sz w:val="20"/>
                <w:szCs w:val="20"/>
              </w:rPr>
            </w:pPr>
            <w:r w:rsidRPr="00E4193E">
              <w:rPr>
                <w:b/>
                <w:sz w:val="20"/>
                <w:szCs w:val="20"/>
              </w:rPr>
              <w:t>Year</w:t>
            </w:r>
          </w:p>
        </w:tc>
        <w:tc>
          <w:tcPr>
            <w:tcW w:w="3058" w:type="dxa"/>
            <w:shd w:val="clear" w:color="auto" w:fill="BFBFBF" w:themeFill="background1" w:themeFillShade="BF"/>
          </w:tcPr>
          <w:p w:rsidR="00E4193E" w:rsidRPr="00E4193E" w:rsidRDefault="00E4193E" w:rsidP="00282707">
            <w:pPr>
              <w:jc w:val="center"/>
              <w:rPr>
                <w:b/>
                <w:sz w:val="20"/>
                <w:szCs w:val="20"/>
              </w:rPr>
            </w:pPr>
            <w:r w:rsidRPr="00E4193E">
              <w:rPr>
                <w:b/>
                <w:sz w:val="20"/>
                <w:szCs w:val="20"/>
              </w:rPr>
              <w:t>Total</w:t>
            </w:r>
          </w:p>
        </w:tc>
      </w:tr>
      <w:tr w:rsidR="00E4193E" w:rsidTr="00E4193E">
        <w:tc>
          <w:tcPr>
            <w:tcW w:w="3057" w:type="dxa"/>
          </w:tcPr>
          <w:p w:rsidR="00E4193E" w:rsidRPr="00E4193E" w:rsidRDefault="00E4193E" w:rsidP="00A35800">
            <w:pPr>
              <w:rPr>
                <w:sz w:val="20"/>
                <w:szCs w:val="20"/>
              </w:rPr>
            </w:pPr>
            <w:r w:rsidRPr="00E4193E">
              <w:rPr>
                <w:sz w:val="20"/>
                <w:szCs w:val="20"/>
              </w:rPr>
              <w:t>2011</w:t>
            </w:r>
          </w:p>
        </w:tc>
        <w:tc>
          <w:tcPr>
            <w:tcW w:w="3058" w:type="dxa"/>
          </w:tcPr>
          <w:p w:rsidR="00E4193E" w:rsidRPr="00E4193E" w:rsidRDefault="00E4193E" w:rsidP="0095245F">
            <w:pPr>
              <w:jc w:val="right"/>
              <w:rPr>
                <w:sz w:val="20"/>
                <w:szCs w:val="20"/>
              </w:rPr>
            </w:pPr>
            <w:r>
              <w:rPr>
                <w:sz w:val="20"/>
                <w:szCs w:val="20"/>
              </w:rPr>
              <w:t>$63,855,217</w:t>
            </w:r>
          </w:p>
        </w:tc>
      </w:tr>
      <w:tr w:rsidR="00E4193E" w:rsidTr="00E4193E">
        <w:tc>
          <w:tcPr>
            <w:tcW w:w="3057" w:type="dxa"/>
          </w:tcPr>
          <w:p w:rsidR="00E4193E" w:rsidRPr="00E4193E" w:rsidRDefault="00E4193E" w:rsidP="00A35800">
            <w:pPr>
              <w:rPr>
                <w:sz w:val="20"/>
                <w:szCs w:val="20"/>
              </w:rPr>
            </w:pPr>
            <w:r w:rsidRPr="00E4193E">
              <w:rPr>
                <w:sz w:val="20"/>
                <w:szCs w:val="20"/>
              </w:rPr>
              <w:t>2012</w:t>
            </w:r>
          </w:p>
        </w:tc>
        <w:tc>
          <w:tcPr>
            <w:tcW w:w="3058" w:type="dxa"/>
          </w:tcPr>
          <w:p w:rsidR="00E4193E" w:rsidRPr="00E4193E" w:rsidRDefault="00E4193E" w:rsidP="0095245F">
            <w:pPr>
              <w:jc w:val="right"/>
              <w:rPr>
                <w:sz w:val="20"/>
                <w:szCs w:val="20"/>
              </w:rPr>
            </w:pPr>
            <w:r>
              <w:rPr>
                <w:sz w:val="20"/>
                <w:szCs w:val="20"/>
              </w:rPr>
              <w:t>$52,642,220</w:t>
            </w:r>
          </w:p>
        </w:tc>
      </w:tr>
      <w:tr w:rsidR="00E4193E" w:rsidTr="00E4193E">
        <w:tc>
          <w:tcPr>
            <w:tcW w:w="3057" w:type="dxa"/>
          </w:tcPr>
          <w:p w:rsidR="00E4193E" w:rsidRPr="00E4193E" w:rsidRDefault="00E4193E" w:rsidP="00A35800">
            <w:pPr>
              <w:rPr>
                <w:sz w:val="20"/>
                <w:szCs w:val="20"/>
              </w:rPr>
            </w:pPr>
            <w:r w:rsidRPr="00E4193E">
              <w:rPr>
                <w:sz w:val="20"/>
                <w:szCs w:val="20"/>
              </w:rPr>
              <w:t>2013</w:t>
            </w:r>
          </w:p>
        </w:tc>
        <w:tc>
          <w:tcPr>
            <w:tcW w:w="3058" w:type="dxa"/>
          </w:tcPr>
          <w:p w:rsidR="00E4193E" w:rsidRPr="00E4193E" w:rsidRDefault="00C03C46" w:rsidP="0095245F">
            <w:pPr>
              <w:jc w:val="right"/>
              <w:rPr>
                <w:sz w:val="20"/>
                <w:szCs w:val="20"/>
              </w:rPr>
            </w:pPr>
            <w:r>
              <w:rPr>
                <w:sz w:val="20"/>
                <w:szCs w:val="20"/>
              </w:rPr>
              <w:t>$48,811,717</w:t>
            </w:r>
          </w:p>
        </w:tc>
      </w:tr>
      <w:tr w:rsidR="00E4193E" w:rsidTr="00E4193E">
        <w:tc>
          <w:tcPr>
            <w:tcW w:w="3057" w:type="dxa"/>
          </w:tcPr>
          <w:p w:rsidR="00E4193E" w:rsidRPr="00E4193E" w:rsidRDefault="00E4193E" w:rsidP="00A35800">
            <w:pPr>
              <w:rPr>
                <w:sz w:val="20"/>
                <w:szCs w:val="20"/>
              </w:rPr>
            </w:pPr>
            <w:r w:rsidRPr="00E4193E">
              <w:rPr>
                <w:sz w:val="20"/>
                <w:szCs w:val="20"/>
              </w:rPr>
              <w:t>2014</w:t>
            </w:r>
          </w:p>
        </w:tc>
        <w:tc>
          <w:tcPr>
            <w:tcW w:w="3058" w:type="dxa"/>
          </w:tcPr>
          <w:p w:rsidR="00E4193E" w:rsidRPr="00E4193E" w:rsidRDefault="00C03C46" w:rsidP="0095245F">
            <w:pPr>
              <w:jc w:val="right"/>
              <w:rPr>
                <w:sz w:val="20"/>
                <w:szCs w:val="20"/>
              </w:rPr>
            </w:pPr>
            <w:r>
              <w:rPr>
                <w:sz w:val="20"/>
                <w:szCs w:val="20"/>
              </w:rPr>
              <w:t>$47,810,310</w:t>
            </w:r>
          </w:p>
        </w:tc>
      </w:tr>
      <w:tr w:rsidR="00E4193E" w:rsidTr="00E4193E">
        <w:tc>
          <w:tcPr>
            <w:tcW w:w="3057" w:type="dxa"/>
          </w:tcPr>
          <w:p w:rsidR="00E4193E" w:rsidRPr="00E4193E" w:rsidRDefault="00E4193E" w:rsidP="00C03C46">
            <w:pPr>
              <w:rPr>
                <w:sz w:val="20"/>
                <w:szCs w:val="20"/>
              </w:rPr>
            </w:pPr>
            <w:r w:rsidRPr="00E4193E">
              <w:rPr>
                <w:sz w:val="20"/>
                <w:szCs w:val="20"/>
              </w:rPr>
              <w:t>2015</w:t>
            </w:r>
            <w:r w:rsidR="00C03C46" w:rsidRPr="00C03C46">
              <w:rPr>
                <w:sz w:val="20"/>
                <w:szCs w:val="20"/>
                <w:vertAlign w:val="superscript"/>
              </w:rPr>
              <w:t>Ɨ</w:t>
            </w:r>
          </w:p>
        </w:tc>
        <w:tc>
          <w:tcPr>
            <w:tcW w:w="3058" w:type="dxa"/>
          </w:tcPr>
          <w:p w:rsidR="00E4193E" w:rsidRPr="00E4193E" w:rsidRDefault="00C03C46" w:rsidP="0095245F">
            <w:pPr>
              <w:jc w:val="right"/>
              <w:rPr>
                <w:sz w:val="20"/>
                <w:szCs w:val="20"/>
              </w:rPr>
            </w:pPr>
            <w:r>
              <w:rPr>
                <w:sz w:val="20"/>
                <w:szCs w:val="20"/>
              </w:rPr>
              <w:t>$23,704,182</w:t>
            </w:r>
          </w:p>
        </w:tc>
      </w:tr>
      <w:tr w:rsidR="00C03C46" w:rsidTr="00E4193E">
        <w:tc>
          <w:tcPr>
            <w:tcW w:w="3057" w:type="dxa"/>
          </w:tcPr>
          <w:p w:rsidR="00C03C46" w:rsidRPr="00C03C46" w:rsidRDefault="00C03C46" w:rsidP="00A35800">
            <w:pPr>
              <w:rPr>
                <w:b/>
                <w:sz w:val="20"/>
                <w:szCs w:val="20"/>
              </w:rPr>
            </w:pPr>
            <w:r w:rsidRPr="00C03C46">
              <w:rPr>
                <w:b/>
                <w:sz w:val="20"/>
                <w:szCs w:val="20"/>
              </w:rPr>
              <w:t>Grand Total</w:t>
            </w:r>
          </w:p>
        </w:tc>
        <w:tc>
          <w:tcPr>
            <w:tcW w:w="3058" w:type="dxa"/>
          </w:tcPr>
          <w:p w:rsidR="00C03C46" w:rsidRPr="00C03C46" w:rsidRDefault="00C03C46" w:rsidP="0095245F">
            <w:pPr>
              <w:jc w:val="right"/>
              <w:rPr>
                <w:b/>
                <w:sz w:val="20"/>
                <w:szCs w:val="20"/>
              </w:rPr>
            </w:pPr>
            <w:r w:rsidRPr="00C03C46">
              <w:rPr>
                <w:b/>
                <w:sz w:val="20"/>
                <w:szCs w:val="20"/>
              </w:rPr>
              <w:t>$236,823,645</w:t>
            </w:r>
          </w:p>
        </w:tc>
      </w:tr>
    </w:tbl>
    <w:p w:rsidR="00C03C46" w:rsidRDefault="00C03C46" w:rsidP="00C03C46">
      <w:pPr>
        <w:pStyle w:val="Notes"/>
        <w:spacing w:after="0"/>
      </w:pPr>
      <w:r w:rsidRPr="004F2FA4">
        <w:t xml:space="preserve">Source: DHS Medicare Pharmacy Claims database using date of supply, which may be slightly different to publicly available Medicare Australia date of processing data, accessed </w:t>
      </w:r>
      <w:r>
        <w:t>September</w:t>
      </w:r>
      <w:r w:rsidRPr="004F2FA4">
        <w:t xml:space="preserve"> 2015</w:t>
      </w:r>
      <w:r>
        <w:t>.</w:t>
      </w:r>
    </w:p>
    <w:p w:rsidR="00C03C46" w:rsidRPr="00A211EA" w:rsidRDefault="00C03C46" w:rsidP="00C03C46">
      <w:pPr>
        <w:pStyle w:val="Notes"/>
        <w:spacing w:after="0"/>
      </w:pPr>
      <w:r w:rsidRPr="00C03C46">
        <w:rPr>
          <w:vertAlign w:val="superscript"/>
        </w:rPr>
        <w:t>Ɨ</w:t>
      </w:r>
      <w:r>
        <w:t xml:space="preserve">2015 data incomplete. Only available </w:t>
      </w:r>
      <w:r w:rsidR="002841C2">
        <w:t>to</w:t>
      </w:r>
      <w:r>
        <w:t xml:space="preserve"> </w:t>
      </w:r>
      <w:r w:rsidR="002841C2">
        <w:t>September</w:t>
      </w:r>
      <w:r>
        <w:t xml:space="preserve"> 2015. </w:t>
      </w:r>
    </w:p>
    <w:p w:rsidR="00736041" w:rsidRPr="005E22C2" w:rsidRDefault="00D151EB" w:rsidP="00FE645A">
      <w:pPr>
        <w:pStyle w:val="Heading3"/>
      </w:pPr>
      <w:r>
        <w:t xml:space="preserve">Analysis </w:t>
      </w:r>
      <w:r w:rsidR="00C0076F" w:rsidRPr="005E22C2">
        <w:t xml:space="preserve">of </w:t>
      </w:r>
      <w:r w:rsidR="0063631C">
        <w:t>a</w:t>
      </w:r>
      <w:r w:rsidR="00C0076F" w:rsidRPr="005E22C2">
        <w:t xml:space="preserve">ctual versus </w:t>
      </w:r>
      <w:r w:rsidR="0063631C">
        <w:t>p</w:t>
      </w:r>
      <w:r w:rsidR="00C0076F" w:rsidRPr="005E22C2">
        <w:t xml:space="preserve">redicted </w:t>
      </w:r>
      <w:r w:rsidR="0063631C">
        <w:t>u</w:t>
      </w:r>
      <w:r w:rsidR="00C0076F" w:rsidRPr="005E22C2">
        <w:t>tilisation</w:t>
      </w:r>
      <w:r w:rsidR="008820D8">
        <w:t xml:space="preserve"> of NRT</w:t>
      </w:r>
    </w:p>
    <w:p w:rsidR="00897838" w:rsidRDefault="00897838" w:rsidP="00C27F83">
      <w:pPr>
        <w:spacing w:after="0"/>
        <w:rPr>
          <w:b/>
        </w:rPr>
      </w:pPr>
      <w:r>
        <w:rPr>
          <w:b/>
        </w:rPr>
        <w:t>Table 1</w:t>
      </w:r>
      <w:r w:rsidR="00E60A4E">
        <w:rPr>
          <w:b/>
        </w:rPr>
        <w:t>2</w:t>
      </w:r>
      <w:r>
        <w:rPr>
          <w:b/>
        </w:rPr>
        <w:t>: Actual versus</w:t>
      </w:r>
      <w:r w:rsidR="00A43668">
        <w:rPr>
          <w:b/>
        </w:rPr>
        <w:t xml:space="preserve"> predicted estimates of people </w:t>
      </w:r>
      <w:r w:rsidR="00C71B2E">
        <w:rPr>
          <w:b/>
        </w:rPr>
        <w:t>using</w:t>
      </w:r>
      <w:r>
        <w:rPr>
          <w:b/>
        </w:rPr>
        <w:t xml:space="preserve"> R/PBS subsidised NRT</w:t>
      </w:r>
    </w:p>
    <w:tbl>
      <w:tblPr>
        <w:tblStyle w:val="TableGrid"/>
        <w:tblW w:w="0" w:type="auto"/>
        <w:tblLook w:val="04A0" w:firstRow="1" w:lastRow="0" w:firstColumn="1" w:lastColumn="0" w:noHBand="0" w:noVBand="1"/>
        <w:tblCaption w:val="Actual versus predicted estimates of people using R/PBS subsidised NRT"/>
        <w:tblDescription w:val="This table shows the actual numbers of people supplied R/PBS subsidised therapies from 2011 to 2015. The predicted estimates have been redacted."/>
      </w:tblPr>
      <w:tblGrid>
        <w:gridCol w:w="1528"/>
        <w:gridCol w:w="1529"/>
        <w:gridCol w:w="1529"/>
        <w:gridCol w:w="1529"/>
        <w:gridCol w:w="1529"/>
        <w:gridCol w:w="1529"/>
      </w:tblGrid>
      <w:tr w:rsidR="00897838" w:rsidTr="00992DDA">
        <w:trPr>
          <w:tblHeader/>
        </w:trPr>
        <w:tc>
          <w:tcPr>
            <w:tcW w:w="1528" w:type="dxa"/>
            <w:tcBorders>
              <w:top w:val="nil"/>
              <w:left w:val="nil"/>
              <w:bottom w:val="single" w:sz="4" w:space="0" w:color="auto"/>
              <w:right w:val="single" w:sz="4" w:space="0" w:color="auto"/>
            </w:tcBorders>
          </w:tcPr>
          <w:p w:rsidR="00897838" w:rsidRPr="00897838" w:rsidRDefault="00897838" w:rsidP="00C27F83">
            <w:pPr>
              <w:rPr>
                <w:sz w:val="20"/>
                <w:szCs w:val="20"/>
              </w:rPr>
            </w:pPr>
          </w:p>
        </w:tc>
        <w:tc>
          <w:tcPr>
            <w:tcW w:w="7645" w:type="dxa"/>
            <w:gridSpan w:val="5"/>
            <w:tcBorders>
              <w:left w:val="single" w:sz="4" w:space="0" w:color="auto"/>
            </w:tcBorders>
            <w:shd w:val="clear" w:color="auto" w:fill="BFBFBF" w:themeFill="background1" w:themeFillShade="BF"/>
          </w:tcPr>
          <w:p w:rsidR="00897838" w:rsidRPr="00897838" w:rsidRDefault="00897838" w:rsidP="00C27F83">
            <w:pPr>
              <w:jc w:val="center"/>
              <w:rPr>
                <w:b/>
                <w:sz w:val="20"/>
                <w:szCs w:val="20"/>
              </w:rPr>
            </w:pPr>
            <w:r w:rsidRPr="00897838">
              <w:rPr>
                <w:b/>
                <w:sz w:val="20"/>
                <w:szCs w:val="20"/>
              </w:rPr>
              <w:t>Year</w:t>
            </w:r>
          </w:p>
        </w:tc>
      </w:tr>
      <w:tr w:rsidR="00897838" w:rsidTr="00C27F83">
        <w:tc>
          <w:tcPr>
            <w:tcW w:w="1528" w:type="dxa"/>
            <w:tcBorders>
              <w:top w:val="single" w:sz="4" w:space="0" w:color="auto"/>
            </w:tcBorders>
            <w:shd w:val="clear" w:color="auto" w:fill="BFBFBF" w:themeFill="background1" w:themeFillShade="BF"/>
          </w:tcPr>
          <w:p w:rsidR="00897838" w:rsidRPr="00897838" w:rsidRDefault="00897838" w:rsidP="00FC0ED4">
            <w:pPr>
              <w:rPr>
                <w:b/>
                <w:sz w:val="20"/>
                <w:szCs w:val="20"/>
              </w:rPr>
            </w:pPr>
            <w:r w:rsidRPr="00897838">
              <w:rPr>
                <w:b/>
                <w:sz w:val="20"/>
                <w:szCs w:val="20"/>
              </w:rPr>
              <w:t>Estimates</w:t>
            </w:r>
          </w:p>
        </w:tc>
        <w:tc>
          <w:tcPr>
            <w:tcW w:w="1529" w:type="dxa"/>
          </w:tcPr>
          <w:p w:rsidR="00897838" w:rsidRPr="00897838" w:rsidRDefault="00897838" w:rsidP="00897838">
            <w:pPr>
              <w:jc w:val="center"/>
              <w:rPr>
                <w:b/>
                <w:sz w:val="20"/>
                <w:szCs w:val="20"/>
              </w:rPr>
            </w:pPr>
            <w:r w:rsidRPr="00897838">
              <w:rPr>
                <w:b/>
                <w:sz w:val="20"/>
                <w:szCs w:val="20"/>
              </w:rPr>
              <w:t>2011</w:t>
            </w:r>
          </w:p>
        </w:tc>
        <w:tc>
          <w:tcPr>
            <w:tcW w:w="1529" w:type="dxa"/>
          </w:tcPr>
          <w:p w:rsidR="00897838" w:rsidRPr="00897838" w:rsidRDefault="00897838" w:rsidP="00897838">
            <w:pPr>
              <w:jc w:val="center"/>
              <w:rPr>
                <w:b/>
                <w:sz w:val="20"/>
                <w:szCs w:val="20"/>
              </w:rPr>
            </w:pPr>
            <w:r w:rsidRPr="00897838">
              <w:rPr>
                <w:b/>
                <w:sz w:val="20"/>
                <w:szCs w:val="20"/>
              </w:rPr>
              <w:t>2012</w:t>
            </w:r>
          </w:p>
        </w:tc>
        <w:tc>
          <w:tcPr>
            <w:tcW w:w="1529" w:type="dxa"/>
          </w:tcPr>
          <w:p w:rsidR="00897838" w:rsidRPr="00897838" w:rsidRDefault="00897838" w:rsidP="00897838">
            <w:pPr>
              <w:jc w:val="center"/>
              <w:rPr>
                <w:b/>
                <w:sz w:val="20"/>
                <w:szCs w:val="20"/>
              </w:rPr>
            </w:pPr>
            <w:r w:rsidRPr="00897838">
              <w:rPr>
                <w:b/>
                <w:sz w:val="20"/>
                <w:szCs w:val="20"/>
              </w:rPr>
              <w:t>2013</w:t>
            </w:r>
          </w:p>
        </w:tc>
        <w:tc>
          <w:tcPr>
            <w:tcW w:w="1529" w:type="dxa"/>
          </w:tcPr>
          <w:p w:rsidR="00897838" w:rsidRPr="00897838" w:rsidRDefault="00897838" w:rsidP="00897838">
            <w:pPr>
              <w:jc w:val="center"/>
              <w:rPr>
                <w:b/>
                <w:sz w:val="20"/>
                <w:szCs w:val="20"/>
              </w:rPr>
            </w:pPr>
            <w:r w:rsidRPr="00897838">
              <w:rPr>
                <w:b/>
                <w:sz w:val="20"/>
                <w:szCs w:val="20"/>
              </w:rPr>
              <w:t>2014</w:t>
            </w:r>
          </w:p>
        </w:tc>
        <w:tc>
          <w:tcPr>
            <w:tcW w:w="1529" w:type="dxa"/>
          </w:tcPr>
          <w:p w:rsidR="00897838" w:rsidRPr="00897838" w:rsidRDefault="00897838" w:rsidP="00897838">
            <w:pPr>
              <w:jc w:val="center"/>
              <w:rPr>
                <w:b/>
                <w:sz w:val="20"/>
                <w:szCs w:val="20"/>
              </w:rPr>
            </w:pPr>
            <w:r w:rsidRPr="00897838">
              <w:rPr>
                <w:b/>
                <w:sz w:val="20"/>
                <w:szCs w:val="20"/>
              </w:rPr>
              <w:t>2015</w:t>
            </w:r>
          </w:p>
        </w:tc>
      </w:tr>
      <w:tr w:rsidR="00897838" w:rsidTr="00897838">
        <w:tc>
          <w:tcPr>
            <w:tcW w:w="1528" w:type="dxa"/>
          </w:tcPr>
          <w:p w:rsidR="00897838" w:rsidRPr="00897838" w:rsidRDefault="00897838" w:rsidP="00FC0ED4">
            <w:pPr>
              <w:rPr>
                <w:b/>
                <w:sz w:val="20"/>
                <w:szCs w:val="20"/>
              </w:rPr>
            </w:pPr>
            <w:r w:rsidRPr="00897838">
              <w:rPr>
                <w:b/>
                <w:sz w:val="20"/>
                <w:szCs w:val="20"/>
              </w:rPr>
              <w:t>Predicted</w:t>
            </w:r>
          </w:p>
        </w:tc>
        <w:tc>
          <w:tcPr>
            <w:tcW w:w="1529" w:type="dxa"/>
          </w:tcPr>
          <w:p w:rsidR="00897838"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897838"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897838"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897838"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897838" w:rsidRPr="005F4167" w:rsidRDefault="005F4167" w:rsidP="00C27F83">
            <w:pPr>
              <w:jc w:val="right"/>
              <w:rPr>
                <w:sz w:val="20"/>
                <w:szCs w:val="20"/>
                <w:highlight w:val="black"/>
              </w:rPr>
            </w:pPr>
            <w:r>
              <w:rPr>
                <w:noProof/>
                <w:color w:val="000000"/>
                <w:sz w:val="20"/>
                <w:szCs w:val="20"/>
                <w:highlight w:val="black"/>
              </w:rPr>
              <w:t>''''''''''''''''</w:t>
            </w:r>
          </w:p>
        </w:tc>
      </w:tr>
      <w:tr w:rsidR="009E3D5B" w:rsidTr="00B73FF8">
        <w:tc>
          <w:tcPr>
            <w:tcW w:w="1528" w:type="dxa"/>
          </w:tcPr>
          <w:p w:rsidR="009E3D5B" w:rsidRPr="00897838" w:rsidRDefault="009E3D5B" w:rsidP="00FC0ED4">
            <w:pPr>
              <w:rPr>
                <w:b/>
                <w:sz w:val="20"/>
                <w:szCs w:val="20"/>
              </w:rPr>
            </w:pPr>
            <w:r w:rsidRPr="00897838">
              <w:rPr>
                <w:b/>
                <w:sz w:val="20"/>
                <w:szCs w:val="20"/>
              </w:rPr>
              <w:t>Actual</w:t>
            </w:r>
          </w:p>
        </w:tc>
        <w:tc>
          <w:tcPr>
            <w:tcW w:w="1529" w:type="dxa"/>
            <w:vAlign w:val="bottom"/>
          </w:tcPr>
          <w:p w:rsidR="009E3D5B" w:rsidRPr="009E3D5B" w:rsidRDefault="009E3D5B" w:rsidP="00C27F83">
            <w:pPr>
              <w:jc w:val="right"/>
              <w:rPr>
                <w:sz w:val="20"/>
                <w:szCs w:val="20"/>
              </w:rPr>
            </w:pPr>
            <w:r w:rsidRPr="009E3D5B">
              <w:rPr>
                <w:rFonts w:ascii="Calibri" w:hAnsi="Calibri"/>
                <w:sz w:val="20"/>
                <w:szCs w:val="22"/>
              </w:rPr>
              <w:t>140,708</w:t>
            </w:r>
          </w:p>
        </w:tc>
        <w:tc>
          <w:tcPr>
            <w:tcW w:w="1529" w:type="dxa"/>
            <w:vAlign w:val="bottom"/>
          </w:tcPr>
          <w:p w:rsidR="009E3D5B" w:rsidRPr="009E3D5B" w:rsidRDefault="009E3D5B" w:rsidP="00C27F83">
            <w:pPr>
              <w:jc w:val="right"/>
              <w:rPr>
                <w:sz w:val="20"/>
                <w:szCs w:val="20"/>
              </w:rPr>
            </w:pPr>
            <w:r w:rsidRPr="009E3D5B">
              <w:rPr>
                <w:rFonts w:ascii="Calibri" w:hAnsi="Calibri"/>
                <w:sz w:val="20"/>
                <w:szCs w:val="22"/>
              </w:rPr>
              <w:t>93,853</w:t>
            </w:r>
          </w:p>
        </w:tc>
        <w:tc>
          <w:tcPr>
            <w:tcW w:w="1529" w:type="dxa"/>
            <w:vAlign w:val="bottom"/>
          </w:tcPr>
          <w:p w:rsidR="009E3D5B" w:rsidRPr="009E3D5B" w:rsidRDefault="009E3D5B" w:rsidP="00C27F83">
            <w:pPr>
              <w:jc w:val="right"/>
              <w:rPr>
                <w:sz w:val="20"/>
                <w:szCs w:val="20"/>
              </w:rPr>
            </w:pPr>
            <w:r w:rsidRPr="009E3D5B">
              <w:rPr>
                <w:rFonts w:ascii="Calibri" w:hAnsi="Calibri"/>
                <w:sz w:val="20"/>
                <w:szCs w:val="22"/>
              </w:rPr>
              <w:t>80,388</w:t>
            </w:r>
          </w:p>
        </w:tc>
        <w:tc>
          <w:tcPr>
            <w:tcW w:w="1529" w:type="dxa"/>
            <w:vAlign w:val="bottom"/>
          </w:tcPr>
          <w:p w:rsidR="009E3D5B" w:rsidRPr="009E3D5B" w:rsidRDefault="009E3D5B" w:rsidP="00C27F83">
            <w:pPr>
              <w:jc w:val="right"/>
              <w:rPr>
                <w:sz w:val="20"/>
                <w:szCs w:val="20"/>
              </w:rPr>
            </w:pPr>
            <w:r w:rsidRPr="009E3D5B">
              <w:rPr>
                <w:rFonts w:ascii="Calibri" w:hAnsi="Calibri"/>
                <w:sz w:val="20"/>
                <w:szCs w:val="22"/>
              </w:rPr>
              <w:t>77,442</w:t>
            </w:r>
          </w:p>
        </w:tc>
        <w:tc>
          <w:tcPr>
            <w:tcW w:w="1529" w:type="dxa"/>
            <w:vAlign w:val="bottom"/>
          </w:tcPr>
          <w:p w:rsidR="009E3D5B" w:rsidRPr="009E3D5B" w:rsidRDefault="009E3D5B" w:rsidP="00C27F83">
            <w:pPr>
              <w:jc w:val="right"/>
              <w:rPr>
                <w:sz w:val="20"/>
                <w:szCs w:val="20"/>
              </w:rPr>
            </w:pPr>
            <w:r w:rsidRPr="009E3D5B">
              <w:rPr>
                <w:rFonts w:ascii="Calibri" w:hAnsi="Calibri"/>
                <w:sz w:val="20"/>
                <w:szCs w:val="22"/>
              </w:rPr>
              <w:t>64,546</w:t>
            </w:r>
            <w:r w:rsidR="000504ED" w:rsidRPr="00282707">
              <w:rPr>
                <w:sz w:val="20"/>
                <w:szCs w:val="20"/>
                <w:vertAlign w:val="superscript"/>
              </w:rPr>
              <w:t xml:space="preserve"> Ɨ</w:t>
            </w:r>
          </w:p>
        </w:tc>
      </w:tr>
      <w:tr w:rsidR="00092D56" w:rsidTr="00B73FF8">
        <w:tc>
          <w:tcPr>
            <w:tcW w:w="1528" w:type="dxa"/>
          </w:tcPr>
          <w:p w:rsidR="00092D56" w:rsidRPr="00897838" w:rsidRDefault="00092D56" w:rsidP="00FC0ED4">
            <w:pPr>
              <w:rPr>
                <w:b/>
                <w:sz w:val="20"/>
                <w:szCs w:val="20"/>
              </w:rPr>
            </w:pPr>
            <w:r w:rsidRPr="00897838">
              <w:rPr>
                <w:b/>
                <w:sz w:val="20"/>
                <w:szCs w:val="20"/>
              </w:rPr>
              <w:t>Difference</w:t>
            </w:r>
          </w:p>
        </w:tc>
        <w:tc>
          <w:tcPr>
            <w:tcW w:w="1529" w:type="dxa"/>
            <w:vAlign w:val="center"/>
          </w:tcPr>
          <w:p w:rsidR="00092D56"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092D56"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092D56"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092D56"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092D56" w:rsidRPr="005F4167" w:rsidRDefault="005F4167" w:rsidP="00C27F83">
            <w:pPr>
              <w:jc w:val="right"/>
              <w:rPr>
                <w:sz w:val="20"/>
                <w:szCs w:val="20"/>
                <w:highlight w:val="black"/>
              </w:rPr>
            </w:pPr>
            <w:r>
              <w:rPr>
                <w:rFonts w:ascii="Calibri" w:hAnsi="Calibri"/>
                <w:noProof/>
                <w:color w:val="000000"/>
                <w:sz w:val="20"/>
                <w:szCs w:val="20"/>
                <w:highlight w:val="black"/>
              </w:rPr>
              <w:t>''''''''''''''''</w:t>
            </w:r>
          </w:p>
        </w:tc>
      </w:tr>
      <w:tr w:rsidR="00950A5D" w:rsidTr="00B73FF8">
        <w:tc>
          <w:tcPr>
            <w:tcW w:w="1528" w:type="dxa"/>
          </w:tcPr>
          <w:p w:rsidR="00950A5D" w:rsidRPr="00897838" w:rsidRDefault="00950A5D" w:rsidP="00FC0ED4">
            <w:pPr>
              <w:rPr>
                <w:b/>
                <w:sz w:val="20"/>
                <w:szCs w:val="20"/>
              </w:rPr>
            </w:pPr>
            <w:r>
              <w:rPr>
                <w:b/>
                <w:sz w:val="20"/>
                <w:szCs w:val="20"/>
              </w:rPr>
              <w:t>Actual as % of Predicted</w:t>
            </w:r>
          </w:p>
        </w:tc>
        <w:tc>
          <w:tcPr>
            <w:tcW w:w="1529" w:type="dxa"/>
            <w:vAlign w:val="center"/>
          </w:tcPr>
          <w:p w:rsidR="00950A5D" w:rsidRPr="005F4167" w:rsidRDefault="005F4167" w:rsidP="00C27F83">
            <w:pPr>
              <w:jc w:val="right"/>
              <w:rPr>
                <w:rFonts w:ascii="Calibri" w:hAnsi="Calibri"/>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rFonts w:ascii="Calibri" w:hAnsi="Calibri"/>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rFonts w:ascii="Calibri" w:hAnsi="Calibri"/>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rFonts w:ascii="Calibri" w:hAnsi="Calibri"/>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rFonts w:ascii="Calibri" w:hAnsi="Calibri"/>
                <w:sz w:val="20"/>
                <w:szCs w:val="20"/>
                <w:highlight w:val="black"/>
              </w:rPr>
            </w:pPr>
            <w:r>
              <w:rPr>
                <w:rFonts w:ascii="Calibri" w:hAnsi="Calibri"/>
                <w:noProof/>
                <w:color w:val="000000"/>
                <w:sz w:val="20"/>
                <w:szCs w:val="20"/>
                <w:highlight w:val="black"/>
              </w:rPr>
              <w:t>'''''''''''</w:t>
            </w:r>
          </w:p>
        </w:tc>
      </w:tr>
    </w:tbl>
    <w:p w:rsidR="00C27F83" w:rsidRDefault="00C27F83" w:rsidP="00C27F83">
      <w:pPr>
        <w:pStyle w:val="Notes"/>
        <w:spacing w:after="0"/>
      </w:pPr>
      <w:r w:rsidRPr="004F2FA4">
        <w:t xml:space="preserve">Source: DHS Medicare Pharmacy Claims database using date of supply, which may be slightly different to publicly available Medicare Australia date of processing data, accessed </w:t>
      </w:r>
      <w:r>
        <w:t>September</w:t>
      </w:r>
      <w:r w:rsidRPr="004F2FA4">
        <w:t xml:space="preserve"> 2015</w:t>
      </w:r>
      <w:r>
        <w:t>.</w:t>
      </w:r>
    </w:p>
    <w:p w:rsidR="00C27F83" w:rsidRDefault="00C27F83" w:rsidP="00C27F83">
      <w:pPr>
        <w:rPr>
          <w:sz w:val="20"/>
          <w:szCs w:val="20"/>
        </w:rPr>
      </w:pPr>
      <w:r w:rsidRPr="00282707">
        <w:rPr>
          <w:sz w:val="20"/>
          <w:szCs w:val="20"/>
          <w:vertAlign w:val="superscript"/>
        </w:rPr>
        <w:t>Ɨ</w:t>
      </w:r>
      <w:r>
        <w:rPr>
          <w:sz w:val="20"/>
          <w:szCs w:val="20"/>
          <w:vertAlign w:val="superscript"/>
        </w:rPr>
        <w:t xml:space="preserve"> </w:t>
      </w:r>
      <w:r>
        <w:rPr>
          <w:sz w:val="20"/>
          <w:szCs w:val="20"/>
        </w:rPr>
        <w:t xml:space="preserve">2015 data incomplete. Only available </w:t>
      </w:r>
      <w:r w:rsidR="002841C2">
        <w:rPr>
          <w:sz w:val="20"/>
          <w:szCs w:val="20"/>
        </w:rPr>
        <w:t>to September</w:t>
      </w:r>
      <w:r>
        <w:rPr>
          <w:sz w:val="20"/>
          <w:szCs w:val="20"/>
        </w:rPr>
        <w:t xml:space="preserve"> 2015.</w:t>
      </w:r>
    </w:p>
    <w:p w:rsidR="004A46C7" w:rsidRDefault="004A46C7" w:rsidP="00C27F83">
      <w:pPr>
        <w:spacing w:after="0"/>
        <w:rPr>
          <w:b/>
        </w:rPr>
      </w:pPr>
      <w:r>
        <w:rPr>
          <w:b/>
        </w:rPr>
        <w:t>Table 1</w:t>
      </w:r>
      <w:r w:rsidR="00E60A4E">
        <w:rPr>
          <w:b/>
        </w:rPr>
        <w:t>3</w:t>
      </w:r>
      <w:r>
        <w:rPr>
          <w:b/>
        </w:rPr>
        <w:t xml:space="preserve">: Actual versus predicted estimates of R/PBS subsidised NRT </w:t>
      </w:r>
      <w:r w:rsidR="00C27F83">
        <w:rPr>
          <w:b/>
        </w:rPr>
        <w:t>prescriptions</w:t>
      </w:r>
    </w:p>
    <w:tbl>
      <w:tblPr>
        <w:tblStyle w:val="TableGrid"/>
        <w:tblW w:w="0" w:type="auto"/>
        <w:tblLook w:val="04A0" w:firstRow="1" w:lastRow="0" w:firstColumn="1" w:lastColumn="0" w:noHBand="0" w:noVBand="1"/>
        <w:tblCaption w:val="Actual versus predicted estimates of R/PBS subsidised NRT prescriptions"/>
        <w:tblDescription w:val="This table shows the actual numbers of R/PBS subsidised prescriptions supplied from 2011 to 2015. The predicted estimates have been redacted"/>
      </w:tblPr>
      <w:tblGrid>
        <w:gridCol w:w="1528"/>
        <w:gridCol w:w="1529"/>
        <w:gridCol w:w="1529"/>
        <w:gridCol w:w="1529"/>
        <w:gridCol w:w="1529"/>
        <w:gridCol w:w="1529"/>
      </w:tblGrid>
      <w:tr w:rsidR="004A46C7" w:rsidTr="00992DDA">
        <w:trPr>
          <w:tblHeader/>
        </w:trPr>
        <w:tc>
          <w:tcPr>
            <w:tcW w:w="1528" w:type="dxa"/>
            <w:tcBorders>
              <w:top w:val="nil"/>
              <w:left w:val="nil"/>
              <w:bottom w:val="single" w:sz="4" w:space="0" w:color="auto"/>
              <w:right w:val="single" w:sz="4" w:space="0" w:color="auto"/>
            </w:tcBorders>
          </w:tcPr>
          <w:p w:rsidR="004A46C7" w:rsidRPr="00897838" w:rsidRDefault="004A46C7" w:rsidP="00C27F83">
            <w:pPr>
              <w:rPr>
                <w:sz w:val="20"/>
                <w:szCs w:val="20"/>
              </w:rPr>
            </w:pPr>
          </w:p>
        </w:tc>
        <w:tc>
          <w:tcPr>
            <w:tcW w:w="7645" w:type="dxa"/>
            <w:gridSpan w:val="5"/>
            <w:tcBorders>
              <w:left w:val="single" w:sz="4" w:space="0" w:color="auto"/>
            </w:tcBorders>
            <w:shd w:val="clear" w:color="auto" w:fill="BFBFBF" w:themeFill="background1" w:themeFillShade="BF"/>
          </w:tcPr>
          <w:p w:rsidR="004A46C7" w:rsidRPr="00897838" w:rsidRDefault="004A46C7" w:rsidP="00C27F83">
            <w:pPr>
              <w:jc w:val="center"/>
              <w:rPr>
                <w:b/>
                <w:sz w:val="20"/>
                <w:szCs w:val="20"/>
              </w:rPr>
            </w:pPr>
            <w:r w:rsidRPr="00897838">
              <w:rPr>
                <w:b/>
                <w:sz w:val="20"/>
                <w:szCs w:val="20"/>
              </w:rPr>
              <w:t>Year</w:t>
            </w:r>
          </w:p>
        </w:tc>
      </w:tr>
      <w:tr w:rsidR="004A46C7" w:rsidTr="00C27F83">
        <w:tc>
          <w:tcPr>
            <w:tcW w:w="1528" w:type="dxa"/>
            <w:tcBorders>
              <w:top w:val="single" w:sz="4" w:space="0" w:color="auto"/>
            </w:tcBorders>
            <w:shd w:val="clear" w:color="auto" w:fill="BFBFBF" w:themeFill="background1" w:themeFillShade="BF"/>
          </w:tcPr>
          <w:p w:rsidR="004A46C7" w:rsidRPr="00897838" w:rsidRDefault="004A46C7" w:rsidP="00B73FF8">
            <w:pPr>
              <w:rPr>
                <w:b/>
                <w:sz w:val="20"/>
                <w:szCs w:val="20"/>
              </w:rPr>
            </w:pPr>
            <w:r w:rsidRPr="00897838">
              <w:rPr>
                <w:b/>
                <w:sz w:val="20"/>
                <w:szCs w:val="20"/>
              </w:rPr>
              <w:t>Estimates</w:t>
            </w:r>
          </w:p>
        </w:tc>
        <w:tc>
          <w:tcPr>
            <w:tcW w:w="1529" w:type="dxa"/>
          </w:tcPr>
          <w:p w:rsidR="004A46C7" w:rsidRPr="00897838" w:rsidRDefault="004A46C7" w:rsidP="00B73FF8">
            <w:pPr>
              <w:jc w:val="center"/>
              <w:rPr>
                <w:b/>
                <w:sz w:val="20"/>
                <w:szCs w:val="20"/>
              </w:rPr>
            </w:pPr>
            <w:r w:rsidRPr="00897838">
              <w:rPr>
                <w:b/>
                <w:sz w:val="20"/>
                <w:szCs w:val="20"/>
              </w:rPr>
              <w:t>2011</w:t>
            </w:r>
          </w:p>
        </w:tc>
        <w:tc>
          <w:tcPr>
            <w:tcW w:w="1529" w:type="dxa"/>
          </w:tcPr>
          <w:p w:rsidR="004A46C7" w:rsidRPr="00897838" w:rsidRDefault="004A46C7" w:rsidP="00B73FF8">
            <w:pPr>
              <w:jc w:val="center"/>
              <w:rPr>
                <w:b/>
                <w:sz w:val="20"/>
                <w:szCs w:val="20"/>
              </w:rPr>
            </w:pPr>
            <w:r w:rsidRPr="00897838">
              <w:rPr>
                <w:b/>
                <w:sz w:val="20"/>
                <w:szCs w:val="20"/>
              </w:rPr>
              <w:t>2012</w:t>
            </w:r>
          </w:p>
        </w:tc>
        <w:tc>
          <w:tcPr>
            <w:tcW w:w="1529" w:type="dxa"/>
          </w:tcPr>
          <w:p w:rsidR="004A46C7" w:rsidRPr="00897838" w:rsidRDefault="004A46C7" w:rsidP="00B73FF8">
            <w:pPr>
              <w:jc w:val="center"/>
              <w:rPr>
                <w:b/>
                <w:sz w:val="20"/>
                <w:szCs w:val="20"/>
              </w:rPr>
            </w:pPr>
            <w:r w:rsidRPr="00897838">
              <w:rPr>
                <w:b/>
                <w:sz w:val="20"/>
                <w:szCs w:val="20"/>
              </w:rPr>
              <w:t>2013</w:t>
            </w:r>
          </w:p>
        </w:tc>
        <w:tc>
          <w:tcPr>
            <w:tcW w:w="1529" w:type="dxa"/>
          </w:tcPr>
          <w:p w:rsidR="004A46C7" w:rsidRPr="00897838" w:rsidRDefault="004A46C7" w:rsidP="00B73FF8">
            <w:pPr>
              <w:jc w:val="center"/>
              <w:rPr>
                <w:b/>
                <w:sz w:val="20"/>
                <w:szCs w:val="20"/>
              </w:rPr>
            </w:pPr>
            <w:r w:rsidRPr="00897838">
              <w:rPr>
                <w:b/>
                <w:sz w:val="20"/>
                <w:szCs w:val="20"/>
              </w:rPr>
              <w:t>2014</w:t>
            </w:r>
          </w:p>
        </w:tc>
        <w:tc>
          <w:tcPr>
            <w:tcW w:w="1529" w:type="dxa"/>
          </w:tcPr>
          <w:p w:rsidR="004A46C7" w:rsidRPr="00897838" w:rsidRDefault="004A46C7" w:rsidP="00B73FF8">
            <w:pPr>
              <w:jc w:val="center"/>
              <w:rPr>
                <w:b/>
                <w:sz w:val="20"/>
                <w:szCs w:val="20"/>
              </w:rPr>
            </w:pPr>
            <w:r w:rsidRPr="00897838">
              <w:rPr>
                <w:b/>
                <w:sz w:val="20"/>
                <w:szCs w:val="20"/>
              </w:rPr>
              <w:t>2015</w:t>
            </w:r>
          </w:p>
        </w:tc>
      </w:tr>
      <w:tr w:rsidR="004A46C7" w:rsidTr="00B73FF8">
        <w:tc>
          <w:tcPr>
            <w:tcW w:w="1528" w:type="dxa"/>
          </w:tcPr>
          <w:p w:rsidR="004A46C7" w:rsidRPr="00897838" w:rsidRDefault="004A46C7" w:rsidP="00B73FF8">
            <w:pPr>
              <w:rPr>
                <w:b/>
                <w:sz w:val="20"/>
                <w:szCs w:val="20"/>
              </w:rPr>
            </w:pPr>
            <w:r w:rsidRPr="00897838">
              <w:rPr>
                <w:b/>
                <w:sz w:val="20"/>
                <w:szCs w:val="20"/>
              </w:rPr>
              <w:t>Predicted</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r>
      <w:tr w:rsidR="004A46C7" w:rsidTr="00B73FF8">
        <w:tc>
          <w:tcPr>
            <w:tcW w:w="1528" w:type="dxa"/>
          </w:tcPr>
          <w:p w:rsidR="004A46C7" w:rsidRPr="00897838" w:rsidRDefault="004A46C7" w:rsidP="00B73FF8">
            <w:pPr>
              <w:rPr>
                <w:b/>
                <w:sz w:val="20"/>
                <w:szCs w:val="20"/>
              </w:rPr>
            </w:pPr>
            <w:r w:rsidRPr="00897838">
              <w:rPr>
                <w:b/>
                <w:sz w:val="20"/>
                <w:szCs w:val="20"/>
              </w:rPr>
              <w:t>Actual</w:t>
            </w:r>
          </w:p>
        </w:tc>
        <w:tc>
          <w:tcPr>
            <w:tcW w:w="1529" w:type="dxa"/>
          </w:tcPr>
          <w:p w:rsidR="004A46C7" w:rsidRPr="00897838" w:rsidRDefault="004A46C7" w:rsidP="00C27F83">
            <w:pPr>
              <w:jc w:val="right"/>
              <w:rPr>
                <w:sz w:val="20"/>
                <w:szCs w:val="20"/>
              </w:rPr>
            </w:pPr>
            <w:r>
              <w:rPr>
                <w:sz w:val="20"/>
                <w:szCs w:val="20"/>
              </w:rPr>
              <w:t>251,106</w:t>
            </w:r>
          </w:p>
        </w:tc>
        <w:tc>
          <w:tcPr>
            <w:tcW w:w="1529" w:type="dxa"/>
          </w:tcPr>
          <w:p w:rsidR="004A46C7" w:rsidRPr="00897838" w:rsidRDefault="004A46C7" w:rsidP="00C27F83">
            <w:pPr>
              <w:jc w:val="right"/>
              <w:rPr>
                <w:sz w:val="20"/>
                <w:szCs w:val="20"/>
              </w:rPr>
            </w:pPr>
            <w:r>
              <w:rPr>
                <w:sz w:val="20"/>
                <w:szCs w:val="20"/>
              </w:rPr>
              <w:t>156,973</w:t>
            </w:r>
          </w:p>
        </w:tc>
        <w:tc>
          <w:tcPr>
            <w:tcW w:w="1529" w:type="dxa"/>
          </w:tcPr>
          <w:p w:rsidR="004A46C7" w:rsidRPr="00897838" w:rsidRDefault="004A46C7" w:rsidP="00C27F83">
            <w:pPr>
              <w:jc w:val="right"/>
              <w:rPr>
                <w:sz w:val="20"/>
                <w:szCs w:val="20"/>
              </w:rPr>
            </w:pPr>
            <w:r>
              <w:rPr>
                <w:sz w:val="20"/>
                <w:szCs w:val="20"/>
              </w:rPr>
              <w:t>131,947</w:t>
            </w:r>
          </w:p>
        </w:tc>
        <w:tc>
          <w:tcPr>
            <w:tcW w:w="1529" w:type="dxa"/>
          </w:tcPr>
          <w:p w:rsidR="004A46C7" w:rsidRPr="00897838" w:rsidRDefault="004A46C7" w:rsidP="00C27F83">
            <w:pPr>
              <w:jc w:val="right"/>
              <w:rPr>
                <w:sz w:val="20"/>
                <w:szCs w:val="20"/>
              </w:rPr>
            </w:pPr>
            <w:r>
              <w:rPr>
                <w:sz w:val="20"/>
                <w:szCs w:val="20"/>
              </w:rPr>
              <w:t>136,556</w:t>
            </w:r>
          </w:p>
        </w:tc>
        <w:tc>
          <w:tcPr>
            <w:tcW w:w="1529" w:type="dxa"/>
          </w:tcPr>
          <w:p w:rsidR="004A46C7" w:rsidRPr="00897838" w:rsidRDefault="004A46C7" w:rsidP="00C27F83">
            <w:pPr>
              <w:jc w:val="right"/>
              <w:rPr>
                <w:sz w:val="20"/>
                <w:szCs w:val="20"/>
              </w:rPr>
            </w:pPr>
            <w:r>
              <w:rPr>
                <w:sz w:val="20"/>
                <w:szCs w:val="20"/>
              </w:rPr>
              <w:t>68,303</w:t>
            </w:r>
            <w:r w:rsidR="00C27F83" w:rsidRPr="00282707">
              <w:rPr>
                <w:sz w:val="20"/>
                <w:szCs w:val="20"/>
                <w:vertAlign w:val="superscript"/>
              </w:rPr>
              <w:t xml:space="preserve"> Ɨ</w:t>
            </w:r>
          </w:p>
        </w:tc>
      </w:tr>
      <w:tr w:rsidR="004A46C7" w:rsidTr="00B73FF8">
        <w:tc>
          <w:tcPr>
            <w:tcW w:w="1528" w:type="dxa"/>
          </w:tcPr>
          <w:p w:rsidR="004A46C7" w:rsidRPr="00897838" w:rsidRDefault="004A46C7" w:rsidP="00B73FF8">
            <w:pPr>
              <w:rPr>
                <w:b/>
                <w:sz w:val="20"/>
                <w:szCs w:val="20"/>
              </w:rPr>
            </w:pPr>
            <w:r w:rsidRPr="00897838">
              <w:rPr>
                <w:b/>
                <w:sz w:val="20"/>
                <w:szCs w:val="20"/>
              </w:rPr>
              <w:t>Difference</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c>
          <w:tcPr>
            <w:tcW w:w="1529" w:type="dxa"/>
          </w:tcPr>
          <w:p w:rsidR="004A46C7" w:rsidRPr="005F4167" w:rsidRDefault="005F4167" w:rsidP="00C27F83">
            <w:pPr>
              <w:jc w:val="right"/>
              <w:rPr>
                <w:sz w:val="20"/>
                <w:szCs w:val="20"/>
                <w:highlight w:val="black"/>
              </w:rPr>
            </w:pPr>
            <w:r>
              <w:rPr>
                <w:noProof/>
                <w:color w:val="000000"/>
                <w:sz w:val="20"/>
                <w:szCs w:val="20"/>
                <w:highlight w:val="black"/>
              </w:rPr>
              <w:t>'''''''''''''''''</w:t>
            </w:r>
          </w:p>
        </w:tc>
      </w:tr>
      <w:tr w:rsidR="00950A5D" w:rsidTr="00970D1D">
        <w:tc>
          <w:tcPr>
            <w:tcW w:w="1528" w:type="dxa"/>
          </w:tcPr>
          <w:p w:rsidR="00950A5D" w:rsidRPr="00897838" w:rsidRDefault="00950A5D" w:rsidP="00B73FF8">
            <w:pPr>
              <w:rPr>
                <w:b/>
                <w:sz w:val="20"/>
                <w:szCs w:val="20"/>
              </w:rPr>
            </w:pPr>
            <w:r>
              <w:rPr>
                <w:b/>
                <w:sz w:val="20"/>
                <w:szCs w:val="20"/>
              </w:rPr>
              <w:t>Actual as % of Predicted</w:t>
            </w:r>
          </w:p>
        </w:tc>
        <w:tc>
          <w:tcPr>
            <w:tcW w:w="1529" w:type="dxa"/>
            <w:vAlign w:val="center"/>
          </w:tcPr>
          <w:p w:rsidR="00950A5D"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C27F83">
            <w:pPr>
              <w:jc w:val="right"/>
              <w:rPr>
                <w:sz w:val="20"/>
                <w:szCs w:val="20"/>
                <w:highlight w:val="black"/>
              </w:rPr>
            </w:pPr>
            <w:r>
              <w:rPr>
                <w:rFonts w:ascii="Calibri" w:hAnsi="Calibri"/>
                <w:noProof/>
                <w:color w:val="000000"/>
                <w:sz w:val="20"/>
                <w:szCs w:val="20"/>
                <w:highlight w:val="black"/>
              </w:rPr>
              <w:t>''''''''''''</w:t>
            </w:r>
          </w:p>
        </w:tc>
      </w:tr>
    </w:tbl>
    <w:p w:rsidR="00C27F83" w:rsidRDefault="00C27F83" w:rsidP="00C27F83">
      <w:pPr>
        <w:pStyle w:val="Notes"/>
        <w:spacing w:after="0"/>
      </w:pPr>
      <w:r w:rsidRPr="004F2FA4">
        <w:t xml:space="preserve">Source: DHS Medicare Pharmacy Claims database using date of supply, which may be slightly different to publicly available Medicare Australia date of processing data, accessed </w:t>
      </w:r>
      <w:r>
        <w:t>September</w:t>
      </w:r>
      <w:r w:rsidRPr="004F2FA4">
        <w:t xml:space="preserve"> 2015</w:t>
      </w:r>
      <w:r>
        <w:t>.</w:t>
      </w:r>
    </w:p>
    <w:p w:rsidR="00C27F83" w:rsidRDefault="00C27F83" w:rsidP="00C27F83">
      <w:pPr>
        <w:rPr>
          <w:sz w:val="20"/>
          <w:szCs w:val="20"/>
        </w:rPr>
      </w:pPr>
      <w:r w:rsidRPr="00282707">
        <w:rPr>
          <w:sz w:val="20"/>
          <w:szCs w:val="20"/>
          <w:vertAlign w:val="superscript"/>
        </w:rPr>
        <w:t>Ɨ</w:t>
      </w:r>
      <w:r>
        <w:rPr>
          <w:sz w:val="20"/>
          <w:szCs w:val="20"/>
          <w:vertAlign w:val="superscript"/>
        </w:rPr>
        <w:t xml:space="preserve"> </w:t>
      </w:r>
      <w:r>
        <w:rPr>
          <w:sz w:val="20"/>
          <w:szCs w:val="20"/>
        </w:rPr>
        <w:t xml:space="preserve">2015 data incomplete. Only available </w:t>
      </w:r>
      <w:r w:rsidR="002841C2">
        <w:rPr>
          <w:sz w:val="20"/>
          <w:szCs w:val="20"/>
        </w:rPr>
        <w:t>to September</w:t>
      </w:r>
      <w:r>
        <w:rPr>
          <w:sz w:val="20"/>
          <w:szCs w:val="20"/>
        </w:rPr>
        <w:t xml:space="preserve"> 2015.</w:t>
      </w:r>
    </w:p>
    <w:p w:rsidR="002841C2" w:rsidRDefault="002841C2" w:rsidP="002841C2">
      <w:pPr>
        <w:pStyle w:val="Heading4"/>
        <w:spacing w:after="0"/>
        <w:rPr>
          <w:sz w:val="24"/>
          <w:szCs w:val="24"/>
        </w:rPr>
      </w:pPr>
      <w:r>
        <w:rPr>
          <w:sz w:val="24"/>
          <w:szCs w:val="24"/>
        </w:rPr>
        <w:t>Table 1</w:t>
      </w:r>
      <w:r w:rsidR="00E60A4E">
        <w:rPr>
          <w:sz w:val="24"/>
          <w:szCs w:val="24"/>
        </w:rPr>
        <w:t>4</w:t>
      </w:r>
      <w:r>
        <w:rPr>
          <w:sz w:val="24"/>
          <w:szCs w:val="24"/>
        </w:rPr>
        <w:t>: Actual versus predicted estimates of cost of NRT to R/PBS</w:t>
      </w:r>
    </w:p>
    <w:tbl>
      <w:tblPr>
        <w:tblStyle w:val="TableGrid"/>
        <w:tblW w:w="0" w:type="auto"/>
        <w:tblLook w:val="04A0" w:firstRow="1" w:lastRow="0" w:firstColumn="1" w:lastColumn="0" w:noHBand="0" w:noVBand="1"/>
        <w:tblCaption w:val="Actual versus predicted estimates of cost of NRT to the R/PBS"/>
        <w:tblDescription w:val="This table shows the actual cost of NRT therapy to the R/PBS from 2011 to 2015. The predicted estimates have been redacted. "/>
      </w:tblPr>
      <w:tblGrid>
        <w:gridCol w:w="1528"/>
        <w:gridCol w:w="1529"/>
        <w:gridCol w:w="1529"/>
        <w:gridCol w:w="1529"/>
        <w:gridCol w:w="1529"/>
        <w:gridCol w:w="1529"/>
      </w:tblGrid>
      <w:tr w:rsidR="002841C2" w:rsidTr="00992DDA">
        <w:trPr>
          <w:tblHeader/>
        </w:trPr>
        <w:tc>
          <w:tcPr>
            <w:tcW w:w="1528" w:type="dxa"/>
            <w:tcBorders>
              <w:top w:val="nil"/>
              <w:left w:val="nil"/>
              <w:bottom w:val="single" w:sz="4" w:space="0" w:color="auto"/>
              <w:right w:val="single" w:sz="4" w:space="0" w:color="auto"/>
            </w:tcBorders>
          </w:tcPr>
          <w:p w:rsidR="002841C2" w:rsidRPr="00FC0ED4" w:rsidRDefault="002841C2" w:rsidP="00970D1D">
            <w:pPr>
              <w:rPr>
                <w:sz w:val="20"/>
                <w:szCs w:val="20"/>
              </w:rPr>
            </w:pPr>
          </w:p>
        </w:tc>
        <w:tc>
          <w:tcPr>
            <w:tcW w:w="7645" w:type="dxa"/>
            <w:gridSpan w:val="5"/>
            <w:tcBorders>
              <w:left w:val="single" w:sz="4" w:space="0" w:color="auto"/>
            </w:tcBorders>
            <w:shd w:val="clear" w:color="auto" w:fill="BFBFBF" w:themeFill="background1" w:themeFillShade="BF"/>
          </w:tcPr>
          <w:p w:rsidR="002841C2" w:rsidRPr="00FC0ED4" w:rsidRDefault="002841C2" w:rsidP="00970D1D">
            <w:pPr>
              <w:jc w:val="center"/>
              <w:rPr>
                <w:sz w:val="20"/>
                <w:szCs w:val="20"/>
              </w:rPr>
            </w:pPr>
            <w:r w:rsidRPr="00FC0ED4">
              <w:rPr>
                <w:b/>
                <w:sz w:val="20"/>
                <w:szCs w:val="20"/>
              </w:rPr>
              <w:t>Year</w:t>
            </w:r>
          </w:p>
        </w:tc>
      </w:tr>
      <w:tr w:rsidR="002841C2" w:rsidTr="00970D1D">
        <w:tc>
          <w:tcPr>
            <w:tcW w:w="1528" w:type="dxa"/>
            <w:tcBorders>
              <w:top w:val="single" w:sz="4" w:space="0" w:color="auto"/>
            </w:tcBorders>
            <w:shd w:val="clear" w:color="auto" w:fill="BFBFBF" w:themeFill="background1" w:themeFillShade="BF"/>
          </w:tcPr>
          <w:p w:rsidR="002841C2" w:rsidRPr="00780E2B" w:rsidRDefault="002841C2" w:rsidP="00970D1D">
            <w:pPr>
              <w:rPr>
                <w:b/>
                <w:sz w:val="20"/>
                <w:szCs w:val="20"/>
              </w:rPr>
            </w:pPr>
            <w:r w:rsidRPr="00780E2B">
              <w:rPr>
                <w:b/>
                <w:sz w:val="20"/>
                <w:szCs w:val="20"/>
              </w:rPr>
              <w:t>Estimates</w:t>
            </w:r>
          </w:p>
        </w:tc>
        <w:tc>
          <w:tcPr>
            <w:tcW w:w="1529" w:type="dxa"/>
          </w:tcPr>
          <w:p w:rsidR="002841C2" w:rsidRPr="00780E2B" w:rsidRDefault="002841C2" w:rsidP="00970D1D">
            <w:pPr>
              <w:jc w:val="center"/>
              <w:rPr>
                <w:b/>
                <w:sz w:val="20"/>
                <w:szCs w:val="20"/>
              </w:rPr>
            </w:pPr>
            <w:r w:rsidRPr="00780E2B">
              <w:rPr>
                <w:b/>
                <w:sz w:val="20"/>
                <w:szCs w:val="20"/>
              </w:rPr>
              <w:t>2011</w:t>
            </w:r>
          </w:p>
        </w:tc>
        <w:tc>
          <w:tcPr>
            <w:tcW w:w="1529" w:type="dxa"/>
          </w:tcPr>
          <w:p w:rsidR="002841C2" w:rsidRPr="00780E2B" w:rsidRDefault="002841C2" w:rsidP="00970D1D">
            <w:pPr>
              <w:jc w:val="center"/>
              <w:rPr>
                <w:b/>
                <w:sz w:val="20"/>
                <w:szCs w:val="20"/>
              </w:rPr>
            </w:pPr>
            <w:r w:rsidRPr="00780E2B">
              <w:rPr>
                <w:b/>
                <w:sz w:val="20"/>
                <w:szCs w:val="20"/>
              </w:rPr>
              <w:t>2012</w:t>
            </w:r>
          </w:p>
        </w:tc>
        <w:tc>
          <w:tcPr>
            <w:tcW w:w="1529" w:type="dxa"/>
          </w:tcPr>
          <w:p w:rsidR="002841C2" w:rsidRPr="00780E2B" w:rsidRDefault="002841C2" w:rsidP="00970D1D">
            <w:pPr>
              <w:jc w:val="center"/>
              <w:rPr>
                <w:b/>
                <w:sz w:val="20"/>
                <w:szCs w:val="20"/>
              </w:rPr>
            </w:pPr>
            <w:r w:rsidRPr="00780E2B">
              <w:rPr>
                <w:b/>
                <w:sz w:val="20"/>
                <w:szCs w:val="20"/>
              </w:rPr>
              <w:t>2013</w:t>
            </w:r>
          </w:p>
        </w:tc>
        <w:tc>
          <w:tcPr>
            <w:tcW w:w="1529" w:type="dxa"/>
          </w:tcPr>
          <w:p w:rsidR="002841C2" w:rsidRPr="00780E2B" w:rsidRDefault="002841C2" w:rsidP="00970D1D">
            <w:pPr>
              <w:jc w:val="center"/>
              <w:rPr>
                <w:b/>
                <w:sz w:val="20"/>
                <w:szCs w:val="20"/>
              </w:rPr>
            </w:pPr>
            <w:r w:rsidRPr="00780E2B">
              <w:rPr>
                <w:b/>
                <w:sz w:val="20"/>
                <w:szCs w:val="20"/>
              </w:rPr>
              <w:t>2014</w:t>
            </w:r>
          </w:p>
        </w:tc>
        <w:tc>
          <w:tcPr>
            <w:tcW w:w="1529" w:type="dxa"/>
          </w:tcPr>
          <w:p w:rsidR="002841C2" w:rsidRPr="00780E2B" w:rsidRDefault="002841C2" w:rsidP="00970D1D">
            <w:pPr>
              <w:jc w:val="center"/>
              <w:rPr>
                <w:b/>
                <w:sz w:val="20"/>
                <w:szCs w:val="20"/>
              </w:rPr>
            </w:pPr>
            <w:r w:rsidRPr="00780E2B">
              <w:rPr>
                <w:b/>
                <w:sz w:val="20"/>
                <w:szCs w:val="20"/>
              </w:rPr>
              <w:t>2015</w:t>
            </w:r>
          </w:p>
        </w:tc>
      </w:tr>
      <w:tr w:rsidR="002841C2" w:rsidTr="00970D1D">
        <w:tc>
          <w:tcPr>
            <w:tcW w:w="1528" w:type="dxa"/>
          </w:tcPr>
          <w:p w:rsidR="002841C2" w:rsidRPr="00780E2B" w:rsidRDefault="002841C2" w:rsidP="00970D1D">
            <w:pPr>
              <w:rPr>
                <w:b/>
                <w:sz w:val="20"/>
                <w:szCs w:val="20"/>
              </w:rPr>
            </w:pPr>
            <w:r w:rsidRPr="00780E2B">
              <w:rPr>
                <w:b/>
                <w:sz w:val="20"/>
                <w:szCs w:val="20"/>
              </w:rPr>
              <w:t>Predicted</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vAlign w:val="bottom"/>
          </w:tcPr>
          <w:p w:rsidR="002841C2" w:rsidRPr="005F4167" w:rsidRDefault="005F4167" w:rsidP="00970D1D">
            <w:pPr>
              <w:jc w:val="right"/>
              <w:rPr>
                <w:sz w:val="20"/>
                <w:szCs w:val="20"/>
                <w:highlight w:val="black"/>
              </w:rPr>
            </w:pPr>
            <w:r>
              <w:rPr>
                <w:rFonts w:cs="Arial"/>
                <w:bCs/>
                <w:noProof/>
                <w:color w:val="000000"/>
                <w:sz w:val="20"/>
                <w:szCs w:val="20"/>
                <w:highlight w:val="black"/>
              </w:rPr>
              <w:t>''''''''''''''''''''''''</w:t>
            </w:r>
          </w:p>
        </w:tc>
        <w:tc>
          <w:tcPr>
            <w:tcW w:w="1529" w:type="dxa"/>
            <w:vAlign w:val="bottom"/>
          </w:tcPr>
          <w:p w:rsidR="002841C2" w:rsidRPr="005F4167" w:rsidRDefault="005F4167" w:rsidP="00970D1D">
            <w:pPr>
              <w:jc w:val="right"/>
              <w:rPr>
                <w:sz w:val="20"/>
                <w:szCs w:val="20"/>
                <w:highlight w:val="black"/>
              </w:rPr>
            </w:pPr>
            <w:r>
              <w:rPr>
                <w:rFonts w:cs="Arial"/>
                <w:bCs/>
                <w:noProof/>
                <w:color w:val="000000"/>
                <w:sz w:val="20"/>
                <w:szCs w:val="20"/>
                <w:highlight w:val="black"/>
              </w:rPr>
              <w:t>'''''''''''''''''''''</w:t>
            </w:r>
          </w:p>
        </w:tc>
        <w:tc>
          <w:tcPr>
            <w:tcW w:w="1529" w:type="dxa"/>
            <w:vAlign w:val="bottom"/>
          </w:tcPr>
          <w:p w:rsidR="002841C2" w:rsidRPr="005F4167" w:rsidRDefault="005F4167" w:rsidP="00970D1D">
            <w:pPr>
              <w:jc w:val="right"/>
              <w:rPr>
                <w:sz w:val="20"/>
                <w:szCs w:val="20"/>
                <w:highlight w:val="black"/>
              </w:rPr>
            </w:pPr>
            <w:r>
              <w:rPr>
                <w:rFonts w:cs="Arial"/>
                <w:bCs/>
                <w:noProof/>
                <w:color w:val="000000"/>
                <w:sz w:val="20"/>
                <w:szCs w:val="20"/>
                <w:highlight w:val="black"/>
              </w:rPr>
              <w:t>'''''''''''''''''''''''</w:t>
            </w:r>
          </w:p>
        </w:tc>
      </w:tr>
      <w:tr w:rsidR="002841C2" w:rsidTr="00970D1D">
        <w:tc>
          <w:tcPr>
            <w:tcW w:w="1528" w:type="dxa"/>
          </w:tcPr>
          <w:p w:rsidR="002841C2" w:rsidRPr="00780E2B" w:rsidRDefault="002841C2" w:rsidP="00970D1D">
            <w:pPr>
              <w:rPr>
                <w:b/>
                <w:sz w:val="20"/>
                <w:szCs w:val="20"/>
              </w:rPr>
            </w:pPr>
            <w:r w:rsidRPr="00780E2B">
              <w:rPr>
                <w:b/>
                <w:sz w:val="20"/>
                <w:szCs w:val="20"/>
              </w:rPr>
              <w:t>Actual</w:t>
            </w:r>
          </w:p>
        </w:tc>
        <w:tc>
          <w:tcPr>
            <w:tcW w:w="1529" w:type="dxa"/>
          </w:tcPr>
          <w:p w:rsidR="002841C2" w:rsidRPr="00FC0ED4" w:rsidRDefault="002841C2" w:rsidP="00970D1D">
            <w:pPr>
              <w:jc w:val="right"/>
              <w:rPr>
                <w:sz w:val="20"/>
                <w:szCs w:val="20"/>
              </w:rPr>
            </w:pPr>
            <w:r>
              <w:rPr>
                <w:sz w:val="20"/>
                <w:szCs w:val="20"/>
              </w:rPr>
              <w:t>$10,709,998</w:t>
            </w:r>
          </w:p>
        </w:tc>
        <w:tc>
          <w:tcPr>
            <w:tcW w:w="1529" w:type="dxa"/>
          </w:tcPr>
          <w:p w:rsidR="002841C2" w:rsidRPr="00FC0ED4" w:rsidRDefault="002841C2" w:rsidP="00970D1D">
            <w:pPr>
              <w:jc w:val="right"/>
              <w:rPr>
                <w:sz w:val="20"/>
                <w:szCs w:val="20"/>
              </w:rPr>
            </w:pPr>
            <w:r>
              <w:rPr>
                <w:sz w:val="20"/>
                <w:szCs w:val="20"/>
              </w:rPr>
              <w:t>$6,531,620</w:t>
            </w:r>
          </w:p>
        </w:tc>
        <w:tc>
          <w:tcPr>
            <w:tcW w:w="1529" w:type="dxa"/>
          </w:tcPr>
          <w:p w:rsidR="002841C2" w:rsidRPr="00FC0ED4" w:rsidRDefault="002841C2" w:rsidP="00970D1D">
            <w:pPr>
              <w:jc w:val="right"/>
              <w:rPr>
                <w:sz w:val="20"/>
                <w:szCs w:val="20"/>
              </w:rPr>
            </w:pPr>
            <w:r>
              <w:rPr>
                <w:sz w:val="20"/>
                <w:szCs w:val="20"/>
              </w:rPr>
              <w:t>$5,635,363</w:t>
            </w:r>
          </w:p>
        </w:tc>
        <w:tc>
          <w:tcPr>
            <w:tcW w:w="1529" w:type="dxa"/>
          </w:tcPr>
          <w:p w:rsidR="002841C2" w:rsidRPr="00FC0ED4" w:rsidRDefault="002841C2" w:rsidP="00970D1D">
            <w:pPr>
              <w:jc w:val="right"/>
              <w:rPr>
                <w:sz w:val="20"/>
                <w:szCs w:val="20"/>
              </w:rPr>
            </w:pPr>
            <w:r>
              <w:rPr>
                <w:sz w:val="20"/>
                <w:szCs w:val="20"/>
              </w:rPr>
              <w:t>$5,931,070</w:t>
            </w:r>
          </w:p>
        </w:tc>
        <w:tc>
          <w:tcPr>
            <w:tcW w:w="1529" w:type="dxa"/>
          </w:tcPr>
          <w:p w:rsidR="002841C2" w:rsidRPr="00FC0ED4" w:rsidRDefault="002841C2" w:rsidP="00970D1D">
            <w:pPr>
              <w:jc w:val="right"/>
              <w:rPr>
                <w:sz w:val="20"/>
                <w:szCs w:val="20"/>
              </w:rPr>
            </w:pPr>
            <w:r>
              <w:rPr>
                <w:sz w:val="20"/>
                <w:szCs w:val="20"/>
              </w:rPr>
              <w:t>$2,887,798</w:t>
            </w:r>
            <w:r w:rsidRPr="00282707">
              <w:rPr>
                <w:sz w:val="20"/>
                <w:szCs w:val="20"/>
                <w:vertAlign w:val="superscript"/>
              </w:rPr>
              <w:t>Ɨ</w:t>
            </w:r>
          </w:p>
        </w:tc>
      </w:tr>
      <w:tr w:rsidR="002841C2" w:rsidTr="00970D1D">
        <w:tc>
          <w:tcPr>
            <w:tcW w:w="1528" w:type="dxa"/>
          </w:tcPr>
          <w:p w:rsidR="002841C2" w:rsidRPr="00780E2B" w:rsidRDefault="002841C2" w:rsidP="00970D1D">
            <w:pPr>
              <w:rPr>
                <w:b/>
                <w:sz w:val="20"/>
                <w:szCs w:val="20"/>
              </w:rPr>
            </w:pPr>
            <w:r>
              <w:rPr>
                <w:b/>
                <w:sz w:val="20"/>
                <w:szCs w:val="20"/>
              </w:rPr>
              <w:t>Difference</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c>
          <w:tcPr>
            <w:tcW w:w="1529" w:type="dxa"/>
          </w:tcPr>
          <w:p w:rsidR="002841C2" w:rsidRPr="005F4167" w:rsidRDefault="005F4167" w:rsidP="00970D1D">
            <w:pPr>
              <w:jc w:val="right"/>
              <w:rPr>
                <w:sz w:val="20"/>
                <w:szCs w:val="20"/>
                <w:highlight w:val="black"/>
              </w:rPr>
            </w:pPr>
            <w:r>
              <w:rPr>
                <w:noProof/>
                <w:color w:val="000000"/>
                <w:sz w:val="20"/>
                <w:szCs w:val="20"/>
                <w:highlight w:val="black"/>
              </w:rPr>
              <w:t>''''''''''''''''''''''''</w:t>
            </w:r>
          </w:p>
        </w:tc>
      </w:tr>
      <w:tr w:rsidR="00950A5D" w:rsidTr="00970D1D">
        <w:tc>
          <w:tcPr>
            <w:tcW w:w="1528" w:type="dxa"/>
          </w:tcPr>
          <w:p w:rsidR="00950A5D" w:rsidRDefault="00950A5D" w:rsidP="00970D1D">
            <w:pPr>
              <w:rPr>
                <w:b/>
                <w:sz w:val="20"/>
                <w:szCs w:val="20"/>
              </w:rPr>
            </w:pPr>
            <w:r>
              <w:rPr>
                <w:b/>
                <w:sz w:val="20"/>
                <w:szCs w:val="20"/>
              </w:rPr>
              <w:t>Actual as % of Predicted</w:t>
            </w:r>
          </w:p>
        </w:tc>
        <w:tc>
          <w:tcPr>
            <w:tcW w:w="1529" w:type="dxa"/>
            <w:vAlign w:val="center"/>
          </w:tcPr>
          <w:p w:rsidR="00950A5D" w:rsidRPr="005F4167" w:rsidRDefault="005F4167" w:rsidP="00970D1D">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970D1D">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970D1D">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970D1D">
            <w:pPr>
              <w:jc w:val="right"/>
              <w:rPr>
                <w:sz w:val="20"/>
                <w:szCs w:val="20"/>
                <w:highlight w:val="black"/>
              </w:rPr>
            </w:pPr>
            <w:r>
              <w:rPr>
                <w:rFonts w:ascii="Calibri" w:hAnsi="Calibri"/>
                <w:noProof/>
                <w:color w:val="000000"/>
                <w:sz w:val="20"/>
                <w:szCs w:val="20"/>
                <w:highlight w:val="black"/>
              </w:rPr>
              <w:t>''''''''''''</w:t>
            </w:r>
          </w:p>
        </w:tc>
        <w:tc>
          <w:tcPr>
            <w:tcW w:w="1529" w:type="dxa"/>
            <w:vAlign w:val="center"/>
          </w:tcPr>
          <w:p w:rsidR="00950A5D" w:rsidRPr="005F4167" w:rsidRDefault="005F4167" w:rsidP="00970D1D">
            <w:pPr>
              <w:jc w:val="right"/>
              <w:rPr>
                <w:sz w:val="20"/>
                <w:szCs w:val="20"/>
                <w:highlight w:val="black"/>
              </w:rPr>
            </w:pPr>
            <w:r>
              <w:rPr>
                <w:rFonts w:ascii="Calibri" w:hAnsi="Calibri"/>
                <w:noProof/>
                <w:color w:val="000000"/>
                <w:sz w:val="20"/>
                <w:szCs w:val="20"/>
                <w:highlight w:val="black"/>
              </w:rPr>
              <w:t>'''''''''''</w:t>
            </w:r>
          </w:p>
        </w:tc>
      </w:tr>
    </w:tbl>
    <w:p w:rsidR="002841C2" w:rsidRDefault="002841C2" w:rsidP="002841C2">
      <w:pPr>
        <w:pStyle w:val="Notes"/>
        <w:spacing w:after="0"/>
      </w:pPr>
      <w:r w:rsidRPr="004F2FA4">
        <w:t xml:space="preserve">Source: DHS Medicare Pharmacy Claims database using date of supply, which may be slightly different to publicly available Medicare Australia date of processing data, accessed </w:t>
      </w:r>
      <w:r>
        <w:t>September</w:t>
      </w:r>
      <w:r w:rsidRPr="004F2FA4">
        <w:t xml:space="preserve"> 2015</w:t>
      </w:r>
      <w:r>
        <w:t>.</w:t>
      </w:r>
    </w:p>
    <w:p w:rsidR="002841C2" w:rsidRDefault="002841C2" w:rsidP="002841C2">
      <w:pPr>
        <w:rPr>
          <w:sz w:val="20"/>
          <w:szCs w:val="20"/>
        </w:rPr>
      </w:pPr>
      <w:r w:rsidRPr="00282707">
        <w:rPr>
          <w:sz w:val="20"/>
          <w:szCs w:val="20"/>
          <w:vertAlign w:val="superscript"/>
        </w:rPr>
        <w:t>Ɨ</w:t>
      </w:r>
      <w:r>
        <w:rPr>
          <w:sz w:val="20"/>
          <w:szCs w:val="20"/>
          <w:vertAlign w:val="superscript"/>
        </w:rPr>
        <w:t xml:space="preserve"> </w:t>
      </w:r>
      <w:r>
        <w:rPr>
          <w:sz w:val="20"/>
          <w:szCs w:val="20"/>
        </w:rPr>
        <w:t>2015 data incomplete. Only available to September 2015.</w:t>
      </w:r>
    </w:p>
    <w:p w:rsidR="00FD2BF3" w:rsidRDefault="00950A5D" w:rsidP="00FD2BF3">
      <w:pPr>
        <w:pStyle w:val="Figurecaption"/>
        <w:rPr>
          <w:sz w:val="24"/>
          <w:szCs w:val="24"/>
        </w:rPr>
      </w:pPr>
      <w:r>
        <w:rPr>
          <w:sz w:val="24"/>
          <w:szCs w:val="24"/>
        </w:rPr>
        <w:lastRenderedPageBreak/>
        <w:t>The actual use of NRT has been lower than predicted in terms of the number of people, prescriptions supplied and cost in each year since listing.</w:t>
      </w:r>
      <w:r w:rsidR="00FD2BF3" w:rsidRPr="00FD2BF3">
        <w:rPr>
          <w:sz w:val="24"/>
          <w:szCs w:val="24"/>
        </w:rPr>
        <w:t xml:space="preserve"> </w:t>
      </w:r>
      <w:r w:rsidR="00FD2BF3">
        <w:rPr>
          <w:sz w:val="24"/>
          <w:szCs w:val="24"/>
        </w:rPr>
        <w:t>The reasons for these lower than estimated numbers cannot be deduced. NRT products are also available over the counter; the utilisation of which is outside the scope of this analysis.</w:t>
      </w:r>
    </w:p>
    <w:p w:rsidR="00591512" w:rsidRPr="00D65DBB" w:rsidRDefault="00AB3733" w:rsidP="00B30D85">
      <w:pPr>
        <w:pStyle w:val="Heading4"/>
        <w:rPr>
          <w:i/>
        </w:rPr>
      </w:pPr>
      <w:r>
        <w:t>D</w:t>
      </w:r>
      <w:r w:rsidR="007346C7" w:rsidRPr="005E22C2">
        <w:t>iscussion</w:t>
      </w:r>
    </w:p>
    <w:p w:rsidR="00D65DBB" w:rsidRPr="00D65DBB" w:rsidRDefault="00157481" w:rsidP="00D65DBB">
      <w:pPr>
        <w:pStyle w:val="Tablewriting"/>
        <w:spacing w:before="0" w:after="0"/>
        <w:rPr>
          <w:i/>
          <w:sz w:val="24"/>
          <w:szCs w:val="24"/>
        </w:rPr>
      </w:pPr>
      <w:r w:rsidRPr="00281B51">
        <w:rPr>
          <w:sz w:val="24"/>
          <w:szCs w:val="24"/>
        </w:rPr>
        <w:t xml:space="preserve">According to the </w:t>
      </w:r>
      <w:r>
        <w:rPr>
          <w:sz w:val="24"/>
          <w:szCs w:val="24"/>
        </w:rPr>
        <w:t xml:space="preserve">latest </w:t>
      </w:r>
      <w:r w:rsidRPr="00281B51">
        <w:rPr>
          <w:sz w:val="24"/>
          <w:szCs w:val="24"/>
        </w:rPr>
        <w:t>National Drug Strategy Household Survey</w:t>
      </w:r>
      <w:r>
        <w:rPr>
          <w:sz w:val="24"/>
          <w:szCs w:val="24"/>
        </w:rPr>
        <w:t xml:space="preserve"> </w:t>
      </w:r>
      <w:r w:rsidR="008E14B7">
        <w:rPr>
          <w:sz w:val="24"/>
          <w:szCs w:val="24"/>
        </w:rPr>
        <w:t xml:space="preserve">(NDSHS) </w:t>
      </w:r>
      <w:r>
        <w:rPr>
          <w:sz w:val="24"/>
          <w:szCs w:val="24"/>
        </w:rPr>
        <w:t>published in 2013,</w:t>
      </w:r>
      <w:r w:rsidRPr="00281B51">
        <w:rPr>
          <w:sz w:val="24"/>
          <w:szCs w:val="24"/>
        </w:rPr>
        <w:t xml:space="preserve"> the average numbe</w:t>
      </w:r>
      <w:r>
        <w:rPr>
          <w:sz w:val="24"/>
          <w:szCs w:val="24"/>
        </w:rPr>
        <w:t xml:space="preserve">r of people who smoke daily </w:t>
      </w:r>
      <w:r w:rsidRPr="00281B51">
        <w:rPr>
          <w:sz w:val="24"/>
          <w:szCs w:val="24"/>
        </w:rPr>
        <w:t xml:space="preserve">declined significantly over </w:t>
      </w:r>
      <w:r>
        <w:rPr>
          <w:sz w:val="24"/>
          <w:szCs w:val="24"/>
        </w:rPr>
        <w:t xml:space="preserve">the </w:t>
      </w:r>
      <w:r w:rsidRPr="00281B51">
        <w:rPr>
          <w:sz w:val="24"/>
          <w:szCs w:val="24"/>
        </w:rPr>
        <w:t xml:space="preserve">2010-2013 </w:t>
      </w:r>
      <w:r>
        <w:rPr>
          <w:sz w:val="24"/>
          <w:szCs w:val="24"/>
        </w:rPr>
        <w:t xml:space="preserve">period </w:t>
      </w:r>
      <w:r w:rsidRPr="00281B51">
        <w:rPr>
          <w:sz w:val="24"/>
          <w:szCs w:val="24"/>
        </w:rPr>
        <w:t>(from 15.1% to 12.8%).</w:t>
      </w:r>
      <w:r w:rsidR="00773FD6">
        <w:rPr>
          <w:sz w:val="24"/>
          <w:szCs w:val="24"/>
          <w:vertAlign w:val="superscript"/>
        </w:rPr>
        <w:t>15</w:t>
      </w:r>
      <w:r>
        <w:rPr>
          <w:sz w:val="24"/>
          <w:szCs w:val="24"/>
        </w:rPr>
        <w:t xml:space="preserve"> </w:t>
      </w:r>
      <w:r w:rsidR="00950A5D">
        <w:rPr>
          <w:sz w:val="24"/>
          <w:szCs w:val="24"/>
        </w:rPr>
        <w:t>A</w:t>
      </w:r>
      <w:r w:rsidR="00E85400">
        <w:rPr>
          <w:sz w:val="24"/>
          <w:szCs w:val="24"/>
        </w:rPr>
        <w:t xml:space="preserve"> gradual decline in the utilisation of R/PBS subsidised smoking cessation therapy </w:t>
      </w:r>
      <w:r w:rsidR="00950A5D">
        <w:rPr>
          <w:sz w:val="24"/>
          <w:szCs w:val="24"/>
        </w:rPr>
        <w:t xml:space="preserve">occurred </w:t>
      </w:r>
      <w:r w:rsidR="00E85400">
        <w:rPr>
          <w:sz w:val="24"/>
          <w:szCs w:val="24"/>
        </w:rPr>
        <w:t xml:space="preserve">over </w:t>
      </w:r>
      <w:r w:rsidR="002F5B11">
        <w:rPr>
          <w:sz w:val="24"/>
          <w:szCs w:val="24"/>
        </w:rPr>
        <w:t>the same time period</w:t>
      </w:r>
      <w:r w:rsidR="00950A5D">
        <w:rPr>
          <w:sz w:val="24"/>
          <w:szCs w:val="24"/>
        </w:rPr>
        <w:t xml:space="preserve"> (Figure 1)</w:t>
      </w:r>
      <w:r w:rsidR="00E85400">
        <w:rPr>
          <w:sz w:val="24"/>
          <w:szCs w:val="24"/>
        </w:rPr>
        <w:t xml:space="preserve">. </w:t>
      </w:r>
    </w:p>
    <w:p w:rsidR="00D65DBB" w:rsidRDefault="00E85400" w:rsidP="0049159F">
      <w:pPr>
        <w:pStyle w:val="Figurecaption"/>
        <w:spacing w:before="0" w:after="0"/>
        <w:rPr>
          <w:sz w:val="24"/>
          <w:szCs w:val="24"/>
        </w:rPr>
      </w:pPr>
      <w:r>
        <w:rPr>
          <w:sz w:val="24"/>
          <w:szCs w:val="24"/>
        </w:rPr>
        <w:t>Whether this is indicative of the declin</w:t>
      </w:r>
      <w:r w:rsidR="002F5B11">
        <w:rPr>
          <w:sz w:val="24"/>
          <w:szCs w:val="24"/>
        </w:rPr>
        <w:t xml:space="preserve">ing smoking rate cannot be deduced. </w:t>
      </w:r>
      <w:r w:rsidR="008E14B7" w:rsidRPr="008E14B7">
        <w:rPr>
          <w:sz w:val="24"/>
          <w:szCs w:val="24"/>
        </w:rPr>
        <w:t xml:space="preserve">The NDSHS indicated that the majority of smokers attempted to make a change to their smoking behaviour in the </w:t>
      </w:r>
      <w:r w:rsidR="00A43668">
        <w:rPr>
          <w:sz w:val="24"/>
          <w:szCs w:val="24"/>
        </w:rPr>
        <w:t>year before the report was published</w:t>
      </w:r>
      <w:r w:rsidR="008E14B7" w:rsidRPr="008E14B7">
        <w:rPr>
          <w:sz w:val="24"/>
          <w:szCs w:val="24"/>
        </w:rPr>
        <w:t>. Smokers trying to quit or change their smoking behaviour tried mainly due to costs and concern for their health.</w:t>
      </w:r>
      <w:r w:rsidR="00AB2D32">
        <w:rPr>
          <w:rStyle w:val="FootnoteReference"/>
          <w:sz w:val="24"/>
          <w:szCs w:val="24"/>
        </w:rPr>
        <w:t xml:space="preserve">17 </w:t>
      </w:r>
      <w:r w:rsidR="005913F8">
        <w:rPr>
          <w:sz w:val="24"/>
          <w:szCs w:val="24"/>
        </w:rPr>
        <w:t>T</w:t>
      </w:r>
      <w:r w:rsidR="008E14B7">
        <w:rPr>
          <w:sz w:val="24"/>
          <w:szCs w:val="24"/>
        </w:rPr>
        <w:t xml:space="preserve">he Australian Government </w:t>
      </w:r>
      <w:r w:rsidR="005913F8">
        <w:rPr>
          <w:sz w:val="24"/>
          <w:szCs w:val="24"/>
        </w:rPr>
        <w:t>announced a t</w:t>
      </w:r>
      <w:r w:rsidR="008E14B7">
        <w:rPr>
          <w:sz w:val="24"/>
          <w:szCs w:val="24"/>
        </w:rPr>
        <w:t>obacco tax increase in April 2010</w:t>
      </w:r>
      <w:r w:rsidR="005913F8">
        <w:rPr>
          <w:sz w:val="24"/>
          <w:szCs w:val="24"/>
        </w:rPr>
        <w:t>, the first tax increase of its kind in a decade. A study conducted by the Medical Journal of Australia</w:t>
      </w:r>
      <w:r w:rsidR="00AB2D32">
        <w:rPr>
          <w:sz w:val="24"/>
          <w:szCs w:val="24"/>
        </w:rPr>
        <w:t>, indicated a significant increase in the number of people who made a quit attempt in 2010 after the tax announcement.</w:t>
      </w:r>
      <w:r w:rsidR="00773FD6">
        <w:rPr>
          <w:sz w:val="24"/>
          <w:szCs w:val="24"/>
          <w:vertAlign w:val="superscript"/>
        </w:rPr>
        <w:t>20</w:t>
      </w:r>
      <w:r w:rsidR="00AB2D32">
        <w:rPr>
          <w:sz w:val="24"/>
          <w:szCs w:val="24"/>
        </w:rPr>
        <w:t xml:space="preserve"> </w:t>
      </w:r>
      <w:r w:rsidR="0049159F">
        <w:rPr>
          <w:sz w:val="24"/>
          <w:szCs w:val="24"/>
        </w:rPr>
        <w:t>A</w:t>
      </w:r>
      <w:r w:rsidR="00AB2D32">
        <w:rPr>
          <w:sz w:val="24"/>
          <w:szCs w:val="24"/>
        </w:rPr>
        <w:t xml:space="preserve"> peak in the utilisation of va</w:t>
      </w:r>
      <w:r w:rsidR="00950A5D">
        <w:rPr>
          <w:sz w:val="24"/>
          <w:szCs w:val="24"/>
        </w:rPr>
        <w:t>renicl</w:t>
      </w:r>
      <w:r w:rsidR="0049159F">
        <w:rPr>
          <w:sz w:val="24"/>
          <w:szCs w:val="24"/>
        </w:rPr>
        <w:t xml:space="preserve">ine in Quarter 2 of 2010 </w:t>
      </w:r>
      <w:r w:rsidR="00950A5D">
        <w:rPr>
          <w:sz w:val="24"/>
          <w:szCs w:val="24"/>
        </w:rPr>
        <w:t>may have been due to increased quit attempts with the sudden increase in the cost of cigarettes</w:t>
      </w:r>
      <w:r w:rsidR="0049159F">
        <w:rPr>
          <w:sz w:val="24"/>
          <w:szCs w:val="24"/>
        </w:rPr>
        <w:t xml:space="preserve"> (Figure 1)</w:t>
      </w:r>
      <w:r w:rsidR="00950A5D">
        <w:rPr>
          <w:sz w:val="24"/>
          <w:szCs w:val="24"/>
        </w:rPr>
        <w:t xml:space="preserve">. </w:t>
      </w:r>
    </w:p>
    <w:p w:rsidR="00A43668" w:rsidRPr="00A43668" w:rsidRDefault="00A43668" w:rsidP="00A43668">
      <w:pPr>
        <w:pStyle w:val="Heading4"/>
        <w:rPr>
          <w:b w:val="0"/>
          <w:sz w:val="24"/>
          <w:szCs w:val="24"/>
        </w:rPr>
      </w:pPr>
      <w:r>
        <w:rPr>
          <w:b w:val="0"/>
          <w:sz w:val="24"/>
          <w:szCs w:val="24"/>
        </w:rPr>
        <w:t xml:space="preserve">The utilisation of R/PBS subsidised smoking cessation therapies was not significantly </w:t>
      </w:r>
      <w:r w:rsidRPr="00341F0F">
        <w:rPr>
          <w:b w:val="0"/>
          <w:sz w:val="24"/>
          <w:szCs w:val="24"/>
        </w:rPr>
        <w:t>impact</w:t>
      </w:r>
      <w:r>
        <w:rPr>
          <w:b w:val="0"/>
          <w:sz w:val="24"/>
          <w:szCs w:val="24"/>
        </w:rPr>
        <w:t>ed by</w:t>
      </w:r>
      <w:r w:rsidRPr="00341F0F">
        <w:rPr>
          <w:b w:val="0"/>
          <w:sz w:val="24"/>
          <w:szCs w:val="24"/>
        </w:rPr>
        <w:t xml:space="preserve"> </w:t>
      </w:r>
      <w:r>
        <w:rPr>
          <w:b w:val="0"/>
          <w:sz w:val="24"/>
          <w:szCs w:val="24"/>
        </w:rPr>
        <w:t>NRT</w:t>
      </w:r>
      <w:r w:rsidRPr="00341F0F">
        <w:rPr>
          <w:b w:val="0"/>
          <w:sz w:val="24"/>
          <w:szCs w:val="24"/>
        </w:rPr>
        <w:t xml:space="preserve"> products changing from Authority Required to Streamlined on 1</w:t>
      </w:r>
      <w:r>
        <w:rPr>
          <w:b w:val="0"/>
          <w:sz w:val="24"/>
          <w:szCs w:val="24"/>
        </w:rPr>
        <w:t> </w:t>
      </w:r>
      <w:r w:rsidRPr="00341F0F">
        <w:rPr>
          <w:b w:val="0"/>
          <w:sz w:val="24"/>
          <w:szCs w:val="24"/>
        </w:rPr>
        <w:t>December 2013</w:t>
      </w:r>
      <w:r>
        <w:rPr>
          <w:b w:val="0"/>
          <w:sz w:val="24"/>
          <w:szCs w:val="24"/>
        </w:rPr>
        <w:t xml:space="preserve"> (Figure 1). </w:t>
      </w:r>
    </w:p>
    <w:p w:rsidR="00E73364" w:rsidRDefault="00AF441B" w:rsidP="00E73364">
      <w:r w:rsidRPr="00AF441B">
        <w:t>In March 2012, a survey on quit smoking habits found that smokers think a lot about stopping and make many unsuccessful quit attempts.</w:t>
      </w:r>
      <w:r w:rsidR="00773FD6">
        <w:rPr>
          <w:vertAlign w:val="superscript"/>
        </w:rPr>
        <w:t>17</w:t>
      </w:r>
      <w:r w:rsidR="008E14B7">
        <w:rPr>
          <w:vertAlign w:val="superscript"/>
        </w:rPr>
        <w:t xml:space="preserve"> </w:t>
      </w:r>
      <w:r w:rsidR="00950A5D">
        <w:t xml:space="preserve">In most cases people who reattempted R/PBS smoking cessation therapy used a subsequent original rather than a repeat prescription (Tables </w:t>
      </w:r>
      <w:r w:rsidR="00E60A4E">
        <w:t>6-8</w:t>
      </w:r>
      <w:r w:rsidR="00950A5D">
        <w:t xml:space="preserve">). </w:t>
      </w:r>
      <w:r w:rsidR="00E73364">
        <w:t>Obtaining a new prescription from a doctor could indicate greater doctor-patient interaction</w:t>
      </w:r>
      <w:r w:rsidR="00950A5D">
        <w:t>, which</w:t>
      </w:r>
      <w:r w:rsidR="00E73364">
        <w:t xml:space="preserve"> may reinforce quitting habits</w:t>
      </w:r>
      <w:r w:rsidR="00950A5D">
        <w:t>. However, this practice may also indicate reattempts after more than one year.</w:t>
      </w:r>
    </w:p>
    <w:p w:rsidR="002E7428" w:rsidRDefault="002E7428" w:rsidP="00E73364">
      <w:r>
        <w:t>There are a number of alternative</w:t>
      </w:r>
      <w:r w:rsidRPr="00AF441B">
        <w:t xml:space="preserve"> means of quitting </w:t>
      </w:r>
      <w:r>
        <w:t>other than long-acting R/PBS subsidised therapies. They include</w:t>
      </w:r>
      <w:r w:rsidRPr="00AF441B">
        <w:t xml:space="preserve"> gum, lozenges, sublingual sprays</w:t>
      </w:r>
      <w:r w:rsidR="0049159F">
        <w:t xml:space="preserve"> </w:t>
      </w:r>
      <w:r w:rsidRPr="00AF441B">
        <w:t xml:space="preserve">and will power. </w:t>
      </w:r>
      <w:r>
        <w:t xml:space="preserve">R/PBS subsidised smoking cessation therapies are all extended release formulations, in that they are used once or twice daily. </w:t>
      </w:r>
      <w:r w:rsidR="00EA7F63">
        <w:t>The extent of same day supply of R/PBS subsidised smoking cessation therapies was low. However, t</w:t>
      </w:r>
      <w:r>
        <w:t>he use of non-subsidised immediate release products is recommended to reduce cravings whilst using the extended release products.</w:t>
      </w:r>
      <w:r w:rsidR="00773FD6">
        <w:rPr>
          <w:vertAlign w:val="superscript"/>
        </w:rPr>
        <w:t>4</w:t>
      </w:r>
      <w:r>
        <w:t xml:space="preserve"> </w:t>
      </w:r>
      <w:r w:rsidR="00EA7F63">
        <w:t>It is also possible to purchase NRT over the counter, which does not appear in PBS data.</w:t>
      </w:r>
    </w:p>
    <w:p w:rsidR="00AF441B" w:rsidRDefault="00945415" w:rsidP="00037655">
      <w:pPr>
        <w:pStyle w:val="Figurecaption"/>
        <w:spacing w:after="0"/>
        <w:rPr>
          <w:sz w:val="24"/>
          <w:szCs w:val="24"/>
        </w:rPr>
      </w:pPr>
      <w:r>
        <w:rPr>
          <w:sz w:val="24"/>
          <w:szCs w:val="24"/>
        </w:rPr>
        <w:t xml:space="preserve">According to the Royal Australian College of General Practitioners (RACGP), NRT is considered </w:t>
      </w:r>
      <w:r w:rsidR="00651802">
        <w:rPr>
          <w:sz w:val="24"/>
          <w:szCs w:val="24"/>
        </w:rPr>
        <w:t xml:space="preserve">a </w:t>
      </w:r>
      <w:r>
        <w:rPr>
          <w:sz w:val="24"/>
          <w:szCs w:val="24"/>
        </w:rPr>
        <w:t xml:space="preserve">clinically suitable </w:t>
      </w:r>
      <w:r w:rsidR="00651802">
        <w:rPr>
          <w:sz w:val="24"/>
          <w:szCs w:val="24"/>
        </w:rPr>
        <w:t xml:space="preserve">option </w:t>
      </w:r>
      <w:r>
        <w:rPr>
          <w:sz w:val="24"/>
          <w:szCs w:val="24"/>
        </w:rPr>
        <w:t xml:space="preserve">for </w:t>
      </w:r>
      <w:r w:rsidR="00651802">
        <w:rPr>
          <w:sz w:val="24"/>
          <w:szCs w:val="24"/>
        </w:rPr>
        <w:t>many</w:t>
      </w:r>
      <w:r>
        <w:rPr>
          <w:sz w:val="24"/>
          <w:szCs w:val="24"/>
        </w:rPr>
        <w:t xml:space="preserve"> </w:t>
      </w:r>
      <w:r w:rsidR="002E7428">
        <w:rPr>
          <w:sz w:val="24"/>
          <w:szCs w:val="24"/>
        </w:rPr>
        <w:t>people attempting to quit</w:t>
      </w:r>
      <w:r w:rsidR="00302874">
        <w:rPr>
          <w:sz w:val="24"/>
          <w:szCs w:val="24"/>
        </w:rPr>
        <w:t xml:space="preserve"> and has a </w:t>
      </w:r>
      <w:r w:rsidR="00302874">
        <w:rPr>
          <w:sz w:val="24"/>
          <w:szCs w:val="24"/>
        </w:rPr>
        <w:lastRenderedPageBreak/>
        <w:t>different safety profile</w:t>
      </w:r>
      <w:r>
        <w:rPr>
          <w:sz w:val="24"/>
          <w:szCs w:val="24"/>
        </w:rPr>
        <w:t xml:space="preserve"> compared to varenicline and bupropion</w:t>
      </w:r>
      <w:r w:rsidR="002E7428">
        <w:rPr>
          <w:sz w:val="24"/>
          <w:szCs w:val="24"/>
        </w:rPr>
        <w:t>.</w:t>
      </w:r>
      <w:r>
        <w:rPr>
          <w:rStyle w:val="FootnoteReference"/>
          <w:sz w:val="24"/>
          <w:szCs w:val="24"/>
        </w:rPr>
        <w:footnoteReference w:id="21"/>
      </w:r>
      <w:r w:rsidR="002E7428">
        <w:rPr>
          <w:sz w:val="24"/>
          <w:szCs w:val="24"/>
        </w:rPr>
        <w:t xml:space="preserve"> NRT is PBS subsidised for one 12 week course of therapy each year for general </w:t>
      </w:r>
      <w:r w:rsidR="005F69DD">
        <w:rPr>
          <w:sz w:val="24"/>
          <w:szCs w:val="24"/>
        </w:rPr>
        <w:t>and concessional beneficiaries</w:t>
      </w:r>
      <w:r w:rsidR="002E7428">
        <w:rPr>
          <w:sz w:val="24"/>
          <w:szCs w:val="24"/>
        </w:rPr>
        <w:t xml:space="preserve">. Table </w:t>
      </w:r>
      <w:r w:rsidR="00EA7A80">
        <w:rPr>
          <w:sz w:val="24"/>
          <w:szCs w:val="24"/>
        </w:rPr>
        <w:t>11</w:t>
      </w:r>
      <w:r w:rsidR="002E7428">
        <w:rPr>
          <w:sz w:val="24"/>
          <w:szCs w:val="24"/>
        </w:rPr>
        <w:t xml:space="preserve"> depicts the coverage of therapy obtained by those </w:t>
      </w:r>
      <w:r w:rsidR="005F69DD">
        <w:rPr>
          <w:sz w:val="24"/>
          <w:szCs w:val="24"/>
        </w:rPr>
        <w:t>people</w:t>
      </w:r>
      <w:r w:rsidR="002E7428">
        <w:rPr>
          <w:sz w:val="24"/>
          <w:szCs w:val="24"/>
        </w:rPr>
        <w:t xml:space="preserve">, for 12 months since their initial supply. </w:t>
      </w:r>
      <w:r w:rsidR="00E73364" w:rsidRPr="00E73364">
        <w:rPr>
          <w:sz w:val="24"/>
          <w:szCs w:val="24"/>
        </w:rPr>
        <w:t xml:space="preserve">Those that have coverage beyond 12 weeks are not complying with the PBS restriction. </w:t>
      </w:r>
      <w:r w:rsidR="00651802">
        <w:rPr>
          <w:sz w:val="24"/>
          <w:szCs w:val="24"/>
        </w:rPr>
        <w:t>These numbers are low; however, it</w:t>
      </w:r>
      <w:r w:rsidR="00E73364" w:rsidRPr="00E73364">
        <w:rPr>
          <w:sz w:val="24"/>
          <w:szCs w:val="24"/>
        </w:rPr>
        <w:t xml:space="preserve"> may indicate NRT being used for smoking reduction as opposed to cessation</w:t>
      </w:r>
      <w:r w:rsidR="00EA7F63">
        <w:rPr>
          <w:sz w:val="24"/>
          <w:szCs w:val="24"/>
        </w:rPr>
        <w:t>.</w:t>
      </w:r>
      <w:r w:rsidR="00E73364" w:rsidRPr="00E73364">
        <w:rPr>
          <w:sz w:val="24"/>
          <w:szCs w:val="24"/>
        </w:rPr>
        <w:t xml:space="preserve"> It may also suggest that patients are reattempting quitting regularly throughout the year, which is within normal quitting practice.</w:t>
      </w:r>
      <w:r w:rsidR="00773FD6">
        <w:rPr>
          <w:sz w:val="24"/>
          <w:szCs w:val="24"/>
          <w:vertAlign w:val="superscript"/>
        </w:rPr>
        <w:t>15</w:t>
      </w:r>
      <w:r w:rsidR="00E73364" w:rsidRPr="00E73364">
        <w:rPr>
          <w:sz w:val="24"/>
          <w:szCs w:val="24"/>
        </w:rPr>
        <w:t xml:space="preserve"> </w:t>
      </w:r>
      <w:r w:rsidR="00EA7F63">
        <w:rPr>
          <w:sz w:val="24"/>
          <w:szCs w:val="24"/>
        </w:rPr>
        <w:t>It cannot be determined from PBS data</w:t>
      </w:r>
      <w:r w:rsidR="00E73364" w:rsidRPr="00E73364">
        <w:rPr>
          <w:sz w:val="24"/>
          <w:szCs w:val="24"/>
        </w:rPr>
        <w:t xml:space="preserve"> whether patients are compliant with therapy or using it as prescribed.</w:t>
      </w:r>
    </w:p>
    <w:p w:rsidR="00D65DBB" w:rsidRDefault="00D65DBB" w:rsidP="00037655">
      <w:pPr>
        <w:pStyle w:val="Figurecaption"/>
        <w:spacing w:after="0"/>
        <w:rPr>
          <w:sz w:val="24"/>
          <w:szCs w:val="24"/>
        </w:rPr>
      </w:pPr>
    </w:p>
    <w:p w:rsidR="00D65DBB" w:rsidRPr="00B10777" w:rsidRDefault="00D65DBB" w:rsidP="00B10777">
      <w:pPr>
        <w:pStyle w:val="Figurecaption"/>
        <w:rPr>
          <w:b/>
          <w:sz w:val="32"/>
          <w:szCs w:val="32"/>
        </w:rPr>
      </w:pPr>
      <w:r w:rsidRPr="00B10777">
        <w:rPr>
          <w:b/>
          <w:sz w:val="32"/>
          <w:szCs w:val="32"/>
        </w:rPr>
        <w:t>DUSC consideration</w:t>
      </w:r>
    </w:p>
    <w:p w:rsidR="00D65DBB" w:rsidRDefault="00D65DBB" w:rsidP="00037655">
      <w:pPr>
        <w:pStyle w:val="Figurecaption"/>
        <w:spacing w:after="0"/>
        <w:rPr>
          <w:sz w:val="24"/>
          <w:szCs w:val="24"/>
        </w:rPr>
      </w:pPr>
    </w:p>
    <w:p w:rsidR="00F278EC" w:rsidRPr="00E4669E" w:rsidRDefault="00F278EC" w:rsidP="00F278EC">
      <w:pPr>
        <w:pStyle w:val="Tablewriting"/>
        <w:spacing w:before="0" w:after="0"/>
        <w:rPr>
          <w:sz w:val="24"/>
          <w:szCs w:val="24"/>
        </w:rPr>
      </w:pPr>
      <w:r w:rsidRPr="00E4669E">
        <w:rPr>
          <w:sz w:val="24"/>
          <w:szCs w:val="24"/>
        </w:rPr>
        <w:t>DUSC noted that the reduced prevalence of smoking may be contributing to the reduction in the use of smoking cessation products. These products may also be being used as smoking reduction tools as opposed to cessation. Whilst the R/PBS subsidised therapies are indicated for smoking cessation, DUSC discussed that smoking reduction has a positive impact on health.</w:t>
      </w:r>
    </w:p>
    <w:p w:rsidR="00F278EC" w:rsidRPr="00E4669E" w:rsidRDefault="00F278EC" w:rsidP="00F278EC">
      <w:pPr>
        <w:pStyle w:val="Tablewriting"/>
        <w:spacing w:before="0" w:after="0"/>
        <w:rPr>
          <w:sz w:val="24"/>
          <w:szCs w:val="24"/>
        </w:rPr>
      </w:pPr>
    </w:p>
    <w:p w:rsidR="00773FD6" w:rsidRPr="00E4669E" w:rsidRDefault="00F278EC" w:rsidP="00773FD6">
      <w:pPr>
        <w:spacing w:after="0"/>
      </w:pPr>
      <w:r w:rsidRPr="00E4669E">
        <w:t>DUSC noted there was a demand for R/PBS subsidised smoking cessation therapies and considered that General Practitioners are successfully encouraging people to quit smoking.</w:t>
      </w:r>
      <w:r w:rsidR="00B426EE">
        <w:t xml:space="preserve"> </w:t>
      </w:r>
      <w:r w:rsidR="007A44BE">
        <w:t xml:space="preserve">DUSC acknowledged the initial uptake in use of each therapy as each was listed on the R/PBS. </w:t>
      </w:r>
      <w:r w:rsidR="00B426EE">
        <w:t>Varenicline was</w:t>
      </w:r>
      <w:r w:rsidRPr="00E4669E">
        <w:t xml:space="preserve"> the most commonly prescribed therapy and DUSC discussed whether a proportion of this was patient requests. DUSC </w:t>
      </w:r>
      <w:r w:rsidR="00E4669E" w:rsidRPr="00E4669E">
        <w:t xml:space="preserve">also </w:t>
      </w:r>
      <w:r w:rsidRPr="00E4669E">
        <w:t xml:space="preserve">noted that there was a trend for people who tried bupropion to then not attempt it again.  </w:t>
      </w:r>
      <w:r w:rsidR="00773FD6" w:rsidRPr="00E4669E">
        <w:t>DUSC noted the high number of first quit attempts by the younger populations</w:t>
      </w:r>
      <w:r w:rsidR="00773FD6">
        <w:t xml:space="preserve"> (Figure 3)</w:t>
      </w:r>
      <w:r w:rsidR="00773FD6" w:rsidRPr="00E4669E">
        <w:t>.</w:t>
      </w:r>
      <w:r w:rsidR="00773FD6">
        <w:t xml:space="preserve"> </w:t>
      </w:r>
    </w:p>
    <w:p w:rsidR="00F278EC" w:rsidRPr="00E4669E" w:rsidRDefault="00F278EC" w:rsidP="00F278EC">
      <w:pPr>
        <w:pStyle w:val="Tablewriting"/>
        <w:spacing w:before="0" w:after="0"/>
        <w:rPr>
          <w:sz w:val="24"/>
          <w:szCs w:val="24"/>
        </w:rPr>
      </w:pPr>
    </w:p>
    <w:p w:rsidR="00F278EC" w:rsidRPr="00E4669E" w:rsidRDefault="00F278EC" w:rsidP="00F278EC">
      <w:pPr>
        <w:pStyle w:val="Tablewriting"/>
        <w:spacing w:before="0" w:after="0"/>
        <w:rPr>
          <w:sz w:val="24"/>
          <w:szCs w:val="24"/>
        </w:rPr>
      </w:pPr>
      <w:r w:rsidRPr="00E4669E">
        <w:rPr>
          <w:sz w:val="24"/>
          <w:szCs w:val="24"/>
        </w:rPr>
        <w:t xml:space="preserve">Over the period of 2012-2015, very few people were supplied bupropion, NRT and varenicline, or a combination thereof, on the same day. DUSC discussed the effects of using both varenicline and NRT concomitantly. DUSC also noted the view presented by an NRT sponsor in their pre-sub-committee response regarding the use of immediate release oral NRT to improve successful quitting and maintaining long term abstinence. </w:t>
      </w:r>
    </w:p>
    <w:p w:rsidR="00F278EC" w:rsidRPr="00E4669E" w:rsidRDefault="00F278EC" w:rsidP="00674E58">
      <w:pPr>
        <w:pStyle w:val="Tablewriting"/>
        <w:spacing w:before="0" w:after="0"/>
        <w:rPr>
          <w:sz w:val="24"/>
          <w:szCs w:val="24"/>
        </w:rPr>
      </w:pPr>
    </w:p>
    <w:p w:rsidR="00F278EC" w:rsidRDefault="00F278EC" w:rsidP="00674E58">
      <w:pPr>
        <w:pStyle w:val="Tablewriting"/>
        <w:spacing w:before="0" w:after="0"/>
        <w:rPr>
          <w:sz w:val="24"/>
          <w:szCs w:val="24"/>
        </w:rPr>
      </w:pPr>
      <w:r w:rsidRPr="00E4669E">
        <w:rPr>
          <w:color w:val="auto"/>
          <w:sz w:val="24"/>
          <w:szCs w:val="24"/>
        </w:rPr>
        <w:t xml:space="preserve">DUSC noted the number of packs of smoking cessation therapy provided through Aboriginal Health Services was low, although this is a subset of use in the Aboriginal and Torres Strait Islander population. </w:t>
      </w:r>
      <w:r w:rsidRPr="00E4669E">
        <w:rPr>
          <w:sz w:val="24"/>
          <w:szCs w:val="24"/>
        </w:rPr>
        <w:t xml:space="preserve">People who received PBS smoking cessation therapy through community pharmacies under the closing the gap (CTG) programme were not included in these figures (Table </w:t>
      </w:r>
      <w:r w:rsidR="00E60A4E">
        <w:rPr>
          <w:sz w:val="24"/>
          <w:szCs w:val="24"/>
        </w:rPr>
        <w:t>9</w:t>
      </w:r>
      <w:r w:rsidRPr="00E4669E">
        <w:rPr>
          <w:sz w:val="24"/>
          <w:szCs w:val="24"/>
        </w:rPr>
        <w:t xml:space="preserve">). DUSC noted that where there were previously separate streamlined authority codes for NRT listings for Aboriginal and Torres Strait Islander persons, now that the listings are Restricted Benefit it is no longer possible to distinguish. The National Tobacco Strategy 2012-2018 developed by the Intergovernmental Committee on Drugs (IGCD) Standing Committee on Tobacco, has the aim of halving the Indigenous smoking rate </w:t>
      </w:r>
      <w:r w:rsidRPr="00E4669E">
        <w:rPr>
          <w:sz w:val="24"/>
          <w:szCs w:val="24"/>
        </w:rPr>
        <w:lastRenderedPageBreak/>
        <w:t>by 2018.</w:t>
      </w:r>
      <w:r w:rsidR="0014051B" w:rsidRPr="0014051B">
        <w:rPr>
          <w:sz w:val="24"/>
          <w:szCs w:val="24"/>
          <w:vertAlign w:val="superscript"/>
        </w:rPr>
        <w:t>16</w:t>
      </w:r>
      <w:r w:rsidR="0014051B">
        <w:rPr>
          <w:sz w:val="24"/>
          <w:szCs w:val="24"/>
          <w:vertAlign w:val="superscript"/>
        </w:rPr>
        <w:t xml:space="preserve"> </w:t>
      </w:r>
      <w:r w:rsidRPr="00E4669E">
        <w:rPr>
          <w:sz w:val="24"/>
          <w:szCs w:val="24"/>
        </w:rPr>
        <w:t xml:space="preserve">DUSC discussed the importance of reducing the prevalence of smoking in the Indigenous community.  </w:t>
      </w:r>
    </w:p>
    <w:p w:rsidR="00773FD6" w:rsidRPr="00E4669E" w:rsidRDefault="00773FD6" w:rsidP="00674E58">
      <w:pPr>
        <w:pStyle w:val="Tablewriting"/>
        <w:spacing w:before="0" w:after="0"/>
        <w:rPr>
          <w:sz w:val="24"/>
          <w:szCs w:val="24"/>
        </w:rPr>
      </w:pPr>
    </w:p>
    <w:p w:rsidR="00773FD6" w:rsidRPr="00E4669E" w:rsidRDefault="00773FD6" w:rsidP="00773FD6">
      <w:pPr>
        <w:pStyle w:val="Figurecaption"/>
        <w:spacing w:before="0" w:after="0"/>
        <w:rPr>
          <w:i/>
          <w:sz w:val="24"/>
          <w:szCs w:val="24"/>
        </w:rPr>
      </w:pPr>
      <w:r w:rsidRPr="00E4669E">
        <w:rPr>
          <w:sz w:val="24"/>
          <w:szCs w:val="24"/>
        </w:rPr>
        <w:t>The use of NRT specifically has been lower than predicted in terms of the number of people, prescriptions supplied and cost in each year since listing. DUSC considered the usage of over the counter smoking cessation therapies may have contributed, as these are more accessible than obtaining a prescription from a doctor.</w:t>
      </w:r>
      <w:r w:rsidRPr="00E4669E">
        <w:rPr>
          <w:i/>
          <w:sz w:val="24"/>
          <w:szCs w:val="24"/>
        </w:rPr>
        <w:t xml:space="preserve"> </w:t>
      </w:r>
      <w:r w:rsidRPr="00E4669E">
        <w:rPr>
          <w:sz w:val="24"/>
          <w:szCs w:val="24"/>
        </w:rPr>
        <w:t>DUSC noted that there was no major change in the use of smoking cessation therapies with the streamlining of the NRT restriction in December 2013.</w:t>
      </w:r>
    </w:p>
    <w:p w:rsidR="00773FD6" w:rsidRDefault="00773FD6" w:rsidP="00773FD6">
      <w:pPr>
        <w:pStyle w:val="Tablewriting"/>
        <w:spacing w:before="0" w:after="0"/>
        <w:rPr>
          <w:sz w:val="24"/>
          <w:szCs w:val="24"/>
        </w:rPr>
      </w:pPr>
    </w:p>
    <w:p w:rsidR="00773FD6" w:rsidRPr="00E4669E" w:rsidRDefault="00773FD6" w:rsidP="00773FD6">
      <w:pPr>
        <w:pStyle w:val="Tablewriting"/>
        <w:spacing w:before="0" w:after="0"/>
        <w:rPr>
          <w:sz w:val="24"/>
          <w:szCs w:val="24"/>
        </w:rPr>
      </w:pPr>
      <w:r w:rsidRPr="00E4669E">
        <w:rPr>
          <w:sz w:val="24"/>
          <w:szCs w:val="24"/>
        </w:rPr>
        <w:t>DUSC noted an article published in January 2016 by the Journal of the American Medical Association that found no significant differences in biochemically confirmed rates of smoking abstinence between varenicline and NRT.</w:t>
      </w:r>
      <w:r w:rsidRPr="00E4669E">
        <w:rPr>
          <w:rStyle w:val="FootnoteReference"/>
          <w:sz w:val="24"/>
          <w:szCs w:val="24"/>
        </w:rPr>
        <w:footnoteReference w:id="22"/>
      </w:r>
      <w:r w:rsidRPr="00E4669E">
        <w:rPr>
          <w:sz w:val="24"/>
          <w:szCs w:val="24"/>
        </w:rPr>
        <w:t xml:space="preserve"> DUSC referred the information to the PBAC. </w:t>
      </w:r>
    </w:p>
    <w:p w:rsidR="00F278EC" w:rsidRPr="00E4669E" w:rsidRDefault="00F278EC" w:rsidP="00F278EC">
      <w:pPr>
        <w:pStyle w:val="Tablewriting"/>
        <w:spacing w:before="0" w:after="0"/>
        <w:rPr>
          <w:sz w:val="24"/>
          <w:szCs w:val="24"/>
        </w:rPr>
      </w:pPr>
    </w:p>
    <w:p w:rsidR="00F278EC" w:rsidRPr="00E4669E" w:rsidRDefault="00F278EC" w:rsidP="00F278EC">
      <w:pPr>
        <w:pStyle w:val="Tablewriting"/>
        <w:spacing w:before="0" w:after="0"/>
        <w:rPr>
          <w:sz w:val="24"/>
          <w:szCs w:val="24"/>
        </w:rPr>
      </w:pPr>
      <w:r w:rsidRPr="00E4669E">
        <w:rPr>
          <w:sz w:val="24"/>
          <w:szCs w:val="24"/>
        </w:rPr>
        <w:t xml:space="preserve">Overall, DUSC considered that it is difficult to interpret the trends in terms of cause and effect, as there are multiple contributing factors. It is not possible to capture OTC or private prescription use of smoking cessation therapies from the PBS data. It is also not possible to tell whether people who stop smoking cessation therapy have quit smoking. However, DUSC considered it positive that the average number of people who smoke daily has declined and noted the clinical place for smoking cessation therapies among the available options to assist people who want to quit smoking.  </w:t>
      </w:r>
    </w:p>
    <w:p w:rsidR="00F278EC" w:rsidRPr="00D65DBB" w:rsidRDefault="00F278EC" w:rsidP="00B10777">
      <w:pPr>
        <w:pStyle w:val="Figurecaption"/>
        <w:spacing w:before="0" w:after="0"/>
        <w:rPr>
          <w:sz w:val="24"/>
          <w:szCs w:val="24"/>
        </w:rPr>
      </w:pPr>
    </w:p>
    <w:p w:rsidR="001310AE" w:rsidRDefault="00801E74" w:rsidP="00B10777">
      <w:pPr>
        <w:pStyle w:val="Heading4"/>
        <w:spacing w:before="0"/>
      </w:pPr>
      <w:r>
        <w:t xml:space="preserve">DUSC </w:t>
      </w:r>
      <w:r w:rsidR="00B10777">
        <w:t>actions</w:t>
      </w:r>
    </w:p>
    <w:p w:rsidR="00B10777" w:rsidRPr="00B10777" w:rsidRDefault="00B10777" w:rsidP="00B10777">
      <w:pPr>
        <w:pStyle w:val="PBACBullets"/>
        <w:numPr>
          <w:ilvl w:val="0"/>
          <w:numId w:val="0"/>
        </w:numPr>
        <w:spacing w:before="0" w:after="0"/>
        <w:rPr>
          <w:sz w:val="24"/>
          <w:szCs w:val="24"/>
        </w:rPr>
      </w:pPr>
      <w:r w:rsidRPr="00B10777">
        <w:rPr>
          <w:sz w:val="24"/>
          <w:szCs w:val="24"/>
        </w:rPr>
        <w:t xml:space="preserve">DUSC requested that the report, stakeholder responses and DUSC minutes be provided to the PBAC. </w:t>
      </w:r>
    </w:p>
    <w:p w:rsidR="00B10777" w:rsidRPr="00B10777" w:rsidRDefault="00B10777" w:rsidP="00B10777">
      <w:pPr>
        <w:pStyle w:val="PBACBullets"/>
        <w:numPr>
          <w:ilvl w:val="0"/>
          <w:numId w:val="0"/>
        </w:numPr>
        <w:spacing w:before="0" w:after="0"/>
        <w:rPr>
          <w:sz w:val="24"/>
          <w:szCs w:val="24"/>
        </w:rPr>
      </w:pPr>
    </w:p>
    <w:p w:rsidR="00B10777" w:rsidRDefault="00B10777" w:rsidP="00B10777">
      <w:pPr>
        <w:pStyle w:val="PBACBullets"/>
        <w:numPr>
          <w:ilvl w:val="0"/>
          <w:numId w:val="0"/>
        </w:numPr>
        <w:spacing w:before="0" w:after="0"/>
        <w:rPr>
          <w:sz w:val="24"/>
          <w:szCs w:val="24"/>
        </w:rPr>
      </w:pPr>
      <w:r w:rsidRPr="00B10777">
        <w:rPr>
          <w:sz w:val="24"/>
          <w:szCs w:val="24"/>
        </w:rPr>
        <w:t>DUSC noted an article published in January 2016 by the Journal of the American Medical Association that found no significant differences in biochemically confirmed rates of smoking abstinence between varenicline and NRT.</w:t>
      </w:r>
      <w:r w:rsidR="00773FD6">
        <w:rPr>
          <w:sz w:val="24"/>
          <w:szCs w:val="24"/>
          <w:vertAlign w:val="superscript"/>
        </w:rPr>
        <w:t>22</w:t>
      </w:r>
      <w:r w:rsidRPr="00B10777">
        <w:rPr>
          <w:sz w:val="24"/>
          <w:szCs w:val="24"/>
        </w:rPr>
        <w:t xml:space="preserve"> DUSC referred the information to the PBAC.</w:t>
      </w:r>
    </w:p>
    <w:p w:rsidR="00C03EEE" w:rsidRPr="00B10777" w:rsidRDefault="00C03EEE" w:rsidP="00B10777">
      <w:pPr>
        <w:pStyle w:val="PBACBullets"/>
        <w:numPr>
          <w:ilvl w:val="0"/>
          <w:numId w:val="0"/>
        </w:numPr>
        <w:spacing w:before="0" w:after="0"/>
        <w:rPr>
          <w:sz w:val="24"/>
          <w:szCs w:val="24"/>
        </w:rPr>
      </w:pPr>
    </w:p>
    <w:p w:rsidR="00B10777" w:rsidRPr="005211FA" w:rsidRDefault="00B10777" w:rsidP="00B10777">
      <w:pPr>
        <w:pStyle w:val="Heading3"/>
        <w:spacing w:before="0" w:after="0"/>
        <w:rPr>
          <w:sz w:val="32"/>
          <w:szCs w:val="32"/>
        </w:rPr>
      </w:pPr>
      <w:r w:rsidRPr="005211FA">
        <w:rPr>
          <w:sz w:val="32"/>
          <w:szCs w:val="32"/>
        </w:rPr>
        <w:t>Context for analysis</w:t>
      </w:r>
    </w:p>
    <w:p w:rsidR="00B10777" w:rsidRDefault="00B10777" w:rsidP="00B10777">
      <w:pPr>
        <w:spacing w:after="0"/>
        <w:rPr>
          <w:rFonts w:eastAsiaTheme="majorEastAsia" w:cstheme="majorBidi"/>
          <w:bCs/>
        </w:rPr>
      </w:pPr>
    </w:p>
    <w:p w:rsidR="00B10777" w:rsidRDefault="00B10777" w:rsidP="00B10777">
      <w:pPr>
        <w:spacing w:after="0"/>
        <w:rPr>
          <w:rFonts w:eastAsiaTheme="majorEastAsia" w:cstheme="majorBidi"/>
          <w:bCs/>
        </w:rPr>
      </w:pPr>
      <w:r w:rsidRPr="00241E48">
        <w:rPr>
          <w:rFonts w:eastAsiaTheme="majorEastAsia" w:cstheme="majorBidi"/>
          <w:bCs/>
        </w:rPr>
        <w:t>The DUSC is a Sub Committee of the Pharmaceutical Benefits Advisory Committee (PBAC). The DUSC assesses estimates on projected usage an</w:t>
      </w:r>
      <w:r>
        <w:rPr>
          <w:rFonts w:eastAsiaTheme="majorEastAsia" w:cstheme="majorBidi"/>
          <w:bCs/>
        </w:rPr>
        <w:t xml:space="preserve">d financial cost of medicines. </w:t>
      </w:r>
    </w:p>
    <w:p w:rsidR="00B10777" w:rsidRDefault="00B10777" w:rsidP="00B10777">
      <w:pPr>
        <w:spacing w:after="0"/>
        <w:rPr>
          <w:rFonts w:eastAsiaTheme="majorEastAsia" w:cstheme="majorBidi"/>
          <w:bCs/>
        </w:rPr>
      </w:pPr>
    </w:p>
    <w:p w:rsidR="00B10777" w:rsidRDefault="00B10777" w:rsidP="00B10777">
      <w:pPr>
        <w:spacing w:after="0"/>
        <w:rPr>
          <w:rFonts w:eastAsiaTheme="majorEastAsia" w:cstheme="majorBidi"/>
          <w:bCs/>
        </w:rPr>
      </w:pPr>
      <w:r w:rsidRPr="00241E48">
        <w:rPr>
          <w:rFonts w:eastAsiaTheme="majorEastAsia" w:cstheme="majorBidi"/>
          <w:bCs/>
        </w:rP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B10777" w:rsidRDefault="00B10777" w:rsidP="00B10777">
      <w:pPr>
        <w:spacing w:after="0"/>
        <w:rPr>
          <w:rFonts w:eastAsiaTheme="majorEastAsia" w:cstheme="majorBidi"/>
          <w:bCs/>
        </w:rPr>
      </w:pPr>
      <w:r w:rsidRPr="00241E48">
        <w:rPr>
          <w:rFonts w:eastAsiaTheme="majorEastAsia" w:cstheme="majorBidi"/>
          <w:bCs/>
        </w:rPr>
        <w:lastRenderedPageBreak/>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B10777" w:rsidRDefault="00B10777" w:rsidP="00B10777">
      <w:pPr>
        <w:spacing w:after="0"/>
        <w:rPr>
          <w:rFonts w:eastAsiaTheme="majorEastAsia" w:cstheme="majorBidi"/>
          <w:bCs/>
        </w:rPr>
      </w:pPr>
    </w:p>
    <w:p w:rsidR="00B10777" w:rsidRDefault="00B10777" w:rsidP="00B10777">
      <w:pPr>
        <w:spacing w:after="0"/>
        <w:rPr>
          <w:rFonts w:eastAsiaTheme="majorEastAsia" w:cstheme="majorBidi"/>
          <w:bCs/>
        </w:rPr>
      </w:pPr>
      <w:r>
        <w:rPr>
          <w:rFonts w:eastAsiaTheme="majorEastAsia" w:cstheme="majorBidi"/>
          <w:bCs/>
        </w:rPr>
        <w:t xml:space="preserve">The </w:t>
      </w:r>
      <w:r w:rsidRPr="00CB5441">
        <w:rPr>
          <w:rFonts w:eastAsiaTheme="majorEastAsia" w:cstheme="majorBidi"/>
          <w:bCs/>
        </w:rPr>
        <w:t xml:space="preserve">utilisation </w:t>
      </w:r>
      <w:r>
        <w:rPr>
          <w:rFonts w:eastAsiaTheme="majorEastAsia" w:cstheme="majorBidi"/>
          <w:bCs/>
        </w:rPr>
        <w:t>analysis report was</w:t>
      </w:r>
      <w:r w:rsidRPr="00CB5441">
        <w:rPr>
          <w:rFonts w:eastAsiaTheme="majorEastAsia" w:cstheme="majorBidi"/>
          <w:bCs/>
        </w:rPr>
        <w:t xml:space="preserve"> provided to the pharmaceutical sponsors of each d</w:t>
      </w:r>
      <w:r>
        <w:rPr>
          <w:rFonts w:eastAsiaTheme="majorEastAsia" w:cstheme="majorBidi"/>
          <w:bCs/>
        </w:rPr>
        <w:t xml:space="preserve">rug and comments on the report </w:t>
      </w:r>
      <w:r w:rsidRPr="00CB5441">
        <w:rPr>
          <w:rFonts w:eastAsiaTheme="majorEastAsia" w:cstheme="majorBidi"/>
          <w:bCs/>
        </w:rPr>
        <w:t>were provided to DUSC</w:t>
      </w:r>
      <w:r>
        <w:rPr>
          <w:rFonts w:eastAsiaTheme="majorEastAsia" w:cstheme="majorBidi"/>
          <w:bCs/>
        </w:rPr>
        <w:t xml:space="preserve"> prior to its consideration of the analysis.</w:t>
      </w:r>
    </w:p>
    <w:p w:rsidR="003023F4" w:rsidRDefault="003023F4" w:rsidP="003023F4">
      <w:pPr>
        <w:pStyle w:val="Heading4"/>
      </w:pPr>
      <w:r>
        <w:t>Sponsor</w:t>
      </w:r>
      <w:r w:rsidRPr="0092516A">
        <w:t>s</w:t>
      </w:r>
      <w:r>
        <w:t>’</w:t>
      </w:r>
      <w:r w:rsidRPr="0092516A">
        <w:t xml:space="preserve"> comments</w:t>
      </w:r>
    </w:p>
    <w:p w:rsidR="00754969" w:rsidRDefault="00D14ABD" w:rsidP="00754969">
      <w:pPr>
        <w:rPr>
          <w:lang w:val="en-US"/>
        </w:rPr>
      </w:pPr>
      <w:r w:rsidRPr="00617168">
        <w:t xml:space="preserve">Pfizer: </w:t>
      </w:r>
      <w:r w:rsidR="00754969">
        <w:rPr>
          <w:lang w:val="en-US"/>
        </w:rPr>
        <w:t>Pfizer acknowledges that the DUSC Review provides a comprehensive assessment of the current use of smoking cessation therapies in Australia.  In its conclusion, the DUSC report noted one article published in January 2016 by Baker et al which was not reviewed or discussed earlier in the report.  Pfizer does not believe that this single pu</w:t>
      </w:r>
      <w:r w:rsidR="0081428D">
        <w:rPr>
          <w:lang w:val="en-US"/>
        </w:rPr>
        <w:t xml:space="preserve">blication is reflective of the </w:t>
      </w:r>
      <w:r w:rsidR="00754969">
        <w:rPr>
          <w:lang w:val="en-US"/>
        </w:rPr>
        <w:t xml:space="preserve">body evidence which compares varenicline with NRT therapy. Pfizer agrees with DUSC that there is a clinical place for smoking cessation therapies, including varenicline, among the available options to assist people who want to quit smoking. </w:t>
      </w:r>
    </w:p>
    <w:p w:rsidR="00754969" w:rsidRDefault="00754969" w:rsidP="00754969">
      <w:r>
        <w:rPr>
          <w:rFonts w:ascii="Calibri" w:eastAsia="Calibri" w:hAnsi="Calibri" w:cs="Times New Roman"/>
          <w:bCs/>
          <w:lang w:val="en-US"/>
        </w:rPr>
        <w:t xml:space="preserve">Perrigo: </w:t>
      </w:r>
      <w:r w:rsidRPr="00754969">
        <w:t>Perrigo would like to thank DUSC for their time in preparing this submission; we support further discussion that could lead to an increase in smoking cessation benefits for the Australian Community. We look forward to reducing the overall health burden that smoking related disease creates.</w:t>
      </w:r>
    </w:p>
    <w:p w:rsidR="00374897" w:rsidRPr="00136C1E" w:rsidRDefault="00374897" w:rsidP="00754969">
      <w:r>
        <w:t>GlaxoSmithKline Australia Pty Ltd, Johnson &amp; Johnson Pty Ltd, Alphapharm Pty Ltd: No comment received.</w:t>
      </w:r>
    </w:p>
    <w:p w:rsidR="00B10777" w:rsidRDefault="00B10777" w:rsidP="00B10777">
      <w:pPr>
        <w:pStyle w:val="Heading4"/>
      </w:pPr>
      <w:r w:rsidRPr="00A4020E">
        <w:t>Disclaimer</w:t>
      </w:r>
    </w:p>
    <w:p w:rsidR="00B10777" w:rsidRDefault="00B10777" w:rsidP="00B10777">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B10777" w:rsidRDefault="00B10777" w:rsidP="00B10777">
      <w:r>
        <w:t>The Department of Health (DoH)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B10777" w:rsidRDefault="00B10777" w:rsidP="00B10777">
      <w:r>
        <w:t xml:space="preserve">To the extent provided by law, DoH makes no warranties or representations as to accuracy or completeness of information contained in this report. </w:t>
      </w:r>
    </w:p>
    <w:p w:rsidR="00B10777" w:rsidRDefault="00B10777" w:rsidP="00B10777">
      <w:r>
        <w:t xml:space="preserve">To the fullest extent permitted by law, neither the DoH nor any DoH employee is liable for any liability, loss, claim, damage, expense, injury or personal injury (including death), whether direct or indirect (including consequential loss and loss of profits) and however incurred (including in tort), caused or contributed to by any person’s use or misuse of the </w:t>
      </w:r>
      <w:r>
        <w:lastRenderedPageBreak/>
        <w:t>information available from this report or contained on any third party website referred to in this report.</w:t>
      </w:r>
    </w:p>
    <w:p w:rsidR="002C6E0C" w:rsidRDefault="002C6E0C" w:rsidP="005D474B">
      <w:pPr>
        <w:pStyle w:val="Heading4"/>
      </w:pPr>
      <w:r>
        <w:t>Appendices</w:t>
      </w:r>
    </w:p>
    <w:p w:rsidR="00F019FF" w:rsidRDefault="00F019FF" w:rsidP="00F019FF">
      <w:pPr>
        <w:rPr>
          <w:b/>
        </w:rPr>
      </w:pPr>
      <w:r>
        <w:rPr>
          <w:b/>
          <w:sz w:val="28"/>
        </w:rPr>
        <w:t xml:space="preserve">Appendix A:  </w:t>
      </w:r>
      <w:r w:rsidR="00F02C04">
        <w:rPr>
          <w:b/>
          <w:sz w:val="28"/>
        </w:rPr>
        <w:t>Listing details for R/</w:t>
      </w:r>
      <w:r>
        <w:rPr>
          <w:b/>
          <w:sz w:val="28"/>
        </w:rPr>
        <w:t>PBS subsidised smoking cessation therapy</w:t>
      </w:r>
    </w:p>
    <w:p w:rsidR="00596689" w:rsidRPr="00286E8E" w:rsidRDefault="00596689" w:rsidP="00596689">
      <w:pPr>
        <w:rPr>
          <w:b/>
          <w:color w:val="FF0000"/>
        </w:rPr>
      </w:pPr>
      <w:r w:rsidRPr="00393D12">
        <w:rPr>
          <w:b/>
        </w:rPr>
        <w:t xml:space="preserve">Table </w:t>
      </w:r>
      <w:r w:rsidR="00EA7A80">
        <w:rPr>
          <w:b/>
        </w:rPr>
        <w:t>1</w:t>
      </w:r>
      <w:r w:rsidR="00E60A4E">
        <w:rPr>
          <w:b/>
        </w:rPr>
        <w:t>5</w:t>
      </w:r>
      <w:r w:rsidRPr="00393D12">
        <w:rPr>
          <w:b/>
        </w:rPr>
        <w:t>:</w:t>
      </w:r>
      <w:r>
        <w:rPr>
          <w:b/>
        </w:rPr>
        <w:t xml:space="preserve"> PBS listing of varenicline and bupropion</w:t>
      </w:r>
    </w:p>
    <w:tbl>
      <w:tblPr>
        <w:tblStyle w:val="TableGrid"/>
        <w:tblW w:w="9064" w:type="dxa"/>
        <w:tblLayout w:type="fixed"/>
        <w:tblLook w:val="04A0" w:firstRow="1" w:lastRow="0" w:firstColumn="1" w:lastColumn="0" w:noHBand="0" w:noVBand="1"/>
        <w:tblCaption w:val="PBS listing of vareniclines and bupropion"/>
        <w:tblDescription w:val="This table outlines the item, name, form and strength, maximum quantity, repeats, DPMQ, brand name and manufacturer for varenicline and bupropion. "/>
      </w:tblPr>
      <w:tblGrid>
        <w:gridCol w:w="969"/>
        <w:gridCol w:w="3250"/>
        <w:gridCol w:w="851"/>
        <w:gridCol w:w="850"/>
        <w:gridCol w:w="1040"/>
        <w:gridCol w:w="2104"/>
      </w:tblGrid>
      <w:tr w:rsidR="00596689" w:rsidRPr="00A35800" w:rsidTr="00B73FF8">
        <w:trPr>
          <w:trHeight w:val="694"/>
          <w:tblHeader/>
        </w:trPr>
        <w:tc>
          <w:tcPr>
            <w:tcW w:w="969"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Item</w:t>
            </w:r>
          </w:p>
        </w:tc>
        <w:tc>
          <w:tcPr>
            <w:tcW w:w="325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Name, form &amp; strength, pack size</w:t>
            </w:r>
          </w:p>
        </w:tc>
        <w:tc>
          <w:tcPr>
            <w:tcW w:w="851"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DPMQ</w:t>
            </w:r>
          </w:p>
        </w:tc>
        <w:tc>
          <w:tcPr>
            <w:tcW w:w="2104"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Brand name and manufacturer</w:t>
            </w:r>
          </w:p>
        </w:tc>
      </w:tr>
      <w:tr w:rsidR="00596689" w:rsidRPr="00A35800" w:rsidTr="00B73FF8">
        <w:trPr>
          <w:trHeight w:val="552"/>
          <w:tblHeader/>
        </w:trPr>
        <w:tc>
          <w:tcPr>
            <w:tcW w:w="969" w:type="dxa"/>
            <w:shd w:val="clear" w:color="auto" w:fill="auto"/>
          </w:tcPr>
          <w:p w:rsidR="00596689" w:rsidRPr="00A35800" w:rsidRDefault="00596689" w:rsidP="00B73FF8">
            <w:pPr>
              <w:pStyle w:val="Tablewriting"/>
            </w:pPr>
            <w:r>
              <w:t>5469W</w:t>
            </w:r>
          </w:p>
        </w:tc>
        <w:tc>
          <w:tcPr>
            <w:tcW w:w="3250" w:type="dxa"/>
            <w:shd w:val="clear" w:color="auto" w:fill="auto"/>
          </w:tcPr>
          <w:p w:rsidR="00596689" w:rsidRDefault="00596689" w:rsidP="00B73FF8">
            <w:pPr>
              <w:pStyle w:val="Tablewriting"/>
            </w:pPr>
            <w:r>
              <w:t>Varenicline 1 mg tablet, 56</w:t>
            </w:r>
          </w:p>
          <w:p w:rsidR="00596689" w:rsidRPr="004A48CD" w:rsidRDefault="00596689" w:rsidP="00B73FF8">
            <w:pPr>
              <w:pStyle w:val="Tablewriting"/>
            </w:pPr>
            <w:r>
              <w:t xml:space="preserve">AUTHORITY REQUIRED </w:t>
            </w:r>
          </w:p>
        </w:tc>
        <w:tc>
          <w:tcPr>
            <w:tcW w:w="851" w:type="dxa"/>
            <w:shd w:val="clear" w:color="auto" w:fill="auto"/>
          </w:tcPr>
          <w:p w:rsidR="00596689" w:rsidRPr="00A35800" w:rsidRDefault="00596689" w:rsidP="00B73FF8">
            <w:pPr>
              <w:pStyle w:val="Tablewriting"/>
            </w:pPr>
            <w:r>
              <w:t>1</w:t>
            </w:r>
          </w:p>
        </w:tc>
        <w:tc>
          <w:tcPr>
            <w:tcW w:w="850" w:type="dxa"/>
            <w:shd w:val="clear" w:color="auto" w:fill="auto"/>
          </w:tcPr>
          <w:p w:rsidR="00596689" w:rsidRPr="00A35800" w:rsidRDefault="00596689" w:rsidP="00B73FF8">
            <w:pPr>
              <w:pStyle w:val="Tablewriting"/>
            </w:pPr>
            <w:r>
              <w:t>2</w:t>
            </w:r>
          </w:p>
        </w:tc>
        <w:tc>
          <w:tcPr>
            <w:tcW w:w="1040" w:type="dxa"/>
            <w:shd w:val="clear" w:color="auto" w:fill="auto"/>
          </w:tcPr>
          <w:p w:rsidR="00596689" w:rsidRPr="00A35800" w:rsidRDefault="00596689" w:rsidP="00B73FF8">
            <w:pPr>
              <w:pStyle w:val="Tablewriting"/>
            </w:pPr>
            <w:r>
              <w:t>$114.06</w:t>
            </w:r>
          </w:p>
        </w:tc>
        <w:tc>
          <w:tcPr>
            <w:tcW w:w="2104" w:type="dxa"/>
            <w:shd w:val="clear" w:color="auto" w:fill="auto"/>
          </w:tcPr>
          <w:p w:rsidR="00596689" w:rsidRPr="00A35800" w:rsidRDefault="00596689" w:rsidP="00B73FF8">
            <w:pPr>
              <w:pStyle w:val="Tablewriting"/>
            </w:pPr>
            <w:r>
              <w:t>Champix® Pfizer</w:t>
            </w:r>
          </w:p>
        </w:tc>
      </w:tr>
      <w:tr w:rsidR="00596689" w:rsidRPr="00A35800" w:rsidTr="00B73FF8">
        <w:trPr>
          <w:trHeight w:val="546"/>
          <w:tblHeader/>
        </w:trPr>
        <w:tc>
          <w:tcPr>
            <w:tcW w:w="969" w:type="dxa"/>
            <w:shd w:val="clear" w:color="auto" w:fill="auto"/>
          </w:tcPr>
          <w:p w:rsidR="00596689" w:rsidRPr="00A35800" w:rsidRDefault="00596689" w:rsidP="00B73FF8">
            <w:pPr>
              <w:pStyle w:val="Tablewriting"/>
            </w:pPr>
            <w:r>
              <w:t>9128K</w:t>
            </w:r>
          </w:p>
        </w:tc>
        <w:tc>
          <w:tcPr>
            <w:tcW w:w="3250" w:type="dxa"/>
            <w:shd w:val="clear" w:color="auto" w:fill="auto"/>
          </w:tcPr>
          <w:p w:rsidR="00596689" w:rsidRDefault="00596689" w:rsidP="00B73FF8">
            <w:pPr>
              <w:pStyle w:val="Tablewriting"/>
            </w:pPr>
            <w:r>
              <w:t>Varenicline 500 mcg [11 tablets]</w:t>
            </w:r>
          </w:p>
          <w:p w:rsidR="00596689" w:rsidRDefault="00596689" w:rsidP="00B73FF8">
            <w:pPr>
              <w:pStyle w:val="Tablewriting"/>
            </w:pPr>
            <w:r>
              <w:t xml:space="preserve">                            1 mg [42 tablets]; 53</w:t>
            </w:r>
          </w:p>
          <w:p w:rsidR="00596689" w:rsidRPr="00A35800" w:rsidRDefault="00596689" w:rsidP="00B73FF8">
            <w:pPr>
              <w:pStyle w:val="Tablewriting"/>
            </w:pPr>
            <w:r>
              <w:t>AUTHORITY REQUIRED</w:t>
            </w:r>
          </w:p>
        </w:tc>
        <w:tc>
          <w:tcPr>
            <w:tcW w:w="851" w:type="dxa"/>
            <w:shd w:val="clear" w:color="auto" w:fill="auto"/>
          </w:tcPr>
          <w:p w:rsidR="00596689" w:rsidRPr="00A35800" w:rsidRDefault="00596689" w:rsidP="00B73FF8">
            <w:pPr>
              <w:pStyle w:val="Tablewriting"/>
            </w:pPr>
            <w:r>
              <w:t>1</w:t>
            </w:r>
          </w:p>
        </w:tc>
        <w:tc>
          <w:tcPr>
            <w:tcW w:w="850" w:type="dxa"/>
            <w:shd w:val="clear" w:color="auto" w:fill="auto"/>
          </w:tcPr>
          <w:p w:rsidR="00596689" w:rsidRPr="00A35800" w:rsidRDefault="00596689" w:rsidP="00B73FF8">
            <w:pPr>
              <w:pStyle w:val="Tablewriting"/>
            </w:pPr>
            <w:r>
              <w:t>0</w:t>
            </w:r>
          </w:p>
        </w:tc>
        <w:tc>
          <w:tcPr>
            <w:tcW w:w="1040" w:type="dxa"/>
            <w:shd w:val="clear" w:color="auto" w:fill="auto"/>
          </w:tcPr>
          <w:p w:rsidR="00596689" w:rsidRPr="00A35800" w:rsidRDefault="00596689" w:rsidP="00B73FF8">
            <w:pPr>
              <w:pStyle w:val="Tablewriting"/>
            </w:pPr>
            <w:r>
              <w:t>$98.33</w:t>
            </w:r>
          </w:p>
        </w:tc>
        <w:tc>
          <w:tcPr>
            <w:tcW w:w="2104" w:type="dxa"/>
            <w:shd w:val="clear" w:color="auto" w:fill="auto"/>
          </w:tcPr>
          <w:p w:rsidR="00596689" w:rsidRPr="00A35800" w:rsidRDefault="00596689" w:rsidP="00B73FF8">
            <w:pPr>
              <w:pStyle w:val="Tablewriting"/>
            </w:pPr>
            <w:r>
              <w:t>Champix® Pfizer</w:t>
            </w:r>
          </w:p>
        </w:tc>
      </w:tr>
      <w:tr w:rsidR="00596689" w:rsidRPr="00A35800" w:rsidTr="00B73FF8">
        <w:trPr>
          <w:trHeight w:val="546"/>
          <w:tblHeader/>
        </w:trPr>
        <w:tc>
          <w:tcPr>
            <w:tcW w:w="969" w:type="dxa"/>
            <w:shd w:val="clear" w:color="auto" w:fill="auto"/>
          </w:tcPr>
          <w:p w:rsidR="00596689" w:rsidRDefault="00596689" w:rsidP="00B73FF8">
            <w:pPr>
              <w:pStyle w:val="Tablewriting"/>
            </w:pPr>
            <w:r>
              <w:t>9129L</w:t>
            </w:r>
          </w:p>
        </w:tc>
        <w:tc>
          <w:tcPr>
            <w:tcW w:w="3250" w:type="dxa"/>
            <w:shd w:val="clear" w:color="auto" w:fill="auto"/>
          </w:tcPr>
          <w:p w:rsidR="00596689" w:rsidRDefault="00596689" w:rsidP="00B73FF8">
            <w:pPr>
              <w:pStyle w:val="Tablewriting"/>
            </w:pPr>
            <w:r>
              <w:t>Varenicline 1 mg tablet, 56</w:t>
            </w:r>
          </w:p>
          <w:p w:rsidR="00596689" w:rsidRDefault="00596689" w:rsidP="00B73FF8">
            <w:pPr>
              <w:pStyle w:val="Tablewriting"/>
            </w:pPr>
            <w:r>
              <w:t>AUTHORITY REQUIRED</w:t>
            </w:r>
          </w:p>
        </w:tc>
        <w:tc>
          <w:tcPr>
            <w:tcW w:w="851" w:type="dxa"/>
            <w:shd w:val="clear" w:color="auto" w:fill="auto"/>
          </w:tcPr>
          <w:p w:rsidR="00596689" w:rsidRDefault="00596689" w:rsidP="00B73FF8">
            <w:pPr>
              <w:pStyle w:val="Tablewriting"/>
            </w:pPr>
            <w:r>
              <w:t>2</w:t>
            </w:r>
          </w:p>
        </w:tc>
        <w:tc>
          <w:tcPr>
            <w:tcW w:w="850" w:type="dxa"/>
            <w:shd w:val="clear" w:color="auto" w:fill="auto"/>
          </w:tcPr>
          <w:p w:rsidR="00596689" w:rsidRDefault="00596689" w:rsidP="00B73FF8">
            <w:pPr>
              <w:pStyle w:val="Tablewriting"/>
            </w:pPr>
            <w:r>
              <w:t>0</w:t>
            </w:r>
          </w:p>
        </w:tc>
        <w:tc>
          <w:tcPr>
            <w:tcW w:w="1040" w:type="dxa"/>
            <w:shd w:val="clear" w:color="auto" w:fill="auto"/>
          </w:tcPr>
          <w:p w:rsidR="00596689" w:rsidRDefault="00596689" w:rsidP="00B73FF8">
            <w:pPr>
              <w:pStyle w:val="Tablewriting"/>
            </w:pPr>
            <w:r>
              <w:t>$218.65</w:t>
            </w:r>
          </w:p>
        </w:tc>
        <w:tc>
          <w:tcPr>
            <w:tcW w:w="2104" w:type="dxa"/>
            <w:shd w:val="clear" w:color="auto" w:fill="auto"/>
          </w:tcPr>
          <w:p w:rsidR="00596689" w:rsidRDefault="00596689" w:rsidP="00B73FF8">
            <w:pPr>
              <w:pStyle w:val="Tablewriting"/>
            </w:pPr>
            <w:r>
              <w:t>Champix® Pfizer</w:t>
            </w:r>
          </w:p>
        </w:tc>
      </w:tr>
      <w:tr w:rsidR="00596689" w:rsidRPr="00A35800" w:rsidTr="00B73FF8">
        <w:trPr>
          <w:trHeight w:val="546"/>
          <w:tblHeader/>
        </w:trPr>
        <w:tc>
          <w:tcPr>
            <w:tcW w:w="969" w:type="dxa"/>
            <w:shd w:val="clear" w:color="auto" w:fill="auto"/>
          </w:tcPr>
          <w:p w:rsidR="00596689" w:rsidRDefault="00596689" w:rsidP="00B73FF8">
            <w:pPr>
              <w:pStyle w:val="Tablewriting"/>
            </w:pPr>
            <w:r>
              <w:t>8465M</w:t>
            </w:r>
          </w:p>
        </w:tc>
        <w:tc>
          <w:tcPr>
            <w:tcW w:w="3250" w:type="dxa"/>
            <w:shd w:val="clear" w:color="auto" w:fill="auto"/>
          </w:tcPr>
          <w:p w:rsidR="00596689" w:rsidRDefault="00596689" w:rsidP="00B73FF8">
            <w:pPr>
              <w:pStyle w:val="Tablewriting"/>
              <w:rPr>
                <w:color w:val="auto"/>
              </w:rPr>
            </w:pPr>
            <w:r w:rsidRPr="00553B46">
              <w:rPr>
                <w:color w:val="auto"/>
              </w:rPr>
              <w:t xml:space="preserve">Bupropion </w:t>
            </w:r>
            <w:r>
              <w:rPr>
                <w:color w:val="auto"/>
              </w:rPr>
              <w:t>150 mg modified release tablet, 30</w:t>
            </w:r>
          </w:p>
          <w:p w:rsidR="00596689" w:rsidRPr="00D21003" w:rsidRDefault="00596689" w:rsidP="00B73FF8">
            <w:pPr>
              <w:pStyle w:val="Tablewriting"/>
              <w:rPr>
                <w:color w:val="FF0000"/>
              </w:rPr>
            </w:pPr>
            <w:r>
              <w:t xml:space="preserve">AUTHORITY REQUIRED (STREAMLINED) </w:t>
            </w:r>
          </w:p>
        </w:tc>
        <w:tc>
          <w:tcPr>
            <w:tcW w:w="85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0</w:t>
            </w:r>
          </w:p>
        </w:tc>
        <w:tc>
          <w:tcPr>
            <w:tcW w:w="1040" w:type="dxa"/>
            <w:shd w:val="clear" w:color="auto" w:fill="auto"/>
          </w:tcPr>
          <w:p w:rsidR="00596689" w:rsidRDefault="00596689" w:rsidP="00B73FF8">
            <w:pPr>
              <w:pStyle w:val="Tablewriting"/>
            </w:pPr>
            <w:r>
              <w:t>$61.86</w:t>
            </w:r>
          </w:p>
        </w:tc>
        <w:tc>
          <w:tcPr>
            <w:tcW w:w="2104" w:type="dxa"/>
            <w:shd w:val="clear" w:color="auto" w:fill="auto"/>
          </w:tcPr>
          <w:p w:rsidR="00596689" w:rsidRPr="00286E8E" w:rsidRDefault="00596689" w:rsidP="00B73FF8">
            <w:pPr>
              <w:pStyle w:val="Tablewriting"/>
              <w:rPr>
                <w:color w:val="auto"/>
              </w:rPr>
            </w:pPr>
            <w:r>
              <w:t>Zyban</w:t>
            </w:r>
            <w:r>
              <w:rPr>
                <w:color w:val="auto"/>
              </w:rPr>
              <w:t xml:space="preserve">® </w:t>
            </w:r>
            <w:r w:rsidRPr="00E16A8D">
              <w:rPr>
                <w:color w:val="auto"/>
              </w:rPr>
              <w:t>GlaxoSmithKline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8710K</w:t>
            </w:r>
          </w:p>
        </w:tc>
        <w:tc>
          <w:tcPr>
            <w:tcW w:w="3250" w:type="dxa"/>
            <w:shd w:val="clear" w:color="auto" w:fill="auto"/>
          </w:tcPr>
          <w:p w:rsidR="00596689" w:rsidRDefault="00596689" w:rsidP="00B73FF8">
            <w:pPr>
              <w:pStyle w:val="Tablewriting"/>
            </w:pPr>
            <w:r>
              <w:t>Bupropion 150 mg modified release tablet, 90</w:t>
            </w:r>
          </w:p>
          <w:p w:rsidR="00596689" w:rsidRDefault="00596689" w:rsidP="00B73FF8">
            <w:pPr>
              <w:pStyle w:val="Tablewriting"/>
            </w:pPr>
            <w:r>
              <w:t>AUTHORITY REQUIRED (STREAMLINED)</w:t>
            </w:r>
          </w:p>
        </w:tc>
        <w:tc>
          <w:tcPr>
            <w:tcW w:w="85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0</w:t>
            </w:r>
          </w:p>
        </w:tc>
        <w:tc>
          <w:tcPr>
            <w:tcW w:w="1040" w:type="dxa"/>
            <w:shd w:val="clear" w:color="auto" w:fill="auto"/>
          </w:tcPr>
          <w:p w:rsidR="00596689" w:rsidRDefault="00596689" w:rsidP="00B73FF8">
            <w:pPr>
              <w:pStyle w:val="Tablewriting"/>
            </w:pPr>
            <w:r>
              <w:t>$164.73</w:t>
            </w:r>
          </w:p>
        </w:tc>
        <w:tc>
          <w:tcPr>
            <w:tcW w:w="2104" w:type="dxa"/>
            <w:shd w:val="clear" w:color="auto" w:fill="auto"/>
          </w:tcPr>
          <w:p w:rsidR="00596689" w:rsidRPr="00286E8E" w:rsidRDefault="00596689" w:rsidP="00B73FF8">
            <w:pPr>
              <w:pStyle w:val="Tablewriting"/>
              <w:rPr>
                <w:color w:val="auto"/>
              </w:rPr>
            </w:pPr>
            <w:r>
              <w:t>Zyban</w:t>
            </w:r>
            <w:r>
              <w:rPr>
                <w:color w:val="auto"/>
              </w:rPr>
              <w:t xml:space="preserve">® </w:t>
            </w:r>
            <w:r w:rsidRPr="00E16A8D">
              <w:rPr>
                <w:color w:val="auto"/>
              </w:rPr>
              <w:t>GlaxoSmithKline Australia Pty Limited</w:t>
            </w:r>
          </w:p>
        </w:tc>
      </w:tr>
    </w:tbl>
    <w:p w:rsidR="00596689" w:rsidRPr="008531AE" w:rsidRDefault="00596689" w:rsidP="00596689">
      <w:pPr>
        <w:rPr>
          <w:sz w:val="20"/>
          <w:szCs w:val="20"/>
        </w:rPr>
      </w:pPr>
      <w:r w:rsidRPr="008531AE">
        <w:rPr>
          <w:sz w:val="20"/>
          <w:szCs w:val="20"/>
        </w:rPr>
        <w:t xml:space="preserve">Source: </w:t>
      </w:r>
      <w:r>
        <w:rPr>
          <w:sz w:val="20"/>
          <w:szCs w:val="20"/>
        </w:rPr>
        <w:t xml:space="preserve">Accessed on 22 Oct 2015 from </w:t>
      </w:r>
      <w:r w:rsidRPr="008531AE">
        <w:rPr>
          <w:sz w:val="20"/>
          <w:szCs w:val="20"/>
        </w:rPr>
        <w:t xml:space="preserve">the </w:t>
      </w:r>
      <w:r w:rsidRPr="005F4167">
        <w:rPr>
          <w:sz w:val="20"/>
          <w:szCs w:val="20"/>
        </w:rPr>
        <w:t>PBS website</w:t>
      </w:r>
    </w:p>
    <w:p w:rsidR="00596689" w:rsidRPr="001420B3" w:rsidRDefault="00596689" w:rsidP="00596689">
      <w:pPr>
        <w:pStyle w:val="Tabletitle"/>
      </w:pPr>
      <w:r w:rsidRPr="001420B3">
        <w:t xml:space="preserve">Table </w:t>
      </w:r>
      <w:r w:rsidR="00EA7A80">
        <w:t>1</w:t>
      </w:r>
      <w:r w:rsidR="00E60A4E">
        <w:t>6</w:t>
      </w:r>
      <w:r w:rsidRPr="001420B3">
        <w:t xml:space="preserve">: </w:t>
      </w:r>
      <w:r>
        <w:t>PBS listing of NRT products (Restricted Benefit)</w:t>
      </w:r>
    </w:p>
    <w:tbl>
      <w:tblPr>
        <w:tblStyle w:val="TableGrid"/>
        <w:tblW w:w="9064" w:type="dxa"/>
        <w:tblLayout w:type="fixed"/>
        <w:tblLook w:val="04A0" w:firstRow="1" w:lastRow="0" w:firstColumn="1" w:lastColumn="0" w:noHBand="0" w:noVBand="1"/>
        <w:tblCaption w:val="PBS listing of NRT products (Restricted Benefit)"/>
        <w:tblDescription w:val="This table outlines the item, name, form and strength, maximum quantity, repeats, DPMQ, brand name and manufacturer for NRT products."/>
      </w:tblPr>
      <w:tblGrid>
        <w:gridCol w:w="969"/>
        <w:gridCol w:w="2400"/>
        <w:gridCol w:w="1701"/>
        <w:gridCol w:w="850"/>
        <w:gridCol w:w="1040"/>
        <w:gridCol w:w="2104"/>
      </w:tblGrid>
      <w:tr w:rsidR="00596689" w:rsidRPr="00A35800" w:rsidTr="00B73FF8">
        <w:trPr>
          <w:trHeight w:val="694"/>
          <w:tblHeader/>
        </w:trPr>
        <w:tc>
          <w:tcPr>
            <w:tcW w:w="969"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Item</w:t>
            </w:r>
          </w:p>
        </w:tc>
        <w:tc>
          <w:tcPr>
            <w:tcW w:w="240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DPMQ</w:t>
            </w:r>
          </w:p>
        </w:tc>
        <w:tc>
          <w:tcPr>
            <w:tcW w:w="2104"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Brand name and manufacturer</w:t>
            </w:r>
          </w:p>
        </w:tc>
      </w:tr>
      <w:tr w:rsidR="00596689" w:rsidRPr="00A35800" w:rsidTr="00B73FF8">
        <w:trPr>
          <w:trHeight w:val="546"/>
          <w:tblHeader/>
        </w:trPr>
        <w:tc>
          <w:tcPr>
            <w:tcW w:w="969" w:type="dxa"/>
            <w:shd w:val="clear" w:color="auto" w:fill="auto"/>
          </w:tcPr>
          <w:p w:rsidR="00596689" w:rsidRPr="00A35800" w:rsidRDefault="00596689" w:rsidP="00B73FF8">
            <w:pPr>
              <w:pStyle w:val="Tablewriting"/>
            </w:pPr>
            <w:r>
              <w:t>3414Q</w:t>
            </w:r>
          </w:p>
        </w:tc>
        <w:tc>
          <w:tcPr>
            <w:tcW w:w="2400" w:type="dxa"/>
            <w:shd w:val="clear" w:color="auto" w:fill="auto"/>
          </w:tcPr>
          <w:p w:rsidR="00596689" w:rsidRPr="00A35800" w:rsidRDefault="00596689" w:rsidP="00B73FF8">
            <w:pPr>
              <w:pStyle w:val="Tablewriting"/>
            </w:pPr>
            <w:r>
              <w:t>Nicotine 21mg/24 hours patch, 28</w:t>
            </w:r>
          </w:p>
        </w:tc>
        <w:tc>
          <w:tcPr>
            <w:tcW w:w="1701" w:type="dxa"/>
            <w:shd w:val="clear" w:color="auto" w:fill="auto"/>
          </w:tcPr>
          <w:p w:rsidR="00596689" w:rsidRPr="00A35800" w:rsidRDefault="00596689" w:rsidP="00B73FF8">
            <w:pPr>
              <w:pStyle w:val="Tablewriting"/>
            </w:pPr>
            <w:r>
              <w:t>1</w:t>
            </w:r>
          </w:p>
        </w:tc>
        <w:tc>
          <w:tcPr>
            <w:tcW w:w="850" w:type="dxa"/>
            <w:shd w:val="clear" w:color="auto" w:fill="auto"/>
          </w:tcPr>
          <w:p w:rsidR="00596689" w:rsidRPr="00A35800" w:rsidRDefault="00596689" w:rsidP="00B73FF8">
            <w:pPr>
              <w:pStyle w:val="Tablewriting"/>
            </w:pPr>
            <w:r>
              <w:t>2</w:t>
            </w:r>
          </w:p>
        </w:tc>
        <w:tc>
          <w:tcPr>
            <w:tcW w:w="1040" w:type="dxa"/>
            <w:shd w:val="clear" w:color="auto" w:fill="auto"/>
          </w:tcPr>
          <w:p w:rsidR="00596689" w:rsidRPr="00A35800" w:rsidRDefault="00596689" w:rsidP="00B73FF8">
            <w:pPr>
              <w:pStyle w:val="Tablewriting"/>
            </w:pPr>
            <w:r>
              <w:t>$54.72</w:t>
            </w:r>
          </w:p>
        </w:tc>
        <w:tc>
          <w:tcPr>
            <w:tcW w:w="2104" w:type="dxa"/>
            <w:shd w:val="clear" w:color="auto" w:fill="auto"/>
          </w:tcPr>
          <w:p w:rsidR="00596689" w:rsidRPr="00A35800" w:rsidRDefault="00596689" w:rsidP="00B73FF8">
            <w:pPr>
              <w:pStyle w:val="Tablewriting"/>
            </w:pPr>
            <w:r>
              <w:t xml:space="preserve">Nicotinell® Step 1, Perrigo Australia Pty Limited </w:t>
            </w:r>
          </w:p>
        </w:tc>
      </w:tr>
      <w:tr w:rsidR="00596689" w:rsidRPr="00A35800" w:rsidTr="00B73FF8">
        <w:trPr>
          <w:trHeight w:val="546"/>
          <w:tblHeader/>
        </w:trPr>
        <w:tc>
          <w:tcPr>
            <w:tcW w:w="969" w:type="dxa"/>
            <w:shd w:val="clear" w:color="auto" w:fill="auto"/>
          </w:tcPr>
          <w:p w:rsidR="00596689" w:rsidRDefault="00596689" w:rsidP="00B73FF8">
            <w:pPr>
              <w:pStyle w:val="Tablewriting"/>
            </w:pPr>
            <w:r>
              <w:t>5572G</w:t>
            </w:r>
          </w:p>
        </w:tc>
        <w:tc>
          <w:tcPr>
            <w:tcW w:w="2400" w:type="dxa"/>
            <w:shd w:val="clear" w:color="auto" w:fill="auto"/>
          </w:tcPr>
          <w:p w:rsidR="00596689" w:rsidRDefault="00596689" w:rsidP="00B73FF8">
            <w:pPr>
              <w:pStyle w:val="Tablewriting"/>
            </w:pPr>
            <w:r>
              <w:t>Nicotine 14mg/24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Nicotinell® Step 2, Perrigo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5573H</w:t>
            </w:r>
          </w:p>
        </w:tc>
        <w:tc>
          <w:tcPr>
            <w:tcW w:w="2400" w:type="dxa"/>
            <w:shd w:val="clear" w:color="auto" w:fill="auto"/>
          </w:tcPr>
          <w:p w:rsidR="00596689" w:rsidRDefault="00596689" w:rsidP="00B73FF8">
            <w:pPr>
              <w:pStyle w:val="Tablewriting"/>
            </w:pPr>
            <w:r>
              <w:t>Nicotine 7mg/24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Nicotinell® Step 3, Perrigo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10076H</w:t>
            </w:r>
          </w:p>
        </w:tc>
        <w:tc>
          <w:tcPr>
            <w:tcW w:w="2400" w:type="dxa"/>
            <w:shd w:val="clear" w:color="auto" w:fill="auto"/>
          </w:tcPr>
          <w:p w:rsidR="00596689" w:rsidRDefault="00596689" w:rsidP="00B73FF8">
            <w:pPr>
              <w:pStyle w:val="Tablewriting"/>
            </w:pPr>
            <w:r>
              <w:rPr>
                <w:rStyle w:val="form-strength"/>
                <w:rFonts w:cs="Arial"/>
                <w:color w:val="222222"/>
              </w:rPr>
              <w:t>Nicotine 25</w:t>
            </w:r>
            <w:r w:rsidRPr="004A48CD">
              <w:rPr>
                <w:rStyle w:val="form-strength"/>
                <w:rFonts w:cs="Arial"/>
                <w:color w:val="222222"/>
              </w:rPr>
              <w:t>mg/16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Nicorette 16 hr Invisipatch® Johnson &amp; Johnson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lastRenderedPageBreak/>
              <w:t>5465P</w:t>
            </w:r>
          </w:p>
        </w:tc>
        <w:tc>
          <w:tcPr>
            <w:tcW w:w="2400" w:type="dxa"/>
            <w:shd w:val="clear" w:color="auto" w:fill="auto"/>
          </w:tcPr>
          <w:p w:rsidR="00596689" w:rsidRDefault="00596689" w:rsidP="00B73FF8">
            <w:pPr>
              <w:pStyle w:val="Tablewriting"/>
            </w:pPr>
            <w:r>
              <w:t>Nicotine 21mg/24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Nicabate P® GlaxoSmithKline Australia Pty Limited</w:t>
            </w:r>
          </w:p>
        </w:tc>
      </w:tr>
    </w:tbl>
    <w:p w:rsidR="00596689" w:rsidRDefault="00596689" w:rsidP="00596689">
      <w:pPr>
        <w:pStyle w:val="Notes"/>
      </w:pPr>
      <w:r w:rsidRPr="00A35800">
        <w:t xml:space="preserve">Source: </w:t>
      </w:r>
      <w:r>
        <w:t xml:space="preserve">Accessed on 22 Oct 2015 from the </w:t>
      </w:r>
      <w:r w:rsidRPr="005F4167">
        <w:t>PBS website</w:t>
      </w:r>
      <w:r>
        <w:t xml:space="preserve">.  </w:t>
      </w:r>
    </w:p>
    <w:p w:rsidR="00596689" w:rsidRDefault="00596689" w:rsidP="00596689">
      <w:pPr>
        <w:pStyle w:val="Tabletitle"/>
      </w:pPr>
      <w:r w:rsidRPr="001420B3">
        <w:t xml:space="preserve">Table </w:t>
      </w:r>
      <w:r w:rsidR="00EA7A80">
        <w:t>1</w:t>
      </w:r>
      <w:r w:rsidR="00E60A4E">
        <w:t>7</w:t>
      </w:r>
      <w:r w:rsidRPr="001420B3">
        <w:t xml:space="preserve">: </w:t>
      </w:r>
      <w:r>
        <w:t>PBS listing of NRT products for Aboriginal or Torres Strait Islander Persons (Restricted Benefit)</w:t>
      </w:r>
    </w:p>
    <w:tbl>
      <w:tblPr>
        <w:tblStyle w:val="TableGrid"/>
        <w:tblW w:w="9064" w:type="dxa"/>
        <w:tblLayout w:type="fixed"/>
        <w:tblLook w:val="04A0" w:firstRow="1" w:lastRow="0" w:firstColumn="1" w:lastColumn="0" w:noHBand="0" w:noVBand="1"/>
        <w:tblCaption w:val="PBS listing of NRT products for Aboriginal or Torres Strait Islander Persons (Restricted Benefit)"/>
        <w:tblDescription w:val="This table outlines the item, name, form and strength, maximum quantity, repeats, DPMQ, brand name and manufacturer for NRT therapies for Aboriginal and Torres Strait Islander Persons."/>
      </w:tblPr>
      <w:tblGrid>
        <w:gridCol w:w="969"/>
        <w:gridCol w:w="2400"/>
        <w:gridCol w:w="1701"/>
        <w:gridCol w:w="850"/>
        <w:gridCol w:w="1040"/>
        <w:gridCol w:w="2104"/>
      </w:tblGrid>
      <w:tr w:rsidR="00596689" w:rsidRPr="00A35800" w:rsidTr="00B73FF8">
        <w:trPr>
          <w:trHeight w:val="694"/>
          <w:tblHeader/>
        </w:trPr>
        <w:tc>
          <w:tcPr>
            <w:tcW w:w="969"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Item</w:t>
            </w:r>
          </w:p>
        </w:tc>
        <w:tc>
          <w:tcPr>
            <w:tcW w:w="240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DPMQ</w:t>
            </w:r>
          </w:p>
        </w:tc>
        <w:tc>
          <w:tcPr>
            <w:tcW w:w="2104"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Brand name and manufacturer</w:t>
            </w:r>
          </w:p>
        </w:tc>
      </w:tr>
      <w:tr w:rsidR="00596689" w:rsidRPr="00A35800" w:rsidTr="00B73FF8">
        <w:trPr>
          <w:trHeight w:val="552"/>
          <w:tblHeader/>
        </w:trPr>
        <w:tc>
          <w:tcPr>
            <w:tcW w:w="969" w:type="dxa"/>
            <w:shd w:val="clear" w:color="auto" w:fill="auto"/>
          </w:tcPr>
          <w:p w:rsidR="00596689" w:rsidRPr="00A35800" w:rsidRDefault="00596689" w:rsidP="00B73FF8">
            <w:pPr>
              <w:pStyle w:val="Tablewriting"/>
            </w:pPr>
            <w:r>
              <w:t>10076H</w:t>
            </w:r>
          </w:p>
        </w:tc>
        <w:tc>
          <w:tcPr>
            <w:tcW w:w="2400" w:type="dxa"/>
            <w:shd w:val="clear" w:color="auto" w:fill="auto"/>
          </w:tcPr>
          <w:p w:rsidR="00596689" w:rsidRPr="00405471" w:rsidRDefault="00596689" w:rsidP="00B73FF8">
            <w:pPr>
              <w:pStyle w:val="Tablewriting"/>
              <w:rPr>
                <w:rFonts w:cs="Arial"/>
                <w:color w:val="222222"/>
              </w:rPr>
            </w:pPr>
            <w:r>
              <w:rPr>
                <w:rStyle w:val="form-strength"/>
                <w:rFonts w:cs="Arial"/>
                <w:color w:val="222222"/>
              </w:rPr>
              <w:t>Nicotine 25</w:t>
            </w:r>
            <w:r w:rsidRPr="004A48CD">
              <w:rPr>
                <w:rStyle w:val="form-strength"/>
                <w:rFonts w:cs="Arial"/>
                <w:color w:val="222222"/>
              </w:rPr>
              <w:t>mg/16 hours patch, 28</w:t>
            </w:r>
          </w:p>
        </w:tc>
        <w:tc>
          <w:tcPr>
            <w:tcW w:w="1701" w:type="dxa"/>
            <w:shd w:val="clear" w:color="auto" w:fill="auto"/>
          </w:tcPr>
          <w:p w:rsidR="00596689" w:rsidRPr="00A35800" w:rsidRDefault="00596689" w:rsidP="00B73FF8">
            <w:pPr>
              <w:pStyle w:val="Tablewriting"/>
            </w:pPr>
            <w:r>
              <w:t>1</w:t>
            </w:r>
          </w:p>
        </w:tc>
        <w:tc>
          <w:tcPr>
            <w:tcW w:w="850" w:type="dxa"/>
            <w:shd w:val="clear" w:color="auto" w:fill="auto"/>
          </w:tcPr>
          <w:p w:rsidR="00596689" w:rsidRPr="00A35800" w:rsidRDefault="00596689" w:rsidP="00B73FF8">
            <w:pPr>
              <w:pStyle w:val="Tablewriting"/>
            </w:pPr>
            <w:r>
              <w:t>2</w:t>
            </w:r>
          </w:p>
        </w:tc>
        <w:tc>
          <w:tcPr>
            <w:tcW w:w="1040" w:type="dxa"/>
            <w:shd w:val="clear" w:color="auto" w:fill="auto"/>
          </w:tcPr>
          <w:p w:rsidR="00596689" w:rsidRPr="00A35800" w:rsidRDefault="00596689" w:rsidP="00B73FF8">
            <w:pPr>
              <w:pStyle w:val="Tablewriting"/>
            </w:pPr>
            <w:r>
              <w:t>$54.72</w:t>
            </w:r>
          </w:p>
        </w:tc>
        <w:tc>
          <w:tcPr>
            <w:tcW w:w="2104" w:type="dxa"/>
            <w:shd w:val="clear" w:color="auto" w:fill="auto"/>
          </w:tcPr>
          <w:p w:rsidR="00596689" w:rsidRPr="00A35800" w:rsidRDefault="00596689" w:rsidP="00B73FF8">
            <w:pPr>
              <w:pStyle w:val="Tablewriting"/>
            </w:pPr>
            <w:r>
              <w:t>Nicorette 16 hr Invisipatch® Johnson &amp; Johnson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5465P</w:t>
            </w:r>
          </w:p>
        </w:tc>
        <w:tc>
          <w:tcPr>
            <w:tcW w:w="2400" w:type="dxa"/>
            <w:shd w:val="clear" w:color="auto" w:fill="auto"/>
          </w:tcPr>
          <w:p w:rsidR="00596689" w:rsidRDefault="00596689" w:rsidP="00B73FF8">
            <w:pPr>
              <w:pStyle w:val="Tablewriting"/>
            </w:pPr>
            <w:r>
              <w:t>Nicotine 21mg/24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Nicabate P® GlaxoSmithKline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5571F</w:t>
            </w:r>
          </w:p>
        </w:tc>
        <w:tc>
          <w:tcPr>
            <w:tcW w:w="2400" w:type="dxa"/>
            <w:shd w:val="clear" w:color="auto" w:fill="auto"/>
          </w:tcPr>
          <w:p w:rsidR="00596689" w:rsidRPr="00405471" w:rsidRDefault="00596689" w:rsidP="00B73FF8">
            <w:pPr>
              <w:pStyle w:val="Tablewriting"/>
            </w:pPr>
            <w:r>
              <w:t>Nicotine 21mg/24 hours patch, 28</w:t>
            </w:r>
          </w:p>
        </w:tc>
        <w:tc>
          <w:tcPr>
            <w:tcW w:w="1701" w:type="dxa"/>
            <w:shd w:val="clear" w:color="auto" w:fill="auto"/>
          </w:tcPr>
          <w:p w:rsidR="00596689" w:rsidRDefault="00596689" w:rsidP="00B73FF8">
            <w:pPr>
              <w:pStyle w:val="Tablewriting"/>
            </w:pPr>
            <w:r>
              <w:t>1</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$54.72</w:t>
            </w:r>
          </w:p>
        </w:tc>
        <w:tc>
          <w:tcPr>
            <w:tcW w:w="2104" w:type="dxa"/>
            <w:shd w:val="clear" w:color="auto" w:fill="auto"/>
          </w:tcPr>
          <w:p w:rsidR="00596689" w:rsidRDefault="00596689" w:rsidP="00B73FF8">
            <w:pPr>
              <w:pStyle w:val="Tablewriting"/>
            </w:pPr>
            <w:r>
              <w:t>Nicotinell® Step 1, Perrigo Australia Pty Limited</w:t>
            </w:r>
          </w:p>
        </w:tc>
      </w:tr>
    </w:tbl>
    <w:p w:rsidR="00596689" w:rsidRDefault="00596689" w:rsidP="00596689">
      <w:pPr>
        <w:pStyle w:val="Notes"/>
      </w:pPr>
      <w:r w:rsidRPr="00A35800">
        <w:t xml:space="preserve">Source: </w:t>
      </w:r>
      <w:r>
        <w:t xml:space="preserve">Accessed on 22 Oct 2015 from the </w:t>
      </w:r>
      <w:r w:rsidRPr="005F4167">
        <w:t>PBS website</w:t>
      </w:r>
      <w:r>
        <w:t xml:space="preserve">.  </w:t>
      </w:r>
    </w:p>
    <w:p w:rsidR="00596689" w:rsidRPr="001420B3" w:rsidRDefault="00596689" w:rsidP="00596689">
      <w:pPr>
        <w:pStyle w:val="Tabletitle"/>
      </w:pPr>
      <w:r w:rsidRPr="001420B3">
        <w:t xml:space="preserve">Table </w:t>
      </w:r>
      <w:r w:rsidR="00E60A4E">
        <w:t>18</w:t>
      </w:r>
      <w:r w:rsidRPr="001420B3">
        <w:t xml:space="preserve">: </w:t>
      </w:r>
      <w:r>
        <w:t>RPBS listing of NRT products (Restricted Benefit)</w:t>
      </w:r>
    </w:p>
    <w:tbl>
      <w:tblPr>
        <w:tblStyle w:val="TableGrid"/>
        <w:tblW w:w="9064" w:type="dxa"/>
        <w:tblLayout w:type="fixed"/>
        <w:tblLook w:val="04A0" w:firstRow="1" w:lastRow="0" w:firstColumn="1" w:lastColumn="0" w:noHBand="0" w:noVBand="1"/>
        <w:tblCaption w:val="RPBS listing of NRT products (Restricted Benefit)"/>
        <w:tblDescription w:val="This table outlines the item, name, form and strength, maximum quantity, repeats, DPMQ, brand name and manufacturer for NRT products on the RPBS."/>
      </w:tblPr>
      <w:tblGrid>
        <w:gridCol w:w="969"/>
        <w:gridCol w:w="2400"/>
        <w:gridCol w:w="1701"/>
        <w:gridCol w:w="850"/>
        <w:gridCol w:w="1040"/>
        <w:gridCol w:w="2104"/>
      </w:tblGrid>
      <w:tr w:rsidR="00596689" w:rsidRPr="00A35800" w:rsidTr="00B73FF8">
        <w:trPr>
          <w:trHeight w:val="694"/>
          <w:tblHeader/>
        </w:trPr>
        <w:tc>
          <w:tcPr>
            <w:tcW w:w="969"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Item</w:t>
            </w:r>
          </w:p>
        </w:tc>
        <w:tc>
          <w:tcPr>
            <w:tcW w:w="240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Name, form &amp; strength, pack size</w:t>
            </w:r>
          </w:p>
        </w:tc>
        <w:tc>
          <w:tcPr>
            <w:tcW w:w="1701"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Max. quant. </w:t>
            </w:r>
          </w:p>
        </w:tc>
        <w:tc>
          <w:tcPr>
            <w:tcW w:w="85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 xml:space="preserve">Rpts </w:t>
            </w:r>
          </w:p>
        </w:tc>
        <w:tc>
          <w:tcPr>
            <w:tcW w:w="1040"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DPMQ</w:t>
            </w:r>
          </w:p>
        </w:tc>
        <w:tc>
          <w:tcPr>
            <w:tcW w:w="2104" w:type="dxa"/>
            <w:shd w:val="clear" w:color="auto" w:fill="BFBFBF" w:themeFill="background1" w:themeFillShade="BF"/>
          </w:tcPr>
          <w:p w:rsidR="00596689" w:rsidRPr="00A35800" w:rsidRDefault="00596689" w:rsidP="00B73FF8">
            <w:pPr>
              <w:pStyle w:val="Tableheading"/>
              <w:rPr>
                <w:sz w:val="20"/>
                <w:szCs w:val="20"/>
              </w:rPr>
            </w:pPr>
            <w:r w:rsidRPr="00A35800">
              <w:rPr>
                <w:sz w:val="20"/>
                <w:szCs w:val="20"/>
              </w:rPr>
              <w:t>Brand name and manufacturer</w:t>
            </w:r>
          </w:p>
        </w:tc>
      </w:tr>
      <w:tr w:rsidR="00596689" w:rsidRPr="00A35800" w:rsidTr="00B73FF8">
        <w:trPr>
          <w:trHeight w:val="552"/>
          <w:tblHeader/>
        </w:trPr>
        <w:tc>
          <w:tcPr>
            <w:tcW w:w="969" w:type="dxa"/>
            <w:shd w:val="clear" w:color="auto" w:fill="auto"/>
          </w:tcPr>
          <w:p w:rsidR="00596689" w:rsidRPr="00A35800" w:rsidRDefault="00596689" w:rsidP="00B73FF8">
            <w:pPr>
              <w:pStyle w:val="Tablewriting"/>
            </w:pPr>
            <w:r>
              <w:t>4571N</w:t>
            </w:r>
          </w:p>
        </w:tc>
        <w:tc>
          <w:tcPr>
            <w:tcW w:w="2400" w:type="dxa"/>
            <w:shd w:val="clear" w:color="auto" w:fill="auto"/>
          </w:tcPr>
          <w:p w:rsidR="00596689" w:rsidRPr="004A48CD" w:rsidRDefault="00596689" w:rsidP="00B73FF8">
            <w:pPr>
              <w:pStyle w:val="Tablewriting"/>
            </w:pPr>
            <w:r>
              <w:t>Nicotine 7mg/24 hours patch, 7</w:t>
            </w:r>
          </w:p>
        </w:tc>
        <w:tc>
          <w:tcPr>
            <w:tcW w:w="1701" w:type="dxa"/>
            <w:shd w:val="clear" w:color="auto" w:fill="auto"/>
          </w:tcPr>
          <w:p w:rsidR="00596689" w:rsidRPr="00A35800" w:rsidRDefault="00596689" w:rsidP="00B73FF8">
            <w:pPr>
              <w:pStyle w:val="Tablewriting"/>
            </w:pPr>
            <w:r>
              <w:t>2</w:t>
            </w:r>
          </w:p>
        </w:tc>
        <w:tc>
          <w:tcPr>
            <w:tcW w:w="850" w:type="dxa"/>
            <w:shd w:val="clear" w:color="auto" w:fill="auto"/>
          </w:tcPr>
          <w:p w:rsidR="00596689" w:rsidRPr="00A35800" w:rsidRDefault="00596689" w:rsidP="00B73FF8">
            <w:pPr>
              <w:pStyle w:val="Tablewriting"/>
            </w:pPr>
            <w:r>
              <w:t>2</w:t>
            </w:r>
          </w:p>
        </w:tc>
        <w:tc>
          <w:tcPr>
            <w:tcW w:w="1040" w:type="dxa"/>
            <w:shd w:val="clear" w:color="auto" w:fill="auto"/>
          </w:tcPr>
          <w:p w:rsidR="00596689" w:rsidRPr="00A35800" w:rsidRDefault="00596689" w:rsidP="00B73FF8">
            <w:pPr>
              <w:pStyle w:val="Tablewriting"/>
            </w:pPr>
            <w:r>
              <w:t>$50.91</w:t>
            </w:r>
          </w:p>
        </w:tc>
        <w:tc>
          <w:tcPr>
            <w:tcW w:w="2104" w:type="dxa"/>
            <w:shd w:val="clear" w:color="auto" w:fill="auto"/>
          </w:tcPr>
          <w:p w:rsidR="00596689" w:rsidRPr="00A35800" w:rsidRDefault="00596689" w:rsidP="00B73FF8">
            <w:pPr>
              <w:pStyle w:val="Tablewriting"/>
            </w:pPr>
            <w:r>
              <w:t>QuitX® Alphapharm Pty Limited</w:t>
            </w:r>
          </w:p>
        </w:tc>
      </w:tr>
      <w:tr w:rsidR="00596689" w:rsidRPr="00A35800" w:rsidTr="00B73FF8">
        <w:trPr>
          <w:trHeight w:val="546"/>
          <w:tblHeader/>
        </w:trPr>
        <w:tc>
          <w:tcPr>
            <w:tcW w:w="969" w:type="dxa"/>
            <w:shd w:val="clear" w:color="auto" w:fill="auto"/>
          </w:tcPr>
          <w:p w:rsidR="00596689" w:rsidRPr="00A35800" w:rsidRDefault="00596689" w:rsidP="00B73FF8">
            <w:pPr>
              <w:pStyle w:val="Tablewriting"/>
            </w:pPr>
            <w:r>
              <w:t>4572P</w:t>
            </w:r>
          </w:p>
        </w:tc>
        <w:tc>
          <w:tcPr>
            <w:tcW w:w="2400" w:type="dxa"/>
            <w:shd w:val="clear" w:color="auto" w:fill="auto"/>
          </w:tcPr>
          <w:p w:rsidR="00596689" w:rsidRPr="00A35800" w:rsidRDefault="00596689" w:rsidP="00B73FF8">
            <w:pPr>
              <w:pStyle w:val="Tablewriting"/>
            </w:pPr>
            <w:r>
              <w:t>Nicotine 14mg/24 hours patch, 7</w:t>
            </w:r>
          </w:p>
        </w:tc>
        <w:tc>
          <w:tcPr>
            <w:tcW w:w="1701" w:type="dxa"/>
            <w:shd w:val="clear" w:color="auto" w:fill="auto"/>
          </w:tcPr>
          <w:p w:rsidR="00596689" w:rsidRPr="00A35800" w:rsidRDefault="00596689" w:rsidP="00B73FF8">
            <w:pPr>
              <w:pStyle w:val="Tablewriting"/>
            </w:pPr>
            <w:r>
              <w:t>2</w:t>
            </w:r>
          </w:p>
        </w:tc>
        <w:tc>
          <w:tcPr>
            <w:tcW w:w="850" w:type="dxa"/>
            <w:shd w:val="clear" w:color="auto" w:fill="auto"/>
          </w:tcPr>
          <w:p w:rsidR="00596689" w:rsidRPr="00A35800" w:rsidRDefault="00596689" w:rsidP="00B73FF8">
            <w:pPr>
              <w:pStyle w:val="Tablewriting"/>
            </w:pPr>
            <w:r>
              <w:t>2</w:t>
            </w:r>
          </w:p>
        </w:tc>
        <w:tc>
          <w:tcPr>
            <w:tcW w:w="1040" w:type="dxa"/>
            <w:shd w:val="clear" w:color="auto" w:fill="auto"/>
          </w:tcPr>
          <w:p w:rsidR="00596689" w:rsidRPr="00A35800" w:rsidRDefault="00596689" w:rsidP="00B73FF8">
            <w:pPr>
              <w:pStyle w:val="Tablewriting"/>
            </w:pPr>
            <w:r>
              <w:t>$54.07</w:t>
            </w:r>
          </w:p>
        </w:tc>
        <w:tc>
          <w:tcPr>
            <w:tcW w:w="2104" w:type="dxa"/>
            <w:shd w:val="clear" w:color="auto" w:fill="auto"/>
          </w:tcPr>
          <w:p w:rsidR="00596689" w:rsidRPr="00A35800" w:rsidRDefault="00596689" w:rsidP="00B73FF8">
            <w:pPr>
              <w:pStyle w:val="Tablewriting"/>
            </w:pPr>
            <w:r>
              <w:t>QuitX® Alphapharm Pty Limited and Nicabate CQ 21® GlaxoSmithKline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4573Q</w:t>
            </w:r>
          </w:p>
        </w:tc>
        <w:tc>
          <w:tcPr>
            <w:tcW w:w="2400" w:type="dxa"/>
            <w:shd w:val="clear" w:color="auto" w:fill="auto"/>
          </w:tcPr>
          <w:p w:rsidR="00596689" w:rsidRPr="00E6703F" w:rsidRDefault="00596689" w:rsidP="00B73FF8">
            <w:pPr>
              <w:pStyle w:val="Tablewriting"/>
              <w:rPr>
                <w:color w:val="auto"/>
              </w:rPr>
            </w:pPr>
            <w:r>
              <w:rPr>
                <w:color w:val="auto"/>
              </w:rPr>
              <w:t>Nicotine 21mg/24 hours patch, 7</w:t>
            </w:r>
          </w:p>
        </w:tc>
        <w:tc>
          <w:tcPr>
            <w:tcW w:w="1701" w:type="dxa"/>
            <w:shd w:val="clear" w:color="auto" w:fill="auto"/>
          </w:tcPr>
          <w:p w:rsidR="00596689" w:rsidRDefault="00596689" w:rsidP="00B73FF8">
            <w:pPr>
              <w:pStyle w:val="Tablewriting"/>
            </w:pPr>
            <w:r>
              <w:t>2</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$57.03</w:t>
            </w:r>
          </w:p>
        </w:tc>
        <w:tc>
          <w:tcPr>
            <w:tcW w:w="2104" w:type="dxa"/>
            <w:shd w:val="clear" w:color="auto" w:fill="auto"/>
          </w:tcPr>
          <w:p w:rsidR="00596689" w:rsidRDefault="00596689" w:rsidP="00B73FF8">
            <w:pPr>
              <w:pStyle w:val="Tablewriting"/>
            </w:pPr>
            <w:r>
              <w:t>QuitX® Alphapharm Pty Limited and Nicabate CQ 21® GlaxoSmithKline Australia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4576W</w:t>
            </w:r>
          </w:p>
        </w:tc>
        <w:tc>
          <w:tcPr>
            <w:tcW w:w="2400" w:type="dxa"/>
            <w:shd w:val="clear" w:color="auto" w:fill="auto"/>
          </w:tcPr>
          <w:p w:rsidR="00596689" w:rsidRDefault="00596689" w:rsidP="00B73FF8">
            <w:pPr>
              <w:pStyle w:val="Tablewriting"/>
            </w:pPr>
            <w:r>
              <w:t>Nicotine 5mg/16 hours patch, 7</w:t>
            </w:r>
          </w:p>
        </w:tc>
        <w:tc>
          <w:tcPr>
            <w:tcW w:w="1701" w:type="dxa"/>
            <w:shd w:val="clear" w:color="auto" w:fill="auto"/>
          </w:tcPr>
          <w:p w:rsidR="00596689" w:rsidRDefault="00596689" w:rsidP="00B73FF8">
            <w:pPr>
              <w:pStyle w:val="Tablewriting"/>
            </w:pPr>
            <w:r>
              <w:t>2</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$50.31</w:t>
            </w:r>
          </w:p>
        </w:tc>
        <w:tc>
          <w:tcPr>
            <w:tcW w:w="2104" w:type="dxa"/>
            <w:shd w:val="clear" w:color="auto" w:fill="auto"/>
          </w:tcPr>
          <w:p w:rsidR="00596689" w:rsidRDefault="00596689" w:rsidP="00B73FF8">
            <w:pPr>
              <w:pStyle w:val="Tablewriting"/>
            </w:pPr>
            <w:r>
              <w:t>Nicorette® Johnson &amp; Johnson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4577X</w:t>
            </w:r>
          </w:p>
        </w:tc>
        <w:tc>
          <w:tcPr>
            <w:tcW w:w="2400" w:type="dxa"/>
            <w:shd w:val="clear" w:color="auto" w:fill="auto"/>
          </w:tcPr>
          <w:p w:rsidR="00596689" w:rsidRDefault="00596689" w:rsidP="00B73FF8">
            <w:pPr>
              <w:pStyle w:val="Tablewriting"/>
            </w:pPr>
            <w:r>
              <w:t xml:space="preserve">Nicotine 10mg/16 hours patch, 7 </w:t>
            </w:r>
          </w:p>
        </w:tc>
        <w:tc>
          <w:tcPr>
            <w:tcW w:w="1701" w:type="dxa"/>
            <w:shd w:val="clear" w:color="auto" w:fill="auto"/>
          </w:tcPr>
          <w:p w:rsidR="00596689" w:rsidRDefault="00596689" w:rsidP="00B73FF8">
            <w:pPr>
              <w:pStyle w:val="Tablewriting"/>
            </w:pPr>
            <w:r>
              <w:t>2</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$54.29</w:t>
            </w:r>
          </w:p>
        </w:tc>
        <w:tc>
          <w:tcPr>
            <w:tcW w:w="2104" w:type="dxa"/>
            <w:shd w:val="clear" w:color="auto" w:fill="auto"/>
          </w:tcPr>
          <w:p w:rsidR="00596689" w:rsidRDefault="00596689" w:rsidP="00B73FF8">
            <w:pPr>
              <w:pStyle w:val="Tablewriting"/>
            </w:pPr>
            <w:r>
              <w:t>Nicorette® Johnson &amp; Johnson Pty Limited</w:t>
            </w:r>
          </w:p>
        </w:tc>
      </w:tr>
      <w:tr w:rsidR="00596689" w:rsidRPr="00A35800" w:rsidTr="00B73FF8">
        <w:trPr>
          <w:trHeight w:val="546"/>
          <w:tblHeader/>
        </w:trPr>
        <w:tc>
          <w:tcPr>
            <w:tcW w:w="969" w:type="dxa"/>
            <w:shd w:val="clear" w:color="auto" w:fill="auto"/>
          </w:tcPr>
          <w:p w:rsidR="00596689" w:rsidRDefault="00596689" w:rsidP="00B73FF8">
            <w:pPr>
              <w:pStyle w:val="Tablewriting"/>
            </w:pPr>
            <w:r>
              <w:t>4578Y</w:t>
            </w:r>
          </w:p>
        </w:tc>
        <w:tc>
          <w:tcPr>
            <w:tcW w:w="2400" w:type="dxa"/>
            <w:shd w:val="clear" w:color="auto" w:fill="auto"/>
          </w:tcPr>
          <w:p w:rsidR="00596689" w:rsidRDefault="00596689" w:rsidP="00B73FF8">
            <w:pPr>
              <w:pStyle w:val="Tablewriting"/>
            </w:pPr>
            <w:r>
              <w:t>Nicotine 15mg/16 hours patch, 7</w:t>
            </w:r>
          </w:p>
        </w:tc>
        <w:tc>
          <w:tcPr>
            <w:tcW w:w="1701" w:type="dxa"/>
            <w:shd w:val="clear" w:color="auto" w:fill="auto"/>
          </w:tcPr>
          <w:p w:rsidR="00596689" w:rsidRDefault="00596689" w:rsidP="00B73FF8">
            <w:pPr>
              <w:pStyle w:val="Tablewriting"/>
            </w:pPr>
            <w:r>
              <w:t>2</w:t>
            </w:r>
          </w:p>
        </w:tc>
        <w:tc>
          <w:tcPr>
            <w:tcW w:w="850" w:type="dxa"/>
            <w:shd w:val="clear" w:color="auto" w:fill="auto"/>
          </w:tcPr>
          <w:p w:rsidR="00596689" w:rsidRDefault="00596689" w:rsidP="00B73FF8">
            <w:pPr>
              <w:pStyle w:val="Tablewriting"/>
            </w:pPr>
            <w:r>
              <w:t>2</w:t>
            </w:r>
          </w:p>
        </w:tc>
        <w:tc>
          <w:tcPr>
            <w:tcW w:w="1040" w:type="dxa"/>
            <w:shd w:val="clear" w:color="auto" w:fill="auto"/>
          </w:tcPr>
          <w:p w:rsidR="00596689" w:rsidRDefault="00596689" w:rsidP="00B73FF8">
            <w:pPr>
              <w:pStyle w:val="Tablewriting"/>
            </w:pPr>
            <w:r>
              <w:t>$59.11</w:t>
            </w:r>
          </w:p>
        </w:tc>
        <w:tc>
          <w:tcPr>
            <w:tcW w:w="2104" w:type="dxa"/>
            <w:shd w:val="clear" w:color="auto" w:fill="auto"/>
          </w:tcPr>
          <w:p w:rsidR="00596689" w:rsidRDefault="00596689" w:rsidP="00B73FF8">
            <w:pPr>
              <w:pStyle w:val="Tablewriting"/>
            </w:pPr>
            <w:r>
              <w:t>Nicorette® Johnson &amp; Johnson Pty Limited</w:t>
            </w:r>
          </w:p>
        </w:tc>
      </w:tr>
    </w:tbl>
    <w:p w:rsidR="00596689" w:rsidRPr="00A35800" w:rsidRDefault="00596689" w:rsidP="00596689">
      <w:pPr>
        <w:pStyle w:val="Notes"/>
      </w:pPr>
      <w:r w:rsidRPr="00A35800">
        <w:t xml:space="preserve">Source: </w:t>
      </w:r>
      <w:r>
        <w:t xml:space="preserve">Accessed on 22 Oct 2015 from the </w:t>
      </w:r>
      <w:r w:rsidRPr="005F4167">
        <w:t>PBS website</w:t>
      </w:r>
      <w:r>
        <w:t xml:space="preserve">.  </w:t>
      </w:r>
    </w:p>
    <w:p w:rsidR="00596689" w:rsidRDefault="00596689" w:rsidP="00F019FF">
      <w:pPr>
        <w:rPr>
          <w:b/>
        </w:rPr>
      </w:pPr>
    </w:p>
    <w:p w:rsidR="00EA7A80" w:rsidRDefault="00EA7A80" w:rsidP="00F019FF">
      <w:pPr>
        <w:rPr>
          <w:b/>
        </w:rPr>
      </w:pPr>
    </w:p>
    <w:p w:rsidR="00EA7A80" w:rsidRDefault="00EA7A80" w:rsidP="00F019FF">
      <w:pPr>
        <w:rPr>
          <w:b/>
        </w:rPr>
      </w:pPr>
    </w:p>
    <w:p w:rsidR="00EA7A80" w:rsidRDefault="00EA7A80" w:rsidP="00F019FF">
      <w:pPr>
        <w:rPr>
          <w:b/>
        </w:rPr>
      </w:pPr>
    </w:p>
    <w:p w:rsidR="00F02C04" w:rsidRDefault="00F02C04" w:rsidP="00F02C04">
      <w:pPr>
        <w:rPr>
          <w:b/>
        </w:rPr>
      </w:pPr>
      <w:r>
        <w:rPr>
          <w:b/>
          <w:sz w:val="28"/>
        </w:rPr>
        <w:t>Appendix B:  Changes to Listing for R/PBS subsidised smoking cessation therapy</w:t>
      </w:r>
    </w:p>
    <w:p w:rsidR="00F019FF" w:rsidRPr="007F0529" w:rsidRDefault="00F019FF" w:rsidP="00EA7A80">
      <w:pPr>
        <w:spacing w:after="0"/>
        <w:rPr>
          <w:b/>
        </w:rPr>
      </w:pPr>
      <w:r w:rsidRPr="007F0529">
        <w:rPr>
          <w:b/>
        </w:rPr>
        <w:t xml:space="preserve">Table </w:t>
      </w:r>
      <w:r w:rsidR="00E60A4E">
        <w:rPr>
          <w:b/>
        </w:rPr>
        <w:t>19</w:t>
      </w:r>
      <w:r w:rsidRPr="007F0529">
        <w:rPr>
          <w:b/>
        </w:rPr>
        <w:t>: Changes to Listing for NRT</w:t>
      </w:r>
    </w:p>
    <w:tbl>
      <w:tblPr>
        <w:tblStyle w:val="TableGrid"/>
        <w:tblW w:w="0" w:type="auto"/>
        <w:tblLook w:val="04A0" w:firstRow="1" w:lastRow="0" w:firstColumn="1" w:lastColumn="0" w:noHBand="0" w:noVBand="1"/>
        <w:tblCaption w:val="Changes to listing for NRT"/>
        <w:tblDescription w:val="This table outlines the date and changes to listing for NRT therapies."/>
      </w:tblPr>
      <w:tblGrid>
        <w:gridCol w:w="1951"/>
        <w:gridCol w:w="7222"/>
      </w:tblGrid>
      <w:tr w:rsidR="00F019FF" w:rsidRPr="007F0529" w:rsidTr="00992DDA">
        <w:trPr>
          <w:tblHeader/>
        </w:trPr>
        <w:tc>
          <w:tcPr>
            <w:tcW w:w="1951" w:type="dxa"/>
          </w:tcPr>
          <w:p w:rsidR="00F019FF" w:rsidRPr="007F0529" w:rsidRDefault="00F019FF" w:rsidP="00352F5D">
            <w:pPr>
              <w:rPr>
                <w:b/>
                <w:sz w:val="20"/>
                <w:szCs w:val="20"/>
              </w:rPr>
            </w:pPr>
            <w:r w:rsidRPr="007F0529">
              <w:rPr>
                <w:b/>
                <w:sz w:val="20"/>
                <w:szCs w:val="20"/>
              </w:rPr>
              <w:t>Date</w:t>
            </w:r>
          </w:p>
        </w:tc>
        <w:tc>
          <w:tcPr>
            <w:tcW w:w="7222" w:type="dxa"/>
          </w:tcPr>
          <w:p w:rsidR="00F019FF" w:rsidRPr="007F0529" w:rsidRDefault="00F019FF" w:rsidP="00352F5D">
            <w:pPr>
              <w:rPr>
                <w:b/>
                <w:sz w:val="20"/>
                <w:szCs w:val="20"/>
              </w:rPr>
            </w:pPr>
            <w:r w:rsidRPr="007F0529">
              <w:rPr>
                <w:b/>
                <w:sz w:val="20"/>
                <w:szCs w:val="20"/>
              </w:rPr>
              <w:t>Change to Listing</w:t>
            </w:r>
          </w:p>
        </w:tc>
      </w:tr>
      <w:tr w:rsidR="00F019FF" w:rsidRPr="007F0529" w:rsidTr="00352F5D">
        <w:tc>
          <w:tcPr>
            <w:tcW w:w="1951" w:type="dxa"/>
          </w:tcPr>
          <w:p w:rsidR="00F019FF" w:rsidRPr="007F0529" w:rsidRDefault="00F019FF" w:rsidP="00352F5D">
            <w:pPr>
              <w:rPr>
                <w:sz w:val="20"/>
                <w:szCs w:val="20"/>
              </w:rPr>
            </w:pPr>
            <w:r w:rsidRPr="007F0529">
              <w:rPr>
                <w:sz w:val="20"/>
                <w:szCs w:val="20"/>
              </w:rPr>
              <w:t>November 2011</w:t>
            </w:r>
          </w:p>
        </w:tc>
        <w:tc>
          <w:tcPr>
            <w:tcW w:w="7222" w:type="dxa"/>
          </w:tcPr>
          <w:p w:rsidR="00F019FF" w:rsidRPr="007F0529" w:rsidRDefault="00F019FF" w:rsidP="00352F5D">
            <w:pPr>
              <w:rPr>
                <w:sz w:val="20"/>
                <w:szCs w:val="20"/>
              </w:rPr>
            </w:pPr>
            <w:r w:rsidRPr="007F0529">
              <w:rPr>
                <w:sz w:val="20"/>
                <w:szCs w:val="20"/>
              </w:rPr>
              <w:t>Addition to Restriction and associated Notes for Nicabate P® (5465P) and Nicotinell® Step 1 (3414Q):</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 xml:space="preserve">Short‐term sole PBS‐subsidised therapy as an aid to achieving abstinence in a patient who has indicated they are ready to cease smoking and who has entered a comprehensive support and counselling program.   Details of the program must be specified in the initial authority application; </w:t>
            </w:r>
          </w:p>
          <w:p w:rsidR="00F019FF" w:rsidRPr="007F0529" w:rsidRDefault="00F019FF" w:rsidP="00352F5D">
            <w:pPr>
              <w:rPr>
                <w:sz w:val="20"/>
                <w:szCs w:val="20"/>
              </w:rPr>
            </w:pPr>
            <w:r w:rsidRPr="007F0529">
              <w:rPr>
                <w:sz w:val="20"/>
                <w:szCs w:val="20"/>
              </w:rPr>
              <w:t xml:space="preserve">Short‐term sole PBS‐subsidised therapy as an aid to achieving abstinence in a patient who has indicated they are ready to cease smoking and who is entering a comprehensive support and counselling program during the consultation at which this authority is requested.   Details of the program must be specified in the initial authority application. </w:t>
            </w:r>
          </w:p>
          <w:p w:rsidR="00F019FF" w:rsidRPr="007F0529" w:rsidRDefault="00F019FF" w:rsidP="00352F5D">
            <w:pPr>
              <w:rPr>
                <w:sz w:val="20"/>
                <w:szCs w:val="20"/>
              </w:rPr>
            </w:pPr>
            <w:r w:rsidRPr="007F0529">
              <w:rPr>
                <w:b/>
                <w:sz w:val="20"/>
                <w:szCs w:val="20"/>
                <w:u w:val="single"/>
              </w:rPr>
              <w:t>Note</w:t>
            </w:r>
            <w:r w:rsidRPr="007F0529">
              <w:rPr>
                <w:sz w:val="20"/>
                <w:szCs w:val="20"/>
              </w:rPr>
              <w:t xml:space="preserve"> </w:t>
            </w:r>
          </w:p>
          <w:p w:rsidR="00F019FF" w:rsidRPr="007F0529" w:rsidRDefault="00F019FF" w:rsidP="00352F5D">
            <w:pPr>
              <w:rPr>
                <w:sz w:val="20"/>
                <w:szCs w:val="20"/>
              </w:rPr>
            </w:pPr>
            <w:r w:rsidRPr="007F0529">
              <w:rPr>
                <w:sz w:val="20"/>
                <w:szCs w:val="20"/>
              </w:rPr>
              <w:t>A maximum of 12 weeks of PBS‐subsidised nicotine replacement therapy will be authorised per year. No applications for increased maximum quantities and/or repeats will be authorised.</w:t>
            </w:r>
          </w:p>
          <w:p w:rsidR="00F019FF" w:rsidRPr="007F0529" w:rsidRDefault="00F019FF" w:rsidP="00352F5D">
            <w:pPr>
              <w:rPr>
                <w:rFonts w:ascii="Calibri" w:hAnsi="Calibri"/>
                <w:b/>
                <w:sz w:val="20"/>
                <w:szCs w:val="20"/>
                <w:u w:val="single"/>
              </w:rPr>
            </w:pPr>
            <w:r w:rsidRPr="007F0529">
              <w:rPr>
                <w:rFonts w:ascii="Calibri" w:hAnsi="Calibri"/>
                <w:b/>
                <w:sz w:val="20"/>
                <w:szCs w:val="20"/>
                <w:u w:val="single"/>
              </w:rPr>
              <w:t>Authority required</w:t>
            </w:r>
          </w:p>
          <w:p w:rsidR="00F019FF" w:rsidRPr="007F0529" w:rsidRDefault="00F019FF" w:rsidP="00352F5D">
            <w:pPr>
              <w:rPr>
                <w:rFonts w:ascii="Calibri" w:hAnsi="Calibri"/>
                <w:sz w:val="20"/>
                <w:szCs w:val="20"/>
              </w:rPr>
            </w:pPr>
            <w:r w:rsidRPr="007F0529">
              <w:rPr>
                <w:rFonts w:ascii="Calibri" w:hAnsi="Calibri"/>
                <w:sz w:val="20"/>
                <w:szCs w:val="20"/>
              </w:rPr>
              <w:t xml:space="preserve">Nicotine dependence in an Aboriginal or a Torres Strait Islander person as the sole PBS-subsidised therapy. </w:t>
            </w:r>
          </w:p>
          <w:p w:rsidR="00F019FF" w:rsidRPr="007F0529" w:rsidRDefault="00F019FF" w:rsidP="00352F5D">
            <w:pPr>
              <w:rPr>
                <w:b/>
                <w:sz w:val="20"/>
                <w:szCs w:val="20"/>
                <w:u w:val="single"/>
              </w:rPr>
            </w:pPr>
            <w:r w:rsidRPr="007F0529">
              <w:rPr>
                <w:b/>
                <w:sz w:val="20"/>
                <w:szCs w:val="20"/>
                <w:u w:val="single"/>
              </w:rPr>
              <w:t>Note</w:t>
            </w:r>
          </w:p>
          <w:p w:rsidR="00F019FF" w:rsidRPr="007F0529" w:rsidRDefault="00F019FF" w:rsidP="00352F5D">
            <w:pPr>
              <w:rPr>
                <w:rFonts w:ascii="Calibri" w:hAnsi="Calibri"/>
                <w:sz w:val="20"/>
                <w:szCs w:val="20"/>
              </w:rPr>
            </w:pPr>
            <w:r w:rsidRPr="007F0529">
              <w:rPr>
                <w:sz w:val="20"/>
                <w:szCs w:val="20"/>
              </w:rPr>
              <w:t>Only 2 courses of PBS‐subsidised nicotine replacement therapy will be authorised per year.   No applications for increased maximum quantities and/or repeats will be authorised.   Benefit is improved if used in conjunction with a comprehensive support and counselling program.</w:t>
            </w:r>
          </w:p>
        </w:tc>
      </w:tr>
      <w:tr w:rsidR="00F019FF" w:rsidRPr="007F0529" w:rsidTr="00352F5D">
        <w:tc>
          <w:tcPr>
            <w:tcW w:w="1951" w:type="dxa"/>
          </w:tcPr>
          <w:p w:rsidR="00F019FF" w:rsidRPr="007F0529" w:rsidRDefault="00F019FF" w:rsidP="00352F5D">
            <w:pPr>
              <w:rPr>
                <w:sz w:val="20"/>
                <w:szCs w:val="20"/>
              </w:rPr>
            </w:pPr>
            <w:r w:rsidRPr="007F0529">
              <w:rPr>
                <w:sz w:val="20"/>
                <w:szCs w:val="20"/>
              </w:rPr>
              <w:t>January 2012</w:t>
            </w:r>
          </w:p>
        </w:tc>
        <w:tc>
          <w:tcPr>
            <w:tcW w:w="7222" w:type="dxa"/>
          </w:tcPr>
          <w:p w:rsidR="00F019FF" w:rsidRPr="007F0529" w:rsidRDefault="00F019FF" w:rsidP="00765992">
            <w:pPr>
              <w:rPr>
                <w:sz w:val="20"/>
                <w:szCs w:val="20"/>
              </w:rPr>
            </w:pPr>
            <w:r w:rsidRPr="007F0529">
              <w:rPr>
                <w:sz w:val="20"/>
                <w:szCs w:val="20"/>
              </w:rPr>
              <w:t>Two lower strengths of NRT added to the PBS: Nicotinell® Step 2 (5572G) and Step 3 (5573H).</w:t>
            </w:r>
          </w:p>
        </w:tc>
      </w:tr>
      <w:tr w:rsidR="00F019FF" w:rsidRPr="007F0529" w:rsidTr="00352F5D">
        <w:tc>
          <w:tcPr>
            <w:tcW w:w="1951" w:type="dxa"/>
          </w:tcPr>
          <w:p w:rsidR="00F019FF" w:rsidRPr="007F0529" w:rsidRDefault="00F019FF" w:rsidP="00352F5D">
            <w:pPr>
              <w:rPr>
                <w:sz w:val="20"/>
                <w:szCs w:val="20"/>
              </w:rPr>
            </w:pPr>
            <w:r w:rsidRPr="007F0529">
              <w:rPr>
                <w:sz w:val="20"/>
                <w:szCs w:val="20"/>
              </w:rPr>
              <w:t>January 2012</w:t>
            </w:r>
          </w:p>
        </w:tc>
        <w:tc>
          <w:tcPr>
            <w:tcW w:w="7222" w:type="dxa"/>
          </w:tcPr>
          <w:p w:rsidR="00F019FF" w:rsidRPr="007F0529" w:rsidRDefault="00F019FF" w:rsidP="00352F5D">
            <w:pPr>
              <w:rPr>
                <w:sz w:val="20"/>
                <w:szCs w:val="20"/>
              </w:rPr>
            </w:pPr>
            <w:r w:rsidRPr="007F0529">
              <w:rPr>
                <w:sz w:val="20"/>
                <w:szCs w:val="20"/>
              </w:rPr>
              <w:t xml:space="preserve">Change to Notes for </w:t>
            </w:r>
            <w:r w:rsidRPr="007F0529">
              <w:rPr>
                <w:rFonts w:ascii="Calibri" w:hAnsi="Calibri"/>
                <w:sz w:val="20"/>
                <w:szCs w:val="20"/>
              </w:rPr>
              <w:t>Nicotinell</w:t>
            </w:r>
            <w:r w:rsidRPr="007F0529">
              <w:rPr>
                <w:sz w:val="20"/>
                <w:szCs w:val="20"/>
              </w:rPr>
              <w:t>® Step 1 (3414Q) to include statement:</w:t>
            </w:r>
          </w:p>
          <w:p w:rsidR="00F019FF" w:rsidRPr="007F0529" w:rsidRDefault="00F019FF" w:rsidP="00352F5D">
            <w:pPr>
              <w:rPr>
                <w:sz w:val="20"/>
                <w:szCs w:val="20"/>
              </w:rPr>
            </w:pPr>
            <w:r w:rsidRPr="007F0529">
              <w:rPr>
                <w:sz w:val="20"/>
                <w:szCs w:val="20"/>
              </w:rPr>
              <w:t>Applications for increased repeats, up to a maximum of 2, may be authorised. </w:t>
            </w:r>
          </w:p>
        </w:tc>
      </w:tr>
      <w:tr w:rsidR="00F019FF" w:rsidRPr="007F0529" w:rsidTr="00352F5D">
        <w:tc>
          <w:tcPr>
            <w:tcW w:w="1951" w:type="dxa"/>
          </w:tcPr>
          <w:p w:rsidR="00F019FF" w:rsidRPr="007F0529" w:rsidRDefault="00F019FF" w:rsidP="00352F5D">
            <w:pPr>
              <w:rPr>
                <w:sz w:val="20"/>
                <w:szCs w:val="20"/>
              </w:rPr>
            </w:pPr>
            <w:r w:rsidRPr="007F0529">
              <w:rPr>
                <w:sz w:val="20"/>
                <w:szCs w:val="20"/>
              </w:rPr>
              <w:t>July 2013</w:t>
            </w:r>
          </w:p>
        </w:tc>
        <w:tc>
          <w:tcPr>
            <w:tcW w:w="7222" w:type="dxa"/>
          </w:tcPr>
          <w:p w:rsidR="00F019FF" w:rsidRPr="007F0529" w:rsidRDefault="00F019FF" w:rsidP="00352F5D">
            <w:pPr>
              <w:rPr>
                <w:i/>
                <w:sz w:val="20"/>
                <w:szCs w:val="20"/>
              </w:rPr>
            </w:pPr>
            <w:r w:rsidRPr="007F0529">
              <w:rPr>
                <w:sz w:val="20"/>
                <w:szCs w:val="20"/>
              </w:rPr>
              <w:t xml:space="preserve">Addition to Notes for Nicabate P® (5465P) and Nicorette® Step 2 (9198D): </w:t>
            </w:r>
            <w:r w:rsidRPr="007F0529">
              <w:rPr>
                <w:i/>
                <w:sz w:val="20"/>
                <w:szCs w:val="20"/>
              </w:rPr>
              <w:t>[Notes have been altered to address an error in the PBS Schedule which has been the subject of an errata]:</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Nicotine dependence in an Aboriginal or a Torres Strait Islander person as the sole PBS-subsidised therapy.</w:t>
            </w:r>
          </w:p>
          <w:p w:rsidR="00F019FF" w:rsidRPr="007F0529" w:rsidRDefault="00F019FF" w:rsidP="00352F5D">
            <w:pPr>
              <w:rPr>
                <w:sz w:val="20"/>
                <w:szCs w:val="20"/>
              </w:rPr>
            </w:pPr>
            <w:r w:rsidRPr="007F0529">
              <w:rPr>
                <w:b/>
                <w:sz w:val="20"/>
                <w:szCs w:val="20"/>
                <w:u w:val="single"/>
              </w:rPr>
              <w:t>Note</w:t>
            </w:r>
            <w:r w:rsidRPr="007F0529">
              <w:rPr>
                <w:sz w:val="20"/>
                <w:szCs w:val="20"/>
              </w:rPr>
              <w:t xml:space="preserve"> </w:t>
            </w:r>
          </w:p>
          <w:p w:rsidR="00F019FF" w:rsidRPr="007F0529" w:rsidRDefault="00F019FF" w:rsidP="00352F5D">
            <w:pPr>
              <w:rPr>
                <w:sz w:val="20"/>
                <w:szCs w:val="20"/>
              </w:rPr>
            </w:pPr>
            <w:r w:rsidRPr="007F0529">
              <w:rPr>
                <w:sz w:val="20"/>
                <w:szCs w:val="20"/>
              </w:rPr>
              <w:t xml:space="preserve">Only 2 courses of PBS-subsidised nicotine replacement therapy will be authorised per year. No applications for increased maximum quantities and/or repeats will be authorised. Benefit is improved if used in conjunction with a comprehensive support and counselling program. </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 xml:space="preserve">Short-term sole PBS-subsidised therapy as an aid to achieving abstinence in a patient who has indicated they are ready to cease smoking and who has entered a comprehensive support and counselling program. Details of the program must be specified in the initial authority application. </w:t>
            </w:r>
          </w:p>
          <w:p w:rsidR="00F019FF" w:rsidRPr="007F0529" w:rsidRDefault="00F019FF" w:rsidP="00352F5D">
            <w:pPr>
              <w:rPr>
                <w:sz w:val="20"/>
                <w:szCs w:val="20"/>
              </w:rPr>
            </w:pPr>
            <w:r w:rsidRPr="007F0529">
              <w:rPr>
                <w:b/>
                <w:sz w:val="20"/>
                <w:szCs w:val="20"/>
                <w:u w:val="single"/>
              </w:rPr>
              <w:t>Note</w:t>
            </w:r>
            <w:r w:rsidRPr="007F0529">
              <w:rPr>
                <w:sz w:val="20"/>
                <w:szCs w:val="20"/>
              </w:rPr>
              <w:t xml:space="preserve"> </w:t>
            </w:r>
          </w:p>
          <w:p w:rsidR="00F019FF" w:rsidRDefault="00F019FF" w:rsidP="00352F5D">
            <w:pPr>
              <w:rPr>
                <w:sz w:val="20"/>
                <w:szCs w:val="20"/>
              </w:rPr>
            </w:pPr>
            <w:r w:rsidRPr="007F0529">
              <w:rPr>
                <w:sz w:val="20"/>
                <w:szCs w:val="20"/>
              </w:rPr>
              <w:lastRenderedPageBreak/>
              <w:t xml:space="preserve">A maximum of 12 weeks of PBS-subsidised nicotine replacement therapy will be authorised per year. No applications for increased maximum quantities and/or repeats will be authorised. </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 xml:space="preserve">Short-term sole PBS-subsidised therapy as an aid to achieving abstinence in a patient who has indicated they are ready to cease smoking and who is entering a comprehensive support and counselling program during the consultation at which this authority is requested. Details of the program must be specified in the initial authority application. </w:t>
            </w:r>
          </w:p>
          <w:p w:rsidR="00F019FF" w:rsidRPr="007F0529" w:rsidRDefault="00F019FF" w:rsidP="00352F5D">
            <w:pPr>
              <w:rPr>
                <w:sz w:val="20"/>
                <w:szCs w:val="20"/>
              </w:rPr>
            </w:pPr>
            <w:r w:rsidRPr="007F0529">
              <w:rPr>
                <w:b/>
                <w:sz w:val="20"/>
                <w:szCs w:val="20"/>
                <w:u w:val="single"/>
              </w:rPr>
              <w:t>Note</w:t>
            </w:r>
            <w:r w:rsidRPr="007F0529">
              <w:rPr>
                <w:sz w:val="20"/>
                <w:szCs w:val="20"/>
              </w:rPr>
              <w:t xml:space="preserve"> </w:t>
            </w:r>
          </w:p>
          <w:p w:rsidR="00F019FF" w:rsidRPr="007F0529" w:rsidRDefault="00F019FF" w:rsidP="00352F5D">
            <w:pPr>
              <w:rPr>
                <w:i/>
                <w:sz w:val="20"/>
                <w:szCs w:val="20"/>
              </w:rPr>
            </w:pPr>
            <w:r w:rsidRPr="007F0529">
              <w:rPr>
                <w:sz w:val="20"/>
                <w:szCs w:val="20"/>
              </w:rPr>
              <w:t>A maximum of 12 weeks of PBS-subsidised nicotine replacement therapy will be authorised per year. No applications for increased maximum quantities and/or repeats will be authorised.</w:t>
            </w:r>
          </w:p>
        </w:tc>
      </w:tr>
      <w:tr w:rsidR="00F019FF" w:rsidRPr="007F0529" w:rsidTr="00352F5D">
        <w:tc>
          <w:tcPr>
            <w:tcW w:w="1951" w:type="dxa"/>
          </w:tcPr>
          <w:p w:rsidR="00F019FF" w:rsidRPr="007F0529" w:rsidRDefault="00F019FF" w:rsidP="00352F5D">
            <w:pPr>
              <w:rPr>
                <w:sz w:val="20"/>
                <w:szCs w:val="20"/>
              </w:rPr>
            </w:pPr>
            <w:r w:rsidRPr="007F0529">
              <w:rPr>
                <w:sz w:val="20"/>
                <w:szCs w:val="20"/>
              </w:rPr>
              <w:lastRenderedPageBreak/>
              <w:t>December 2013</w:t>
            </w:r>
          </w:p>
        </w:tc>
        <w:tc>
          <w:tcPr>
            <w:tcW w:w="7222" w:type="dxa"/>
          </w:tcPr>
          <w:p w:rsidR="00F019FF" w:rsidRPr="007F0529" w:rsidRDefault="00F019FF" w:rsidP="00352F5D">
            <w:pPr>
              <w:rPr>
                <w:sz w:val="20"/>
                <w:szCs w:val="20"/>
              </w:rPr>
            </w:pPr>
            <w:r w:rsidRPr="007F0529">
              <w:rPr>
                <w:sz w:val="20"/>
                <w:szCs w:val="20"/>
              </w:rPr>
              <w:t>NRT patches became Authority Streamlined.</w:t>
            </w:r>
          </w:p>
        </w:tc>
      </w:tr>
      <w:tr w:rsidR="00F019FF" w:rsidRPr="007F0529" w:rsidTr="00352F5D">
        <w:tc>
          <w:tcPr>
            <w:tcW w:w="1951" w:type="dxa"/>
          </w:tcPr>
          <w:p w:rsidR="00F019FF" w:rsidRPr="007F0529" w:rsidRDefault="00F019FF" w:rsidP="00352F5D">
            <w:pPr>
              <w:rPr>
                <w:sz w:val="20"/>
                <w:szCs w:val="20"/>
              </w:rPr>
            </w:pPr>
            <w:r w:rsidRPr="007F0529">
              <w:rPr>
                <w:sz w:val="20"/>
                <w:szCs w:val="20"/>
              </w:rPr>
              <w:t>April 2014</w:t>
            </w:r>
          </w:p>
        </w:tc>
        <w:tc>
          <w:tcPr>
            <w:tcW w:w="7222" w:type="dxa"/>
          </w:tcPr>
          <w:p w:rsidR="00F019FF" w:rsidRPr="007F0529" w:rsidRDefault="00F019FF" w:rsidP="00352F5D">
            <w:pPr>
              <w:rPr>
                <w:sz w:val="20"/>
                <w:szCs w:val="20"/>
              </w:rPr>
            </w:pPr>
            <w:r w:rsidRPr="007F0529">
              <w:rPr>
                <w:sz w:val="20"/>
                <w:szCs w:val="20"/>
              </w:rPr>
              <w:t>Nicorette 16 hr Invisipatch® (10076H) added to the PBS.</w:t>
            </w:r>
          </w:p>
        </w:tc>
      </w:tr>
      <w:tr w:rsidR="00F019FF" w:rsidRPr="007F0529" w:rsidTr="00352F5D">
        <w:tc>
          <w:tcPr>
            <w:tcW w:w="1951" w:type="dxa"/>
          </w:tcPr>
          <w:p w:rsidR="00F019FF" w:rsidRPr="007F0529" w:rsidRDefault="00F019FF" w:rsidP="00352F5D">
            <w:pPr>
              <w:rPr>
                <w:sz w:val="20"/>
                <w:szCs w:val="20"/>
              </w:rPr>
            </w:pPr>
            <w:r w:rsidRPr="007F0529">
              <w:rPr>
                <w:sz w:val="20"/>
                <w:szCs w:val="20"/>
              </w:rPr>
              <w:t>July 2014</w:t>
            </w:r>
          </w:p>
        </w:tc>
        <w:tc>
          <w:tcPr>
            <w:tcW w:w="7222" w:type="dxa"/>
          </w:tcPr>
          <w:p w:rsidR="00F019FF" w:rsidRPr="007F0529" w:rsidRDefault="00F019FF" w:rsidP="00352F5D">
            <w:pPr>
              <w:rPr>
                <w:sz w:val="20"/>
                <w:szCs w:val="20"/>
              </w:rPr>
            </w:pPr>
            <w:r w:rsidRPr="007F0529">
              <w:rPr>
                <w:sz w:val="20"/>
                <w:szCs w:val="20"/>
              </w:rPr>
              <w:t>Nicorette® Step 2 (9198D) 28 patches deleted from the PBS (remains on RPBS as 4578Y with 7 patches)</w:t>
            </w:r>
          </w:p>
        </w:tc>
      </w:tr>
      <w:tr w:rsidR="00F019FF" w:rsidRPr="007F0529" w:rsidTr="00352F5D">
        <w:tc>
          <w:tcPr>
            <w:tcW w:w="1951" w:type="dxa"/>
          </w:tcPr>
          <w:p w:rsidR="00F019FF" w:rsidRPr="007F0529" w:rsidRDefault="00F019FF" w:rsidP="00352F5D">
            <w:pPr>
              <w:rPr>
                <w:sz w:val="20"/>
                <w:szCs w:val="20"/>
              </w:rPr>
            </w:pPr>
            <w:r w:rsidRPr="007F0529">
              <w:rPr>
                <w:sz w:val="20"/>
                <w:szCs w:val="20"/>
              </w:rPr>
              <w:t>September 2015</w:t>
            </w:r>
          </w:p>
        </w:tc>
        <w:tc>
          <w:tcPr>
            <w:tcW w:w="7222" w:type="dxa"/>
          </w:tcPr>
          <w:p w:rsidR="00F019FF" w:rsidRPr="007F0529" w:rsidRDefault="00F019FF" w:rsidP="00352F5D">
            <w:pPr>
              <w:rPr>
                <w:sz w:val="20"/>
                <w:szCs w:val="20"/>
              </w:rPr>
            </w:pPr>
            <w:r w:rsidRPr="007F0529">
              <w:rPr>
                <w:sz w:val="20"/>
                <w:szCs w:val="20"/>
              </w:rPr>
              <w:t>NRT restriction altered to Restricted Benefit.</w:t>
            </w:r>
          </w:p>
        </w:tc>
      </w:tr>
    </w:tbl>
    <w:p w:rsidR="00F019FF" w:rsidRPr="007F0529" w:rsidRDefault="00F019FF" w:rsidP="00F019FF">
      <w:pPr>
        <w:rPr>
          <w:sz w:val="20"/>
          <w:szCs w:val="20"/>
        </w:rPr>
      </w:pPr>
    </w:p>
    <w:p w:rsidR="00F019FF" w:rsidRPr="007F0529" w:rsidRDefault="00F019FF" w:rsidP="00EA7A80">
      <w:pPr>
        <w:spacing w:after="0"/>
        <w:rPr>
          <w:b/>
        </w:rPr>
      </w:pPr>
      <w:r w:rsidRPr="007F0529">
        <w:rPr>
          <w:b/>
        </w:rPr>
        <w:t xml:space="preserve">Table </w:t>
      </w:r>
      <w:r w:rsidR="00EA7A80">
        <w:rPr>
          <w:b/>
        </w:rPr>
        <w:t>2</w:t>
      </w:r>
      <w:r w:rsidR="00E60A4E">
        <w:rPr>
          <w:b/>
        </w:rPr>
        <w:t>0</w:t>
      </w:r>
      <w:r w:rsidRPr="007F0529">
        <w:rPr>
          <w:b/>
        </w:rPr>
        <w:t xml:space="preserve">: Changes to </w:t>
      </w:r>
      <w:r w:rsidR="008777BC">
        <w:rPr>
          <w:b/>
        </w:rPr>
        <w:t>L</w:t>
      </w:r>
      <w:r w:rsidRPr="007F0529">
        <w:rPr>
          <w:b/>
        </w:rPr>
        <w:t xml:space="preserve">isting for varenicline </w:t>
      </w:r>
    </w:p>
    <w:tbl>
      <w:tblPr>
        <w:tblStyle w:val="TableGrid"/>
        <w:tblW w:w="0" w:type="auto"/>
        <w:tblLook w:val="04A0" w:firstRow="1" w:lastRow="0" w:firstColumn="1" w:lastColumn="0" w:noHBand="0" w:noVBand="1"/>
        <w:tblCaption w:val="Changes to listing for varenicline "/>
        <w:tblDescription w:val="This table shows the dates and changes to listing for varenicline."/>
      </w:tblPr>
      <w:tblGrid>
        <w:gridCol w:w="1951"/>
        <w:gridCol w:w="7222"/>
      </w:tblGrid>
      <w:tr w:rsidR="00F019FF" w:rsidRPr="007F0529" w:rsidTr="00992DDA">
        <w:trPr>
          <w:tblHeader/>
        </w:trPr>
        <w:tc>
          <w:tcPr>
            <w:tcW w:w="1951" w:type="dxa"/>
          </w:tcPr>
          <w:p w:rsidR="00F019FF" w:rsidRPr="007F0529" w:rsidRDefault="00F019FF" w:rsidP="00352F5D">
            <w:pPr>
              <w:rPr>
                <w:b/>
                <w:sz w:val="20"/>
                <w:szCs w:val="20"/>
              </w:rPr>
            </w:pPr>
            <w:r w:rsidRPr="007F0529">
              <w:rPr>
                <w:b/>
                <w:sz w:val="20"/>
                <w:szCs w:val="20"/>
              </w:rPr>
              <w:t>Date</w:t>
            </w:r>
          </w:p>
        </w:tc>
        <w:tc>
          <w:tcPr>
            <w:tcW w:w="7222" w:type="dxa"/>
          </w:tcPr>
          <w:p w:rsidR="00F019FF" w:rsidRPr="007F0529" w:rsidRDefault="00F019FF" w:rsidP="00352F5D">
            <w:pPr>
              <w:rPr>
                <w:b/>
                <w:sz w:val="20"/>
                <w:szCs w:val="20"/>
              </w:rPr>
            </w:pPr>
            <w:r w:rsidRPr="007F0529">
              <w:rPr>
                <w:b/>
                <w:sz w:val="20"/>
                <w:szCs w:val="20"/>
              </w:rPr>
              <w:t xml:space="preserve">Change to Listing </w:t>
            </w:r>
          </w:p>
        </w:tc>
      </w:tr>
      <w:tr w:rsidR="00F019FF" w:rsidRPr="007F0529" w:rsidTr="00352F5D">
        <w:tc>
          <w:tcPr>
            <w:tcW w:w="1951" w:type="dxa"/>
          </w:tcPr>
          <w:p w:rsidR="00F019FF" w:rsidRPr="007F0529" w:rsidRDefault="00F019FF" w:rsidP="00352F5D">
            <w:pPr>
              <w:rPr>
                <w:sz w:val="20"/>
                <w:szCs w:val="20"/>
              </w:rPr>
            </w:pPr>
            <w:r w:rsidRPr="007F0529">
              <w:rPr>
                <w:sz w:val="20"/>
                <w:szCs w:val="20"/>
              </w:rPr>
              <w:t>February 2011</w:t>
            </w:r>
          </w:p>
        </w:tc>
        <w:tc>
          <w:tcPr>
            <w:tcW w:w="7222" w:type="dxa"/>
          </w:tcPr>
          <w:p w:rsidR="00F019FF" w:rsidRPr="007F0529" w:rsidRDefault="00F019FF" w:rsidP="00352F5D">
            <w:pPr>
              <w:rPr>
                <w:sz w:val="20"/>
                <w:szCs w:val="20"/>
              </w:rPr>
            </w:pPr>
            <w:r w:rsidRPr="007F0529">
              <w:rPr>
                <w:sz w:val="20"/>
                <w:szCs w:val="20"/>
              </w:rPr>
              <w:t xml:space="preserve">Varenicline (5469W) added to PBS to allow for continuation of therapy with one box of 56 tablets and two repeats (Note that 9129L already listed for continuation of therapy with 112 tablets and nil repeats). </w:t>
            </w:r>
          </w:p>
          <w:p w:rsidR="00F019FF" w:rsidRPr="007F0529" w:rsidRDefault="00F019FF" w:rsidP="00352F5D">
            <w:pPr>
              <w:rPr>
                <w:sz w:val="20"/>
                <w:szCs w:val="20"/>
              </w:rPr>
            </w:pPr>
          </w:p>
          <w:p w:rsidR="00F019FF" w:rsidRPr="007F0529" w:rsidRDefault="00F019FF" w:rsidP="00352F5D">
            <w:pPr>
              <w:rPr>
                <w:sz w:val="20"/>
                <w:szCs w:val="20"/>
              </w:rPr>
            </w:pPr>
            <w:r w:rsidRPr="007F0529">
              <w:rPr>
                <w:sz w:val="20"/>
                <w:szCs w:val="20"/>
              </w:rPr>
              <w:t>Changes to Notes for 9129L:</w:t>
            </w:r>
          </w:p>
          <w:p w:rsidR="00F019FF" w:rsidRPr="007F0529" w:rsidRDefault="00F019FF" w:rsidP="00352F5D">
            <w:pPr>
              <w:rPr>
                <w:sz w:val="20"/>
                <w:szCs w:val="20"/>
              </w:rPr>
            </w:pPr>
            <w:r w:rsidRPr="007F0529">
              <w:rPr>
                <w:b/>
                <w:sz w:val="20"/>
                <w:szCs w:val="20"/>
                <w:u w:val="single"/>
              </w:rPr>
              <w:t>Note</w:t>
            </w:r>
            <w:r w:rsidRPr="007F0529">
              <w:rPr>
                <w:sz w:val="20"/>
                <w:szCs w:val="20"/>
              </w:rPr>
              <w:t xml:space="preserve"> </w:t>
            </w:r>
          </w:p>
          <w:p w:rsidR="00F019FF" w:rsidRPr="007F0529" w:rsidRDefault="00F019FF" w:rsidP="00352F5D">
            <w:pPr>
              <w:rPr>
                <w:sz w:val="20"/>
                <w:szCs w:val="20"/>
              </w:rPr>
            </w:pPr>
            <w:r w:rsidRPr="007F0529">
              <w:rPr>
                <w:sz w:val="20"/>
                <w:szCs w:val="20"/>
              </w:rPr>
              <w:t xml:space="preserve">The period between commencing varenicline tartrate and bupropion hydrochloride must be at least 6 months. A course of treatment with varenicline tartrate is 12 weeks or up to 24 weeks, if initial treatment of 12 weeks has been successful. No increased maximum quantities or repeats will be authorised. Clinical review is recommended within 2 to 3 weeks of the initial prescription being requested. </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Continuation of short‐term sole PBS‐subsidised therapy as an aid to achieving abstinence in a patient who has previously been issued with an authority prescription for this drug and who is enrolled in a comprehensive support and counselling program.</w:t>
            </w:r>
          </w:p>
        </w:tc>
      </w:tr>
      <w:tr w:rsidR="00F019FF" w:rsidRPr="007F0529" w:rsidTr="00352F5D">
        <w:tc>
          <w:tcPr>
            <w:tcW w:w="1951" w:type="dxa"/>
          </w:tcPr>
          <w:p w:rsidR="00F019FF" w:rsidRPr="007F0529" w:rsidRDefault="00F019FF" w:rsidP="00352F5D">
            <w:pPr>
              <w:rPr>
                <w:sz w:val="20"/>
                <w:szCs w:val="20"/>
              </w:rPr>
            </w:pPr>
            <w:r w:rsidRPr="007F0529">
              <w:rPr>
                <w:sz w:val="20"/>
                <w:szCs w:val="20"/>
              </w:rPr>
              <w:t>October 2014</w:t>
            </w:r>
          </w:p>
        </w:tc>
        <w:tc>
          <w:tcPr>
            <w:tcW w:w="7222" w:type="dxa"/>
          </w:tcPr>
          <w:p w:rsidR="00F019FF" w:rsidRPr="007F0529" w:rsidRDefault="00F019FF" w:rsidP="00352F5D">
            <w:pPr>
              <w:rPr>
                <w:sz w:val="20"/>
                <w:szCs w:val="20"/>
              </w:rPr>
            </w:pPr>
            <w:r w:rsidRPr="007F0529">
              <w:rPr>
                <w:sz w:val="20"/>
                <w:szCs w:val="20"/>
              </w:rPr>
              <w:t xml:space="preserve">Additions of treatment phases and clinical criteria. </w:t>
            </w:r>
          </w:p>
          <w:p w:rsidR="00F019FF" w:rsidRPr="007F0529" w:rsidRDefault="00F019FF" w:rsidP="00352F5D">
            <w:pPr>
              <w:rPr>
                <w:sz w:val="20"/>
                <w:szCs w:val="20"/>
              </w:rPr>
            </w:pPr>
          </w:p>
          <w:p w:rsidR="00F019FF" w:rsidRPr="007F0529" w:rsidRDefault="00F019FF" w:rsidP="00352F5D">
            <w:pPr>
              <w:rPr>
                <w:sz w:val="20"/>
                <w:szCs w:val="20"/>
              </w:rPr>
            </w:pPr>
            <w:r w:rsidRPr="007F0529">
              <w:rPr>
                <w:sz w:val="20"/>
                <w:szCs w:val="20"/>
              </w:rPr>
              <w:t xml:space="preserve">Varenicline (5469W) Change to Restriction: </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Treatment Phase: Completion of a short</w:t>
            </w:r>
            <w:r w:rsidRPr="007F0529">
              <w:rPr>
                <w:rFonts w:ascii="Calibri" w:hAnsi="Calibri" w:cs="Calibri"/>
                <w:sz w:val="20"/>
                <w:szCs w:val="20"/>
              </w:rPr>
              <w:t>-</w:t>
            </w:r>
            <w:r w:rsidRPr="007F0529">
              <w:rPr>
                <w:sz w:val="20"/>
                <w:szCs w:val="20"/>
              </w:rPr>
              <w:t xml:space="preserve">term (24 weeks) course of treatment </w:t>
            </w:r>
          </w:p>
          <w:p w:rsidR="00F019FF" w:rsidRPr="007F0529" w:rsidRDefault="00F019FF" w:rsidP="00352F5D">
            <w:pPr>
              <w:rPr>
                <w:sz w:val="20"/>
                <w:szCs w:val="20"/>
              </w:rPr>
            </w:pPr>
            <w:r w:rsidRPr="007F0529">
              <w:rPr>
                <w:sz w:val="20"/>
                <w:szCs w:val="20"/>
              </w:rPr>
              <w:t>Clinical criteria: The treatment must be as an aid to achieving abstinence from smoking, AND The treatment must be the sole PBS</w:t>
            </w:r>
            <w:r w:rsidRPr="007F0529">
              <w:rPr>
                <w:rFonts w:ascii="Calibri" w:hAnsi="Calibri" w:cs="Calibri"/>
                <w:sz w:val="20"/>
                <w:szCs w:val="20"/>
              </w:rPr>
              <w:t xml:space="preserve"> </w:t>
            </w:r>
            <w:r w:rsidRPr="007F0529">
              <w:rPr>
                <w:sz w:val="20"/>
                <w:szCs w:val="20"/>
              </w:rPr>
              <w:t>subsidised therapy for this condition, AND Patient must have previously been issued with an authority prescription for this drug during this current course of treatment, AND Patient must have ceased smoking following an initial 12</w:t>
            </w:r>
            <w:r w:rsidRPr="007F0529">
              <w:rPr>
                <w:rFonts w:ascii="Calibri" w:hAnsi="Calibri" w:cs="Calibri"/>
                <w:sz w:val="20"/>
                <w:szCs w:val="20"/>
              </w:rPr>
              <w:t xml:space="preserve"> </w:t>
            </w:r>
            <w:r w:rsidRPr="007F0529">
              <w:rPr>
                <w:sz w:val="20"/>
                <w:szCs w:val="20"/>
              </w:rPr>
              <w:t>weeks of PBS</w:t>
            </w:r>
            <w:r w:rsidRPr="007F0529">
              <w:rPr>
                <w:rFonts w:ascii="Calibri" w:hAnsi="Calibri" w:cs="Calibri"/>
                <w:sz w:val="20"/>
                <w:szCs w:val="20"/>
              </w:rPr>
              <w:t xml:space="preserve"> </w:t>
            </w:r>
            <w:r w:rsidRPr="007F0529">
              <w:rPr>
                <w:sz w:val="20"/>
                <w:szCs w:val="20"/>
              </w:rPr>
              <w:t xml:space="preserve">subsidised treatment with this drug in the current course of treatment. </w:t>
            </w:r>
          </w:p>
          <w:p w:rsidR="00F019FF" w:rsidRPr="007F0529" w:rsidRDefault="00F019FF" w:rsidP="00352F5D">
            <w:pPr>
              <w:rPr>
                <w:sz w:val="20"/>
                <w:szCs w:val="20"/>
              </w:rPr>
            </w:pPr>
            <w:r w:rsidRPr="007F0529">
              <w:rPr>
                <w:sz w:val="20"/>
                <w:szCs w:val="20"/>
              </w:rPr>
              <w:t xml:space="preserve">Treatment criteria: Patient must be undergoing concurrent counselling for smoking cessation through a comprehensive support and counselling program. </w:t>
            </w:r>
          </w:p>
          <w:p w:rsidR="00F019FF" w:rsidRPr="007F0529" w:rsidRDefault="00F019FF" w:rsidP="00352F5D">
            <w:pPr>
              <w:rPr>
                <w:sz w:val="20"/>
                <w:szCs w:val="20"/>
              </w:rPr>
            </w:pPr>
          </w:p>
          <w:p w:rsidR="00F019FF" w:rsidRPr="007F0529" w:rsidRDefault="00F019FF" w:rsidP="00352F5D">
            <w:pPr>
              <w:rPr>
                <w:sz w:val="20"/>
                <w:szCs w:val="20"/>
              </w:rPr>
            </w:pPr>
            <w:r w:rsidRPr="007F0529">
              <w:rPr>
                <w:sz w:val="20"/>
                <w:szCs w:val="20"/>
              </w:rPr>
              <w:t>Varenicline (9129L) Change to Restriction:</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lastRenderedPageBreak/>
              <w:t>Treatment Phase: Continuation of a short</w:t>
            </w:r>
            <w:r w:rsidRPr="007F0529">
              <w:rPr>
                <w:rFonts w:ascii="Calibri" w:hAnsi="Calibri" w:cs="Calibri"/>
                <w:sz w:val="20"/>
                <w:szCs w:val="20"/>
              </w:rPr>
              <w:t>-</w:t>
            </w:r>
            <w:r w:rsidRPr="007F0529">
              <w:rPr>
                <w:sz w:val="20"/>
                <w:szCs w:val="20"/>
              </w:rPr>
              <w:t>term (12 weeks or 24 weeks) course of treatment Clinical criteria: The treatment must be as an aid to achieving abstinence from smoking, AND The treatment must be the sole PBS</w:t>
            </w:r>
            <w:r w:rsidRPr="007F0529">
              <w:rPr>
                <w:rFonts w:ascii="Calibri" w:hAnsi="Calibri" w:cs="Calibri"/>
                <w:sz w:val="20"/>
                <w:szCs w:val="20"/>
              </w:rPr>
              <w:t xml:space="preserve"> </w:t>
            </w:r>
            <w:r w:rsidRPr="007F0529">
              <w:rPr>
                <w:sz w:val="20"/>
                <w:szCs w:val="20"/>
              </w:rPr>
              <w:t xml:space="preserve">subsidised therapy for this condition, AND Patient must have previously been issued with an authority prescription for this drug during this current course of treatment. </w:t>
            </w:r>
          </w:p>
          <w:p w:rsidR="00F019FF" w:rsidRPr="007F0529" w:rsidRDefault="00F019FF" w:rsidP="00352F5D">
            <w:pPr>
              <w:rPr>
                <w:sz w:val="20"/>
                <w:szCs w:val="20"/>
              </w:rPr>
            </w:pPr>
            <w:r w:rsidRPr="007F0529">
              <w:rPr>
                <w:sz w:val="20"/>
                <w:szCs w:val="20"/>
              </w:rPr>
              <w:t xml:space="preserve">Treatment criteria: Patient must be undergoing concurrent counselling for smoking cessation through a comprehensive support and counselling program. </w:t>
            </w:r>
          </w:p>
          <w:p w:rsidR="00F019FF" w:rsidRPr="007F0529" w:rsidRDefault="00F019FF" w:rsidP="00352F5D">
            <w:pPr>
              <w:rPr>
                <w:sz w:val="20"/>
                <w:szCs w:val="20"/>
              </w:rPr>
            </w:pPr>
          </w:p>
          <w:p w:rsidR="00F019FF" w:rsidRPr="007F0529" w:rsidRDefault="00F019FF" w:rsidP="00352F5D">
            <w:pPr>
              <w:rPr>
                <w:sz w:val="20"/>
                <w:szCs w:val="20"/>
              </w:rPr>
            </w:pPr>
            <w:r w:rsidRPr="007F0529">
              <w:rPr>
                <w:sz w:val="20"/>
                <w:szCs w:val="20"/>
              </w:rPr>
              <w:t>Varenicline (9128K) Change to Restriction:</w:t>
            </w:r>
          </w:p>
          <w:p w:rsidR="00F019FF" w:rsidRPr="007F0529" w:rsidRDefault="00F019FF" w:rsidP="00352F5D">
            <w:pPr>
              <w:rPr>
                <w:sz w:val="20"/>
                <w:szCs w:val="20"/>
              </w:rPr>
            </w:pPr>
            <w:r w:rsidRPr="007F0529">
              <w:rPr>
                <w:b/>
                <w:sz w:val="20"/>
                <w:szCs w:val="20"/>
                <w:u w:val="single"/>
              </w:rPr>
              <w:t>Authority required</w:t>
            </w:r>
            <w:r w:rsidRPr="007F0529">
              <w:rPr>
                <w:sz w:val="20"/>
                <w:szCs w:val="20"/>
              </w:rPr>
              <w:t xml:space="preserve"> </w:t>
            </w:r>
          </w:p>
          <w:p w:rsidR="00F019FF" w:rsidRPr="007F0529" w:rsidRDefault="00F019FF" w:rsidP="00352F5D">
            <w:pPr>
              <w:rPr>
                <w:sz w:val="20"/>
                <w:szCs w:val="20"/>
              </w:rPr>
            </w:pPr>
            <w:r w:rsidRPr="007F0529">
              <w:rPr>
                <w:sz w:val="20"/>
                <w:szCs w:val="20"/>
              </w:rPr>
              <w:t>Treatment Phase: Commencement of a short</w:t>
            </w:r>
            <w:r w:rsidRPr="007F0529">
              <w:rPr>
                <w:rFonts w:ascii="Calibri" w:hAnsi="Calibri" w:cs="Calibri"/>
                <w:sz w:val="20"/>
                <w:szCs w:val="20"/>
              </w:rPr>
              <w:t>-</w:t>
            </w:r>
            <w:r w:rsidRPr="007F0529">
              <w:rPr>
                <w:sz w:val="20"/>
                <w:szCs w:val="20"/>
              </w:rPr>
              <w:t xml:space="preserve">term (12 weeks or 24 weeks) course of treatment. </w:t>
            </w:r>
          </w:p>
          <w:p w:rsidR="00F019FF" w:rsidRPr="007F0529" w:rsidRDefault="00F019FF" w:rsidP="00352F5D">
            <w:pPr>
              <w:rPr>
                <w:sz w:val="20"/>
                <w:szCs w:val="20"/>
              </w:rPr>
            </w:pPr>
            <w:r w:rsidRPr="007F0529">
              <w:rPr>
                <w:sz w:val="20"/>
                <w:szCs w:val="20"/>
              </w:rPr>
              <w:t>Clinical criteria: The treatment must be as an aid to achieving abstinence from smoking, AND The treatment must be the sole PBS</w:t>
            </w:r>
            <w:r w:rsidRPr="007F0529">
              <w:rPr>
                <w:rFonts w:ascii="Calibri" w:hAnsi="Calibri" w:cs="Calibri"/>
                <w:sz w:val="20"/>
                <w:szCs w:val="20"/>
              </w:rPr>
              <w:t xml:space="preserve"> </w:t>
            </w:r>
            <w:r w:rsidRPr="007F0529">
              <w:rPr>
                <w:sz w:val="20"/>
                <w:szCs w:val="20"/>
              </w:rPr>
              <w:t xml:space="preserve">subsidised therapy for this condition, AND Patient must have indicated they are ready to cease smoking. </w:t>
            </w:r>
          </w:p>
          <w:p w:rsidR="00F019FF" w:rsidRPr="007F0529" w:rsidRDefault="00F019FF" w:rsidP="00352F5D">
            <w:pPr>
              <w:rPr>
                <w:sz w:val="20"/>
                <w:szCs w:val="20"/>
              </w:rPr>
            </w:pPr>
            <w:r w:rsidRPr="007F0529">
              <w:rPr>
                <w:sz w:val="20"/>
                <w:szCs w:val="20"/>
              </w:rPr>
              <w:t xml:space="preserve">Treatment criteria: Patient must be undergoing concurrent counselling for smoking cessation through a comprehensive support and counselling program or is about to enter such a program at the time the Authority application is requested. Details of the support and counselling program must be documented in the patient's medical records at the time treatment is initiated. Clinical review is recommended within 2 to 3 weeks of the initial prescription being requested.  </w:t>
            </w:r>
          </w:p>
        </w:tc>
      </w:tr>
      <w:tr w:rsidR="00F019FF" w:rsidRPr="007F0529" w:rsidTr="00352F5D">
        <w:tc>
          <w:tcPr>
            <w:tcW w:w="1951" w:type="dxa"/>
          </w:tcPr>
          <w:p w:rsidR="00F019FF" w:rsidRPr="007F0529" w:rsidRDefault="00F019FF" w:rsidP="00352F5D">
            <w:pPr>
              <w:rPr>
                <w:sz w:val="20"/>
                <w:szCs w:val="20"/>
              </w:rPr>
            </w:pPr>
            <w:r w:rsidRPr="007F0529">
              <w:rPr>
                <w:sz w:val="20"/>
                <w:szCs w:val="20"/>
              </w:rPr>
              <w:lastRenderedPageBreak/>
              <w:t>April 2015</w:t>
            </w:r>
          </w:p>
        </w:tc>
        <w:tc>
          <w:tcPr>
            <w:tcW w:w="7222" w:type="dxa"/>
          </w:tcPr>
          <w:p w:rsidR="00F019FF" w:rsidRPr="007F0529" w:rsidRDefault="00F019FF" w:rsidP="00352F5D">
            <w:pPr>
              <w:rPr>
                <w:sz w:val="20"/>
                <w:szCs w:val="20"/>
              </w:rPr>
            </w:pPr>
            <w:r w:rsidRPr="007F0529">
              <w:rPr>
                <w:sz w:val="20"/>
                <w:szCs w:val="20"/>
              </w:rPr>
              <w:t xml:space="preserve">Varenicline Restriction for 5469W altered to include a statement about a patient being in the process of ceasing smoking as opposed to must have already ceased smoking. </w:t>
            </w:r>
          </w:p>
        </w:tc>
      </w:tr>
    </w:tbl>
    <w:p w:rsidR="00EA7A80" w:rsidRDefault="00EA7A80" w:rsidP="00EA7A80">
      <w:pPr>
        <w:spacing w:after="0"/>
        <w:rPr>
          <w:b/>
        </w:rPr>
      </w:pPr>
    </w:p>
    <w:p w:rsidR="00F019FF" w:rsidRPr="007F0529" w:rsidRDefault="00F019FF" w:rsidP="00EA7A80">
      <w:pPr>
        <w:spacing w:after="0"/>
        <w:rPr>
          <w:b/>
        </w:rPr>
      </w:pPr>
      <w:r w:rsidRPr="007F0529">
        <w:rPr>
          <w:b/>
        </w:rPr>
        <w:t xml:space="preserve">Table </w:t>
      </w:r>
      <w:r w:rsidR="00EA7A80">
        <w:rPr>
          <w:b/>
        </w:rPr>
        <w:t>2</w:t>
      </w:r>
      <w:r w:rsidR="00E60A4E">
        <w:rPr>
          <w:b/>
        </w:rPr>
        <w:t>1</w:t>
      </w:r>
      <w:r w:rsidRPr="007F0529">
        <w:rPr>
          <w:b/>
        </w:rPr>
        <w:t xml:space="preserve">: Changes to </w:t>
      </w:r>
      <w:r w:rsidR="008777BC">
        <w:rPr>
          <w:b/>
        </w:rPr>
        <w:t>L</w:t>
      </w:r>
      <w:r w:rsidRPr="007F0529">
        <w:rPr>
          <w:b/>
        </w:rPr>
        <w:t xml:space="preserve">isting for bupropion </w:t>
      </w:r>
    </w:p>
    <w:tbl>
      <w:tblPr>
        <w:tblStyle w:val="TableGrid"/>
        <w:tblW w:w="0" w:type="auto"/>
        <w:tblLook w:val="04A0" w:firstRow="1" w:lastRow="0" w:firstColumn="1" w:lastColumn="0" w:noHBand="0" w:noVBand="1"/>
        <w:tblCaption w:val="Changes to listing for bupropion"/>
        <w:tblDescription w:val="This table shows the dates and changes to listing for bupropion. "/>
      </w:tblPr>
      <w:tblGrid>
        <w:gridCol w:w="1951"/>
        <w:gridCol w:w="7222"/>
      </w:tblGrid>
      <w:tr w:rsidR="00F019FF" w:rsidRPr="007F0529" w:rsidTr="00992DDA">
        <w:trPr>
          <w:tblHeader/>
        </w:trPr>
        <w:tc>
          <w:tcPr>
            <w:tcW w:w="1951" w:type="dxa"/>
          </w:tcPr>
          <w:p w:rsidR="00F019FF" w:rsidRPr="007F0529" w:rsidRDefault="00F019FF" w:rsidP="00352F5D">
            <w:pPr>
              <w:rPr>
                <w:b/>
                <w:sz w:val="20"/>
                <w:szCs w:val="20"/>
              </w:rPr>
            </w:pPr>
            <w:r w:rsidRPr="007F0529">
              <w:rPr>
                <w:b/>
                <w:sz w:val="20"/>
                <w:szCs w:val="20"/>
              </w:rPr>
              <w:t>Date</w:t>
            </w:r>
          </w:p>
        </w:tc>
        <w:tc>
          <w:tcPr>
            <w:tcW w:w="7222" w:type="dxa"/>
          </w:tcPr>
          <w:p w:rsidR="00F019FF" w:rsidRPr="007F0529" w:rsidRDefault="00F019FF" w:rsidP="00352F5D">
            <w:pPr>
              <w:rPr>
                <w:b/>
                <w:sz w:val="20"/>
                <w:szCs w:val="20"/>
              </w:rPr>
            </w:pPr>
            <w:r w:rsidRPr="007F0529">
              <w:rPr>
                <w:b/>
                <w:sz w:val="20"/>
                <w:szCs w:val="20"/>
              </w:rPr>
              <w:t>Change to Listing</w:t>
            </w:r>
          </w:p>
        </w:tc>
      </w:tr>
      <w:tr w:rsidR="00F019FF" w:rsidRPr="007F0529" w:rsidTr="00352F5D">
        <w:tc>
          <w:tcPr>
            <w:tcW w:w="1951" w:type="dxa"/>
          </w:tcPr>
          <w:p w:rsidR="00F019FF" w:rsidRPr="007F0529" w:rsidRDefault="00F019FF" w:rsidP="00352F5D">
            <w:pPr>
              <w:rPr>
                <w:sz w:val="20"/>
                <w:szCs w:val="20"/>
              </w:rPr>
            </w:pPr>
            <w:r w:rsidRPr="007F0529">
              <w:rPr>
                <w:sz w:val="20"/>
                <w:szCs w:val="20"/>
              </w:rPr>
              <w:t>August 2004</w:t>
            </w:r>
          </w:p>
        </w:tc>
        <w:tc>
          <w:tcPr>
            <w:tcW w:w="7222" w:type="dxa"/>
          </w:tcPr>
          <w:p w:rsidR="00F019FF" w:rsidRPr="007F0529" w:rsidRDefault="00F019FF" w:rsidP="00352F5D">
            <w:pPr>
              <w:rPr>
                <w:sz w:val="20"/>
                <w:szCs w:val="20"/>
              </w:rPr>
            </w:pPr>
            <w:r w:rsidRPr="007F0529">
              <w:rPr>
                <w:sz w:val="20"/>
                <w:szCs w:val="20"/>
              </w:rPr>
              <w:t xml:space="preserve">Change to 8710K Restriction to include the statements: </w:t>
            </w:r>
          </w:p>
          <w:p w:rsidR="00F019FF" w:rsidRPr="007F0529" w:rsidRDefault="00F019FF" w:rsidP="00352F5D">
            <w:pPr>
              <w:rPr>
                <w:sz w:val="20"/>
                <w:szCs w:val="20"/>
              </w:rPr>
            </w:pPr>
            <w:r w:rsidRPr="007F0529">
              <w:rPr>
                <w:sz w:val="20"/>
                <w:szCs w:val="20"/>
              </w:rPr>
              <w:t xml:space="preserve">Commencement of treatment as short-term adjunctive therapy for nicotine dependence to facilitate the goal of achieving abstinence in patients who have indicated that they are ready to cease smoking and who have entered a comprehensive support and counselling program. </w:t>
            </w:r>
          </w:p>
          <w:p w:rsidR="00F019FF" w:rsidRPr="007F0529" w:rsidRDefault="00F019FF" w:rsidP="00352F5D">
            <w:pPr>
              <w:rPr>
                <w:sz w:val="20"/>
                <w:szCs w:val="20"/>
              </w:rPr>
            </w:pPr>
          </w:p>
          <w:p w:rsidR="00F019FF" w:rsidRPr="007F0529" w:rsidRDefault="00F019FF" w:rsidP="00352F5D">
            <w:pPr>
              <w:rPr>
                <w:sz w:val="20"/>
                <w:szCs w:val="20"/>
              </w:rPr>
            </w:pPr>
            <w:r w:rsidRPr="007F0529">
              <w:rPr>
                <w:sz w:val="20"/>
                <w:szCs w:val="20"/>
              </w:rPr>
              <w:t>Change to 8465M Restriction (as above) with addition of:</w:t>
            </w:r>
          </w:p>
          <w:p w:rsidR="00F019FF" w:rsidRPr="007F0529" w:rsidRDefault="00F019FF" w:rsidP="00352F5D">
            <w:pPr>
              <w:rPr>
                <w:sz w:val="20"/>
                <w:szCs w:val="20"/>
              </w:rPr>
            </w:pPr>
            <w:r w:rsidRPr="007F0529">
              <w:rPr>
                <w:sz w:val="20"/>
                <w:szCs w:val="20"/>
              </w:rPr>
              <w:t>Details of the program must be specified in the authority application.</w:t>
            </w:r>
          </w:p>
        </w:tc>
      </w:tr>
      <w:tr w:rsidR="00F019FF" w:rsidRPr="007F0529" w:rsidTr="00352F5D">
        <w:tc>
          <w:tcPr>
            <w:tcW w:w="1951" w:type="dxa"/>
          </w:tcPr>
          <w:p w:rsidR="00F019FF" w:rsidRPr="007F0529" w:rsidRDefault="00F019FF" w:rsidP="00352F5D">
            <w:pPr>
              <w:rPr>
                <w:sz w:val="20"/>
                <w:szCs w:val="20"/>
              </w:rPr>
            </w:pPr>
            <w:r w:rsidRPr="007F0529">
              <w:rPr>
                <w:sz w:val="20"/>
                <w:szCs w:val="20"/>
              </w:rPr>
              <w:t>April 2005</w:t>
            </w:r>
          </w:p>
        </w:tc>
        <w:tc>
          <w:tcPr>
            <w:tcW w:w="7222" w:type="dxa"/>
          </w:tcPr>
          <w:p w:rsidR="00F019FF" w:rsidRPr="007F0529" w:rsidRDefault="00F019FF" w:rsidP="00352F5D">
            <w:pPr>
              <w:rPr>
                <w:rFonts w:ascii="Calibri" w:hAnsi="Calibri"/>
                <w:sz w:val="20"/>
                <w:szCs w:val="20"/>
              </w:rPr>
            </w:pPr>
            <w:r w:rsidRPr="007F0529">
              <w:rPr>
                <w:rFonts w:ascii="Calibri" w:hAnsi="Calibri"/>
                <w:sz w:val="20"/>
                <w:szCs w:val="20"/>
              </w:rPr>
              <w:t xml:space="preserve">Addition to 8465M Restriction to also include a statement about a patient being in the process of entering a comprehensive support and counselling program during the consultation at which the authority is requested. Details of the program must be specified in the authority application. </w:t>
            </w:r>
          </w:p>
        </w:tc>
      </w:tr>
      <w:tr w:rsidR="00F019FF" w:rsidRPr="007F0529" w:rsidTr="00352F5D">
        <w:tc>
          <w:tcPr>
            <w:tcW w:w="1951" w:type="dxa"/>
          </w:tcPr>
          <w:p w:rsidR="00F019FF" w:rsidRPr="007F0529" w:rsidRDefault="00F019FF" w:rsidP="00352F5D">
            <w:pPr>
              <w:rPr>
                <w:sz w:val="20"/>
                <w:szCs w:val="20"/>
              </w:rPr>
            </w:pPr>
            <w:r w:rsidRPr="007F0529">
              <w:rPr>
                <w:sz w:val="20"/>
                <w:szCs w:val="20"/>
              </w:rPr>
              <w:t>March 2008</w:t>
            </w:r>
          </w:p>
        </w:tc>
        <w:tc>
          <w:tcPr>
            <w:tcW w:w="7222" w:type="dxa"/>
          </w:tcPr>
          <w:p w:rsidR="00F019FF" w:rsidRPr="007F0529" w:rsidRDefault="00F019FF" w:rsidP="00352F5D">
            <w:pPr>
              <w:rPr>
                <w:rFonts w:ascii="Calibri" w:hAnsi="Calibri"/>
                <w:sz w:val="20"/>
                <w:szCs w:val="20"/>
              </w:rPr>
            </w:pPr>
            <w:r w:rsidRPr="007F0529">
              <w:rPr>
                <w:rFonts w:ascii="Calibri" w:hAnsi="Calibri"/>
                <w:sz w:val="20"/>
                <w:szCs w:val="20"/>
              </w:rPr>
              <w:t>Addition to 8465M and 8710K Restrictions to specify that bupropion must be the sole PBS subsidised smoking cessation therapy allowed for a patient.</w:t>
            </w:r>
          </w:p>
        </w:tc>
      </w:tr>
      <w:tr w:rsidR="00F019FF" w:rsidRPr="007F0529" w:rsidTr="00352F5D">
        <w:tc>
          <w:tcPr>
            <w:tcW w:w="1951" w:type="dxa"/>
          </w:tcPr>
          <w:p w:rsidR="00F019FF" w:rsidRPr="007F0529" w:rsidRDefault="00F019FF" w:rsidP="00352F5D">
            <w:pPr>
              <w:rPr>
                <w:sz w:val="20"/>
                <w:szCs w:val="20"/>
              </w:rPr>
            </w:pPr>
            <w:r w:rsidRPr="007F0529">
              <w:rPr>
                <w:sz w:val="20"/>
                <w:szCs w:val="20"/>
              </w:rPr>
              <w:t>October 2015</w:t>
            </w:r>
          </w:p>
        </w:tc>
        <w:tc>
          <w:tcPr>
            <w:tcW w:w="7222" w:type="dxa"/>
          </w:tcPr>
          <w:p w:rsidR="00F019FF" w:rsidRDefault="00F019FF" w:rsidP="00352F5D">
            <w:pPr>
              <w:rPr>
                <w:rFonts w:ascii="Calibri" w:hAnsi="Calibri"/>
                <w:sz w:val="20"/>
                <w:szCs w:val="20"/>
              </w:rPr>
            </w:pPr>
            <w:r>
              <w:rPr>
                <w:rFonts w:ascii="Calibri" w:hAnsi="Calibri"/>
                <w:sz w:val="20"/>
                <w:szCs w:val="20"/>
              </w:rPr>
              <w:t>Bupropion becomes Authority Streamlined.</w:t>
            </w:r>
          </w:p>
          <w:p w:rsidR="00F019FF" w:rsidRDefault="00F019FF" w:rsidP="00352F5D">
            <w:pPr>
              <w:rPr>
                <w:rFonts w:ascii="Calibri" w:hAnsi="Calibri"/>
                <w:sz w:val="20"/>
                <w:szCs w:val="20"/>
              </w:rPr>
            </w:pPr>
          </w:p>
          <w:p w:rsidR="00F019FF" w:rsidRPr="007F0529" w:rsidRDefault="00F019FF" w:rsidP="00352F5D">
            <w:pPr>
              <w:rPr>
                <w:rFonts w:ascii="Calibri" w:hAnsi="Calibri"/>
                <w:sz w:val="20"/>
                <w:szCs w:val="20"/>
              </w:rPr>
            </w:pPr>
            <w:r w:rsidRPr="007F0529">
              <w:rPr>
                <w:rFonts w:ascii="Calibri" w:hAnsi="Calibri"/>
                <w:sz w:val="20"/>
                <w:szCs w:val="20"/>
              </w:rPr>
              <w:t>Additions of treatment phases and clinical criteria to 8465M:</w:t>
            </w:r>
          </w:p>
          <w:p w:rsidR="00F019FF" w:rsidRPr="007F0529" w:rsidRDefault="00F019FF" w:rsidP="00352F5D">
            <w:pPr>
              <w:rPr>
                <w:rFonts w:ascii="Calibri" w:hAnsi="Calibri"/>
                <w:sz w:val="20"/>
                <w:szCs w:val="20"/>
              </w:rPr>
            </w:pPr>
            <w:r w:rsidRPr="007F0529">
              <w:rPr>
                <w:rFonts w:ascii="Calibri" w:hAnsi="Calibri"/>
                <w:sz w:val="20"/>
                <w:szCs w:val="20"/>
              </w:rPr>
              <w:t xml:space="preserve">Treatment Phase: Commencement of a short-term (9 weeks) course of treatment.  </w:t>
            </w:r>
          </w:p>
          <w:p w:rsidR="00F019FF" w:rsidRPr="007F0529" w:rsidRDefault="00F019FF" w:rsidP="00352F5D">
            <w:pPr>
              <w:rPr>
                <w:rFonts w:ascii="Calibri" w:hAnsi="Calibri"/>
                <w:sz w:val="20"/>
                <w:szCs w:val="20"/>
              </w:rPr>
            </w:pPr>
            <w:r w:rsidRPr="007F0529">
              <w:rPr>
                <w:rFonts w:ascii="Calibri" w:hAnsi="Calibri"/>
                <w:sz w:val="20"/>
                <w:szCs w:val="20"/>
              </w:rPr>
              <w:t>Clinical criteria:  * The treatment must be the sole PBS-subsidised therapy for this condition,  AND  * Patient must have indicated they are ready to cease smoking,  AND  * Patient must be entering a comprehensive support and counselling program during the consultation at which this prescription is written,  AND  * Patient must not receive more than 9 weeks of PBS-subsidised treatment with this drug per 12-month period. Details of the support and counselling program must be documented in the patient's medical records at the time treatment is initiated.</w:t>
            </w:r>
          </w:p>
          <w:p w:rsidR="00F019FF" w:rsidRPr="007F0529" w:rsidRDefault="00F019FF" w:rsidP="00352F5D">
            <w:pPr>
              <w:rPr>
                <w:rFonts w:ascii="Calibri" w:hAnsi="Calibri"/>
                <w:sz w:val="20"/>
                <w:szCs w:val="20"/>
              </w:rPr>
            </w:pPr>
          </w:p>
          <w:p w:rsidR="00F019FF" w:rsidRPr="007F0529" w:rsidRDefault="00F019FF" w:rsidP="00352F5D">
            <w:pPr>
              <w:rPr>
                <w:rFonts w:ascii="Calibri" w:hAnsi="Calibri"/>
                <w:sz w:val="20"/>
                <w:szCs w:val="20"/>
              </w:rPr>
            </w:pPr>
            <w:r w:rsidRPr="007F0529">
              <w:rPr>
                <w:rFonts w:ascii="Calibri" w:hAnsi="Calibri"/>
                <w:sz w:val="20"/>
                <w:szCs w:val="20"/>
              </w:rPr>
              <w:lastRenderedPageBreak/>
              <w:t>Additions of treatment phases and clinical criteria to 8710K:</w:t>
            </w:r>
          </w:p>
          <w:p w:rsidR="00F019FF" w:rsidRPr="007F0529" w:rsidRDefault="00F019FF" w:rsidP="00352F5D">
            <w:pPr>
              <w:rPr>
                <w:rFonts w:ascii="Calibri" w:hAnsi="Calibri"/>
                <w:sz w:val="20"/>
                <w:szCs w:val="20"/>
              </w:rPr>
            </w:pPr>
            <w:r w:rsidRPr="007F0529">
              <w:rPr>
                <w:rFonts w:ascii="Calibri" w:hAnsi="Calibri"/>
                <w:sz w:val="20"/>
                <w:szCs w:val="20"/>
              </w:rPr>
              <w:t>Treatment Phase: Completion of a short-term (9 weeks) course of treatment.</w:t>
            </w:r>
          </w:p>
          <w:p w:rsidR="00F019FF" w:rsidRPr="007F0529" w:rsidRDefault="00F019FF" w:rsidP="00352F5D">
            <w:pPr>
              <w:rPr>
                <w:rFonts w:ascii="Calibri" w:hAnsi="Calibri"/>
                <w:sz w:val="20"/>
                <w:szCs w:val="20"/>
              </w:rPr>
            </w:pPr>
            <w:r w:rsidRPr="007F0529">
              <w:rPr>
                <w:rFonts w:ascii="Calibri" w:hAnsi="Calibri"/>
                <w:sz w:val="20"/>
                <w:szCs w:val="20"/>
              </w:rPr>
              <w:t>Clinical criteria:  * The treatment must be the sole PBS-subsidised therapy for this condition,  AND  * Patient must have previously been issued with an authority prescription for this drug during this current course of treatment,  AND  * Patient must be enrolled in a comprehensive support and counselling program,  AND  * Patient must not receive more than 9 weeks of PBS-subsidised treatment with this drug per 12-month period.</w:t>
            </w:r>
          </w:p>
        </w:tc>
      </w:tr>
    </w:tbl>
    <w:p w:rsidR="000A092D" w:rsidRDefault="000A092D" w:rsidP="00EA7A80"/>
    <w:p w:rsidR="000A092D" w:rsidRPr="000A092D" w:rsidRDefault="000A092D" w:rsidP="000A092D"/>
    <w:p w:rsidR="000A092D" w:rsidRPr="000A092D" w:rsidRDefault="000A092D" w:rsidP="000A092D"/>
    <w:p w:rsidR="000A092D" w:rsidRPr="000A092D" w:rsidRDefault="000A092D" w:rsidP="000A092D"/>
    <w:p w:rsidR="000A092D" w:rsidRPr="000A092D" w:rsidRDefault="000A092D" w:rsidP="000A092D"/>
    <w:p w:rsidR="000A092D" w:rsidRPr="000A092D" w:rsidRDefault="000A092D" w:rsidP="000A092D"/>
    <w:p w:rsidR="000A092D" w:rsidRPr="000A092D" w:rsidRDefault="000A092D" w:rsidP="000A092D"/>
    <w:p w:rsidR="000A092D" w:rsidRPr="000A092D" w:rsidRDefault="000A092D" w:rsidP="000A092D"/>
    <w:p w:rsidR="000A092D" w:rsidRPr="000A092D" w:rsidRDefault="000A092D" w:rsidP="000A092D"/>
    <w:p w:rsidR="000A092D" w:rsidRDefault="000A092D" w:rsidP="000A092D"/>
    <w:p w:rsidR="00336816" w:rsidRPr="000A092D" w:rsidRDefault="000A092D" w:rsidP="000A092D">
      <w:pPr>
        <w:tabs>
          <w:tab w:val="left" w:pos="3870"/>
        </w:tabs>
      </w:pPr>
      <w:r>
        <w:tab/>
      </w:r>
    </w:p>
    <w:sectPr w:rsidR="00336816" w:rsidRPr="000A092D" w:rsidSect="00DD188C">
      <w:headerReference w:type="even" r:id="rId12"/>
      <w:headerReference w:type="default" r:id="rId13"/>
      <w:footerReference w:type="even" r:id="rId14"/>
      <w:footerReference w:type="default" r:id="rId15"/>
      <w:headerReference w:type="first" r:id="rId16"/>
      <w:footerReference w:type="first" r:id="rId17"/>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ABD" w:rsidRDefault="00D14ABD" w:rsidP="00A35800">
      <w:r>
        <w:separator/>
      </w:r>
    </w:p>
  </w:endnote>
  <w:endnote w:type="continuationSeparator" w:id="0">
    <w:p w:rsidR="00D14ABD" w:rsidRDefault="00D14ABD" w:rsidP="00A35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Baskerville">
    <w:altName w:val="Times New Roman"/>
    <w:charset w:val="00"/>
    <w:family w:val="auto"/>
    <w:pitch w:val="variable"/>
    <w:sig w:usb0="80000063" w:usb1="00000000" w:usb2="00000000" w:usb3="00000000" w:csb0="000001FB" w:csb1="00000000"/>
  </w:font>
  <w:font w:name="HelveticaNeueLT Std">
    <w:altName w:val="HelveticaNeueLT Std"/>
    <w:panose1 w:val="00000000000000000000"/>
    <w:charset w:val="00"/>
    <w:family w:val="swiss"/>
    <w:notTrueType/>
    <w:pitch w:val="default"/>
    <w:sig w:usb0="00000003" w:usb1="00000000" w:usb2="00000000" w:usb3="00000000" w:csb0="00000001" w:csb1="00000000"/>
  </w:font>
  <w:font w:name="Myriad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FPE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BD" w:rsidRDefault="00D14ABD" w:rsidP="00A358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D14ABD" w:rsidRDefault="00D14ABD" w:rsidP="00A358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EndPr/>
    <w:sdtContent>
      <w:sdt>
        <w:sdtPr>
          <w:id w:val="-1669238322"/>
          <w:docPartObj>
            <w:docPartGallery w:val="Page Numbers (Top of Page)"/>
            <w:docPartUnique/>
          </w:docPartObj>
        </w:sdtPr>
        <w:sdtEndPr/>
        <w:sdtContent>
          <w:p w:rsidR="00D14ABD" w:rsidRPr="000E72C6" w:rsidRDefault="00D14ABD" w:rsidP="000E72C6">
            <w:pPr>
              <w:pStyle w:val="Footer"/>
              <w:jc w:val="center"/>
              <w:rPr>
                <w:i/>
                <w:sz w:val="20"/>
              </w:rPr>
            </w:pPr>
            <w:r>
              <w:rPr>
                <w:i/>
                <w:sz w:val="20"/>
              </w:rPr>
              <w:t>Public Release Document, February 2016 DUSC Meeting</w:t>
            </w:r>
          </w:p>
          <w:p w:rsidR="00D14ABD" w:rsidRDefault="00D14ABD" w:rsidP="000E72C6">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BC0E64">
              <w:rPr>
                <w:bCs/>
                <w:i/>
                <w:noProof/>
                <w:sz w:val="20"/>
              </w:rPr>
              <w:t>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BC0E64">
              <w:rPr>
                <w:bCs/>
                <w:i/>
                <w:noProof/>
                <w:sz w:val="20"/>
              </w:rPr>
              <w:t>29</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BD" w:rsidRDefault="00D14ABD" w:rsidP="007A5733">
    <w:pPr>
      <w:pStyle w:val="Footer"/>
      <w:jc w:val="center"/>
      <w:rPr>
        <w:rStyle w:val="PageNumber"/>
      </w:rPr>
    </w:pPr>
    <w:r>
      <w:rPr>
        <w:rStyle w:val="PageNumber"/>
      </w:rPr>
      <w:t>Committee-in-Confidence</w:t>
    </w:r>
  </w:p>
  <w:p w:rsidR="00D14ABD" w:rsidRDefault="00D14ABD" w:rsidP="007A5733">
    <w:pPr>
      <w:pStyle w:val="Footer"/>
      <w:jc w:val="center"/>
      <w:rPr>
        <w:rStyle w:val="PageNumbe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ABD" w:rsidRDefault="00D14ABD" w:rsidP="00A35800">
      <w:r>
        <w:separator/>
      </w:r>
    </w:p>
  </w:footnote>
  <w:footnote w:type="continuationSeparator" w:id="0">
    <w:p w:rsidR="00D14ABD" w:rsidRDefault="00D14ABD" w:rsidP="00A35800">
      <w:r>
        <w:continuationSeparator/>
      </w:r>
    </w:p>
  </w:footnote>
  <w:footnote w:id="1">
    <w:p w:rsidR="00D14ABD" w:rsidRPr="00F67998" w:rsidRDefault="00D14ABD" w:rsidP="009F61FA">
      <w:pPr>
        <w:autoSpaceDE w:val="0"/>
        <w:autoSpaceDN w:val="0"/>
        <w:adjustRightInd w:val="0"/>
        <w:spacing w:after="0"/>
        <w:rPr>
          <w:rFonts w:cs="MyriadPro-Light"/>
          <w:sz w:val="18"/>
          <w:szCs w:val="18"/>
        </w:rPr>
      </w:pPr>
      <w:r w:rsidRPr="00367CEC">
        <w:rPr>
          <w:rStyle w:val="FootnoteReference"/>
          <w:sz w:val="18"/>
          <w:szCs w:val="20"/>
        </w:rPr>
        <w:footnoteRef/>
      </w:r>
      <w:r>
        <w:t xml:space="preserve"> </w:t>
      </w:r>
      <w:r w:rsidRPr="00F67998">
        <w:rPr>
          <w:rFonts w:cs="MyriadPro-Light"/>
          <w:sz w:val="18"/>
          <w:szCs w:val="18"/>
        </w:rPr>
        <w:t>Australian Institute of Health and Welfare 2014. National Drug Strategy Household Survey detailed report 2013.</w:t>
      </w:r>
    </w:p>
    <w:p w:rsidR="00D14ABD" w:rsidRDefault="00D14ABD" w:rsidP="009F61FA">
      <w:pPr>
        <w:pStyle w:val="FootnoteText"/>
      </w:pPr>
      <w:r w:rsidRPr="00F67998">
        <w:rPr>
          <w:rFonts w:cs="MyriadPro-Light"/>
          <w:szCs w:val="18"/>
        </w:rPr>
        <w:t>Drug statistics series no. 28. Cat. no. PHE 183. Canberra: AIHW</w:t>
      </w:r>
      <w:r>
        <w:rPr>
          <w:rFonts w:cs="MyriadPro-Light"/>
          <w:szCs w:val="18"/>
        </w:rPr>
        <w:t>.</w:t>
      </w:r>
      <w:r w:rsidRPr="00F67998">
        <w:rPr>
          <w:rFonts w:cs="MyriadPro-Light"/>
          <w:szCs w:val="18"/>
        </w:rPr>
        <w:t xml:space="preserve"> Available from </w:t>
      </w:r>
      <w:hyperlink r:id="rId1" w:history="1">
        <w:r w:rsidRPr="00F67998">
          <w:rPr>
            <w:rStyle w:val="Hyperlink"/>
            <w:rFonts w:cs="MyriadPro-Light"/>
            <w:szCs w:val="18"/>
          </w:rPr>
          <w:t>www.aihw.gov.au</w:t>
        </w:r>
      </w:hyperlink>
      <w:r w:rsidRPr="00F67998">
        <w:rPr>
          <w:rFonts w:cs="MyriadPro-Light"/>
          <w:szCs w:val="18"/>
        </w:rPr>
        <w:t xml:space="preserve"> Accessed 26 Oct 2015</w:t>
      </w:r>
    </w:p>
  </w:footnote>
  <w:footnote w:id="2">
    <w:p w:rsidR="00D14ABD" w:rsidRDefault="00D14ABD">
      <w:pPr>
        <w:pStyle w:val="FootnoteText"/>
      </w:pPr>
      <w:r>
        <w:rPr>
          <w:rStyle w:val="FootnoteReference"/>
        </w:rPr>
        <w:footnoteRef/>
      </w:r>
      <w:r>
        <w:t xml:space="preserve"> </w:t>
      </w:r>
      <w:r w:rsidRPr="007D1169">
        <w:rPr>
          <w:szCs w:val="18"/>
        </w:rPr>
        <w:t xml:space="preserve">Intergovernmental Committee on Drugs 2012. National Tobacco Strategy 2012-2018. Canberra: Department of Health and Ageing. Available from </w:t>
      </w:r>
      <w:hyperlink r:id="rId2" w:history="1">
        <w:r w:rsidRPr="007D1169">
          <w:rPr>
            <w:rStyle w:val="Hyperlink"/>
            <w:szCs w:val="18"/>
          </w:rPr>
          <w:t>http://www.nationaldrugstrategy.gov.au/</w:t>
        </w:r>
      </w:hyperlink>
      <w:r w:rsidRPr="007D1169">
        <w:rPr>
          <w:szCs w:val="18"/>
        </w:rPr>
        <w:t xml:space="preserve"> Accessed 28 Oct 2015.</w:t>
      </w:r>
    </w:p>
  </w:footnote>
  <w:footnote w:id="3">
    <w:p w:rsidR="00D14ABD" w:rsidRDefault="00D14ABD">
      <w:pPr>
        <w:pStyle w:val="FootnoteText"/>
      </w:pPr>
      <w:r>
        <w:rPr>
          <w:rStyle w:val="FootnoteReference"/>
        </w:rPr>
        <w:footnoteRef/>
      </w:r>
      <w:r>
        <w:t xml:space="preserve"> Varenicline (Champix®) Consumer Medicine Information. Available from </w:t>
      </w:r>
      <w:hyperlink r:id="rId3" w:history="1">
        <w:r w:rsidRPr="005E51C4">
          <w:rPr>
            <w:rStyle w:val="Hyperlink"/>
          </w:rPr>
          <w:t>https://www.ebs.tga.gov.au</w:t>
        </w:r>
      </w:hyperlink>
      <w:r>
        <w:t>, Accessed 16 Oct 2015</w:t>
      </w:r>
    </w:p>
  </w:footnote>
  <w:footnote w:id="4">
    <w:p w:rsidR="00D14ABD" w:rsidRDefault="00D14ABD">
      <w:pPr>
        <w:pStyle w:val="FootnoteText"/>
      </w:pPr>
      <w:r>
        <w:rPr>
          <w:rStyle w:val="FootnoteReference"/>
        </w:rPr>
        <w:footnoteRef/>
      </w:r>
      <w:r>
        <w:t xml:space="preserve"> Therapeutic Guidelines 2011. Available from </w:t>
      </w:r>
      <w:hyperlink r:id="rId4" w:history="1">
        <w:r w:rsidRPr="000E4B16">
          <w:rPr>
            <w:rStyle w:val="Hyperlink"/>
          </w:rPr>
          <w:t>http://online.tg.org.au/complete/</w:t>
        </w:r>
      </w:hyperlink>
      <w:r>
        <w:t xml:space="preserve"> Accessed 16 Oct 2015</w:t>
      </w:r>
    </w:p>
  </w:footnote>
  <w:footnote w:id="5">
    <w:p w:rsidR="00D14ABD" w:rsidRDefault="00D14ABD">
      <w:pPr>
        <w:pStyle w:val="FootnoteText"/>
      </w:pPr>
      <w:r>
        <w:rPr>
          <w:rStyle w:val="FootnoteReference"/>
        </w:rPr>
        <w:footnoteRef/>
      </w:r>
      <w:r>
        <w:t xml:space="preserve"> Bupropion (Zyban®) Consumer Medicine Information. Available from </w:t>
      </w:r>
      <w:hyperlink r:id="rId5" w:history="1">
        <w:r w:rsidRPr="005E51C4">
          <w:rPr>
            <w:rStyle w:val="Hyperlink"/>
          </w:rPr>
          <w:t>https://www.ebs.tga.gov.au</w:t>
        </w:r>
      </w:hyperlink>
      <w:r>
        <w:t>, Accessed 16 Oct 2015</w:t>
      </w:r>
    </w:p>
  </w:footnote>
  <w:footnote w:id="6">
    <w:p w:rsidR="00D14ABD" w:rsidRDefault="00D14ABD">
      <w:pPr>
        <w:pStyle w:val="FootnoteText"/>
      </w:pPr>
      <w:r>
        <w:rPr>
          <w:rStyle w:val="FootnoteReference"/>
        </w:rPr>
        <w:footnoteRef/>
      </w:r>
      <w:r>
        <w:t xml:space="preserve"> Therapeutic Goods Administration 2008. Available from </w:t>
      </w:r>
      <w:hyperlink r:id="rId6" w:history="1">
        <w:r w:rsidRPr="00571C1B">
          <w:rPr>
            <w:rStyle w:val="Hyperlink"/>
          </w:rPr>
          <w:t>https://www.tga.gov.au/publication-issue/australian-adverse-drug-reactions-bulletin-vol-27-no-6</w:t>
        </w:r>
      </w:hyperlink>
      <w:r>
        <w:t xml:space="preserve"> Accessed 4 November 2015.</w:t>
      </w:r>
    </w:p>
  </w:footnote>
  <w:footnote w:id="7">
    <w:p w:rsidR="00D14ABD" w:rsidRDefault="00D14ABD">
      <w:pPr>
        <w:pStyle w:val="FootnoteText"/>
      </w:pPr>
      <w:r>
        <w:rPr>
          <w:rStyle w:val="FootnoteReference"/>
        </w:rPr>
        <w:footnoteRef/>
      </w:r>
      <w:r>
        <w:t xml:space="preserve"> Therapeutic Goods Administration 2010. Available from </w:t>
      </w:r>
      <w:hyperlink r:id="rId7" w:history="1">
        <w:r w:rsidRPr="00571C1B">
          <w:rPr>
            <w:rStyle w:val="Hyperlink"/>
          </w:rPr>
          <w:t>https://www.tga.gov.au/publication-issue/medicines-safety-update-no4-2010</w:t>
        </w:r>
      </w:hyperlink>
      <w:r>
        <w:t xml:space="preserve"> Accessed 4 November 2015.</w:t>
      </w:r>
    </w:p>
  </w:footnote>
  <w:footnote w:id="8">
    <w:p w:rsidR="00D14ABD" w:rsidRDefault="00D14ABD">
      <w:pPr>
        <w:pStyle w:val="FootnoteText"/>
      </w:pPr>
      <w:r>
        <w:rPr>
          <w:rStyle w:val="FootnoteReference"/>
        </w:rPr>
        <w:footnoteRef/>
      </w:r>
      <w:r>
        <w:t xml:space="preserve"> Therapeutic Goods Administration 2001. Available from </w:t>
      </w:r>
      <w:hyperlink r:id="rId8" w:history="1">
        <w:r w:rsidRPr="006479B0">
          <w:rPr>
            <w:rStyle w:val="Hyperlink"/>
          </w:rPr>
          <w:t>https://www.tga.gov.au/alert/varenicline-champix</w:t>
        </w:r>
      </w:hyperlink>
      <w:r>
        <w:t xml:space="preserve"> Accessed December 10 2015.</w:t>
      </w:r>
    </w:p>
  </w:footnote>
  <w:footnote w:id="9">
    <w:p w:rsidR="00D14ABD" w:rsidRDefault="00D14ABD">
      <w:pPr>
        <w:pStyle w:val="FootnoteText"/>
      </w:pPr>
      <w:r>
        <w:rPr>
          <w:rStyle w:val="FootnoteReference"/>
        </w:rPr>
        <w:footnoteRef/>
      </w:r>
      <w:r>
        <w:t xml:space="preserve"> Therapeutic Goods Administration 2001. Available from </w:t>
      </w:r>
      <w:hyperlink r:id="rId9" w:history="1">
        <w:r w:rsidRPr="00571C1B">
          <w:rPr>
            <w:rStyle w:val="Hyperlink"/>
          </w:rPr>
          <w:t>https://www.tga.gov.au/alert/bupropion-zyban-sr</w:t>
        </w:r>
      </w:hyperlink>
      <w:r>
        <w:t xml:space="preserve">. Accessed 4 November 2015. </w:t>
      </w:r>
    </w:p>
  </w:footnote>
  <w:footnote w:id="10">
    <w:p w:rsidR="00D14ABD" w:rsidRDefault="00D14ABD">
      <w:pPr>
        <w:pStyle w:val="FootnoteText"/>
      </w:pPr>
      <w:r>
        <w:rPr>
          <w:rStyle w:val="FootnoteReference"/>
        </w:rPr>
        <w:footnoteRef/>
      </w:r>
      <w:r>
        <w:t xml:space="preserve"> Varenicline (Champix®) Product Information. Available from </w:t>
      </w:r>
      <w:hyperlink r:id="rId10" w:history="1">
        <w:r w:rsidRPr="005E51C4">
          <w:rPr>
            <w:rStyle w:val="Hyperlink"/>
          </w:rPr>
          <w:t>https://www.ebs.tga.gov.au</w:t>
        </w:r>
      </w:hyperlink>
      <w:r>
        <w:t>, Accessed 21 Oct 2015.</w:t>
      </w:r>
    </w:p>
  </w:footnote>
  <w:footnote w:id="11">
    <w:p w:rsidR="00D14ABD" w:rsidRDefault="00D14ABD">
      <w:pPr>
        <w:pStyle w:val="FootnoteText"/>
      </w:pPr>
      <w:r>
        <w:rPr>
          <w:rStyle w:val="FootnoteReference"/>
        </w:rPr>
        <w:footnoteRef/>
      </w:r>
      <w:r>
        <w:t xml:space="preserve"> Bupropion (Zyban®) Product Information. Available from </w:t>
      </w:r>
      <w:hyperlink r:id="rId11" w:history="1">
        <w:r w:rsidRPr="005E51C4">
          <w:rPr>
            <w:rStyle w:val="Hyperlink"/>
          </w:rPr>
          <w:t>https://www.ebs.tga.gov.au</w:t>
        </w:r>
      </w:hyperlink>
      <w:r>
        <w:t>, Accessed 21 Oct 2015.</w:t>
      </w:r>
    </w:p>
  </w:footnote>
  <w:footnote w:id="12">
    <w:p w:rsidR="00D14ABD" w:rsidRDefault="00D14ABD">
      <w:pPr>
        <w:pStyle w:val="FootnoteText"/>
      </w:pPr>
      <w:r>
        <w:rPr>
          <w:rStyle w:val="FootnoteReference"/>
        </w:rPr>
        <w:footnoteRef/>
      </w:r>
      <w:r>
        <w:t xml:space="preserve"> Nicotine (Nicotinell®, Nicabate P®, Nicabate CQ®, QuitX®, Nicorette® and Nicorette Invisipatch®) Product Information. Available from </w:t>
      </w:r>
      <w:hyperlink r:id="rId12" w:history="1">
        <w:r w:rsidRPr="005E51C4">
          <w:rPr>
            <w:rStyle w:val="Hyperlink"/>
          </w:rPr>
          <w:t>https://www.ebs.tga.gov.au</w:t>
        </w:r>
      </w:hyperlink>
      <w:r>
        <w:t>, Accessed 21 Oct 2015.</w:t>
      </w:r>
    </w:p>
  </w:footnote>
  <w:footnote w:id="13">
    <w:p w:rsidR="00D14ABD" w:rsidRDefault="00D14ABD">
      <w:pPr>
        <w:pStyle w:val="FootnoteText"/>
      </w:pPr>
      <w:r>
        <w:rPr>
          <w:rStyle w:val="FootnoteReference"/>
        </w:rPr>
        <w:footnoteRef/>
      </w:r>
      <w:r>
        <w:t xml:space="preserve"> Nicotine (Nicotinell®, Nicabate P®, Nicabate®, QuitX®, Nicorette®) Product Information. Available from </w:t>
      </w:r>
      <w:hyperlink r:id="rId13" w:history="1">
        <w:r w:rsidRPr="005E51C4">
          <w:rPr>
            <w:rStyle w:val="Hyperlink"/>
          </w:rPr>
          <w:t>https://www.ebs.tga.gov.au</w:t>
        </w:r>
      </w:hyperlink>
      <w:r>
        <w:t>, Accessed 22 Oct 2015.</w:t>
      </w:r>
    </w:p>
  </w:footnote>
  <w:footnote w:id="14">
    <w:p w:rsidR="00D14ABD" w:rsidRDefault="00D14ABD">
      <w:pPr>
        <w:pStyle w:val="FootnoteText"/>
      </w:pPr>
      <w:r>
        <w:rPr>
          <w:rStyle w:val="FootnoteReference"/>
        </w:rPr>
        <w:footnoteRef/>
      </w:r>
      <w:r>
        <w:t xml:space="preserve"> Nicotine (Nicorette®) Product Information. Available from </w:t>
      </w:r>
      <w:hyperlink r:id="rId14" w:history="1">
        <w:r w:rsidRPr="005E51C4">
          <w:rPr>
            <w:rStyle w:val="Hyperlink"/>
          </w:rPr>
          <w:t>https://www.ebs.tga.gov.au</w:t>
        </w:r>
      </w:hyperlink>
      <w:r>
        <w:t>, Accessed 22 Oct 2015.</w:t>
      </w:r>
    </w:p>
  </w:footnote>
  <w:footnote w:id="15">
    <w:p w:rsidR="00D14ABD" w:rsidRPr="00F67998" w:rsidRDefault="00D14ABD" w:rsidP="00F67998">
      <w:pPr>
        <w:autoSpaceDE w:val="0"/>
        <w:autoSpaceDN w:val="0"/>
        <w:adjustRightInd w:val="0"/>
        <w:spacing w:after="0"/>
        <w:rPr>
          <w:rFonts w:cs="MyriadPro-Light"/>
          <w:sz w:val="18"/>
          <w:szCs w:val="18"/>
        </w:rPr>
      </w:pPr>
      <w:r w:rsidRPr="00A97BF9">
        <w:rPr>
          <w:rStyle w:val="FootnoteReference"/>
          <w:sz w:val="18"/>
          <w:szCs w:val="18"/>
        </w:rPr>
        <w:footnoteRef/>
      </w:r>
      <w:r w:rsidRPr="00A97BF9">
        <w:rPr>
          <w:sz w:val="18"/>
          <w:szCs w:val="18"/>
        </w:rPr>
        <w:t xml:space="preserve"> </w:t>
      </w:r>
      <w:r w:rsidRPr="00F67998">
        <w:rPr>
          <w:rFonts w:cs="MyriadPro-Light"/>
          <w:sz w:val="18"/>
          <w:szCs w:val="18"/>
        </w:rPr>
        <w:t>Australian Institute of Health and Welfare 2014. National Drug Strategy Household Survey detailed report 2013.</w:t>
      </w:r>
    </w:p>
    <w:p w:rsidR="00D14ABD" w:rsidRDefault="00D14ABD" w:rsidP="00F67998">
      <w:pPr>
        <w:pStyle w:val="FootnoteText"/>
      </w:pPr>
      <w:r w:rsidRPr="00F67998">
        <w:rPr>
          <w:rFonts w:cs="MyriadPro-Light"/>
          <w:szCs w:val="18"/>
        </w:rPr>
        <w:t>Drug statistics series no. 28. Cat. no. PHE 183. Canberra: AIHW</w:t>
      </w:r>
      <w:r>
        <w:rPr>
          <w:rFonts w:cs="MyriadPro-Light"/>
          <w:szCs w:val="18"/>
        </w:rPr>
        <w:t>.</w:t>
      </w:r>
      <w:r w:rsidRPr="00F67998">
        <w:rPr>
          <w:rFonts w:cs="MyriadPro-Light"/>
          <w:szCs w:val="18"/>
        </w:rPr>
        <w:t xml:space="preserve"> Available from </w:t>
      </w:r>
      <w:hyperlink r:id="rId15" w:history="1">
        <w:r w:rsidRPr="00F67998">
          <w:rPr>
            <w:rStyle w:val="Hyperlink"/>
            <w:rFonts w:cs="MyriadPro-Light"/>
            <w:szCs w:val="18"/>
          </w:rPr>
          <w:t>www.aihw.gov.au</w:t>
        </w:r>
      </w:hyperlink>
      <w:r w:rsidRPr="00F67998">
        <w:rPr>
          <w:rFonts w:cs="MyriadPro-Light"/>
          <w:szCs w:val="18"/>
        </w:rPr>
        <w:t xml:space="preserve"> Accessed 26 Oct 2015</w:t>
      </w:r>
      <w:r>
        <w:rPr>
          <w:rFonts w:cs="MyriadPro-Light"/>
          <w:szCs w:val="18"/>
        </w:rPr>
        <w:t>.</w:t>
      </w:r>
    </w:p>
  </w:footnote>
  <w:footnote w:id="16">
    <w:p w:rsidR="00D14ABD" w:rsidRPr="007D1169" w:rsidRDefault="00D14ABD">
      <w:pPr>
        <w:pStyle w:val="FootnoteText"/>
        <w:rPr>
          <w:szCs w:val="18"/>
        </w:rPr>
      </w:pPr>
      <w:r w:rsidRPr="007D1169">
        <w:rPr>
          <w:rStyle w:val="FootnoteReference"/>
          <w:szCs w:val="18"/>
        </w:rPr>
        <w:footnoteRef/>
      </w:r>
      <w:r w:rsidRPr="007D1169">
        <w:rPr>
          <w:szCs w:val="18"/>
        </w:rPr>
        <w:t xml:space="preserve"> Intergovernmental Committee on Drugs 2012. National Tobacco Strategy 2012-2018. Canberra: Department of Health and Ageing. Available from </w:t>
      </w:r>
      <w:hyperlink r:id="rId16" w:history="1">
        <w:r w:rsidRPr="007D1169">
          <w:rPr>
            <w:rStyle w:val="Hyperlink"/>
            <w:szCs w:val="18"/>
          </w:rPr>
          <w:t>http://www.nationaldrugstrategy.gov.au/</w:t>
        </w:r>
      </w:hyperlink>
      <w:r w:rsidRPr="007D1169">
        <w:rPr>
          <w:szCs w:val="18"/>
        </w:rPr>
        <w:t xml:space="preserve"> Accessed 28 Oct 2015.</w:t>
      </w:r>
    </w:p>
  </w:footnote>
  <w:footnote w:id="17">
    <w:p w:rsidR="00D14ABD" w:rsidRDefault="00D14ABD" w:rsidP="007D1169">
      <w:pPr>
        <w:autoSpaceDE w:val="0"/>
        <w:autoSpaceDN w:val="0"/>
        <w:adjustRightInd w:val="0"/>
        <w:spacing w:after="0"/>
      </w:pPr>
      <w:r w:rsidRPr="007D1169">
        <w:rPr>
          <w:rStyle w:val="FootnoteReference"/>
          <w:sz w:val="18"/>
          <w:szCs w:val="18"/>
        </w:rPr>
        <w:footnoteRef/>
      </w:r>
      <w:r w:rsidRPr="007D1169">
        <w:rPr>
          <w:sz w:val="18"/>
          <w:szCs w:val="18"/>
        </w:rPr>
        <w:t xml:space="preserve"> Borland R, Partos TR, Yong HH, Cummings KM, Hyland A. </w:t>
      </w:r>
      <w:r w:rsidRPr="007D1169">
        <w:rPr>
          <w:rFonts w:cs="Arial"/>
          <w:bCs/>
          <w:sz w:val="18"/>
          <w:szCs w:val="18"/>
        </w:rPr>
        <w:t>How much unsuccessful quitting activity is going on among adult smokers? Data from the International Tobacco Control 4-Country cohort survey</w:t>
      </w:r>
      <w:r>
        <w:rPr>
          <w:rFonts w:cs="Arial"/>
          <w:bCs/>
          <w:sz w:val="18"/>
          <w:szCs w:val="18"/>
        </w:rPr>
        <w:t xml:space="preserve">. </w:t>
      </w:r>
      <w:r w:rsidRPr="007D1169">
        <w:rPr>
          <w:rFonts w:cs="Arial"/>
          <w:bCs/>
          <w:sz w:val="18"/>
          <w:szCs w:val="18"/>
        </w:rPr>
        <w:t xml:space="preserve">Addiction 2012; </w:t>
      </w:r>
      <w:r w:rsidRPr="007D1169">
        <w:rPr>
          <w:rFonts w:cs="Times New Roman"/>
          <w:sz w:val="18"/>
          <w:szCs w:val="18"/>
        </w:rPr>
        <w:t>107(3): 673–682.</w:t>
      </w:r>
    </w:p>
  </w:footnote>
  <w:footnote w:id="18">
    <w:p w:rsidR="00D14ABD" w:rsidRPr="00121970" w:rsidRDefault="00D14ABD">
      <w:pPr>
        <w:pStyle w:val="FootnoteText"/>
        <w:rPr>
          <w:color w:val="0000FF" w:themeColor="hyperlink"/>
          <w:u w:val="single"/>
        </w:rPr>
      </w:pPr>
      <w:r>
        <w:rPr>
          <w:rStyle w:val="FootnoteReference"/>
        </w:rPr>
        <w:footnoteRef/>
      </w:r>
      <w:r>
        <w:t xml:space="preserve"> Drug Utilisation Sub Committee Outcome Statement October 2012. Available at </w:t>
      </w:r>
      <w:hyperlink r:id="rId17" w:history="1">
        <w:r w:rsidRPr="00BB7740">
          <w:rPr>
            <w:rStyle w:val="Hyperlink"/>
          </w:rPr>
          <w:t>http://www.pbs.gov.au/industry/listing/elements/dusc-meetings/dos/dusc-dos-oct-2012-v2.0.pdf</w:t>
        </w:r>
      </w:hyperlink>
      <w:r>
        <w:rPr>
          <w:rStyle w:val="Hyperlink"/>
        </w:rPr>
        <w:t xml:space="preserve"> </w:t>
      </w:r>
      <w:r>
        <w:t>Accessed 24 Nov 2015</w:t>
      </w:r>
    </w:p>
  </w:footnote>
  <w:footnote w:id="19">
    <w:p w:rsidR="00D14ABD" w:rsidRPr="00BC5AE2" w:rsidRDefault="00D14ABD" w:rsidP="00576B18">
      <w:pPr>
        <w:pStyle w:val="FootnoteText"/>
        <w:rPr>
          <w:sz w:val="20"/>
        </w:rPr>
      </w:pPr>
      <w:r w:rsidRPr="00BC5AE2">
        <w:rPr>
          <w:rStyle w:val="FootnoteReference"/>
          <w:sz w:val="20"/>
        </w:rPr>
        <w:footnoteRef/>
      </w:r>
      <w:r w:rsidRPr="00BC5AE2">
        <w:rPr>
          <w:sz w:val="20"/>
        </w:rPr>
        <w:t xml:space="preserve"> PBS statistics</w:t>
      </w:r>
      <w:r>
        <w:rPr>
          <w:sz w:val="20"/>
        </w:rPr>
        <w:t>. Australian Government Department of Human Services Medicare. Canberra. Available from &lt;</w:t>
      </w:r>
      <w:hyperlink r:id="rId18" w:history="1">
        <w:r>
          <w:rPr>
            <w:rStyle w:val="Hyperlink"/>
            <w:sz w:val="20"/>
          </w:rPr>
          <w:t>http://www.medicareaustralia.gov.au/provider/pbs/stats.jsp</w:t>
        </w:r>
      </w:hyperlink>
      <w:r>
        <w:rPr>
          <w:sz w:val="20"/>
        </w:rPr>
        <w:t>&gt;.</w:t>
      </w:r>
    </w:p>
  </w:footnote>
  <w:footnote w:id="20">
    <w:p w:rsidR="00D14ABD" w:rsidRDefault="00D14ABD" w:rsidP="00183B6A">
      <w:pPr>
        <w:pStyle w:val="FootnoteText"/>
      </w:pPr>
      <w:r>
        <w:rPr>
          <w:rStyle w:val="FootnoteReference"/>
        </w:rPr>
        <w:footnoteRef/>
      </w:r>
      <w:r>
        <w:t xml:space="preserve"> Dunlop S, Cotter T, Perez D. Impact of the 2010 tobacco tax increase in Australia on short-term smoking cessation: a continuous tracking survey. Medical Journal of Australia 2011; 195(8): 469-472.</w:t>
      </w:r>
    </w:p>
  </w:footnote>
  <w:footnote w:id="21">
    <w:p w:rsidR="00D14ABD" w:rsidRDefault="00D14ABD">
      <w:pPr>
        <w:pStyle w:val="FootnoteText"/>
      </w:pPr>
      <w:r>
        <w:rPr>
          <w:rStyle w:val="FootnoteReference"/>
        </w:rPr>
        <w:footnoteRef/>
      </w:r>
      <w:r>
        <w:t xml:space="preserve"> The Royal Australian College of General Practitioners 2011. Supporting smoking cessation: a guide for health professionals [Updated July 2014]. Available from </w:t>
      </w:r>
      <w:hyperlink r:id="rId19" w:history="1">
        <w:r w:rsidRPr="00A65DBA">
          <w:rPr>
            <w:rStyle w:val="Hyperlink"/>
          </w:rPr>
          <w:t>http://www.racgp.org.au/download/Documents/Guidelines/smoking-cessation.pdf</w:t>
        </w:r>
      </w:hyperlink>
      <w:r>
        <w:t xml:space="preserve"> Accessed 15 December 2015.</w:t>
      </w:r>
    </w:p>
  </w:footnote>
  <w:footnote w:id="22">
    <w:p w:rsidR="00D14ABD" w:rsidRPr="0026114C" w:rsidRDefault="00D14ABD" w:rsidP="00773FD6">
      <w:pPr>
        <w:pStyle w:val="FootnoteText"/>
        <w:rPr>
          <w:szCs w:val="18"/>
        </w:rPr>
      </w:pPr>
      <w:r w:rsidRPr="0026114C">
        <w:rPr>
          <w:rStyle w:val="FootnoteReference"/>
          <w:szCs w:val="18"/>
        </w:rPr>
        <w:footnoteRef/>
      </w:r>
      <w:r w:rsidRPr="0026114C">
        <w:rPr>
          <w:szCs w:val="18"/>
        </w:rPr>
        <w:t xml:space="preserve"> Baker et al. Effects of nicotine patch vs varenicline vs combination nicotine replacement therapy on smoking cessation at 26 weeks. JAMA January 2016 (315): 4.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BD" w:rsidRDefault="00D14A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BD" w:rsidRDefault="00D14A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ABD" w:rsidRDefault="00D14A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15D60"/>
    <w:multiLevelType w:val="hybridMultilevel"/>
    <w:tmpl w:val="D4DA4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45B0B1E"/>
    <w:multiLevelType w:val="hybridMultilevel"/>
    <w:tmpl w:val="806E71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902144F"/>
    <w:multiLevelType w:val="hybridMultilevel"/>
    <w:tmpl w:val="AC0A6C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BE81535"/>
    <w:multiLevelType w:val="hybridMultilevel"/>
    <w:tmpl w:val="A4049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BF04DC0"/>
    <w:multiLevelType w:val="hybridMultilevel"/>
    <w:tmpl w:val="51885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64215F"/>
    <w:multiLevelType w:val="hybridMultilevel"/>
    <w:tmpl w:val="07FCA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2CAA2BC0"/>
    <w:multiLevelType w:val="hybridMultilevel"/>
    <w:tmpl w:val="4FCA7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E052DBB"/>
    <w:multiLevelType w:val="hybridMultilevel"/>
    <w:tmpl w:val="6220D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E424695"/>
    <w:multiLevelType w:val="hybridMultilevel"/>
    <w:tmpl w:val="E9A888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nsid w:val="32D255FF"/>
    <w:multiLevelType w:val="multilevel"/>
    <w:tmpl w:val="B19C6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092734"/>
    <w:multiLevelType w:val="hybridMultilevel"/>
    <w:tmpl w:val="619AB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0E62158"/>
    <w:multiLevelType w:val="multilevel"/>
    <w:tmpl w:val="C6F8AE8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nsid w:val="61746410"/>
    <w:multiLevelType w:val="hybridMultilevel"/>
    <w:tmpl w:val="19BED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C055D5"/>
    <w:multiLevelType w:val="hybridMultilevel"/>
    <w:tmpl w:val="402E82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4427309"/>
    <w:multiLevelType w:val="hybridMultilevel"/>
    <w:tmpl w:val="BF7C81CE"/>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6CF6654"/>
    <w:multiLevelType w:val="hybridMultilevel"/>
    <w:tmpl w:val="020A94CA"/>
    <w:lvl w:ilvl="0" w:tplc="F63C0D34">
      <w:numFmt w:val="bullet"/>
      <w:lvlText w:val="•"/>
      <w:lvlJc w:val="left"/>
      <w:pPr>
        <w:ind w:left="0" w:hanging="360"/>
      </w:pPr>
      <w:rPr>
        <w:rFonts w:ascii="Calibri" w:eastAsiaTheme="minorEastAsia" w:hAnsi="Calibri" w:cstheme="minorBidi"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19">
    <w:nsid w:val="687C2E20"/>
    <w:multiLevelType w:val="hybridMultilevel"/>
    <w:tmpl w:val="5C4C29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69681A72"/>
    <w:multiLevelType w:val="hybridMultilevel"/>
    <w:tmpl w:val="7DD82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72880EB7"/>
    <w:multiLevelType w:val="hybridMultilevel"/>
    <w:tmpl w:val="811C8C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771D68FE"/>
    <w:multiLevelType w:val="hybridMultilevel"/>
    <w:tmpl w:val="6C8E24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3"/>
  </w:num>
  <w:num w:numId="4">
    <w:abstractNumId w:val="12"/>
  </w:num>
  <w:num w:numId="5">
    <w:abstractNumId w:val="13"/>
  </w:num>
  <w:num w:numId="6">
    <w:abstractNumId w:val="17"/>
  </w:num>
  <w:num w:numId="7">
    <w:abstractNumId w:val="11"/>
  </w:num>
  <w:num w:numId="8">
    <w:abstractNumId w:val="20"/>
  </w:num>
  <w:num w:numId="9">
    <w:abstractNumId w:val="18"/>
  </w:num>
  <w:num w:numId="10">
    <w:abstractNumId w:val="15"/>
  </w:num>
  <w:num w:numId="11">
    <w:abstractNumId w:val="5"/>
  </w:num>
  <w:num w:numId="12">
    <w:abstractNumId w:val="7"/>
  </w:num>
  <w:num w:numId="13">
    <w:abstractNumId w:val="22"/>
  </w:num>
  <w:num w:numId="14">
    <w:abstractNumId w:val="0"/>
  </w:num>
  <w:num w:numId="15">
    <w:abstractNumId w:val="4"/>
  </w:num>
  <w:num w:numId="16">
    <w:abstractNumId w:val="16"/>
  </w:num>
  <w:num w:numId="17">
    <w:abstractNumId w:val="2"/>
  </w:num>
  <w:num w:numId="18">
    <w:abstractNumId w:val="8"/>
  </w:num>
  <w:num w:numId="19">
    <w:abstractNumId w:val="1"/>
  </w:num>
  <w:num w:numId="20">
    <w:abstractNumId w:val="19"/>
  </w:num>
  <w:num w:numId="21">
    <w:abstractNumId w:val="6"/>
  </w:num>
  <w:num w:numId="22">
    <w:abstractNumId w:val="1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041"/>
    <w:rsid w:val="00007E85"/>
    <w:rsid w:val="00010673"/>
    <w:rsid w:val="00013465"/>
    <w:rsid w:val="000163E1"/>
    <w:rsid w:val="00017639"/>
    <w:rsid w:val="000226B3"/>
    <w:rsid w:val="00024549"/>
    <w:rsid w:val="00030964"/>
    <w:rsid w:val="00031D57"/>
    <w:rsid w:val="00037655"/>
    <w:rsid w:val="000504ED"/>
    <w:rsid w:val="000544B6"/>
    <w:rsid w:val="000554EC"/>
    <w:rsid w:val="00055BDC"/>
    <w:rsid w:val="000604AF"/>
    <w:rsid w:val="00070F1A"/>
    <w:rsid w:val="00077FCC"/>
    <w:rsid w:val="000809D4"/>
    <w:rsid w:val="00084084"/>
    <w:rsid w:val="00086C11"/>
    <w:rsid w:val="00087149"/>
    <w:rsid w:val="00092D56"/>
    <w:rsid w:val="00094DCF"/>
    <w:rsid w:val="000A092D"/>
    <w:rsid w:val="000A0D0A"/>
    <w:rsid w:val="000A3608"/>
    <w:rsid w:val="000A6CFD"/>
    <w:rsid w:val="000B0982"/>
    <w:rsid w:val="000B23D8"/>
    <w:rsid w:val="000B796C"/>
    <w:rsid w:val="000C3689"/>
    <w:rsid w:val="000C46BB"/>
    <w:rsid w:val="000C4D9D"/>
    <w:rsid w:val="000C7C4B"/>
    <w:rsid w:val="000C7D8B"/>
    <w:rsid w:val="000D4CCF"/>
    <w:rsid w:val="000D55DD"/>
    <w:rsid w:val="000D5CEB"/>
    <w:rsid w:val="000E485D"/>
    <w:rsid w:val="000E72C6"/>
    <w:rsid w:val="000F1893"/>
    <w:rsid w:val="000F2F51"/>
    <w:rsid w:val="00103B72"/>
    <w:rsid w:val="001064A3"/>
    <w:rsid w:val="00113CF8"/>
    <w:rsid w:val="00113D74"/>
    <w:rsid w:val="00117615"/>
    <w:rsid w:val="00117C5C"/>
    <w:rsid w:val="00121970"/>
    <w:rsid w:val="001310AE"/>
    <w:rsid w:val="0013480F"/>
    <w:rsid w:val="0014051B"/>
    <w:rsid w:val="00140FDE"/>
    <w:rsid w:val="001420B3"/>
    <w:rsid w:val="00147252"/>
    <w:rsid w:val="00147E26"/>
    <w:rsid w:val="0015691C"/>
    <w:rsid w:val="00157481"/>
    <w:rsid w:val="001621F7"/>
    <w:rsid w:val="001624D7"/>
    <w:rsid w:val="00163F5A"/>
    <w:rsid w:val="00171054"/>
    <w:rsid w:val="001715C3"/>
    <w:rsid w:val="00177B86"/>
    <w:rsid w:val="00182585"/>
    <w:rsid w:val="00183B6A"/>
    <w:rsid w:val="00186A06"/>
    <w:rsid w:val="00191182"/>
    <w:rsid w:val="001961CF"/>
    <w:rsid w:val="0019664D"/>
    <w:rsid w:val="001977CF"/>
    <w:rsid w:val="001A6103"/>
    <w:rsid w:val="001B1E6D"/>
    <w:rsid w:val="001B5BC0"/>
    <w:rsid w:val="001B5D37"/>
    <w:rsid w:val="001B6AFA"/>
    <w:rsid w:val="001C2940"/>
    <w:rsid w:val="001C4016"/>
    <w:rsid w:val="001C548D"/>
    <w:rsid w:val="001C58BC"/>
    <w:rsid w:val="001C5F1C"/>
    <w:rsid w:val="001C6A5D"/>
    <w:rsid w:val="001D603D"/>
    <w:rsid w:val="001E2537"/>
    <w:rsid w:val="001E31A6"/>
    <w:rsid w:val="001E42C7"/>
    <w:rsid w:val="001E43D5"/>
    <w:rsid w:val="001E4CAB"/>
    <w:rsid w:val="001E59A1"/>
    <w:rsid w:val="001E77B2"/>
    <w:rsid w:val="001F2F3E"/>
    <w:rsid w:val="001F4906"/>
    <w:rsid w:val="001F5B0A"/>
    <w:rsid w:val="001F7C4A"/>
    <w:rsid w:val="00203F18"/>
    <w:rsid w:val="0020578A"/>
    <w:rsid w:val="00207631"/>
    <w:rsid w:val="002079F2"/>
    <w:rsid w:val="00214013"/>
    <w:rsid w:val="00215062"/>
    <w:rsid w:val="00220FC1"/>
    <w:rsid w:val="00222E9A"/>
    <w:rsid w:val="002243AE"/>
    <w:rsid w:val="00225C54"/>
    <w:rsid w:val="0023179D"/>
    <w:rsid w:val="0023746E"/>
    <w:rsid w:val="00241DB7"/>
    <w:rsid w:val="00247C3D"/>
    <w:rsid w:val="0025029B"/>
    <w:rsid w:val="0025389D"/>
    <w:rsid w:val="0026265F"/>
    <w:rsid w:val="002658C7"/>
    <w:rsid w:val="00266B5A"/>
    <w:rsid w:val="00275402"/>
    <w:rsid w:val="00280109"/>
    <w:rsid w:val="00281B51"/>
    <w:rsid w:val="00282707"/>
    <w:rsid w:val="002841C2"/>
    <w:rsid w:val="00286C3A"/>
    <w:rsid w:val="00286E8E"/>
    <w:rsid w:val="00286EAF"/>
    <w:rsid w:val="002930F5"/>
    <w:rsid w:val="00293289"/>
    <w:rsid w:val="002A06B7"/>
    <w:rsid w:val="002A14D2"/>
    <w:rsid w:val="002B1C80"/>
    <w:rsid w:val="002B3065"/>
    <w:rsid w:val="002B635D"/>
    <w:rsid w:val="002B7F53"/>
    <w:rsid w:val="002C25F2"/>
    <w:rsid w:val="002C3BFA"/>
    <w:rsid w:val="002C4DEF"/>
    <w:rsid w:val="002C6E0C"/>
    <w:rsid w:val="002C7335"/>
    <w:rsid w:val="002D144A"/>
    <w:rsid w:val="002D346C"/>
    <w:rsid w:val="002E19A3"/>
    <w:rsid w:val="002E212B"/>
    <w:rsid w:val="002E29C7"/>
    <w:rsid w:val="002E3337"/>
    <w:rsid w:val="002E6D03"/>
    <w:rsid w:val="002E7428"/>
    <w:rsid w:val="002F49A8"/>
    <w:rsid w:val="002F5B11"/>
    <w:rsid w:val="002F5E66"/>
    <w:rsid w:val="002F61CA"/>
    <w:rsid w:val="0030010D"/>
    <w:rsid w:val="003023F4"/>
    <w:rsid w:val="00302874"/>
    <w:rsid w:val="00303E42"/>
    <w:rsid w:val="003069A8"/>
    <w:rsid w:val="0030719E"/>
    <w:rsid w:val="0031316E"/>
    <w:rsid w:val="00315BA1"/>
    <w:rsid w:val="00315EE6"/>
    <w:rsid w:val="003205B9"/>
    <w:rsid w:val="00323361"/>
    <w:rsid w:val="00323C8F"/>
    <w:rsid w:val="00324656"/>
    <w:rsid w:val="00326338"/>
    <w:rsid w:val="003322F4"/>
    <w:rsid w:val="0033504C"/>
    <w:rsid w:val="00336816"/>
    <w:rsid w:val="003370D0"/>
    <w:rsid w:val="00337355"/>
    <w:rsid w:val="003402E4"/>
    <w:rsid w:val="00340F95"/>
    <w:rsid w:val="00341F0F"/>
    <w:rsid w:val="003458C1"/>
    <w:rsid w:val="0034749C"/>
    <w:rsid w:val="00352F5D"/>
    <w:rsid w:val="003531ED"/>
    <w:rsid w:val="00354FE3"/>
    <w:rsid w:val="00357D53"/>
    <w:rsid w:val="00360B9A"/>
    <w:rsid w:val="00360CDC"/>
    <w:rsid w:val="003635B5"/>
    <w:rsid w:val="00367CEC"/>
    <w:rsid w:val="00374315"/>
    <w:rsid w:val="00374897"/>
    <w:rsid w:val="0037628C"/>
    <w:rsid w:val="003763A0"/>
    <w:rsid w:val="003845B0"/>
    <w:rsid w:val="00386C02"/>
    <w:rsid w:val="0039017F"/>
    <w:rsid w:val="00392147"/>
    <w:rsid w:val="00393D12"/>
    <w:rsid w:val="00394AEE"/>
    <w:rsid w:val="003B5044"/>
    <w:rsid w:val="003B7DC8"/>
    <w:rsid w:val="003C2D98"/>
    <w:rsid w:val="003C6F25"/>
    <w:rsid w:val="003C7F24"/>
    <w:rsid w:val="003D3A96"/>
    <w:rsid w:val="003E0B27"/>
    <w:rsid w:val="003E5E16"/>
    <w:rsid w:val="003E5FD3"/>
    <w:rsid w:val="003E7EDA"/>
    <w:rsid w:val="00404F03"/>
    <w:rsid w:val="00405471"/>
    <w:rsid w:val="00406CFD"/>
    <w:rsid w:val="00412051"/>
    <w:rsid w:val="00423B94"/>
    <w:rsid w:val="004245AA"/>
    <w:rsid w:val="004307BB"/>
    <w:rsid w:val="004308C4"/>
    <w:rsid w:val="00433129"/>
    <w:rsid w:val="00436C4B"/>
    <w:rsid w:val="00447392"/>
    <w:rsid w:val="004502EF"/>
    <w:rsid w:val="0046261E"/>
    <w:rsid w:val="00463731"/>
    <w:rsid w:val="0046400A"/>
    <w:rsid w:val="00467B25"/>
    <w:rsid w:val="00476C5A"/>
    <w:rsid w:val="00481108"/>
    <w:rsid w:val="00484ADA"/>
    <w:rsid w:val="00486887"/>
    <w:rsid w:val="00486C81"/>
    <w:rsid w:val="0049042B"/>
    <w:rsid w:val="0049159F"/>
    <w:rsid w:val="00493598"/>
    <w:rsid w:val="00495473"/>
    <w:rsid w:val="0049756F"/>
    <w:rsid w:val="004A0001"/>
    <w:rsid w:val="004A0FB5"/>
    <w:rsid w:val="004A2C70"/>
    <w:rsid w:val="004A458E"/>
    <w:rsid w:val="004A46C7"/>
    <w:rsid w:val="004A48CD"/>
    <w:rsid w:val="004B19B4"/>
    <w:rsid w:val="004B1ADE"/>
    <w:rsid w:val="004B23E7"/>
    <w:rsid w:val="004B2EDE"/>
    <w:rsid w:val="004B306F"/>
    <w:rsid w:val="004C1993"/>
    <w:rsid w:val="004C3186"/>
    <w:rsid w:val="004C5042"/>
    <w:rsid w:val="004D661A"/>
    <w:rsid w:val="004D6DB1"/>
    <w:rsid w:val="004D7E5F"/>
    <w:rsid w:val="004E0BA2"/>
    <w:rsid w:val="004E4422"/>
    <w:rsid w:val="004F0CEC"/>
    <w:rsid w:val="004F19D0"/>
    <w:rsid w:val="004F19F5"/>
    <w:rsid w:val="004F36A8"/>
    <w:rsid w:val="004F6798"/>
    <w:rsid w:val="004F6A27"/>
    <w:rsid w:val="00502F91"/>
    <w:rsid w:val="00502FDB"/>
    <w:rsid w:val="00503998"/>
    <w:rsid w:val="0050532C"/>
    <w:rsid w:val="0050623B"/>
    <w:rsid w:val="0051440B"/>
    <w:rsid w:val="00523181"/>
    <w:rsid w:val="00524D13"/>
    <w:rsid w:val="005339F6"/>
    <w:rsid w:val="005454B9"/>
    <w:rsid w:val="00550069"/>
    <w:rsid w:val="00550D00"/>
    <w:rsid w:val="005518F2"/>
    <w:rsid w:val="00553130"/>
    <w:rsid w:val="00553B46"/>
    <w:rsid w:val="00561FEE"/>
    <w:rsid w:val="00567196"/>
    <w:rsid w:val="00571BF4"/>
    <w:rsid w:val="00572B5D"/>
    <w:rsid w:val="00575A16"/>
    <w:rsid w:val="00576B18"/>
    <w:rsid w:val="00581022"/>
    <w:rsid w:val="00587724"/>
    <w:rsid w:val="005913F8"/>
    <w:rsid w:val="00591512"/>
    <w:rsid w:val="00596689"/>
    <w:rsid w:val="005A1E51"/>
    <w:rsid w:val="005A2331"/>
    <w:rsid w:val="005A32C1"/>
    <w:rsid w:val="005A637F"/>
    <w:rsid w:val="005B2E4B"/>
    <w:rsid w:val="005B48B4"/>
    <w:rsid w:val="005B5587"/>
    <w:rsid w:val="005C6661"/>
    <w:rsid w:val="005C6E3B"/>
    <w:rsid w:val="005D1EAC"/>
    <w:rsid w:val="005D2694"/>
    <w:rsid w:val="005D474B"/>
    <w:rsid w:val="005D7EFF"/>
    <w:rsid w:val="005E085C"/>
    <w:rsid w:val="005E147D"/>
    <w:rsid w:val="005E22C2"/>
    <w:rsid w:val="005E33B9"/>
    <w:rsid w:val="005E57BB"/>
    <w:rsid w:val="005F0017"/>
    <w:rsid w:val="005F4167"/>
    <w:rsid w:val="005F44C4"/>
    <w:rsid w:val="005F69DD"/>
    <w:rsid w:val="006014F1"/>
    <w:rsid w:val="00606A37"/>
    <w:rsid w:val="0061357B"/>
    <w:rsid w:val="00614A7D"/>
    <w:rsid w:val="00617168"/>
    <w:rsid w:val="00624B69"/>
    <w:rsid w:val="006258AE"/>
    <w:rsid w:val="006273B3"/>
    <w:rsid w:val="00627C77"/>
    <w:rsid w:val="0063631C"/>
    <w:rsid w:val="0063757B"/>
    <w:rsid w:val="006377CE"/>
    <w:rsid w:val="006504C8"/>
    <w:rsid w:val="00650785"/>
    <w:rsid w:val="00651802"/>
    <w:rsid w:val="00652107"/>
    <w:rsid w:val="006537D9"/>
    <w:rsid w:val="006624BD"/>
    <w:rsid w:val="00664A48"/>
    <w:rsid w:val="00665DEF"/>
    <w:rsid w:val="006701AF"/>
    <w:rsid w:val="00671B40"/>
    <w:rsid w:val="00673C45"/>
    <w:rsid w:val="00674E58"/>
    <w:rsid w:val="006752A4"/>
    <w:rsid w:val="00675BB1"/>
    <w:rsid w:val="006775F1"/>
    <w:rsid w:val="0068673E"/>
    <w:rsid w:val="00692AA7"/>
    <w:rsid w:val="00696297"/>
    <w:rsid w:val="00697FEC"/>
    <w:rsid w:val="006A175F"/>
    <w:rsid w:val="006A44F5"/>
    <w:rsid w:val="006B0986"/>
    <w:rsid w:val="006B2707"/>
    <w:rsid w:val="006B4537"/>
    <w:rsid w:val="006B5F85"/>
    <w:rsid w:val="006B6929"/>
    <w:rsid w:val="006B709B"/>
    <w:rsid w:val="006C2DF9"/>
    <w:rsid w:val="006C373F"/>
    <w:rsid w:val="006C54AF"/>
    <w:rsid w:val="006C5FF8"/>
    <w:rsid w:val="006E0181"/>
    <w:rsid w:val="006E7743"/>
    <w:rsid w:val="006F13BB"/>
    <w:rsid w:val="006F21D2"/>
    <w:rsid w:val="006F5969"/>
    <w:rsid w:val="00700C0E"/>
    <w:rsid w:val="00702D8B"/>
    <w:rsid w:val="00703DCD"/>
    <w:rsid w:val="00705DAD"/>
    <w:rsid w:val="00706E92"/>
    <w:rsid w:val="007247B9"/>
    <w:rsid w:val="00727D85"/>
    <w:rsid w:val="00731524"/>
    <w:rsid w:val="00733CD2"/>
    <w:rsid w:val="007346C7"/>
    <w:rsid w:val="00736041"/>
    <w:rsid w:val="007371E9"/>
    <w:rsid w:val="007408C7"/>
    <w:rsid w:val="00742F73"/>
    <w:rsid w:val="007441A1"/>
    <w:rsid w:val="007465DA"/>
    <w:rsid w:val="007526B4"/>
    <w:rsid w:val="00752C7F"/>
    <w:rsid w:val="00753794"/>
    <w:rsid w:val="00754969"/>
    <w:rsid w:val="00765992"/>
    <w:rsid w:val="00773FD6"/>
    <w:rsid w:val="00776598"/>
    <w:rsid w:val="00780E2B"/>
    <w:rsid w:val="00785724"/>
    <w:rsid w:val="00792948"/>
    <w:rsid w:val="00796E84"/>
    <w:rsid w:val="007A12F6"/>
    <w:rsid w:val="007A388D"/>
    <w:rsid w:val="007A3ADE"/>
    <w:rsid w:val="007A44BE"/>
    <w:rsid w:val="007A5733"/>
    <w:rsid w:val="007A5774"/>
    <w:rsid w:val="007A7BE9"/>
    <w:rsid w:val="007C2556"/>
    <w:rsid w:val="007C5B12"/>
    <w:rsid w:val="007C73C7"/>
    <w:rsid w:val="007D1169"/>
    <w:rsid w:val="007E15BA"/>
    <w:rsid w:val="007E612E"/>
    <w:rsid w:val="007F0529"/>
    <w:rsid w:val="00801E74"/>
    <w:rsid w:val="00803AE7"/>
    <w:rsid w:val="0080485E"/>
    <w:rsid w:val="0081428D"/>
    <w:rsid w:val="008142B4"/>
    <w:rsid w:val="00816342"/>
    <w:rsid w:val="0082509B"/>
    <w:rsid w:val="00832324"/>
    <w:rsid w:val="00833E56"/>
    <w:rsid w:val="00835337"/>
    <w:rsid w:val="00846DCD"/>
    <w:rsid w:val="00851D85"/>
    <w:rsid w:val="008531AE"/>
    <w:rsid w:val="00853F37"/>
    <w:rsid w:val="00860CCB"/>
    <w:rsid w:val="00871FF5"/>
    <w:rsid w:val="00872776"/>
    <w:rsid w:val="008736B0"/>
    <w:rsid w:val="008740A3"/>
    <w:rsid w:val="008777BC"/>
    <w:rsid w:val="00877CE5"/>
    <w:rsid w:val="0088178F"/>
    <w:rsid w:val="008820D8"/>
    <w:rsid w:val="00882F47"/>
    <w:rsid w:val="00887421"/>
    <w:rsid w:val="00887B55"/>
    <w:rsid w:val="0089297B"/>
    <w:rsid w:val="00897838"/>
    <w:rsid w:val="008B5344"/>
    <w:rsid w:val="008B7248"/>
    <w:rsid w:val="008B75F2"/>
    <w:rsid w:val="008C36CA"/>
    <w:rsid w:val="008C5E80"/>
    <w:rsid w:val="008D59E2"/>
    <w:rsid w:val="008E14B7"/>
    <w:rsid w:val="008E3F8C"/>
    <w:rsid w:val="008E662A"/>
    <w:rsid w:val="00900B1F"/>
    <w:rsid w:val="00902FD0"/>
    <w:rsid w:val="009053D3"/>
    <w:rsid w:val="0090691F"/>
    <w:rsid w:val="00906B9F"/>
    <w:rsid w:val="00915EB2"/>
    <w:rsid w:val="0092055C"/>
    <w:rsid w:val="0093111F"/>
    <w:rsid w:val="009326E5"/>
    <w:rsid w:val="00935689"/>
    <w:rsid w:val="00937EA3"/>
    <w:rsid w:val="009436C4"/>
    <w:rsid w:val="00945415"/>
    <w:rsid w:val="00946677"/>
    <w:rsid w:val="00950A5D"/>
    <w:rsid w:val="0095245F"/>
    <w:rsid w:val="0095303B"/>
    <w:rsid w:val="009534BF"/>
    <w:rsid w:val="00961438"/>
    <w:rsid w:val="009656D5"/>
    <w:rsid w:val="009663B6"/>
    <w:rsid w:val="0096665D"/>
    <w:rsid w:val="009706A6"/>
    <w:rsid w:val="00970D1D"/>
    <w:rsid w:val="00974A47"/>
    <w:rsid w:val="00980286"/>
    <w:rsid w:val="00986238"/>
    <w:rsid w:val="009873B1"/>
    <w:rsid w:val="00990D0F"/>
    <w:rsid w:val="00990DCF"/>
    <w:rsid w:val="00992DDA"/>
    <w:rsid w:val="00993A86"/>
    <w:rsid w:val="009A39B7"/>
    <w:rsid w:val="009A4CD6"/>
    <w:rsid w:val="009A537C"/>
    <w:rsid w:val="009B0912"/>
    <w:rsid w:val="009B3169"/>
    <w:rsid w:val="009B4EC4"/>
    <w:rsid w:val="009B7A9E"/>
    <w:rsid w:val="009C0886"/>
    <w:rsid w:val="009C13BC"/>
    <w:rsid w:val="009C19EE"/>
    <w:rsid w:val="009C276B"/>
    <w:rsid w:val="009C28D0"/>
    <w:rsid w:val="009C35F2"/>
    <w:rsid w:val="009C5E5E"/>
    <w:rsid w:val="009C7782"/>
    <w:rsid w:val="009D1ED5"/>
    <w:rsid w:val="009D20F3"/>
    <w:rsid w:val="009D4C13"/>
    <w:rsid w:val="009E21A7"/>
    <w:rsid w:val="009E3D5B"/>
    <w:rsid w:val="009F00F9"/>
    <w:rsid w:val="009F61FA"/>
    <w:rsid w:val="00A0072D"/>
    <w:rsid w:val="00A010EF"/>
    <w:rsid w:val="00A07A61"/>
    <w:rsid w:val="00A07F2A"/>
    <w:rsid w:val="00A103ED"/>
    <w:rsid w:val="00A11A1A"/>
    <w:rsid w:val="00A11B79"/>
    <w:rsid w:val="00A13C60"/>
    <w:rsid w:val="00A162B8"/>
    <w:rsid w:val="00A231F5"/>
    <w:rsid w:val="00A341A3"/>
    <w:rsid w:val="00A34703"/>
    <w:rsid w:val="00A35800"/>
    <w:rsid w:val="00A43668"/>
    <w:rsid w:val="00A46CBC"/>
    <w:rsid w:val="00A52918"/>
    <w:rsid w:val="00A547B3"/>
    <w:rsid w:val="00A555AC"/>
    <w:rsid w:val="00A602F3"/>
    <w:rsid w:val="00A6106F"/>
    <w:rsid w:val="00A67A54"/>
    <w:rsid w:val="00A70E82"/>
    <w:rsid w:val="00A84CAD"/>
    <w:rsid w:val="00A90E50"/>
    <w:rsid w:val="00A92569"/>
    <w:rsid w:val="00A95FA5"/>
    <w:rsid w:val="00A96D92"/>
    <w:rsid w:val="00A97BF9"/>
    <w:rsid w:val="00AA1FBB"/>
    <w:rsid w:val="00AA511F"/>
    <w:rsid w:val="00AB1312"/>
    <w:rsid w:val="00AB2D32"/>
    <w:rsid w:val="00AB3733"/>
    <w:rsid w:val="00AB3F27"/>
    <w:rsid w:val="00AB49F5"/>
    <w:rsid w:val="00AB560E"/>
    <w:rsid w:val="00AB69D7"/>
    <w:rsid w:val="00AB7897"/>
    <w:rsid w:val="00AC2FD0"/>
    <w:rsid w:val="00AC5054"/>
    <w:rsid w:val="00AD5FFE"/>
    <w:rsid w:val="00AE4BAC"/>
    <w:rsid w:val="00AE723D"/>
    <w:rsid w:val="00AE7BCA"/>
    <w:rsid w:val="00AF441B"/>
    <w:rsid w:val="00AF45BA"/>
    <w:rsid w:val="00AF79AB"/>
    <w:rsid w:val="00B001A5"/>
    <w:rsid w:val="00B0229B"/>
    <w:rsid w:val="00B034FC"/>
    <w:rsid w:val="00B0505A"/>
    <w:rsid w:val="00B05310"/>
    <w:rsid w:val="00B07F4F"/>
    <w:rsid w:val="00B10777"/>
    <w:rsid w:val="00B10A0B"/>
    <w:rsid w:val="00B17405"/>
    <w:rsid w:val="00B23818"/>
    <w:rsid w:val="00B27062"/>
    <w:rsid w:val="00B277B9"/>
    <w:rsid w:val="00B27D3B"/>
    <w:rsid w:val="00B30D85"/>
    <w:rsid w:val="00B33CB1"/>
    <w:rsid w:val="00B35A4A"/>
    <w:rsid w:val="00B35A78"/>
    <w:rsid w:val="00B426EE"/>
    <w:rsid w:val="00B57367"/>
    <w:rsid w:val="00B60F50"/>
    <w:rsid w:val="00B63FD7"/>
    <w:rsid w:val="00B73FF8"/>
    <w:rsid w:val="00B816D9"/>
    <w:rsid w:val="00B9120F"/>
    <w:rsid w:val="00B9216C"/>
    <w:rsid w:val="00B924A4"/>
    <w:rsid w:val="00B951F4"/>
    <w:rsid w:val="00B964A3"/>
    <w:rsid w:val="00BB0D1A"/>
    <w:rsid w:val="00BB1D3B"/>
    <w:rsid w:val="00BB2C89"/>
    <w:rsid w:val="00BC0E64"/>
    <w:rsid w:val="00BC35ED"/>
    <w:rsid w:val="00BE040F"/>
    <w:rsid w:val="00BE205A"/>
    <w:rsid w:val="00BE3802"/>
    <w:rsid w:val="00BE6490"/>
    <w:rsid w:val="00BF12AC"/>
    <w:rsid w:val="00BF238E"/>
    <w:rsid w:val="00BF2F4A"/>
    <w:rsid w:val="00BF313C"/>
    <w:rsid w:val="00BF544D"/>
    <w:rsid w:val="00BF5ACA"/>
    <w:rsid w:val="00C0076F"/>
    <w:rsid w:val="00C0301C"/>
    <w:rsid w:val="00C03677"/>
    <w:rsid w:val="00C03C46"/>
    <w:rsid w:val="00C03EEE"/>
    <w:rsid w:val="00C050B6"/>
    <w:rsid w:val="00C063FA"/>
    <w:rsid w:val="00C06D3E"/>
    <w:rsid w:val="00C10F12"/>
    <w:rsid w:val="00C12C77"/>
    <w:rsid w:val="00C2153F"/>
    <w:rsid w:val="00C21C91"/>
    <w:rsid w:val="00C2264B"/>
    <w:rsid w:val="00C22968"/>
    <w:rsid w:val="00C245EA"/>
    <w:rsid w:val="00C256F6"/>
    <w:rsid w:val="00C274E4"/>
    <w:rsid w:val="00C27F83"/>
    <w:rsid w:val="00C27F9E"/>
    <w:rsid w:val="00C3097E"/>
    <w:rsid w:val="00C3257C"/>
    <w:rsid w:val="00C339B8"/>
    <w:rsid w:val="00C35ECC"/>
    <w:rsid w:val="00C361A8"/>
    <w:rsid w:val="00C366B1"/>
    <w:rsid w:val="00C41246"/>
    <w:rsid w:val="00C45E5F"/>
    <w:rsid w:val="00C46291"/>
    <w:rsid w:val="00C47209"/>
    <w:rsid w:val="00C5547F"/>
    <w:rsid w:val="00C62F7A"/>
    <w:rsid w:val="00C63412"/>
    <w:rsid w:val="00C64E48"/>
    <w:rsid w:val="00C714D0"/>
    <w:rsid w:val="00C71B2E"/>
    <w:rsid w:val="00C75815"/>
    <w:rsid w:val="00C82E51"/>
    <w:rsid w:val="00C8483C"/>
    <w:rsid w:val="00C8635E"/>
    <w:rsid w:val="00C90EF4"/>
    <w:rsid w:val="00CA015A"/>
    <w:rsid w:val="00CA3FF6"/>
    <w:rsid w:val="00CA65CF"/>
    <w:rsid w:val="00CB26C3"/>
    <w:rsid w:val="00CC1AA3"/>
    <w:rsid w:val="00CC57C4"/>
    <w:rsid w:val="00CD3794"/>
    <w:rsid w:val="00CD4486"/>
    <w:rsid w:val="00CE702A"/>
    <w:rsid w:val="00D02D76"/>
    <w:rsid w:val="00D06A44"/>
    <w:rsid w:val="00D07D5C"/>
    <w:rsid w:val="00D14ABD"/>
    <w:rsid w:val="00D151EB"/>
    <w:rsid w:val="00D17877"/>
    <w:rsid w:val="00D21003"/>
    <w:rsid w:val="00D23081"/>
    <w:rsid w:val="00D24601"/>
    <w:rsid w:val="00D300E0"/>
    <w:rsid w:val="00D30B48"/>
    <w:rsid w:val="00D33527"/>
    <w:rsid w:val="00D374CD"/>
    <w:rsid w:val="00D51E63"/>
    <w:rsid w:val="00D52E86"/>
    <w:rsid w:val="00D54C33"/>
    <w:rsid w:val="00D636AB"/>
    <w:rsid w:val="00D650CE"/>
    <w:rsid w:val="00D65DBB"/>
    <w:rsid w:val="00D6631A"/>
    <w:rsid w:val="00D66D7B"/>
    <w:rsid w:val="00D71719"/>
    <w:rsid w:val="00D7363D"/>
    <w:rsid w:val="00D776DA"/>
    <w:rsid w:val="00D805A2"/>
    <w:rsid w:val="00D81908"/>
    <w:rsid w:val="00D8758B"/>
    <w:rsid w:val="00D942B3"/>
    <w:rsid w:val="00D94863"/>
    <w:rsid w:val="00DA2CE7"/>
    <w:rsid w:val="00DA5C8D"/>
    <w:rsid w:val="00DA7D09"/>
    <w:rsid w:val="00DB261E"/>
    <w:rsid w:val="00DC2630"/>
    <w:rsid w:val="00DC3C61"/>
    <w:rsid w:val="00DC49E9"/>
    <w:rsid w:val="00DC55E4"/>
    <w:rsid w:val="00DC6CCB"/>
    <w:rsid w:val="00DC7D71"/>
    <w:rsid w:val="00DD188C"/>
    <w:rsid w:val="00DD1896"/>
    <w:rsid w:val="00DD29A3"/>
    <w:rsid w:val="00DD48EE"/>
    <w:rsid w:val="00DD7D1A"/>
    <w:rsid w:val="00DE0B96"/>
    <w:rsid w:val="00DE10B9"/>
    <w:rsid w:val="00DE5443"/>
    <w:rsid w:val="00DE632F"/>
    <w:rsid w:val="00DF0B13"/>
    <w:rsid w:val="00DF0DD2"/>
    <w:rsid w:val="00DF1B3F"/>
    <w:rsid w:val="00DF2EB8"/>
    <w:rsid w:val="00DF4A94"/>
    <w:rsid w:val="00DF6003"/>
    <w:rsid w:val="00DF73B4"/>
    <w:rsid w:val="00E00095"/>
    <w:rsid w:val="00E035FD"/>
    <w:rsid w:val="00E064DC"/>
    <w:rsid w:val="00E0666C"/>
    <w:rsid w:val="00E066C3"/>
    <w:rsid w:val="00E10D8C"/>
    <w:rsid w:val="00E11121"/>
    <w:rsid w:val="00E1353A"/>
    <w:rsid w:val="00E1564B"/>
    <w:rsid w:val="00E16A8D"/>
    <w:rsid w:val="00E17AD5"/>
    <w:rsid w:val="00E208A0"/>
    <w:rsid w:val="00E25B49"/>
    <w:rsid w:val="00E314A6"/>
    <w:rsid w:val="00E344F6"/>
    <w:rsid w:val="00E36647"/>
    <w:rsid w:val="00E371EA"/>
    <w:rsid w:val="00E376BC"/>
    <w:rsid w:val="00E4193E"/>
    <w:rsid w:val="00E43946"/>
    <w:rsid w:val="00E4669E"/>
    <w:rsid w:val="00E46C4B"/>
    <w:rsid w:val="00E476D3"/>
    <w:rsid w:val="00E52F19"/>
    <w:rsid w:val="00E552DE"/>
    <w:rsid w:val="00E60692"/>
    <w:rsid w:val="00E60A4E"/>
    <w:rsid w:val="00E6231B"/>
    <w:rsid w:val="00E643BA"/>
    <w:rsid w:val="00E64429"/>
    <w:rsid w:val="00E6703F"/>
    <w:rsid w:val="00E677DD"/>
    <w:rsid w:val="00E73364"/>
    <w:rsid w:val="00E7594B"/>
    <w:rsid w:val="00E767C2"/>
    <w:rsid w:val="00E85400"/>
    <w:rsid w:val="00E8611D"/>
    <w:rsid w:val="00E87C3E"/>
    <w:rsid w:val="00EA7A80"/>
    <w:rsid w:val="00EA7CAF"/>
    <w:rsid w:val="00EA7F63"/>
    <w:rsid w:val="00EB0F24"/>
    <w:rsid w:val="00EB2148"/>
    <w:rsid w:val="00EB4688"/>
    <w:rsid w:val="00EB57F4"/>
    <w:rsid w:val="00EB686B"/>
    <w:rsid w:val="00EB6C07"/>
    <w:rsid w:val="00EB6E00"/>
    <w:rsid w:val="00EC028D"/>
    <w:rsid w:val="00EC169A"/>
    <w:rsid w:val="00EC6BBA"/>
    <w:rsid w:val="00EC76D6"/>
    <w:rsid w:val="00ED633B"/>
    <w:rsid w:val="00EE0327"/>
    <w:rsid w:val="00EE3AAC"/>
    <w:rsid w:val="00EE478C"/>
    <w:rsid w:val="00EE62E5"/>
    <w:rsid w:val="00F019FF"/>
    <w:rsid w:val="00F02C04"/>
    <w:rsid w:val="00F02CAE"/>
    <w:rsid w:val="00F05A7E"/>
    <w:rsid w:val="00F110CA"/>
    <w:rsid w:val="00F1132C"/>
    <w:rsid w:val="00F15DD5"/>
    <w:rsid w:val="00F17D4B"/>
    <w:rsid w:val="00F23139"/>
    <w:rsid w:val="00F23F72"/>
    <w:rsid w:val="00F278EC"/>
    <w:rsid w:val="00F3003B"/>
    <w:rsid w:val="00F420CE"/>
    <w:rsid w:val="00F43BA6"/>
    <w:rsid w:val="00F47349"/>
    <w:rsid w:val="00F47EBD"/>
    <w:rsid w:val="00F60090"/>
    <w:rsid w:val="00F62ED2"/>
    <w:rsid w:val="00F64C05"/>
    <w:rsid w:val="00F65A84"/>
    <w:rsid w:val="00F66CD5"/>
    <w:rsid w:val="00F67998"/>
    <w:rsid w:val="00F67A9A"/>
    <w:rsid w:val="00F70F4E"/>
    <w:rsid w:val="00F75FC4"/>
    <w:rsid w:val="00F83025"/>
    <w:rsid w:val="00F85981"/>
    <w:rsid w:val="00F87263"/>
    <w:rsid w:val="00F90596"/>
    <w:rsid w:val="00F92C5A"/>
    <w:rsid w:val="00F93725"/>
    <w:rsid w:val="00FA4890"/>
    <w:rsid w:val="00FA59EF"/>
    <w:rsid w:val="00FB050D"/>
    <w:rsid w:val="00FB71A6"/>
    <w:rsid w:val="00FB77FA"/>
    <w:rsid w:val="00FC0ED4"/>
    <w:rsid w:val="00FC216A"/>
    <w:rsid w:val="00FC3C70"/>
    <w:rsid w:val="00FC4A73"/>
    <w:rsid w:val="00FC559C"/>
    <w:rsid w:val="00FC7F0D"/>
    <w:rsid w:val="00FD2BF3"/>
    <w:rsid w:val="00FE30C1"/>
    <w:rsid w:val="00FE645A"/>
    <w:rsid w:val="00FF3A15"/>
    <w:rsid w:val="00FF6102"/>
    <w:rsid w:val="00FF7AA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aliases w:val="Page Header,Header title,he=header,cntr/bld"/>
    <w:basedOn w:val="Normal"/>
    <w:link w:val="HeaderChar"/>
    <w:unhideWhenUsed/>
    <w:rsid w:val="00705DAD"/>
    <w:pPr>
      <w:tabs>
        <w:tab w:val="center" w:pos="4320"/>
        <w:tab w:val="right" w:pos="8640"/>
      </w:tabs>
      <w:spacing w:after="0"/>
    </w:pPr>
  </w:style>
  <w:style w:type="character" w:customStyle="1" w:styleId="HeaderChar">
    <w:name w:val="Header Char"/>
    <w:aliases w:val="Page Header Char,Header title Char,he=header Char,cntr/bld Char"/>
    <w:basedOn w:val="DefaultParagraphFont"/>
    <w:link w:val="Header"/>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abbreviation">
    <w:name w:val="abbreviation"/>
    <w:basedOn w:val="DefaultParagraphFont"/>
    <w:rsid w:val="007C5B12"/>
  </w:style>
  <w:style w:type="character" w:customStyle="1" w:styleId="form-strength">
    <w:name w:val="form-strength"/>
    <w:basedOn w:val="DefaultParagraphFont"/>
    <w:rsid w:val="004A48CD"/>
  </w:style>
  <w:style w:type="character" w:styleId="FollowedHyperlink">
    <w:name w:val="FollowedHyperlink"/>
    <w:basedOn w:val="DefaultParagraphFont"/>
    <w:uiPriority w:val="99"/>
    <w:semiHidden/>
    <w:unhideWhenUsed/>
    <w:rsid w:val="00EB686B"/>
    <w:rPr>
      <w:color w:val="800080" w:themeColor="followedHyperlink"/>
      <w:u w:val="single"/>
    </w:rPr>
  </w:style>
  <w:style w:type="paragraph" w:styleId="NormalWeb">
    <w:name w:val="Normal (Web)"/>
    <w:basedOn w:val="Normal"/>
    <w:uiPriority w:val="99"/>
    <w:unhideWhenUsed/>
    <w:rsid w:val="006701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76C5A"/>
  </w:style>
  <w:style w:type="character" w:customStyle="1" w:styleId="ListParagraphChar">
    <w:name w:val="List Paragraph Char"/>
    <w:link w:val="ListParagraph"/>
    <w:uiPriority w:val="72"/>
    <w:rsid w:val="00F23F72"/>
    <w:rPr>
      <w:sz w:val="24"/>
      <w:szCs w:val="24"/>
    </w:rPr>
  </w:style>
  <w:style w:type="character" w:styleId="Strong">
    <w:name w:val="Strong"/>
    <w:basedOn w:val="DefaultParagraphFont"/>
    <w:uiPriority w:val="22"/>
    <w:qFormat/>
    <w:rsid w:val="000554EC"/>
    <w:rPr>
      <w:b/>
      <w:bCs/>
    </w:rPr>
  </w:style>
  <w:style w:type="character" w:styleId="PlaceholderText">
    <w:name w:val="Placeholder Text"/>
    <w:basedOn w:val="DefaultParagraphFont"/>
    <w:uiPriority w:val="99"/>
    <w:semiHidden/>
    <w:rsid w:val="00696297"/>
    <w:rPr>
      <w:color w:val="808080"/>
    </w:rPr>
  </w:style>
  <w:style w:type="character" w:customStyle="1" w:styleId="keywords">
    <w:name w:val="keywords"/>
    <w:basedOn w:val="DefaultParagraphFont"/>
    <w:rsid w:val="003C7F24"/>
  </w:style>
  <w:style w:type="character" w:customStyle="1" w:styleId="A5">
    <w:name w:val="A5"/>
    <w:uiPriority w:val="99"/>
    <w:rsid w:val="009F61FA"/>
    <w:rPr>
      <w:rFonts w:cs="HelveticaNeueLT Std"/>
      <w:b/>
      <w:bCs/>
      <w:color w:val="000000"/>
      <w:sz w:val="18"/>
      <w:szCs w:val="18"/>
    </w:rPr>
  </w:style>
  <w:style w:type="paragraph" w:styleId="Revision">
    <w:name w:val="Revision"/>
    <w:hidden/>
    <w:uiPriority w:val="99"/>
    <w:semiHidden/>
    <w:rsid w:val="008B75F2"/>
    <w:pPr>
      <w:spacing w:after="0" w:line="240" w:lineRule="auto"/>
    </w:pPr>
    <w:rPr>
      <w:sz w:val="24"/>
      <w:szCs w:val="24"/>
    </w:rPr>
  </w:style>
  <w:style w:type="paragraph" w:customStyle="1" w:styleId="PBACBullets">
    <w:name w:val="PBAC Bullets"/>
    <w:basedOn w:val="Normal"/>
    <w:qFormat/>
    <w:rsid w:val="00B10777"/>
    <w:pPr>
      <w:numPr>
        <w:numId w:val="22"/>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800"/>
    <w:pPr>
      <w:spacing w:line="240" w:lineRule="auto"/>
    </w:pPr>
    <w:rPr>
      <w:sz w:val="24"/>
      <w:szCs w:val="24"/>
    </w:rPr>
  </w:style>
  <w:style w:type="paragraph" w:styleId="Heading1">
    <w:name w:val="heading 1"/>
    <w:basedOn w:val="Normal"/>
    <w:next w:val="Normal"/>
    <w:link w:val="Heading1Char"/>
    <w:uiPriority w:val="9"/>
    <w:qFormat/>
    <w:rsid w:val="0063631C"/>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0C46BB"/>
    <w:pPr>
      <w:outlineLvl w:val="1"/>
    </w:pPr>
    <w:rPr>
      <w:i/>
      <w:sz w:val="24"/>
      <w:szCs w:val="24"/>
    </w:rPr>
  </w:style>
  <w:style w:type="paragraph" w:styleId="Heading3">
    <w:name w:val="heading 3"/>
    <w:basedOn w:val="Normal"/>
    <w:next w:val="Normal"/>
    <w:link w:val="Heading3Char"/>
    <w:uiPriority w:val="9"/>
    <w:unhideWhenUsed/>
    <w:qFormat/>
    <w:rsid w:val="00FE645A"/>
    <w:pPr>
      <w:spacing w:before="240"/>
      <w:outlineLvl w:val="2"/>
    </w:pPr>
    <w:rPr>
      <w:b/>
      <w:sz w:val="28"/>
      <w:szCs w:val="28"/>
    </w:rPr>
  </w:style>
  <w:style w:type="paragraph" w:styleId="Heading4">
    <w:name w:val="heading 4"/>
    <w:basedOn w:val="Heading3"/>
    <w:next w:val="Normal"/>
    <w:link w:val="Heading4Char"/>
    <w:uiPriority w:val="9"/>
    <w:unhideWhenUsed/>
    <w:qFormat/>
    <w:rsid w:val="000C46BB"/>
    <w:pPr>
      <w:outlineLvl w:val="3"/>
    </w:pPr>
    <w:rPr>
      <w:sz w:val="32"/>
      <w:szCs w:val="32"/>
    </w:rPr>
  </w:style>
  <w:style w:type="paragraph" w:styleId="Heading5">
    <w:name w:val="heading 5"/>
    <w:basedOn w:val="Normal"/>
    <w:next w:val="Normal"/>
    <w:link w:val="Heading5Char"/>
    <w:uiPriority w:val="9"/>
    <w:semiHidden/>
    <w:unhideWhenUsed/>
    <w:qFormat/>
    <w:rsid w:val="0063631C"/>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31C"/>
    <w:rPr>
      <w:rFonts w:ascii="Lucida Bright" w:eastAsiaTheme="majorEastAsia" w:hAnsi="Lucida Bright" w:cstheme="majorBidi"/>
      <w:b/>
      <w:bCs/>
      <w:sz w:val="40"/>
      <w:szCs w:val="28"/>
    </w:rPr>
  </w:style>
  <w:style w:type="character" w:customStyle="1" w:styleId="Heading2Char">
    <w:name w:val="Heading 2 Char"/>
    <w:basedOn w:val="DefaultParagraphFont"/>
    <w:link w:val="Heading2"/>
    <w:uiPriority w:val="9"/>
    <w:rsid w:val="000C46BB"/>
    <w:rPr>
      <w:b/>
      <w:i/>
      <w:sz w:val="24"/>
      <w:szCs w:val="24"/>
    </w:rPr>
  </w:style>
  <w:style w:type="character" w:customStyle="1" w:styleId="Heading3Char">
    <w:name w:val="Heading 3 Char"/>
    <w:basedOn w:val="DefaultParagraphFont"/>
    <w:link w:val="Heading3"/>
    <w:uiPriority w:val="9"/>
    <w:rsid w:val="00FE645A"/>
    <w:rPr>
      <w:b/>
      <w:sz w:val="28"/>
      <w:szCs w:val="28"/>
    </w:rPr>
  </w:style>
  <w:style w:type="paragraph" w:styleId="BalloonText">
    <w:name w:val="Balloon Text"/>
    <w:basedOn w:val="Normal"/>
    <w:link w:val="BalloonTextChar"/>
    <w:uiPriority w:val="99"/>
    <w:semiHidden/>
    <w:unhideWhenUsed/>
    <w:rsid w:val="0059151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512"/>
    <w:rPr>
      <w:rFonts w:ascii="Tahoma" w:hAnsi="Tahoma" w:cs="Tahoma"/>
      <w:sz w:val="16"/>
      <w:szCs w:val="16"/>
    </w:rPr>
  </w:style>
  <w:style w:type="character" w:styleId="CommentReference">
    <w:name w:val="annotation reference"/>
    <w:basedOn w:val="DefaultParagraphFont"/>
    <w:uiPriority w:val="99"/>
    <w:semiHidden/>
    <w:unhideWhenUsed/>
    <w:rsid w:val="00E677DD"/>
    <w:rPr>
      <w:sz w:val="16"/>
      <w:szCs w:val="16"/>
    </w:rPr>
  </w:style>
  <w:style w:type="paragraph" w:styleId="CommentText">
    <w:name w:val="annotation text"/>
    <w:basedOn w:val="Normal"/>
    <w:link w:val="CommentTextChar"/>
    <w:uiPriority w:val="99"/>
    <w:semiHidden/>
    <w:unhideWhenUsed/>
    <w:rsid w:val="00E677DD"/>
    <w:rPr>
      <w:sz w:val="20"/>
      <w:szCs w:val="20"/>
    </w:rPr>
  </w:style>
  <w:style w:type="character" w:customStyle="1" w:styleId="CommentTextChar">
    <w:name w:val="Comment Text Char"/>
    <w:basedOn w:val="DefaultParagraphFont"/>
    <w:link w:val="CommentText"/>
    <w:uiPriority w:val="99"/>
    <w:semiHidden/>
    <w:rsid w:val="00E677DD"/>
    <w:rPr>
      <w:sz w:val="20"/>
      <w:szCs w:val="20"/>
    </w:rPr>
  </w:style>
  <w:style w:type="paragraph" w:styleId="CommentSubject">
    <w:name w:val="annotation subject"/>
    <w:basedOn w:val="CommentText"/>
    <w:next w:val="CommentText"/>
    <w:link w:val="CommentSubjectChar"/>
    <w:uiPriority w:val="99"/>
    <w:semiHidden/>
    <w:unhideWhenUsed/>
    <w:rsid w:val="00E677DD"/>
    <w:rPr>
      <w:b/>
      <w:bCs/>
    </w:rPr>
  </w:style>
  <w:style w:type="character" w:customStyle="1" w:styleId="CommentSubjectChar">
    <w:name w:val="Comment Subject Char"/>
    <w:basedOn w:val="CommentTextChar"/>
    <w:link w:val="CommentSubject"/>
    <w:uiPriority w:val="99"/>
    <w:semiHidden/>
    <w:rsid w:val="00E677DD"/>
    <w:rPr>
      <w:b/>
      <w:bCs/>
      <w:sz w:val="20"/>
      <w:szCs w:val="20"/>
    </w:rPr>
  </w:style>
  <w:style w:type="character" w:customStyle="1" w:styleId="Heading4Char">
    <w:name w:val="Heading 4 Char"/>
    <w:basedOn w:val="DefaultParagraphFont"/>
    <w:link w:val="Heading4"/>
    <w:uiPriority w:val="9"/>
    <w:rsid w:val="000C46BB"/>
    <w:rPr>
      <w:b/>
      <w:sz w:val="32"/>
      <w:szCs w:val="32"/>
    </w:rPr>
  </w:style>
  <w:style w:type="character" w:customStyle="1" w:styleId="Heading5Char">
    <w:name w:val="Heading 5 Char"/>
    <w:basedOn w:val="DefaultParagraphFont"/>
    <w:link w:val="Heading5"/>
    <w:uiPriority w:val="9"/>
    <w:semiHidden/>
    <w:rsid w:val="0063631C"/>
    <w:rPr>
      <w:rFonts w:ascii="Lucida Bright" w:eastAsiaTheme="majorEastAsia" w:hAnsi="Lucida Bright" w:cstheme="majorBidi"/>
      <w:sz w:val="24"/>
      <w:szCs w:val="24"/>
    </w:rPr>
  </w:style>
  <w:style w:type="paragraph" w:styleId="Title">
    <w:name w:val="Title"/>
    <w:basedOn w:val="Normal"/>
    <w:next w:val="Normal"/>
    <w:link w:val="TitleChar"/>
    <w:uiPriority w:val="10"/>
    <w:qFormat/>
    <w:rsid w:val="00FE645A"/>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FE645A"/>
    <w:rPr>
      <w:rFonts w:eastAsiaTheme="majorEastAsia" w:cstheme="majorBidi"/>
      <w:b/>
      <w:spacing w:val="5"/>
      <w:kern w:val="28"/>
      <w:sz w:val="52"/>
      <w:szCs w:val="52"/>
    </w:rPr>
  </w:style>
  <w:style w:type="paragraph" w:styleId="Footer">
    <w:name w:val="footer"/>
    <w:basedOn w:val="Normal"/>
    <w:link w:val="FooterChar"/>
    <w:uiPriority w:val="99"/>
    <w:unhideWhenUsed/>
    <w:rsid w:val="00705DAD"/>
    <w:pPr>
      <w:tabs>
        <w:tab w:val="center" w:pos="4320"/>
        <w:tab w:val="right" w:pos="8640"/>
      </w:tabs>
      <w:spacing w:after="0"/>
    </w:pPr>
  </w:style>
  <w:style w:type="character" w:customStyle="1" w:styleId="FooterChar">
    <w:name w:val="Footer Char"/>
    <w:basedOn w:val="DefaultParagraphFont"/>
    <w:link w:val="Footer"/>
    <w:uiPriority w:val="99"/>
    <w:rsid w:val="00705DAD"/>
    <w:rPr>
      <w:rFonts w:ascii="Lucida Bright" w:hAnsi="Lucida Bright"/>
      <w:sz w:val="24"/>
      <w:szCs w:val="24"/>
    </w:rPr>
  </w:style>
  <w:style w:type="character" w:styleId="PageNumber">
    <w:name w:val="page number"/>
    <w:basedOn w:val="DefaultParagraphFont"/>
    <w:uiPriority w:val="99"/>
    <w:semiHidden/>
    <w:unhideWhenUsed/>
    <w:rsid w:val="00705DAD"/>
  </w:style>
  <w:style w:type="paragraph" w:styleId="Header">
    <w:name w:val="header"/>
    <w:aliases w:val="Page Header,Header title,he=header,cntr/bld"/>
    <w:basedOn w:val="Normal"/>
    <w:link w:val="HeaderChar"/>
    <w:unhideWhenUsed/>
    <w:rsid w:val="00705DAD"/>
    <w:pPr>
      <w:tabs>
        <w:tab w:val="center" w:pos="4320"/>
        <w:tab w:val="right" w:pos="8640"/>
      </w:tabs>
      <w:spacing w:after="0"/>
    </w:pPr>
  </w:style>
  <w:style w:type="character" w:customStyle="1" w:styleId="HeaderChar">
    <w:name w:val="Header Char"/>
    <w:aliases w:val="Page Header Char,Header title Char,he=header Char,cntr/bld Char"/>
    <w:basedOn w:val="DefaultParagraphFont"/>
    <w:link w:val="Header"/>
    <w:rsid w:val="00705DAD"/>
    <w:rPr>
      <w:rFonts w:ascii="Lucida Bright" w:hAnsi="Lucida Bright"/>
      <w:sz w:val="24"/>
      <w:szCs w:val="24"/>
    </w:rPr>
  </w:style>
  <w:style w:type="paragraph" w:styleId="DocumentMap">
    <w:name w:val="Document Map"/>
    <w:basedOn w:val="Normal"/>
    <w:link w:val="DocumentMapChar"/>
    <w:uiPriority w:val="99"/>
    <w:semiHidden/>
    <w:unhideWhenUsed/>
    <w:rsid w:val="00832324"/>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832324"/>
    <w:rPr>
      <w:rFonts w:ascii="Lucida Grande" w:hAnsi="Lucida Grande" w:cs="Lucida Grande"/>
      <w:sz w:val="24"/>
      <w:szCs w:val="24"/>
    </w:rPr>
  </w:style>
  <w:style w:type="table" w:styleId="TableGrid">
    <w:name w:val="Table Grid"/>
    <w:basedOn w:val="TableNormal"/>
    <w:uiPriority w:val="59"/>
    <w:rsid w:val="00142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1420B3"/>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1420B3"/>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ED633B"/>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3370D0"/>
    <w:rPr>
      <w:rFonts w:cs="Baskerville"/>
      <w:sz w:val="20"/>
      <w:szCs w:val="20"/>
    </w:rPr>
  </w:style>
  <w:style w:type="paragraph" w:customStyle="1" w:styleId="Tabletitle">
    <w:name w:val="Table title"/>
    <w:basedOn w:val="Heading4"/>
    <w:link w:val="TabletitleChar"/>
    <w:qFormat/>
    <w:rsid w:val="00C245EA"/>
    <w:pPr>
      <w:spacing w:after="20"/>
    </w:pPr>
    <w:rPr>
      <w:sz w:val="24"/>
      <w:szCs w:val="24"/>
    </w:rPr>
  </w:style>
  <w:style w:type="paragraph" w:customStyle="1" w:styleId="Figurecaption">
    <w:name w:val="Figure caption"/>
    <w:basedOn w:val="Normal"/>
    <w:link w:val="FigurecaptionChar"/>
    <w:qFormat/>
    <w:rsid w:val="00FE645A"/>
    <w:pPr>
      <w:spacing w:before="60" w:after="60"/>
    </w:pPr>
    <w:rPr>
      <w:sz w:val="20"/>
      <w:szCs w:val="20"/>
      <w:lang w:eastAsia="en-US"/>
    </w:rPr>
  </w:style>
  <w:style w:type="character" w:customStyle="1" w:styleId="FigurecaptionChar">
    <w:name w:val="Figure caption Char"/>
    <w:basedOn w:val="DefaultParagraphFont"/>
    <w:link w:val="Figurecaption"/>
    <w:rsid w:val="00FE645A"/>
    <w:rPr>
      <w:sz w:val="20"/>
      <w:szCs w:val="20"/>
      <w:lang w:eastAsia="en-US"/>
    </w:rPr>
  </w:style>
  <w:style w:type="paragraph" w:styleId="FootnoteText">
    <w:name w:val="footnote text"/>
    <w:basedOn w:val="Normal"/>
    <w:link w:val="FootnoteTextChar"/>
    <w:uiPriority w:val="99"/>
    <w:unhideWhenUsed/>
    <w:rsid w:val="008142B4"/>
    <w:pPr>
      <w:spacing w:after="0"/>
    </w:pPr>
    <w:rPr>
      <w:sz w:val="18"/>
      <w:szCs w:val="20"/>
    </w:rPr>
  </w:style>
  <w:style w:type="character" w:customStyle="1" w:styleId="FootnoteTextChar">
    <w:name w:val="Footnote Text Char"/>
    <w:basedOn w:val="DefaultParagraphFont"/>
    <w:link w:val="FootnoteText"/>
    <w:uiPriority w:val="99"/>
    <w:rsid w:val="008142B4"/>
    <w:rPr>
      <w:sz w:val="18"/>
      <w:szCs w:val="20"/>
    </w:rPr>
  </w:style>
  <w:style w:type="character" w:styleId="FootnoteReference">
    <w:name w:val="footnote reference"/>
    <w:basedOn w:val="DefaultParagraphFont"/>
    <w:uiPriority w:val="99"/>
    <w:unhideWhenUsed/>
    <w:rsid w:val="008142B4"/>
    <w:rPr>
      <w:vertAlign w:val="superscript"/>
    </w:rPr>
  </w:style>
  <w:style w:type="character" w:customStyle="1" w:styleId="TabletitleChar">
    <w:name w:val="Table title Char"/>
    <w:basedOn w:val="Heading4Char"/>
    <w:link w:val="Tabletitle"/>
    <w:rsid w:val="00C245EA"/>
    <w:rPr>
      <w:b/>
      <w:sz w:val="24"/>
      <w:szCs w:val="24"/>
    </w:rPr>
  </w:style>
  <w:style w:type="paragraph" w:customStyle="1" w:styleId="Figuretitle">
    <w:name w:val="Figure title"/>
    <w:basedOn w:val="Tabletitle"/>
    <w:link w:val="FiguretitleChar"/>
    <w:qFormat/>
    <w:rsid w:val="00FE645A"/>
    <w:pPr>
      <w:spacing w:before="60" w:after="60"/>
    </w:pPr>
    <w:rPr>
      <w:lang w:val="en-US"/>
    </w:rPr>
  </w:style>
  <w:style w:type="character" w:customStyle="1" w:styleId="FiguretitleChar">
    <w:name w:val="Figure title Char"/>
    <w:basedOn w:val="TabletitleChar"/>
    <w:link w:val="Figuretitle"/>
    <w:rsid w:val="00FE645A"/>
    <w:rPr>
      <w:rFonts w:ascii="Lucida Bright" w:eastAsiaTheme="majorEastAsia" w:hAnsi="Lucida Bright" w:cstheme="majorBidi"/>
      <w:b/>
      <w:bCs w:val="0"/>
      <w:i w:val="0"/>
      <w:iCs w:val="0"/>
      <w:sz w:val="24"/>
      <w:szCs w:val="24"/>
      <w:lang w:val="en-US"/>
    </w:rPr>
  </w:style>
  <w:style w:type="paragraph" w:styleId="NoSpacing">
    <w:name w:val="No Spacing"/>
    <w:uiPriority w:val="1"/>
    <w:qFormat/>
    <w:rsid w:val="00BB0D1A"/>
    <w:pPr>
      <w:spacing w:after="0" w:line="240" w:lineRule="auto"/>
    </w:pPr>
    <w:rPr>
      <w:sz w:val="24"/>
      <w:szCs w:val="24"/>
    </w:rPr>
  </w:style>
  <w:style w:type="paragraph" w:styleId="ListParagraph">
    <w:name w:val="List Paragraph"/>
    <w:basedOn w:val="Normal"/>
    <w:link w:val="ListParagraphChar"/>
    <w:uiPriority w:val="72"/>
    <w:qFormat/>
    <w:rsid w:val="003402E4"/>
    <w:pPr>
      <w:ind w:left="720"/>
      <w:contextualSpacing/>
    </w:pPr>
  </w:style>
  <w:style w:type="character" w:styleId="Hyperlink">
    <w:name w:val="Hyperlink"/>
    <w:basedOn w:val="DefaultParagraphFont"/>
    <w:uiPriority w:val="99"/>
    <w:unhideWhenUsed/>
    <w:rsid w:val="00F17D4B"/>
    <w:rPr>
      <w:color w:val="0000FF" w:themeColor="hyperlink"/>
      <w:u w:val="single"/>
    </w:rPr>
  </w:style>
  <w:style w:type="character" w:customStyle="1" w:styleId="abbreviation">
    <w:name w:val="abbreviation"/>
    <w:basedOn w:val="DefaultParagraphFont"/>
    <w:rsid w:val="007C5B12"/>
  </w:style>
  <w:style w:type="character" w:customStyle="1" w:styleId="form-strength">
    <w:name w:val="form-strength"/>
    <w:basedOn w:val="DefaultParagraphFont"/>
    <w:rsid w:val="004A48CD"/>
  </w:style>
  <w:style w:type="character" w:styleId="FollowedHyperlink">
    <w:name w:val="FollowedHyperlink"/>
    <w:basedOn w:val="DefaultParagraphFont"/>
    <w:uiPriority w:val="99"/>
    <w:semiHidden/>
    <w:unhideWhenUsed/>
    <w:rsid w:val="00EB686B"/>
    <w:rPr>
      <w:color w:val="800080" w:themeColor="followedHyperlink"/>
      <w:u w:val="single"/>
    </w:rPr>
  </w:style>
  <w:style w:type="paragraph" w:styleId="NormalWeb">
    <w:name w:val="Normal (Web)"/>
    <w:basedOn w:val="Normal"/>
    <w:uiPriority w:val="99"/>
    <w:unhideWhenUsed/>
    <w:rsid w:val="006701A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476C5A"/>
  </w:style>
  <w:style w:type="character" w:customStyle="1" w:styleId="ListParagraphChar">
    <w:name w:val="List Paragraph Char"/>
    <w:link w:val="ListParagraph"/>
    <w:uiPriority w:val="72"/>
    <w:rsid w:val="00F23F72"/>
    <w:rPr>
      <w:sz w:val="24"/>
      <w:szCs w:val="24"/>
    </w:rPr>
  </w:style>
  <w:style w:type="character" w:styleId="Strong">
    <w:name w:val="Strong"/>
    <w:basedOn w:val="DefaultParagraphFont"/>
    <w:uiPriority w:val="22"/>
    <w:qFormat/>
    <w:rsid w:val="000554EC"/>
    <w:rPr>
      <w:b/>
      <w:bCs/>
    </w:rPr>
  </w:style>
  <w:style w:type="character" w:styleId="PlaceholderText">
    <w:name w:val="Placeholder Text"/>
    <w:basedOn w:val="DefaultParagraphFont"/>
    <w:uiPriority w:val="99"/>
    <w:semiHidden/>
    <w:rsid w:val="00696297"/>
    <w:rPr>
      <w:color w:val="808080"/>
    </w:rPr>
  </w:style>
  <w:style w:type="character" w:customStyle="1" w:styleId="keywords">
    <w:name w:val="keywords"/>
    <w:basedOn w:val="DefaultParagraphFont"/>
    <w:rsid w:val="003C7F24"/>
  </w:style>
  <w:style w:type="character" w:customStyle="1" w:styleId="A5">
    <w:name w:val="A5"/>
    <w:uiPriority w:val="99"/>
    <w:rsid w:val="009F61FA"/>
    <w:rPr>
      <w:rFonts w:cs="HelveticaNeueLT Std"/>
      <w:b/>
      <w:bCs/>
      <w:color w:val="000000"/>
      <w:sz w:val="18"/>
      <w:szCs w:val="18"/>
    </w:rPr>
  </w:style>
  <w:style w:type="paragraph" w:styleId="Revision">
    <w:name w:val="Revision"/>
    <w:hidden/>
    <w:uiPriority w:val="99"/>
    <w:semiHidden/>
    <w:rsid w:val="008B75F2"/>
    <w:pPr>
      <w:spacing w:after="0" w:line="240" w:lineRule="auto"/>
    </w:pPr>
    <w:rPr>
      <w:sz w:val="24"/>
      <w:szCs w:val="24"/>
    </w:rPr>
  </w:style>
  <w:style w:type="paragraph" w:customStyle="1" w:styleId="PBACBullets">
    <w:name w:val="PBAC Bullets"/>
    <w:basedOn w:val="Normal"/>
    <w:qFormat/>
    <w:rsid w:val="00B10777"/>
    <w:pPr>
      <w:numPr>
        <w:numId w:val="22"/>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3867">
      <w:bodyDiv w:val="1"/>
      <w:marLeft w:val="0"/>
      <w:marRight w:val="0"/>
      <w:marTop w:val="0"/>
      <w:marBottom w:val="0"/>
      <w:divBdr>
        <w:top w:val="none" w:sz="0" w:space="0" w:color="auto"/>
        <w:left w:val="none" w:sz="0" w:space="0" w:color="auto"/>
        <w:bottom w:val="none" w:sz="0" w:space="0" w:color="auto"/>
        <w:right w:val="none" w:sz="0" w:space="0" w:color="auto"/>
      </w:divBdr>
    </w:div>
    <w:div w:id="90704239">
      <w:bodyDiv w:val="1"/>
      <w:marLeft w:val="0"/>
      <w:marRight w:val="0"/>
      <w:marTop w:val="0"/>
      <w:marBottom w:val="0"/>
      <w:divBdr>
        <w:top w:val="none" w:sz="0" w:space="0" w:color="auto"/>
        <w:left w:val="none" w:sz="0" w:space="0" w:color="auto"/>
        <w:bottom w:val="none" w:sz="0" w:space="0" w:color="auto"/>
        <w:right w:val="none" w:sz="0" w:space="0" w:color="auto"/>
      </w:divBdr>
    </w:div>
    <w:div w:id="167528995">
      <w:bodyDiv w:val="1"/>
      <w:marLeft w:val="0"/>
      <w:marRight w:val="0"/>
      <w:marTop w:val="0"/>
      <w:marBottom w:val="0"/>
      <w:divBdr>
        <w:top w:val="none" w:sz="0" w:space="0" w:color="auto"/>
        <w:left w:val="none" w:sz="0" w:space="0" w:color="auto"/>
        <w:bottom w:val="none" w:sz="0" w:space="0" w:color="auto"/>
        <w:right w:val="none" w:sz="0" w:space="0" w:color="auto"/>
      </w:divBdr>
    </w:div>
    <w:div w:id="253755772">
      <w:bodyDiv w:val="1"/>
      <w:marLeft w:val="0"/>
      <w:marRight w:val="0"/>
      <w:marTop w:val="0"/>
      <w:marBottom w:val="0"/>
      <w:divBdr>
        <w:top w:val="none" w:sz="0" w:space="0" w:color="auto"/>
        <w:left w:val="none" w:sz="0" w:space="0" w:color="auto"/>
        <w:bottom w:val="none" w:sz="0" w:space="0" w:color="auto"/>
        <w:right w:val="none" w:sz="0" w:space="0" w:color="auto"/>
      </w:divBdr>
    </w:div>
    <w:div w:id="297683397">
      <w:bodyDiv w:val="1"/>
      <w:marLeft w:val="0"/>
      <w:marRight w:val="0"/>
      <w:marTop w:val="0"/>
      <w:marBottom w:val="0"/>
      <w:divBdr>
        <w:top w:val="none" w:sz="0" w:space="0" w:color="auto"/>
        <w:left w:val="none" w:sz="0" w:space="0" w:color="auto"/>
        <w:bottom w:val="none" w:sz="0" w:space="0" w:color="auto"/>
        <w:right w:val="none" w:sz="0" w:space="0" w:color="auto"/>
      </w:divBdr>
    </w:div>
    <w:div w:id="395667520">
      <w:bodyDiv w:val="1"/>
      <w:marLeft w:val="0"/>
      <w:marRight w:val="0"/>
      <w:marTop w:val="0"/>
      <w:marBottom w:val="0"/>
      <w:divBdr>
        <w:top w:val="none" w:sz="0" w:space="0" w:color="auto"/>
        <w:left w:val="none" w:sz="0" w:space="0" w:color="auto"/>
        <w:bottom w:val="none" w:sz="0" w:space="0" w:color="auto"/>
        <w:right w:val="none" w:sz="0" w:space="0" w:color="auto"/>
      </w:divBdr>
    </w:div>
    <w:div w:id="426536335">
      <w:bodyDiv w:val="1"/>
      <w:marLeft w:val="0"/>
      <w:marRight w:val="0"/>
      <w:marTop w:val="0"/>
      <w:marBottom w:val="0"/>
      <w:divBdr>
        <w:top w:val="none" w:sz="0" w:space="0" w:color="auto"/>
        <w:left w:val="none" w:sz="0" w:space="0" w:color="auto"/>
        <w:bottom w:val="none" w:sz="0" w:space="0" w:color="auto"/>
        <w:right w:val="none" w:sz="0" w:space="0" w:color="auto"/>
      </w:divBdr>
    </w:div>
    <w:div w:id="450512648">
      <w:bodyDiv w:val="1"/>
      <w:marLeft w:val="0"/>
      <w:marRight w:val="0"/>
      <w:marTop w:val="0"/>
      <w:marBottom w:val="0"/>
      <w:divBdr>
        <w:top w:val="none" w:sz="0" w:space="0" w:color="auto"/>
        <w:left w:val="none" w:sz="0" w:space="0" w:color="auto"/>
        <w:bottom w:val="none" w:sz="0" w:space="0" w:color="auto"/>
        <w:right w:val="none" w:sz="0" w:space="0" w:color="auto"/>
      </w:divBdr>
    </w:div>
    <w:div w:id="459618519">
      <w:bodyDiv w:val="1"/>
      <w:marLeft w:val="0"/>
      <w:marRight w:val="0"/>
      <w:marTop w:val="0"/>
      <w:marBottom w:val="0"/>
      <w:divBdr>
        <w:top w:val="none" w:sz="0" w:space="0" w:color="auto"/>
        <w:left w:val="none" w:sz="0" w:space="0" w:color="auto"/>
        <w:bottom w:val="none" w:sz="0" w:space="0" w:color="auto"/>
        <w:right w:val="none" w:sz="0" w:space="0" w:color="auto"/>
      </w:divBdr>
    </w:div>
    <w:div w:id="628972498">
      <w:bodyDiv w:val="1"/>
      <w:marLeft w:val="0"/>
      <w:marRight w:val="0"/>
      <w:marTop w:val="0"/>
      <w:marBottom w:val="0"/>
      <w:divBdr>
        <w:top w:val="none" w:sz="0" w:space="0" w:color="auto"/>
        <w:left w:val="none" w:sz="0" w:space="0" w:color="auto"/>
        <w:bottom w:val="none" w:sz="0" w:space="0" w:color="auto"/>
        <w:right w:val="none" w:sz="0" w:space="0" w:color="auto"/>
      </w:divBdr>
    </w:div>
    <w:div w:id="644432838">
      <w:bodyDiv w:val="1"/>
      <w:marLeft w:val="0"/>
      <w:marRight w:val="0"/>
      <w:marTop w:val="0"/>
      <w:marBottom w:val="0"/>
      <w:divBdr>
        <w:top w:val="none" w:sz="0" w:space="0" w:color="auto"/>
        <w:left w:val="none" w:sz="0" w:space="0" w:color="auto"/>
        <w:bottom w:val="none" w:sz="0" w:space="0" w:color="auto"/>
        <w:right w:val="none" w:sz="0" w:space="0" w:color="auto"/>
      </w:divBdr>
    </w:div>
    <w:div w:id="694694615">
      <w:bodyDiv w:val="1"/>
      <w:marLeft w:val="0"/>
      <w:marRight w:val="0"/>
      <w:marTop w:val="0"/>
      <w:marBottom w:val="0"/>
      <w:divBdr>
        <w:top w:val="none" w:sz="0" w:space="0" w:color="auto"/>
        <w:left w:val="none" w:sz="0" w:space="0" w:color="auto"/>
        <w:bottom w:val="none" w:sz="0" w:space="0" w:color="auto"/>
        <w:right w:val="none" w:sz="0" w:space="0" w:color="auto"/>
      </w:divBdr>
    </w:div>
    <w:div w:id="1080060958">
      <w:bodyDiv w:val="1"/>
      <w:marLeft w:val="0"/>
      <w:marRight w:val="0"/>
      <w:marTop w:val="0"/>
      <w:marBottom w:val="0"/>
      <w:divBdr>
        <w:top w:val="none" w:sz="0" w:space="0" w:color="auto"/>
        <w:left w:val="none" w:sz="0" w:space="0" w:color="auto"/>
        <w:bottom w:val="none" w:sz="0" w:space="0" w:color="auto"/>
        <w:right w:val="none" w:sz="0" w:space="0" w:color="auto"/>
      </w:divBdr>
    </w:div>
    <w:div w:id="1098528586">
      <w:bodyDiv w:val="1"/>
      <w:marLeft w:val="0"/>
      <w:marRight w:val="0"/>
      <w:marTop w:val="0"/>
      <w:marBottom w:val="0"/>
      <w:divBdr>
        <w:top w:val="none" w:sz="0" w:space="0" w:color="auto"/>
        <w:left w:val="none" w:sz="0" w:space="0" w:color="auto"/>
        <w:bottom w:val="none" w:sz="0" w:space="0" w:color="auto"/>
        <w:right w:val="none" w:sz="0" w:space="0" w:color="auto"/>
      </w:divBdr>
    </w:div>
    <w:div w:id="1161121885">
      <w:bodyDiv w:val="1"/>
      <w:marLeft w:val="0"/>
      <w:marRight w:val="0"/>
      <w:marTop w:val="0"/>
      <w:marBottom w:val="0"/>
      <w:divBdr>
        <w:top w:val="none" w:sz="0" w:space="0" w:color="auto"/>
        <w:left w:val="none" w:sz="0" w:space="0" w:color="auto"/>
        <w:bottom w:val="none" w:sz="0" w:space="0" w:color="auto"/>
        <w:right w:val="none" w:sz="0" w:space="0" w:color="auto"/>
      </w:divBdr>
    </w:div>
    <w:div w:id="1181314611">
      <w:bodyDiv w:val="1"/>
      <w:marLeft w:val="0"/>
      <w:marRight w:val="0"/>
      <w:marTop w:val="0"/>
      <w:marBottom w:val="0"/>
      <w:divBdr>
        <w:top w:val="none" w:sz="0" w:space="0" w:color="auto"/>
        <w:left w:val="none" w:sz="0" w:space="0" w:color="auto"/>
        <w:bottom w:val="none" w:sz="0" w:space="0" w:color="auto"/>
        <w:right w:val="none" w:sz="0" w:space="0" w:color="auto"/>
      </w:divBdr>
    </w:div>
    <w:div w:id="1575816822">
      <w:bodyDiv w:val="1"/>
      <w:marLeft w:val="0"/>
      <w:marRight w:val="0"/>
      <w:marTop w:val="0"/>
      <w:marBottom w:val="0"/>
      <w:divBdr>
        <w:top w:val="none" w:sz="0" w:space="0" w:color="auto"/>
        <w:left w:val="none" w:sz="0" w:space="0" w:color="auto"/>
        <w:bottom w:val="none" w:sz="0" w:space="0" w:color="auto"/>
        <w:right w:val="none" w:sz="0" w:space="0" w:color="auto"/>
      </w:divBdr>
    </w:div>
    <w:div w:id="1586718063">
      <w:bodyDiv w:val="1"/>
      <w:marLeft w:val="0"/>
      <w:marRight w:val="0"/>
      <w:marTop w:val="0"/>
      <w:marBottom w:val="0"/>
      <w:divBdr>
        <w:top w:val="none" w:sz="0" w:space="0" w:color="auto"/>
        <w:left w:val="none" w:sz="0" w:space="0" w:color="auto"/>
        <w:bottom w:val="none" w:sz="0" w:space="0" w:color="auto"/>
        <w:right w:val="none" w:sz="0" w:space="0" w:color="auto"/>
      </w:divBdr>
    </w:div>
    <w:div w:id="1621181713">
      <w:bodyDiv w:val="1"/>
      <w:marLeft w:val="0"/>
      <w:marRight w:val="0"/>
      <w:marTop w:val="0"/>
      <w:marBottom w:val="0"/>
      <w:divBdr>
        <w:top w:val="none" w:sz="0" w:space="0" w:color="auto"/>
        <w:left w:val="none" w:sz="0" w:space="0" w:color="auto"/>
        <w:bottom w:val="none" w:sz="0" w:space="0" w:color="auto"/>
        <w:right w:val="none" w:sz="0" w:space="0" w:color="auto"/>
      </w:divBdr>
    </w:div>
    <w:div w:id="1657492020">
      <w:bodyDiv w:val="1"/>
      <w:marLeft w:val="0"/>
      <w:marRight w:val="0"/>
      <w:marTop w:val="0"/>
      <w:marBottom w:val="0"/>
      <w:divBdr>
        <w:top w:val="none" w:sz="0" w:space="0" w:color="auto"/>
        <w:left w:val="none" w:sz="0" w:space="0" w:color="auto"/>
        <w:bottom w:val="none" w:sz="0" w:space="0" w:color="auto"/>
        <w:right w:val="none" w:sz="0" w:space="0" w:color="auto"/>
      </w:divBdr>
    </w:div>
    <w:div w:id="1669407530">
      <w:bodyDiv w:val="1"/>
      <w:marLeft w:val="0"/>
      <w:marRight w:val="0"/>
      <w:marTop w:val="0"/>
      <w:marBottom w:val="0"/>
      <w:divBdr>
        <w:top w:val="none" w:sz="0" w:space="0" w:color="auto"/>
        <w:left w:val="none" w:sz="0" w:space="0" w:color="auto"/>
        <w:bottom w:val="none" w:sz="0" w:space="0" w:color="auto"/>
        <w:right w:val="none" w:sz="0" w:space="0" w:color="auto"/>
      </w:divBdr>
    </w:div>
    <w:div w:id="1876581019">
      <w:bodyDiv w:val="1"/>
      <w:marLeft w:val="0"/>
      <w:marRight w:val="0"/>
      <w:marTop w:val="0"/>
      <w:marBottom w:val="0"/>
      <w:divBdr>
        <w:top w:val="none" w:sz="0" w:space="0" w:color="auto"/>
        <w:left w:val="none" w:sz="0" w:space="0" w:color="auto"/>
        <w:bottom w:val="none" w:sz="0" w:space="0" w:color="auto"/>
        <w:right w:val="none" w:sz="0" w:space="0" w:color="auto"/>
      </w:divBdr>
    </w:div>
    <w:div w:id="1941066145">
      <w:bodyDiv w:val="1"/>
      <w:marLeft w:val="0"/>
      <w:marRight w:val="0"/>
      <w:marTop w:val="0"/>
      <w:marBottom w:val="0"/>
      <w:divBdr>
        <w:top w:val="none" w:sz="0" w:space="0" w:color="auto"/>
        <w:left w:val="none" w:sz="0" w:space="0" w:color="auto"/>
        <w:bottom w:val="none" w:sz="0" w:space="0" w:color="auto"/>
        <w:right w:val="none" w:sz="0" w:space="0" w:color="auto"/>
      </w:divBdr>
    </w:div>
    <w:div w:id="1976523647">
      <w:bodyDiv w:val="1"/>
      <w:marLeft w:val="0"/>
      <w:marRight w:val="0"/>
      <w:marTop w:val="0"/>
      <w:marBottom w:val="0"/>
      <w:divBdr>
        <w:top w:val="none" w:sz="0" w:space="0" w:color="auto"/>
        <w:left w:val="none" w:sz="0" w:space="0" w:color="auto"/>
        <w:bottom w:val="none" w:sz="0" w:space="0" w:color="auto"/>
        <w:right w:val="none" w:sz="0" w:space="0" w:color="auto"/>
      </w:divBdr>
    </w:div>
    <w:div w:id="2065173546">
      <w:bodyDiv w:val="1"/>
      <w:marLeft w:val="0"/>
      <w:marRight w:val="0"/>
      <w:marTop w:val="0"/>
      <w:marBottom w:val="0"/>
      <w:divBdr>
        <w:top w:val="none" w:sz="0" w:space="0" w:color="auto"/>
        <w:left w:val="none" w:sz="0" w:space="0" w:color="auto"/>
        <w:bottom w:val="none" w:sz="0" w:space="0" w:color="auto"/>
        <w:right w:val="none" w:sz="0" w:space="0" w:color="auto"/>
      </w:divBdr>
    </w:div>
    <w:div w:id="2110159009">
      <w:bodyDiv w:val="1"/>
      <w:marLeft w:val="0"/>
      <w:marRight w:val="0"/>
      <w:marTop w:val="0"/>
      <w:marBottom w:val="0"/>
      <w:divBdr>
        <w:top w:val="none" w:sz="0" w:space="0" w:color="auto"/>
        <w:left w:val="none" w:sz="0" w:space="0" w:color="auto"/>
        <w:bottom w:val="none" w:sz="0" w:space="0" w:color="auto"/>
        <w:right w:val="none" w:sz="0" w:space="0" w:color="auto"/>
      </w:divBdr>
      <w:divsChild>
        <w:div w:id="2030640810">
          <w:marLeft w:val="0"/>
          <w:marRight w:val="0"/>
          <w:marTop w:val="0"/>
          <w:marBottom w:val="0"/>
          <w:divBdr>
            <w:top w:val="none" w:sz="0" w:space="0" w:color="C4DEEE"/>
            <w:left w:val="none" w:sz="0" w:space="0" w:color="C4DEEE"/>
            <w:bottom w:val="none" w:sz="0" w:space="0" w:color="C4DEEE"/>
            <w:right w:val="none" w:sz="0" w:space="0" w:color="C4DEEE"/>
          </w:divBdr>
          <w:divsChild>
            <w:div w:id="1799184611">
              <w:marLeft w:val="0"/>
              <w:marRight w:val="0"/>
              <w:marTop w:val="0"/>
              <w:marBottom w:val="0"/>
              <w:divBdr>
                <w:top w:val="none" w:sz="0" w:space="0" w:color="C4DEEE"/>
                <w:left w:val="none" w:sz="0" w:space="0" w:color="C4DEEE"/>
                <w:bottom w:val="none" w:sz="0" w:space="0" w:color="C4DEEE"/>
                <w:right w:val="none" w:sz="0" w:space="0" w:color="C4DEEE"/>
              </w:divBdr>
            </w:div>
          </w:divsChild>
        </w:div>
        <w:div w:id="1828090990">
          <w:marLeft w:val="0"/>
          <w:marRight w:val="0"/>
          <w:marTop w:val="0"/>
          <w:marBottom w:val="0"/>
          <w:divBdr>
            <w:top w:val="none" w:sz="0" w:space="2" w:color="C4DEEE"/>
            <w:left w:val="none" w:sz="0" w:space="15" w:color="C4DEEE"/>
            <w:bottom w:val="none" w:sz="0" w:space="2" w:color="C4DEEE"/>
            <w:right w:val="none" w:sz="0" w:space="2" w:color="C4DEEE"/>
          </w:divBdr>
        </w:div>
        <w:div w:id="1494640977">
          <w:marLeft w:val="0"/>
          <w:marRight w:val="0"/>
          <w:marTop w:val="0"/>
          <w:marBottom w:val="0"/>
          <w:divBdr>
            <w:top w:val="none" w:sz="0" w:space="0" w:color="C4DEEE"/>
            <w:left w:val="none" w:sz="0" w:space="0" w:color="C4DEEE"/>
            <w:bottom w:val="none" w:sz="0" w:space="0" w:color="C4DEEE"/>
            <w:right w:val="none" w:sz="0" w:space="0" w:color="C4DEEE"/>
          </w:divBdr>
          <w:divsChild>
            <w:div w:id="1077747836">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2120054458">
      <w:bodyDiv w:val="1"/>
      <w:marLeft w:val="0"/>
      <w:marRight w:val="0"/>
      <w:marTop w:val="0"/>
      <w:marBottom w:val="0"/>
      <w:divBdr>
        <w:top w:val="none" w:sz="0" w:space="0" w:color="auto"/>
        <w:left w:val="none" w:sz="0" w:space="0" w:color="auto"/>
        <w:bottom w:val="none" w:sz="0" w:space="0" w:color="auto"/>
        <w:right w:val="none" w:sz="0" w:space="0" w:color="auto"/>
      </w:divBdr>
    </w:div>
    <w:div w:id="2123570529">
      <w:bodyDiv w:val="1"/>
      <w:marLeft w:val="0"/>
      <w:marRight w:val="0"/>
      <w:marTop w:val="0"/>
      <w:marBottom w:val="0"/>
      <w:divBdr>
        <w:top w:val="none" w:sz="0" w:space="0" w:color="auto"/>
        <w:left w:val="none" w:sz="0" w:space="0" w:color="auto"/>
        <w:bottom w:val="none" w:sz="0" w:space="0" w:color="auto"/>
        <w:right w:val="none" w:sz="0" w:space="0" w:color="auto"/>
      </w:divBdr>
      <w:divsChild>
        <w:div w:id="1783107843">
          <w:marLeft w:val="0"/>
          <w:marRight w:val="0"/>
          <w:marTop w:val="0"/>
          <w:marBottom w:val="0"/>
          <w:divBdr>
            <w:top w:val="none" w:sz="0" w:space="0" w:color="C4DEEE"/>
            <w:left w:val="none" w:sz="0" w:space="0" w:color="C4DEEE"/>
            <w:bottom w:val="none" w:sz="0" w:space="0" w:color="C4DEEE"/>
            <w:right w:val="none" w:sz="0" w:space="0" w:color="C4DEEE"/>
          </w:divBdr>
          <w:divsChild>
            <w:div w:id="762800211">
              <w:marLeft w:val="0"/>
              <w:marRight w:val="0"/>
              <w:marTop w:val="0"/>
              <w:marBottom w:val="0"/>
              <w:divBdr>
                <w:top w:val="none" w:sz="0" w:space="0" w:color="C4DEEE"/>
                <w:left w:val="none" w:sz="0" w:space="0" w:color="C4DEEE"/>
                <w:bottom w:val="none" w:sz="0" w:space="0" w:color="C4DEEE"/>
                <w:right w:val="none" w:sz="0" w:space="0" w:color="C4DEEE"/>
              </w:divBdr>
            </w:div>
          </w:divsChild>
        </w:div>
        <w:div w:id="462357846">
          <w:marLeft w:val="0"/>
          <w:marRight w:val="0"/>
          <w:marTop w:val="0"/>
          <w:marBottom w:val="0"/>
          <w:divBdr>
            <w:top w:val="none" w:sz="0" w:space="2" w:color="C4DEEE"/>
            <w:left w:val="none" w:sz="0" w:space="15" w:color="C4DEEE"/>
            <w:bottom w:val="none" w:sz="0" w:space="2" w:color="C4DEEE"/>
            <w:right w:val="none" w:sz="0" w:space="2" w:color="C4DEEE"/>
          </w:divBdr>
        </w:div>
        <w:div w:id="1266692556">
          <w:marLeft w:val="0"/>
          <w:marRight w:val="0"/>
          <w:marTop w:val="0"/>
          <w:marBottom w:val="0"/>
          <w:divBdr>
            <w:top w:val="none" w:sz="0" w:space="0" w:color="C4DEEE"/>
            <w:left w:val="none" w:sz="0" w:space="0" w:color="C4DEEE"/>
            <w:bottom w:val="none" w:sz="0" w:space="0" w:color="C4DEEE"/>
            <w:right w:val="none" w:sz="0" w:space="0" w:color="C4DEEE"/>
          </w:divBdr>
          <w:divsChild>
            <w:div w:id="1085955036">
              <w:marLeft w:val="0"/>
              <w:marRight w:val="0"/>
              <w:marTop w:val="0"/>
              <w:marBottom w:val="0"/>
              <w:divBdr>
                <w:top w:val="none" w:sz="0" w:space="0" w:color="C4DEEE"/>
                <w:left w:val="none" w:sz="0" w:space="0" w:color="C4DEEE"/>
                <w:bottom w:val="none" w:sz="0" w:space="0" w:color="C4DEEE"/>
                <w:right w:val="none" w:sz="0" w:space="0" w:color="C4DEEE"/>
              </w:divBdr>
            </w:div>
            <w:div w:id="878199761">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tga.gov.au/alert/varenicline-champix" TargetMode="External"/><Relationship Id="rId13" Type="http://schemas.openxmlformats.org/officeDocument/2006/relationships/hyperlink" Target="https://www.ebs.tga.gov.au" TargetMode="External"/><Relationship Id="rId18" Type="http://schemas.openxmlformats.org/officeDocument/2006/relationships/hyperlink" Target="http://www.medicareaustralia.gov.au/provider/pbs/stats.jsp" TargetMode="External"/><Relationship Id="rId3" Type="http://schemas.openxmlformats.org/officeDocument/2006/relationships/hyperlink" Target="https://www.ebs.tga.gov.au" TargetMode="External"/><Relationship Id="rId7" Type="http://schemas.openxmlformats.org/officeDocument/2006/relationships/hyperlink" Target="https://www.tga.gov.au/publication-issue/medicines-safety-update-no4-2010" TargetMode="External"/><Relationship Id="rId12" Type="http://schemas.openxmlformats.org/officeDocument/2006/relationships/hyperlink" Target="https://www.ebs.tga.gov.au" TargetMode="External"/><Relationship Id="rId17" Type="http://schemas.openxmlformats.org/officeDocument/2006/relationships/hyperlink" Target="http://www.pbs.gov.au/industry/listing/elements/dusc-meetings/dos/dusc-dos-oct-2012-v2.0.pdf" TargetMode="External"/><Relationship Id="rId2" Type="http://schemas.openxmlformats.org/officeDocument/2006/relationships/hyperlink" Target="http://www.nationaldrugstrategy.gov.au/" TargetMode="External"/><Relationship Id="rId16" Type="http://schemas.openxmlformats.org/officeDocument/2006/relationships/hyperlink" Target="http://www.nationaldrugstrategy.gov.au/" TargetMode="External"/><Relationship Id="rId1" Type="http://schemas.openxmlformats.org/officeDocument/2006/relationships/hyperlink" Target="http://www.aihw.gov.au" TargetMode="External"/><Relationship Id="rId6" Type="http://schemas.openxmlformats.org/officeDocument/2006/relationships/hyperlink" Target="https://www.tga.gov.au/publication-issue/australian-adverse-drug-reactions-bulletin-vol-27-no-6" TargetMode="External"/><Relationship Id="rId11" Type="http://schemas.openxmlformats.org/officeDocument/2006/relationships/hyperlink" Target="https://www.ebs.tga.gov.au" TargetMode="External"/><Relationship Id="rId5" Type="http://schemas.openxmlformats.org/officeDocument/2006/relationships/hyperlink" Target="https://www.ebs.tga.gov.au" TargetMode="External"/><Relationship Id="rId15" Type="http://schemas.openxmlformats.org/officeDocument/2006/relationships/hyperlink" Target="http://www.aihw.gov.au" TargetMode="External"/><Relationship Id="rId10" Type="http://schemas.openxmlformats.org/officeDocument/2006/relationships/hyperlink" Target="https://www.ebs.tga.gov.au" TargetMode="External"/><Relationship Id="rId19" Type="http://schemas.openxmlformats.org/officeDocument/2006/relationships/hyperlink" Target="http://www.racgp.org.au/download/Documents/Guidelines/smoking-cessation.pdf" TargetMode="External"/><Relationship Id="rId4" Type="http://schemas.openxmlformats.org/officeDocument/2006/relationships/hyperlink" Target="http://online.tg.org.au/complete/" TargetMode="External"/><Relationship Id="rId9" Type="http://schemas.openxmlformats.org/officeDocument/2006/relationships/hyperlink" Target="https://www.tga.gov.au/alert/bupropion-zyban-sr" TargetMode="External"/><Relationship Id="rId14" Type="http://schemas.openxmlformats.org/officeDocument/2006/relationships/hyperlink" Target="https://www.ebs.tga.gov.au"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entral.health\DFSGroupData\Sites\CO1\CO\PBD\PEB\EVAL\DUSC\DUSC%20Database%20and%20other%20utilisation%20data\Data%20Requests\Requests%202015\D901%20-%20smoking%20cessation%20-%20Feb%202016\D901%20-%20smoking%20cessation%20-%20from%20DUSC%20database,%20up%20to%202015Q3%20-%20EDW%20extract.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[D901 - smoking cessation - from DUSC database, up to 2015Q3 - EDW extract.xlsx]Sheet4 (5)!PivotTable1</c:name>
    <c:fmtId val="20"/>
  </c:pivotSource>
  <c:chart>
    <c:title>
      <c:tx>
        <c:rich>
          <a:bodyPr/>
          <a:lstStyle/>
          <a:p>
            <a:pPr>
              <a:defRPr/>
            </a:pPr>
            <a:endParaRPr lang="en-AU"/>
          </a:p>
        </c:rich>
      </c:tx>
      <c:overlay val="0"/>
    </c:title>
    <c:autoTitleDeleted val="0"/>
    <c:pivotFmts>
      <c:pivotFmt>
        <c:idx val="0"/>
        <c:marker>
          <c:symbol val="none"/>
        </c:marker>
      </c:pivotFmt>
      <c:pivotFmt>
        <c:idx val="1"/>
        <c:marker>
          <c:symbol val="none"/>
        </c:marker>
      </c:pivotFmt>
      <c:pivotFmt>
        <c:idx val="2"/>
        <c:marker>
          <c:symbol val="none"/>
        </c:marker>
      </c:pivotFmt>
      <c:pivotFmt>
        <c:idx val="3"/>
        <c:marker>
          <c:symbol val="none"/>
        </c:marker>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marker>
          <c:symbol val="none"/>
        </c:marker>
      </c:pivotFmt>
      <c:pivotFmt>
        <c:idx val="22"/>
        <c:marker>
          <c:symbol val="none"/>
        </c:marker>
      </c:pivotFmt>
      <c:pivotFmt>
        <c:idx val="23"/>
        <c:marker>
          <c:symbol val="none"/>
        </c:marker>
      </c:pivotFmt>
      <c:pivotFmt>
        <c:idx val="24"/>
        <c:marker>
          <c:symbol val="none"/>
        </c:marker>
      </c:pivotFmt>
      <c:pivotFmt>
        <c:idx val="25"/>
        <c:marker>
          <c:symbol val="none"/>
        </c:marker>
      </c:pivotFmt>
      <c:pivotFmt>
        <c:idx val="26"/>
        <c:marker>
          <c:symbol val="none"/>
        </c:marker>
      </c:pivotFmt>
      <c:pivotFmt>
        <c:idx val="27"/>
        <c:marker>
          <c:symbol val="none"/>
        </c:marker>
      </c:pivotFmt>
      <c:pivotFmt>
        <c:idx val="28"/>
        <c:marker>
          <c:symbol val="none"/>
        </c:marker>
      </c:pivotFmt>
      <c:pivotFmt>
        <c:idx val="29"/>
        <c:marker>
          <c:symbol val="none"/>
        </c:marker>
      </c:pivotFmt>
      <c:pivotFmt>
        <c:idx val="30"/>
        <c:marker>
          <c:symbol val="none"/>
        </c:marker>
      </c:pivotFmt>
      <c:pivotFmt>
        <c:idx val="31"/>
        <c:marker>
          <c:symbol val="none"/>
        </c:marker>
      </c:pivotFmt>
      <c:pivotFmt>
        <c:idx val="32"/>
        <c:marker>
          <c:symbol val="none"/>
        </c:marker>
      </c:pivotFmt>
      <c:pivotFmt>
        <c:idx val="33"/>
        <c:marker>
          <c:symbol val="none"/>
        </c:marker>
      </c:pivotFmt>
      <c:pivotFmt>
        <c:idx val="34"/>
        <c:marker>
          <c:symbol val="none"/>
        </c:marker>
      </c:pivotFmt>
      <c:pivotFmt>
        <c:idx val="35"/>
        <c:marker>
          <c:symbol val="none"/>
        </c:marker>
      </c:pivotFmt>
      <c:pivotFmt>
        <c:idx val="36"/>
        <c:marker>
          <c:symbol val="none"/>
        </c:marker>
      </c:pivotFmt>
      <c:pivotFmt>
        <c:idx val="37"/>
        <c:marker>
          <c:symbol val="none"/>
        </c:marker>
      </c:pivotFmt>
      <c:pivotFmt>
        <c:idx val="38"/>
        <c:marker>
          <c:symbol val="none"/>
        </c:marker>
      </c:pivotFmt>
    </c:pivotFmts>
    <c:plotArea>
      <c:layout/>
      <c:lineChart>
        <c:grouping val="standard"/>
        <c:varyColors val="0"/>
        <c:ser>
          <c:idx val="0"/>
          <c:order val="0"/>
          <c:tx>
            <c:strRef>
              <c:f>'Sheet4 (5)'!$B$4:$B$5</c:f>
              <c:strCache>
                <c:ptCount val="1"/>
                <c:pt idx="0">
                  <c:v>BUPROPION</c:v>
                </c:pt>
              </c:strCache>
            </c:strRef>
          </c:tx>
          <c:marker>
            <c:symbol val="none"/>
          </c:marker>
          <c:cat>
            <c:strRef>
              <c:f>'Sheet4 (5)'!$A$6:$A$66</c:f>
              <c:strCache>
                <c:ptCount val="60"/>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strCache>
            </c:strRef>
          </c:cat>
          <c:val>
            <c:numRef>
              <c:f>'Sheet4 (5)'!$B$6:$B$66</c:f>
              <c:numCache>
                <c:formatCode>General</c:formatCode>
                <c:ptCount val="60"/>
                <c:pt idx="0">
                  <c:v>137</c:v>
                </c:pt>
                <c:pt idx="1">
                  <c:v>145057</c:v>
                </c:pt>
                <c:pt idx="2">
                  <c:v>153705</c:v>
                </c:pt>
                <c:pt idx="3">
                  <c:v>36506</c:v>
                </c:pt>
                <c:pt idx="4">
                  <c:v>23709</c:v>
                </c:pt>
                <c:pt idx="5">
                  <c:v>29477</c:v>
                </c:pt>
                <c:pt idx="6">
                  <c:v>28338</c:v>
                </c:pt>
                <c:pt idx="7">
                  <c:v>21493</c:v>
                </c:pt>
                <c:pt idx="8">
                  <c:v>16610</c:v>
                </c:pt>
                <c:pt idx="9">
                  <c:v>17917</c:v>
                </c:pt>
                <c:pt idx="10">
                  <c:v>17776</c:v>
                </c:pt>
                <c:pt idx="11">
                  <c:v>16930</c:v>
                </c:pt>
                <c:pt idx="12">
                  <c:v>15009</c:v>
                </c:pt>
                <c:pt idx="13">
                  <c:v>25628</c:v>
                </c:pt>
                <c:pt idx="14">
                  <c:v>31603</c:v>
                </c:pt>
                <c:pt idx="15">
                  <c:v>28915</c:v>
                </c:pt>
                <c:pt idx="16">
                  <c:v>23631</c:v>
                </c:pt>
                <c:pt idx="17">
                  <c:v>25219</c:v>
                </c:pt>
                <c:pt idx="18">
                  <c:v>27033</c:v>
                </c:pt>
                <c:pt idx="19">
                  <c:v>30887</c:v>
                </c:pt>
                <c:pt idx="20">
                  <c:v>24806</c:v>
                </c:pt>
                <c:pt idx="21">
                  <c:v>26978</c:v>
                </c:pt>
                <c:pt idx="22">
                  <c:v>26318</c:v>
                </c:pt>
                <c:pt idx="23">
                  <c:v>27300</c:v>
                </c:pt>
                <c:pt idx="24">
                  <c:v>21150</c:v>
                </c:pt>
                <c:pt idx="25">
                  <c:v>25731</c:v>
                </c:pt>
                <c:pt idx="26">
                  <c:v>23724</c:v>
                </c:pt>
                <c:pt idx="27">
                  <c:v>23928</c:v>
                </c:pt>
                <c:pt idx="28">
                  <c:v>20322</c:v>
                </c:pt>
                <c:pt idx="29">
                  <c:v>16794</c:v>
                </c:pt>
                <c:pt idx="30">
                  <c:v>11157</c:v>
                </c:pt>
                <c:pt idx="31">
                  <c:v>8584</c:v>
                </c:pt>
                <c:pt idx="32">
                  <c:v>6600</c:v>
                </c:pt>
                <c:pt idx="33">
                  <c:v>6124</c:v>
                </c:pt>
                <c:pt idx="34">
                  <c:v>6063</c:v>
                </c:pt>
                <c:pt idx="35">
                  <c:v>5749</c:v>
                </c:pt>
                <c:pt idx="36">
                  <c:v>4956</c:v>
                </c:pt>
                <c:pt idx="37">
                  <c:v>5253</c:v>
                </c:pt>
                <c:pt idx="38">
                  <c:v>6739</c:v>
                </c:pt>
                <c:pt idx="39">
                  <c:v>5635</c:v>
                </c:pt>
                <c:pt idx="40">
                  <c:v>4920</c:v>
                </c:pt>
                <c:pt idx="41">
                  <c:v>5794</c:v>
                </c:pt>
                <c:pt idx="42">
                  <c:v>5426</c:v>
                </c:pt>
                <c:pt idx="43">
                  <c:v>5112</c:v>
                </c:pt>
                <c:pt idx="44">
                  <c:v>4745</c:v>
                </c:pt>
                <c:pt idx="45">
                  <c:v>5338</c:v>
                </c:pt>
                <c:pt idx="46">
                  <c:v>5350</c:v>
                </c:pt>
                <c:pt idx="47">
                  <c:v>4994</c:v>
                </c:pt>
                <c:pt idx="48">
                  <c:v>3823</c:v>
                </c:pt>
                <c:pt idx="49">
                  <c:v>3812</c:v>
                </c:pt>
                <c:pt idx="50">
                  <c:v>3834</c:v>
                </c:pt>
                <c:pt idx="51">
                  <c:v>4039</c:v>
                </c:pt>
                <c:pt idx="52">
                  <c:v>3922</c:v>
                </c:pt>
                <c:pt idx="53">
                  <c:v>3976</c:v>
                </c:pt>
                <c:pt idx="54">
                  <c:v>3945</c:v>
                </c:pt>
                <c:pt idx="55">
                  <c:v>4088</c:v>
                </c:pt>
                <c:pt idx="56">
                  <c:v>3824</c:v>
                </c:pt>
                <c:pt idx="57">
                  <c:v>4050</c:v>
                </c:pt>
                <c:pt idx="58">
                  <c:v>4116</c:v>
                </c:pt>
                <c:pt idx="59">
                  <c:v>3964</c:v>
                </c:pt>
              </c:numCache>
            </c:numRef>
          </c:val>
          <c:smooth val="0"/>
        </c:ser>
        <c:ser>
          <c:idx val="1"/>
          <c:order val="1"/>
          <c:tx>
            <c:strRef>
              <c:f>'Sheet4 (5)'!$C$4:$C$5</c:f>
              <c:strCache>
                <c:ptCount val="1"/>
                <c:pt idx="0">
                  <c:v>NICOTINE</c:v>
                </c:pt>
              </c:strCache>
            </c:strRef>
          </c:tx>
          <c:marker>
            <c:symbol val="none"/>
          </c:marker>
          <c:cat>
            <c:strRef>
              <c:f>'Sheet4 (5)'!$A$6:$A$66</c:f>
              <c:strCache>
                <c:ptCount val="60"/>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strCache>
            </c:strRef>
          </c:cat>
          <c:val>
            <c:numRef>
              <c:f>'Sheet4 (5)'!$C$6:$C$66</c:f>
              <c:numCache>
                <c:formatCode>General</c:formatCode>
                <c:ptCount val="60"/>
                <c:pt idx="0">
                  <c:v>2855</c:v>
                </c:pt>
                <c:pt idx="1">
                  <c:v>2476</c:v>
                </c:pt>
                <c:pt idx="2">
                  <c:v>1544</c:v>
                </c:pt>
                <c:pt idx="3">
                  <c:v>2410</c:v>
                </c:pt>
                <c:pt idx="4">
                  <c:v>1934</c:v>
                </c:pt>
                <c:pt idx="5">
                  <c:v>2011</c:v>
                </c:pt>
                <c:pt idx="6">
                  <c:v>2021</c:v>
                </c:pt>
                <c:pt idx="7">
                  <c:v>1858</c:v>
                </c:pt>
                <c:pt idx="8">
                  <c:v>1602</c:v>
                </c:pt>
                <c:pt idx="9">
                  <c:v>2320</c:v>
                </c:pt>
                <c:pt idx="10">
                  <c:v>1896</c:v>
                </c:pt>
                <c:pt idx="11">
                  <c:v>1416</c:v>
                </c:pt>
                <c:pt idx="12">
                  <c:v>1255</c:v>
                </c:pt>
                <c:pt idx="13">
                  <c:v>2106</c:v>
                </c:pt>
                <c:pt idx="14">
                  <c:v>1411</c:v>
                </c:pt>
                <c:pt idx="15">
                  <c:v>1530</c:v>
                </c:pt>
                <c:pt idx="16">
                  <c:v>1291</c:v>
                </c:pt>
                <c:pt idx="17">
                  <c:v>1253</c:v>
                </c:pt>
                <c:pt idx="18">
                  <c:v>1341</c:v>
                </c:pt>
                <c:pt idx="19">
                  <c:v>1776</c:v>
                </c:pt>
                <c:pt idx="20">
                  <c:v>1915</c:v>
                </c:pt>
                <c:pt idx="21">
                  <c:v>2173</c:v>
                </c:pt>
                <c:pt idx="22">
                  <c:v>1856</c:v>
                </c:pt>
                <c:pt idx="23">
                  <c:v>2025</c:v>
                </c:pt>
                <c:pt idx="24">
                  <c:v>1973</c:v>
                </c:pt>
                <c:pt idx="25">
                  <c:v>1514</c:v>
                </c:pt>
                <c:pt idx="26">
                  <c:v>1533</c:v>
                </c:pt>
                <c:pt idx="27">
                  <c:v>1188</c:v>
                </c:pt>
                <c:pt idx="28">
                  <c:v>1578</c:v>
                </c:pt>
                <c:pt idx="29">
                  <c:v>834</c:v>
                </c:pt>
                <c:pt idx="30">
                  <c:v>570</c:v>
                </c:pt>
                <c:pt idx="31">
                  <c:v>650</c:v>
                </c:pt>
                <c:pt idx="32">
                  <c:v>825</c:v>
                </c:pt>
                <c:pt idx="33">
                  <c:v>753</c:v>
                </c:pt>
                <c:pt idx="34">
                  <c:v>1034</c:v>
                </c:pt>
                <c:pt idx="35">
                  <c:v>886</c:v>
                </c:pt>
                <c:pt idx="36">
                  <c:v>919</c:v>
                </c:pt>
                <c:pt idx="37">
                  <c:v>830</c:v>
                </c:pt>
                <c:pt idx="38">
                  <c:v>1083</c:v>
                </c:pt>
                <c:pt idx="39">
                  <c:v>2444</c:v>
                </c:pt>
                <c:pt idx="40">
                  <c:v>1655</c:v>
                </c:pt>
                <c:pt idx="41">
                  <c:v>72666</c:v>
                </c:pt>
                <c:pt idx="42">
                  <c:v>75948</c:v>
                </c:pt>
                <c:pt idx="43">
                  <c:v>58455</c:v>
                </c:pt>
                <c:pt idx="44">
                  <c:v>43870</c:v>
                </c:pt>
                <c:pt idx="45">
                  <c:v>43822</c:v>
                </c:pt>
                <c:pt idx="46">
                  <c:v>40386</c:v>
                </c:pt>
                <c:pt idx="47">
                  <c:v>37672</c:v>
                </c:pt>
                <c:pt idx="48">
                  <c:v>35045</c:v>
                </c:pt>
                <c:pt idx="49">
                  <c:v>32065</c:v>
                </c:pt>
                <c:pt idx="50">
                  <c:v>33224</c:v>
                </c:pt>
                <c:pt idx="51">
                  <c:v>34020</c:v>
                </c:pt>
                <c:pt idx="52">
                  <c:v>32656</c:v>
                </c:pt>
                <c:pt idx="53">
                  <c:v>30580</c:v>
                </c:pt>
                <c:pt idx="54">
                  <c:v>32612</c:v>
                </c:pt>
                <c:pt idx="55">
                  <c:v>34642</c:v>
                </c:pt>
                <c:pt idx="56">
                  <c:v>38816</c:v>
                </c:pt>
                <c:pt idx="57">
                  <c:v>33335</c:v>
                </c:pt>
                <c:pt idx="58">
                  <c:v>35271</c:v>
                </c:pt>
                <c:pt idx="59">
                  <c:v>39802</c:v>
                </c:pt>
              </c:numCache>
            </c:numRef>
          </c:val>
          <c:smooth val="0"/>
        </c:ser>
        <c:ser>
          <c:idx val="2"/>
          <c:order val="2"/>
          <c:tx>
            <c:strRef>
              <c:f>'Sheet4 (5)'!$D$4:$D$5</c:f>
              <c:strCache>
                <c:ptCount val="1"/>
                <c:pt idx="0">
                  <c:v>VARENICLINE</c:v>
                </c:pt>
              </c:strCache>
            </c:strRef>
          </c:tx>
          <c:marker>
            <c:symbol val="none"/>
          </c:marker>
          <c:cat>
            <c:strRef>
              <c:f>'Sheet4 (5)'!$A$6:$A$66</c:f>
              <c:strCache>
                <c:ptCount val="60"/>
                <c:pt idx="0">
                  <c:v>2000Q4</c:v>
                </c:pt>
                <c:pt idx="1">
                  <c:v>2001Q1</c:v>
                </c:pt>
                <c:pt idx="2">
                  <c:v>2001Q2</c:v>
                </c:pt>
                <c:pt idx="3">
                  <c:v>2001Q3</c:v>
                </c:pt>
                <c:pt idx="4">
                  <c:v>2001Q4</c:v>
                </c:pt>
                <c:pt idx="5">
                  <c:v>2002Q1</c:v>
                </c:pt>
                <c:pt idx="6">
                  <c:v>2002Q2</c:v>
                </c:pt>
                <c:pt idx="7">
                  <c:v>2002Q3</c:v>
                </c:pt>
                <c:pt idx="8">
                  <c:v>2002Q4</c:v>
                </c:pt>
                <c:pt idx="9">
                  <c:v>2003Q1</c:v>
                </c:pt>
                <c:pt idx="10">
                  <c:v>2003Q2</c:v>
                </c:pt>
                <c:pt idx="11">
                  <c:v>2003Q3</c:v>
                </c:pt>
                <c:pt idx="12">
                  <c:v>2003Q4</c:v>
                </c:pt>
                <c:pt idx="13">
                  <c:v>2004Q1</c:v>
                </c:pt>
                <c:pt idx="14">
                  <c:v>2004Q2</c:v>
                </c:pt>
                <c:pt idx="15">
                  <c:v>2004Q3</c:v>
                </c:pt>
                <c:pt idx="16">
                  <c:v>2004Q4</c:v>
                </c:pt>
                <c:pt idx="17">
                  <c:v>2005Q1</c:v>
                </c:pt>
                <c:pt idx="18">
                  <c:v>2005Q2</c:v>
                </c:pt>
                <c:pt idx="19">
                  <c:v>2005Q3</c:v>
                </c:pt>
                <c:pt idx="20">
                  <c:v>2005Q4</c:v>
                </c:pt>
                <c:pt idx="21">
                  <c:v>2006Q1</c:v>
                </c:pt>
                <c:pt idx="22">
                  <c:v>2006Q2</c:v>
                </c:pt>
                <c:pt idx="23">
                  <c:v>2006Q3</c:v>
                </c:pt>
                <c:pt idx="24">
                  <c:v>2006Q4</c:v>
                </c:pt>
                <c:pt idx="25">
                  <c:v>2007Q1</c:v>
                </c:pt>
                <c:pt idx="26">
                  <c:v>2007Q2</c:v>
                </c:pt>
                <c:pt idx="27">
                  <c:v>2007Q3</c:v>
                </c:pt>
                <c:pt idx="28">
                  <c:v>2007Q4</c:v>
                </c:pt>
                <c:pt idx="29">
                  <c:v>2008Q1</c:v>
                </c:pt>
                <c:pt idx="30">
                  <c:v>2008Q2</c:v>
                </c:pt>
                <c:pt idx="31">
                  <c:v>2008Q3</c:v>
                </c:pt>
                <c:pt idx="32">
                  <c:v>2008Q4</c:v>
                </c:pt>
                <c:pt idx="33">
                  <c:v>2009Q1</c:v>
                </c:pt>
                <c:pt idx="34">
                  <c:v>2009Q2</c:v>
                </c:pt>
                <c:pt idx="35">
                  <c:v>2009Q3</c:v>
                </c:pt>
                <c:pt idx="36">
                  <c:v>2009Q4</c:v>
                </c:pt>
                <c:pt idx="37">
                  <c:v>2010Q1</c:v>
                </c:pt>
                <c:pt idx="38">
                  <c:v>2010Q2</c:v>
                </c:pt>
                <c:pt idx="39">
                  <c:v>2010Q3</c:v>
                </c:pt>
                <c:pt idx="40">
                  <c:v>2010Q4</c:v>
                </c:pt>
                <c:pt idx="41">
                  <c:v>2011Q1</c:v>
                </c:pt>
                <c:pt idx="42">
                  <c:v>2011Q2</c:v>
                </c:pt>
                <c:pt idx="43">
                  <c:v>2011Q3</c:v>
                </c:pt>
                <c:pt idx="44">
                  <c:v>2011Q4</c:v>
                </c:pt>
                <c:pt idx="45">
                  <c:v>2012Q1</c:v>
                </c:pt>
                <c:pt idx="46">
                  <c:v>2012Q2</c:v>
                </c:pt>
                <c:pt idx="47">
                  <c:v>2012Q3</c:v>
                </c:pt>
                <c:pt idx="48">
                  <c:v>2012Q4</c:v>
                </c:pt>
                <c:pt idx="49">
                  <c:v>2013Q1</c:v>
                </c:pt>
                <c:pt idx="50">
                  <c:v>2013Q2</c:v>
                </c:pt>
                <c:pt idx="51">
                  <c:v>2013Q3</c:v>
                </c:pt>
                <c:pt idx="52">
                  <c:v>2013Q4</c:v>
                </c:pt>
                <c:pt idx="53">
                  <c:v>2014Q1</c:v>
                </c:pt>
                <c:pt idx="54">
                  <c:v>2014Q2</c:v>
                </c:pt>
                <c:pt idx="55">
                  <c:v>2014Q3</c:v>
                </c:pt>
                <c:pt idx="56">
                  <c:v>2014Q4</c:v>
                </c:pt>
                <c:pt idx="57">
                  <c:v>2015Q1</c:v>
                </c:pt>
                <c:pt idx="58">
                  <c:v>2015Q2</c:v>
                </c:pt>
                <c:pt idx="59">
                  <c:v>2015Q3</c:v>
                </c:pt>
              </c:strCache>
            </c:strRef>
          </c:cat>
          <c:val>
            <c:numRef>
              <c:f>'Sheet4 (5)'!$D$6:$D$66</c:f>
              <c:numCache>
                <c:formatCode>General</c:formatCode>
                <c:ptCount val="60"/>
                <c:pt idx="28">
                  <c:v>49</c:v>
                </c:pt>
                <c:pt idx="29">
                  <c:v>56665</c:v>
                </c:pt>
                <c:pt idx="30">
                  <c:v>88934</c:v>
                </c:pt>
                <c:pt idx="31">
                  <c:v>116303</c:v>
                </c:pt>
                <c:pt idx="32">
                  <c:v>115908</c:v>
                </c:pt>
                <c:pt idx="33">
                  <c:v>115653</c:v>
                </c:pt>
                <c:pt idx="34">
                  <c:v>129644</c:v>
                </c:pt>
                <c:pt idx="35">
                  <c:v>134857</c:v>
                </c:pt>
                <c:pt idx="36">
                  <c:v>110116</c:v>
                </c:pt>
                <c:pt idx="37">
                  <c:v>110854</c:v>
                </c:pt>
                <c:pt idx="38">
                  <c:v>157602</c:v>
                </c:pt>
                <c:pt idx="39">
                  <c:v>139825</c:v>
                </c:pt>
                <c:pt idx="40">
                  <c:v>107964</c:v>
                </c:pt>
                <c:pt idx="41">
                  <c:v>122278</c:v>
                </c:pt>
                <c:pt idx="42">
                  <c:v>126268</c:v>
                </c:pt>
                <c:pt idx="43">
                  <c:v>102634</c:v>
                </c:pt>
                <c:pt idx="44">
                  <c:v>88819</c:v>
                </c:pt>
                <c:pt idx="45">
                  <c:v>95091</c:v>
                </c:pt>
                <c:pt idx="46">
                  <c:v>97855</c:v>
                </c:pt>
                <c:pt idx="47">
                  <c:v>99391</c:v>
                </c:pt>
                <c:pt idx="48">
                  <c:v>88986</c:v>
                </c:pt>
                <c:pt idx="49">
                  <c:v>89006</c:v>
                </c:pt>
                <c:pt idx="50">
                  <c:v>89978</c:v>
                </c:pt>
                <c:pt idx="51">
                  <c:v>89669</c:v>
                </c:pt>
                <c:pt idx="52">
                  <c:v>79764</c:v>
                </c:pt>
                <c:pt idx="53">
                  <c:v>85187</c:v>
                </c:pt>
                <c:pt idx="54">
                  <c:v>81676</c:v>
                </c:pt>
                <c:pt idx="55">
                  <c:v>84532</c:v>
                </c:pt>
                <c:pt idx="56">
                  <c:v>83895</c:v>
                </c:pt>
                <c:pt idx="57">
                  <c:v>84764</c:v>
                </c:pt>
                <c:pt idx="58">
                  <c:v>83478</c:v>
                </c:pt>
                <c:pt idx="59">
                  <c:v>79668</c:v>
                </c:pt>
              </c:numCache>
            </c:numRef>
          </c:val>
          <c:smooth val="0"/>
        </c:ser>
        <c:dLbls>
          <c:showLegendKey val="0"/>
          <c:showVal val="0"/>
          <c:showCatName val="0"/>
          <c:showSerName val="0"/>
          <c:showPercent val="0"/>
          <c:showBubbleSize val="0"/>
        </c:dLbls>
        <c:marker val="1"/>
        <c:smooth val="0"/>
        <c:axId val="34545664"/>
        <c:axId val="34547584"/>
      </c:lineChart>
      <c:catAx>
        <c:axId val="34545664"/>
        <c:scaling>
          <c:orientation val="minMax"/>
        </c:scaling>
        <c:delete val="0"/>
        <c:axPos val="b"/>
        <c:title>
          <c:tx>
            <c:rich>
              <a:bodyPr/>
              <a:lstStyle/>
              <a:p>
                <a:pPr>
                  <a:defRPr/>
                </a:pPr>
                <a:r>
                  <a:rPr lang="en-AU"/>
                  <a:t>Date</a:t>
                </a:r>
                <a:r>
                  <a:rPr lang="en-AU" baseline="0"/>
                  <a:t> of supply</a:t>
                </a:r>
                <a:endParaRPr lang="en-AU"/>
              </a:p>
            </c:rich>
          </c:tx>
          <c:overlay val="0"/>
        </c:title>
        <c:majorTickMark val="none"/>
        <c:minorTickMark val="none"/>
        <c:tickLblPos val="nextTo"/>
        <c:crossAx val="34547584"/>
        <c:crosses val="autoZero"/>
        <c:auto val="1"/>
        <c:lblAlgn val="ctr"/>
        <c:lblOffset val="100"/>
        <c:noMultiLvlLbl val="0"/>
      </c:catAx>
      <c:valAx>
        <c:axId val="34547584"/>
        <c:scaling>
          <c:orientation val="minMax"/>
        </c:scaling>
        <c:delete val="0"/>
        <c:axPos val="l"/>
        <c:majorGridlines/>
        <c:title>
          <c:tx>
            <c:rich>
              <a:bodyPr rot="-5400000" vert="horz"/>
              <a:lstStyle/>
              <a:p>
                <a:pPr>
                  <a:defRPr/>
                </a:pPr>
                <a:r>
                  <a:rPr lang="en-AU"/>
                  <a:t>Number of prescriptions</a:t>
                </a:r>
              </a:p>
            </c:rich>
          </c:tx>
          <c:overlay val="0"/>
        </c:title>
        <c:numFmt formatCode="#,##0" sourceLinked="0"/>
        <c:majorTickMark val="none"/>
        <c:minorTickMark val="none"/>
        <c:tickLblPos val="nextTo"/>
        <c:crossAx val="34545664"/>
        <c:crosses val="autoZero"/>
        <c:crossBetween val="between"/>
      </c:valAx>
    </c:plotArea>
    <c:legend>
      <c:legendPos val="b"/>
      <c:overlay val="0"/>
      <c:spPr>
        <a:solidFill>
          <a:schemeClr val="bg1"/>
        </a:solidFill>
      </c:sp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18"/>
    </mc:Choice>
    <mc:Fallback>
      <c:style val="18"/>
    </mc:Fallback>
  </mc:AlternateContent>
  <c:pivotSource>
    <c:name>[D901 - PAT_CNT_BY_DRUG_N_SUPP_YEAR - by therapy graphs.xlsx]Sheet1 (4)!PivotTable2</c:name>
    <c:fmtId val="-1"/>
  </c:pivotSource>
  <c:chart>
    <c:autoTitleDeleted val="0"/>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spPr>
          <a:ln w="38100" cap="flat" cmpd="sng" algn="ctr">
            <a:solidFill>
              <a:schemeClr val="accent3"/>
            </a:solidFill>
            <a:prstDash val="solid"/>
          </a:ln>
          <a:effectLst/>
        </c:spPr>
        <c:marker>
          <c:symbol val="none"/>
        </c:marker>
      </c:pivotFmt>
      <c:pivotFmt>
        <c:idx val="27"/>
        <c:spPr>
          <a:ln w="38100" cap="flat" cmpd="sng" algn="ctr">
            <a:solidFill>
              <a:schemeClr val="accent1"/>
            </a:solidFill>
            <a:prstDash val="solid"/>
          </a:ln>
          <a:effectLst/>
        </c:spPr>
        <c:marker>
          <c:symbol val="none"/>
        </c:marker>
      </c:pivotFmt>
      <c:pivotFmt>
        <c:idx val="28"/>
        <c:spPr>
          <a:ln w="38100" cap="flat" cmpd="sng" algn="ctr">
            <a:solidFill>
              <a:schemeClr val="accent2"/>
            </a:solidFill>
            <a:prstDash val="solid"/>
          </a:ln>
          <a:effectLst/>
        </c:spPr>
        <c:marker>
          <c:symbol val="none"/>
        </c:marker>
      </c:pivotFmt>
      <c:pivotFmt>
        <c:idx val="29"/>
        <c:spPr>
          <a:ln w="38100" cap="flat" cmpd="sng" algn="ctr">
            <a:solidFill>
              <a:schemeClr val="accent3"/>
            </a:solidFill>
            <a:prstDash val="solid"/>
          </a:ln>
          <a:effectLst/>
        </c:spPr>
        <c:marker>
          <c:symbol val="none"/>
        </c:marker>
      </c:pivotFmt>
      <c:pivotFmt>
        <c:idx val="30"/>
        <c:spPr>
          <a:ln w="38100" cap="flat" cmpd="sng" algn="ctr">
            <a:solidFill>
              <a:schemeClr val="accent1"/>
            </a:solidFill>
            <a:prstDash val="solid"/>
          </a:ln>
          <a:effectLst/>
        </c:spPr>
        <c:marker>
          <c:symbol val="none"/>
        </c:marker>
      </c:pivotFmt>
      <c:pivotFmt>
        <c:idx val="31"/>
        <c:spPr>
          <a:ln w="38100" cap="flat" cmpd="sng" algn="ctr">
            <a:solidFill>
              <a:schemeClr val="accent2"/>
            </a:solidFill>
            <a:prstDash val="solid"/>
          </a:ln>
          <a:effectLst/>
        </c:spPr>
        <c:marker>
          <c:symbol val="none"/>
        </c:marker>
      </c:pivotFmt>
      <c:pivotFmt>
        <c:idx val="32"/>
        <c:spPr>
          <a:ln w="38100" cap="flat" cmpd="sng" algn="ctr">
            <a:solidFill>
              <a:schemeClr val="accent3"/>
            </a:solidFill>
            <a:prstDash val="solid"/>
          </a:ln>
          <a:effectLst/>
        </c:spPr>
        <c:marker>
          <c:symbol val="none"/>
        </c:marker>
      </c:pivotFmt>
      <c:pivotFmt>
        <c:idx val="33"/>
        <c:spPr>
          <a:ln w="38100" cap="flat" cmpd="sng" algn="ctr">
            <a:solidFill>
              <a:schemeClr val="accent1"/>
            </a:solidFill>
            <a:prstDash val="solid"/>
          </a:ln>
          <a:effectLst/>
        </c:spPr>
        <c:marker>
          <c:symbol val="none"/>
        </c:marker>
      </c:pivotFmt>
      <c:pivotFmt>
        <c:idx val="34"/>
        <c:spPr>
          <a:ln w="38100" cap="flat" cmpd="sng" algn="ctr">
            <a:solidFill>
              <a:schemeClr val="accent2"/>
            </a:solidFill>
            <a:prstDash val="solid"/>
          </a:ln>
          <a:effectLst/>
        </c:spPr>
        <c:marker>
          <c:symbol val="none"/>
        </c:marker>
      </c:pivotFmt>
    </c:pivotFmts>
    <c:plotArea>
      <c:layout/>
      <c:lineChart>
        <c:grouping val="standard"/>
        <c:varyColors val="0"/>
        <c:ser>
          <c:idx val="0"/>
          <c:order val="0"/>
          <c:tx>
            <c:strRef>
              <c:f>'Sheet1 (4)'!$B$5:$B$6</c:f>
              <c:strCache>
                <c:ptCount val="1"/>
                <c:pt idx="0">
                  <c:v>VARENICLINE</c:v>
                </c:pt>
              </c:strCache>
            </c:strRef>
          </c:tx>
          <c:spPr>
            <a:ln w="38100" cap="flat" cmpd="sng" algn="ctr">
              <a:solidFill>
                <a:schemeClr val="accent3"/>
              </a:solidFill>
              <a:prstDash val="solid"/>
            </a:ln>
            <a:effectLst/>
          </c:spPr>
          <c:marker>
            <c:symbol val="none"/>
          </c:marker>
          <c:cat>
            <c:strRef>
              <c:f>'Sheet1 (4)'!$A$7:$A$23</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 (4)'!$B$7:$B$23</c:f>
              <c:numCache>
                <c:formatCode>General</c:formatCode>
                <c:ptCount val="16"/>
                <c:pt idx="8">
                  <c:v>167247</c:v>
                </c:pt>
                <c:pt idx="9">
                  <c:v>211316</c:v>
                </c:pt>
                <c:pt idx="10">
                  <c:v>193198</c:v>
                </c:pt>
                <c:pt idx="11">
                  <c:v>131619</c:v>
                </c:pt>
                <c:pt idx="12">
                  <c:v>89120</c:v>
                </c:pt>
                <c:pt idx="13">
                  <c:v>73627</c:v>
                </c:pt>
                <c:pt idx="14">
                  <c:v>63681</c:v>
                </c:pt>
                <c:pt idx="15">
                  <c:v>41794</c:v>
                </c:pt>
              </c:numCache>
            </c:numRef>
          </c:val>
          <c:smooth val="0"/>
        </c:ser>
        <c:ser>
          <c:idx val="1"/>
          <c:order val="1"/>
          <c:tx>
            <c:strRef>
              <c:f>'Sheet1 (4)'!$C$5:$C$6</c:f>
              <c:strCache>
                <c:ptCount val="1"/>
                <c:pt idx="0">
                  <c:v>BUPROPION</c:v>
                </c:pt>
              </c:strCache>
            </c:strRef>
          </c:tx>
          <c:spPr>
            <a:ln w="38100" cap="flat" cmpd="sng" algn="ctr">
              <a:solidFill>
                <a:schemeClr val="accent1"/>
              </a:solidFill>
              <a:prstDash val="solid"/>
            </a:ln>
            <a:effectLst/>
          </c:spPr>
          <c:marker>
            <c:symbol val="none"/>
          </c:marker>
          <c:cat>
            <c:strRef>
              <c:f>'Sheet1 (4)'!$A$7:$A$23</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 (4)'!$C$7:$C$23</c:f>
              <c:numCache>
                <c:formatCode>General</c:formatCode>
                <c:ptCount val="16"/>
                <c:pt idx="1">
                  <c:v>259471</c:v>
                </c:pt>
                <c:pt idx="2">
                  <c:v>72253</c:v>
                </c:pt>
                <c:pt idx="3">
                  <c:v>46661</c:v>
                </c:pt>
                <c:pt idx="4">
                  <c:v>50077</c:v>
                </c:pt>
                <c:pt idx="5">
                  <c:v>43582</c:v>
                </c:pt>
                <c:pt idx="6">
                  <c:v>39343</c:v>
                </c:pt>
                <c:pt idx="7">
                  <c:v>34311</c:v>
                </c:pt>
                <c:pt idx="8">
                  <c:v>14032</c:v>
                </c:pt>
                <c:pt idx="9">
                  <c:v>4900</c:v>
                </c:pt>
                <c:pt idx="10">
                  <c:v>3271</c:v>
                </c:pt>
                <c:pt idx="11">
                  <c:v>2346</c:v>
                </c:pt>
                <c:pt idx="12">
                  <c:v>1996</c:v>
                </c:pt>
                <c:pt idx="13">
                  <c:v>1959</c:v>
                </c:pt>
                <c:pt idx="14">
                  <c:v>1968</c:v>
                </c:pt>
                <c:pt idx="15">
                  <c:v>1466</c:v>
                </c:pt>
              </c:numCache>
            </c:numRef>
          </c:val>
          <c:smooth val="0"/>
        </c:ser>
        <c:ser>
          <c:idx val="2"/>
          <c:order val="2"/>
          <c:tx>
            <c:strRef>
              <c:f>'Sheet1 (4)'!$D$5:$D$6</c:f>
              <c:strCache>
                <c:ptCount val="1"/>
                <c:pt idx="0">
                  <c:v>NICOTINE</c:v>
                </c:pt>
              </c:strCache>
            </c:strRef>
          </c:tx>
          <c:spPr>
            <a:ln w="38100" cap="flat" cmpd="sng" algn="ctr">
              <a:solidFill>
                <a:schemeClr val="accent2"/>
              </a:solidFill>
              <a:prstDash val="solid"/>
            </a:ln>
            <a:effectLst/>
          </c:spPr>
          <c:marker>
            <c:symbol val="none"/>
          </c:marker>
          <c:cat>
            <c:strRef>
              <c:f>'Sheet1 (4)'!$A$7:$A$23</c:f>
              <c:strCache>
                <c:ptCount val="16"/>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strCache>
            </c:strRef>
          </c:cat>
          <c:val>
            <c:numRef>
              <c:f>'Sheet1 (4)'!$D$7:$D$23</c:f>
              <c:numCache>
                <c:formatCode>General</c:formatCode>
                <c:ptCount val="16"/>
                <c:pt idx="0">
                  <c:v>1455</c:v>
                </c:pt>
                <c:pt idx="1">
                  <c:v>863</c:v>
                </c:pt>
                <c:pt idx="2">
                  <c:v>848</c:v>
                </c:pt>
                <c:pt idx="3">
                  <c:v>601</c:v>
                </c:pt>
                <c:pt idx="4">
                  <c:v>574</c:v>
                </c:pt>
                <c:pt idx="5">
                  <c:v>493</c:v>
                </c:pt>
                <c:pt idx="6">
                  <c:v>343</c:v>
                </c:pt>
                <c:pt idx="7">
                  <c:v>333</c:v>
                </c:pt>
                <c:pt idx="8">
                  <c:v>224</c:v>
                </c:pt>
                <c:pt idx="9">
                  <c:v>714</c:v>
                </c:pt>
                <c:pt idx="10">
                  <c:v>960</c:v>
                </c:pt>
                <c:pt idx="11">
                  <c:v>66068</c:v>
                </c:pt>
                <c:pt idx="12">
                  <c:v>33522</c:v>
                </c:pt>
                <c:pt idx="13">
                  <c:v>25626</c:v>
                </c:pt>
                <c:pt idx="14">
                  <c:v>22917</c:v>
                </c:pt>
                <c:pt idx="15">
                  <c:v>17290</c:v>
                </c:pt>
              </c:numCache>
            </c:numRef>
          </c:val>
          <c:smooth val="0"/>
        </c:ser>
        <c:dLbls>
          <c:showLegendKey val="0"/>
          <c:showVal val="0"/>
          <c:showCatName val="0"/>
          <c:showSerName val="0"/>
          <c:showPercent val="0"/>
          <c:showBubbleSize val="0"/>
        </c:dLbls>
        <c:marker val="1"/>
        <c:smooth val="0"/>
        <c:axId val="67986560"/>
        <c:axId val="67988480"/>
      </c:lineChart>
      <c:catAx>
        <c:axId val="67986560"/>
        <c:scaling>
          <c:orientation val="minMax"/>
        </c:scaling>
        <c:delete val="0"/>
        <c:axPos val="b"/>
        <c:title>
          <c:tx>
            <c:rich>
              <a:bodyPr/>
              <a:lstStyle/>
              <a:p>
                <a:pPr>
                  <a:defRPr/>
                </a:pPr>
                <a:r>
                  <a:rPr lang="en-AU"/>
                  <a:t>Year of Supply</a:t>
                </a:r>
              </a:p>
            </c:rich>
          </c:tx>
          <c:layout>
            <c:manualLayout>
              <c:xMode val="edge"/>
              <c:yMode val="edge"/>
              <c:x val="0.49389684613110313"/>
              <c:y val="0.92248296644945471"/>
            </c:manualLayout>
          </c:layout>
          <c:overlay val="0"/>
        </c:title>
        <c:majorTickMark val="out"/>
        <c:minorTickMark val="none"/>
        <c:tickLblPos val="nextTo"/>
        <c:crossAx val="67988480"/>
        <c:crosses val="autoZero"/>
        <c:auto val="1"/>
        <c:lblAlgn val="ctr"/>
        <c:lblOffset val="100"/>
        <c:noMultiLvlLbl val="0"/>
      </c:catAx>
      <c:valAx>
        <c:axId val="67988480"/>
        <c:scaling>
          <c:orientation val="minMax"/>
        </c:scaling>
        <c:delete val="0"/>
        <c:axPos val="l"/>
        <c:majorGridlines/>
        <c:title>
          <c:tx>
            <c:rich>
              <a:bodyPr rot="-5400000" vert="horz"/>
              <a:lstStyle/>
              <a:p>
                <a:pPr>
                  <a:defRPr/>
                </a:pPr>
                <a:r>
                  <a:rPr lang="en-AU"/>
                  <a:t>Number of people making first attempt</a:t>
                </a:r>
              </a:p>
            </c:rich>
          </c:tx>
          <c:overlay val="0"/>
        </c:title>
        <c:numFmt formatCode="#,##0" sourceLinked="0"/>
        <c:majorTickMark val="out"/>
        <c:minorTickMark val="none"/>
        <c:tickLblPos val="nextTo"/>
        <c:crossAx val="67986560"/>
        <c:crosses val="autoZero"/>
        <c:crossBetween val="between"/>
      </c:valAx>
    </c:plotArea>
    <c:legend>
      <c:legendPos val="b"/>
      <c:overlay val="0"/>
      <c:spPr>
        <a:solidFill>
          <a:schemeClr val="bg1"/>
        </a:solidFill>
      </c:spPr>
    </c:legend>
    <c:plotVisOnly val="1"/>
    <c:dispBlanksAs val="gap"/>
    <c:showDLblsOverMax val="0"/>
  </c:chart>
  <c:externalData r:id="rId1">
    <c:autoUpdate val="0"/>
  </c:externalData>
  <c:userShapes r:id="rId2"/>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pivotSource>
    <c:name>[D901 - PAT_CNT_BY_DRUG_N_SUPP_YEAR - by therapy graphs.xlsx]Sheet1 (3)!PivotTable2</c:name>
    <c:fmtId val="-1"/>
  </c:pivotSource>
  <c:chart>
    <c:autoTitleDeleted val="1"/>
    <c:pivotFmts>
      <c:pivotFmt>
        <c:idx val="0"/>
      </c:pivotFmt>
      <c:pivotFmt>
        <c:idx val="1"/>
      </c:pivotFmt>
      <c:pivotFmt>
        <c:idx val="2"/>
      </c:pivotFmt>
      <c:pivotFmt>
        <c:idx val="3"/>
      </c:pivotFmt>
      <c:pivotFmt>
        <c:idx val="4"/>
      </c:pivotFmt>
      <c:pivotFmt>
        <c:idx val="5"/>
      </c:pivotFmt>
      <c:pivotFmt>
        <c:idx val="6"/>
      </c:pivotFmt>
      <c:pivotFmt>
        <c:idx val="7"/>
      </c:pivotFmt>
      <c:pivotFmt>
        <c:idx val="8"/>
      </c:pivotFmt>
      <c:pivotFmt>
        <c:idx val="9"/>
      </c:pivotFmt>
      <c:pivotFmt>
        <c:idx val="10"/>
      </c:pivotFmt>
      <c:pivotFmt>
        <c:idx val="11"/>
      </c:pivotFmt>
      <c:pivotFmt>
        <c:idx val="12"/>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spPr>
          <a:solidFill>
            <a:schemeClr val="accent3"/>
          </a:solidFill>
          <a:ln w="25400" cap="flat" cmpd="sng" algn="ctr">
            <a:solidFill>
              <a:schemeClr val="accent3"/>
            </a:solidFill>
            <a:prstDash val="solid"/>
          </a:ln>
          <a:effectLst/>
        </c:spPr>
        <c:marker>
          <c:symbol val="none"/>
        </c:marker>
      </c:pivotFmt>
      <c:pivotFmt>
        <c:idx val="30"/>
        <c:marker>
          <c:symbol val="none"/>
        </c:marker>
      </c:pivotFmt>
      <c:pivotFmt>
        <c:idx val="31"/>
        <c:spPr>
          <a:solidFill>
            <a:schemeClr val="accent1"/>
          </a:solidFill>
          <a:ln w="25400" cap="flat" cmpd="sng" algn="ctr">
            <a:solidFill>
              <a:schemeClr val="accent1"/>
            </a:solidFill>
            <a:prstDash val="solid"/>
          </a:ln>
          <a:effectLst/>
        </c:spPr>
        <c:marker>
          <c:symbol val="none"/>
        </c:marker>
      </c:pivotFmt>
      <c:pivotFmt>
        <c:idx val="32"/>
        <c:spPr>
          <a:solidFill>
            <a:schemeClr val="accent3"/>
          </a:solidFill>
          <a:ln w="25400" cap="flat" cmpd="sng" algn="ctr">
            <a:solidFill>
              <a:schemeClr val="accent3"/>
            </a:solidFill>
            <a:prstDash val="solid"/>
          </a:ln>
          <a:effectLst/>
        </c:spPr>
        <c:marker>
          <c:symbol val="none"/>
        </c:marker>
      </c:pivotFmt>
      <c:pivotFmt>
        <c:idx val="33"/>
        <c:marker>
          <c:symbol val="none"/>
        </c:marker>
      </c:pivotFmt>
      <c:pivotFmt>
        <c:idx val="34"/>
        <c:spPr>
          <a:solidFill>
            <a:schemeClr val="accent1"/>
          </a:solidFill>
          <a:ln w="25400" cap="flat" cmpd="sng" algn="ctr">
            <a:solidFill>
              <a:schemeClr val="accent1"/>
            </a:solidFill>
            <a:prstDash val="solid"/>
          </a:ln>
          <a:effectLst/>
        </c:spPr>
        <c:marker>
          <c:symbol val="none"/>
        </c:marker>
      </c:pivotFmt>
      <c:pivotFmt>
        <c:idx val="35"/>
        <c:spPr>
          <a:solidFill>
            <a:schemeClr val="accent3"/>
          </a:solidFill>
          <a:ln w="25400" cap="flat" cmpd="sng" algn="ctr">
            <a:solidFill>
              <a:schemeClr val="accent3"/>
            </a:solidFill>
            <a:prstDash val="solid"/>
          </a:ln>
          <a:effectLst/>
        </c:spPr>
        <c:marker>
          <c:symbol val="none"/>
        </c:marker>
      </c:pivotFmt>
      <c:pivotFmt>
        <c:idx val="36"/>
        <c:marker>
          <c:symbol val="none"/>
        </c:marker>
      </c:pivotFmt>
      <c:pivotFmt>
        <c:idx val="37"/>
        <c:spPr>
          <a:solidFill>
            <a:schemeClr val="accent1"/>
          </a:solidFill>
          <a:ln w="25400" cap="flat" cmpd="sng" algn="ctr">
            <a:solidFill>
              <a:schemeClr val="accent1"/>
            </a:solidFill>
            <a:prstDash val="solid"/>
          </a:ln>
          <a:effectLst/>
        </c:spPr>
        <c:marker>
          <c:symbol val="none"/>
        </c:marker>
      </c:pivotFmt>
    </c:pivotFmts>
    <c:plotArea>
      <c:layout>
        <c:manualLayout>
          <c:layoutTarget val="inner"/>
          <c:xMode val="edge"/>
          <c:yMode val="edge"/>
          <c:x val="0.13917799741371506"/>
          <c:y val="3.8074484516595918E-2"/>
          <c:w val="0.80470999236070151"/>
          <c:h val="0.72996770465420213"/>
        </c:manualLayout>
      </c:layout>
      <c:barChart>
        <c:barDir val="col"/>
        <c:grouping val="clustered"/>
        <c:varyColors val="0"/>
        <c:ser>
          <c:idx val="0"/>
          <c:order val="0"/>
          <c:tx>
            <c:strRef>
              <c:f>'Sheet1 (3)'!$B$6:$B$7</c:f>
              <c:strCache>
                <c:ptCount val="1"/>
                <c:pt idx="0">
                  <c:v>VARENICLINE</c:v>
                </c:pt>
              </c:strCache>
            </c:strRef>
          </c:tx>
          <c:spPr>
            <a:solidFill>
              <a:schemeClr val="accent3"/>
            </a:solidFill>
            <a:ln w="25400" cap="flat" cmpd="sng" algn="ctr">
              <a:solidFill>
                <a:schemeClr val="accent3"/>
              </a:solidFill>
              <a:prstDash val="solid"/>
            </a:ln>
            <a:effectLst/>
          </c:spPr>
          <c:invertIfNegative val="0"/>
          <c:cat>
            <c:strRef>
              <c:f>'Sheet1 (3)'!$A$8:$A$25</c:f>
              <c:strCache>
                <c:ptCount val="17"/>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90-94 yrs</c:v>
                </c:pt>
                <c:pt idx="16">
                  <c:v>95-99 yrs</c:v>
                </c:pt>
              </c:strCache>
            </c:strRef>
          </c:cat>
          <c:val>
            <c:numRef>
              <c:f>'Sheet1 (3)'!$B$8:$B$25</c:f>
              <c:numCache>
                <c:formatCode>General</c:formatCode>
                <c:ptCount val="17"/>
                <c:pt idx="0">
                  <c:v>2023</c:v>
                </c:pt>
                <c:pt idx="1">
                  <c:v>7544</c:v>
                </c:pt>
                <c:pt idx="2">
                  <c:v>8853</c:v>
                </c:pt>
                <c:pt idx="3">
                  <c:v>8202</c:v>
                </c:pt>
                <c:pt idx="4">
                  <c:v>7133</c:v>
                </c:pt>
                <c:pt idx="5">
                  <c:v>7240</c:v>
                </c:pt>
                <c:pt idx="6">
                  <c:v>6390</c:v>
                </c:pt>
                <c:pt idx="7">
                  <c:v>5737</c:v>
                </c:pt>
                <c:pt idx="8">
                  <c:v>4279</c:v>
                </c:pt>
                <c:pt idx="9">
                  <c:v>2917</c:v>
                </c:pt>
                <c:pt idx="10">
                  <c:v>2022</c:v>
                </c:pt>
                <c:pt idx="11">
                  <c:v>795</c:v>
                </c:pt>
                <c:pt idx="12">
                  <c:v>355</c:v>
                </c:pt>
                <c:pt idx="13">
                  <c:v>116</c:v>
                </c:pt>
                <c:pt idx="14">
                  <c:v>16</c:v>
                </c:pt>
                <c:pt idx="15">
                  <c:v>2</c:v>
                </c:pt>
                <c:pt idx="16">
                  <c:v>2</c:v>
                </c:pt>
              </c:numCache>
            </c:numRef>
          </c:val>
        </c:ser>
        <c:ser>
          <c:idx val="1"/>
          <c:order val="1"/>
          <c:tx>
            <c:strRef>
              <c:f>'Sheet1 (3)'!$C$6:$C$7</c:f>
              <c:strCache>
                <c:ptCount val="1"/>
                <c:pt idx="0">
                  <c:v>NICOTINE</c:v>
                </c:pt>
              </c:strCache>
            </c:strRef>
          </c:tx>
          <c:invertIfNegative val="0"/>
          <c:cat>
            <c:strRef>
              <c:f>'Sheet1 (3)'!$A$8:$A$25</c:f>
              <c:strCache>
                <c:ptCount val="17"/>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90-94 yrs</c:v>
                </c:pt>
                <c:pt idx="16">
                  <c:v>95-99 yrs</c:v>
                </c:pt>
              </c:strCache>
            </c:strRef>
          </c:cat>
          <c:val>
            <c:numRef>
              <c:f>'Sheet1 (3)'!$C$8:$C$25</c:f>
              <c:numCache>
                <c:formatCode>General</c:formatCode>
                <c:ptCount val="17"/>
                <c:pt idx="0">
                  <c:v>748</c:v>
                </c:pt>
                <c:pt idx="1">
                  <c:v>1548</c:v>
                </c:pt>
                <c:pt idx="2">
                  <c:v>1856</c:v>
                </c:pt>
                <c:pt idx="3">
                  <c:v>2052</c:v>
                </c:pt>
                <c:pt idx="4">
                  <c:v>2122</c:v>
                </c:pt>
                <c:pt idx="5">
                  <c:v>2456</c:v>
                </c:pt>
                <c:pt idx="6">
                  <c:v>2433</c:v>
                </c:pt>
                <c:pt idx="7">
                  <c:v>2440</c:v>
                </c:pt>
                <c:pt idx="8">
                  <c:v>2210</c:v>
                </c:pt>
                <c:pt idx="9">
                  <c:v>1731</c:v>
                </c:pt>
                <c:pt idx="10">
                  <c:v>1478</c:v>
                </c:pt>
                <c:pt idx="11">
                  <c:v>812</c:v>
                </c:pt>
                <c:pt idx="12">
                  <c:v>478</c:v>
                </c:pt>
                <c:pt idx="13">
                  <c:v>286</c:v>
                </c:pt>
                <c:pt idx="14">
                  <c:v>132</c:v>
                </c:pt>
                <c:pt idx="15">
                  <c:v>41</c:v>
                </c:pt>
                <c:pt idx="16">
                  <c:v>3</c:v>
                </c:pt>
              </c:numCache>
            </c:numRef>
          </c:val>
        </c:ser>
        <c:ser>
          <c:idx val="2"/>
          <c:order val="2"/>
          <c:tx>
            <c:strRef>
              <c:f>'Sheet1 (3)'!$D$6:$D$7</c:f>
              <c:strCache>
                <c:ptCount val="1"/>
                <c:pt idx="0">
                  <c:v>BUPROPION</c:v>
                </c:pt>
              </c:strCache>
            </c:strRef>
          </c:tx>
          <c:spPr>
            <a:solidFill>
              <a:schemeClr val="accent1"/>
            </a:solidFill>
            <a:ln w="25400" cap="flat" cmpd="sng" algn="ctr">
              <a:solidFill>
                <a:schemeClr val="accent1"/>
              </a:solidFill>
              <a:prstDash val="solid"/>
            </a:ln>
            <a:effectLst/>
          </c:spPr>
          <c:invertIfNegative val="0"/>
          <c:cat>
            <c:strRef>
              <c:f>'Sheet1 (3)'!$A$8:$A$25</c:f>
              <c:strCache>
                <c:ptCount val="17"/>
                <c:pt idx="0">
                  <c:v>15-19 yrs</c:v>
                </c:pt>
                <c:pt idx="1">
                  <c:v>20-24 yrs</c:v>
                </c:pt>
                <c:pt idx="2">
                  <c:v>25-29 yrs</c:v>
                </c:pt>
                <c:pt idx="3">
                  <c:v>30-34 yrs</c:v>
                </c:pt>
                <c:pt idx="4">
                  <c:v>35-39 yrs</c:v>
                </c:pt>
                <c:pt idx="5">
                  <c:v>40-44 yrs</c:v>
                </c:pt>
                <c:pt idx="6">
                  <c:v>45-49 yrs</c:v>
                </c:pt>
                <c:pt idx="7">
                  <c:v>50-54 yrs</c:v>
                </c:pt>
                <c:pt idx="8">
                  <c:v>55-59 yrs</c:v>
                </c:pt>
                <c:pt idx="9">
                  <c:v>60-64 yrs</c:v>
                </c:pt>
                <c:pt idx="10">
                  <c:v>65-69 yrs</c:v>
                </c:pt>
                <c:pt idx="11">
                  <c:v>70-74 yrs</c:v>
                </c:pt>
                <c:pt idx="12">
                  <c:v>75-79 yrs</c:v>
                </c:pt>
                <c:pt idx="13">
                  <c:v>80-84 yrs</c:v>
                </c:pt>
                <c:pt idx="14">
                  <c:v>85-89 yrs</c:v>
                </c:pt>
                <c:pt idx="15">
                  <c:v>90-94 yrs</c:v>
                </c:pt>
                <c:pt idx="16">
                  <c:v>95-99 yrs</c:v>
                </c:pt>
              </c:strCache>
            </c:strRef>
          </c:cat>
          <c:val>
            <c:numRef>
              <c:f>'Sheet1 (3)'!$D$8:$D$25</c:f>
              <c:numCache>
                <c:formatCode>General</c:formatCode>
                <c:ptCount val="17"/>
                <c:pt idx="0">
                  <c:v>66</c:v>
                </c:pt>
                <c:pt idx="1">
                  <c:v>189</c:v>
                </c:pt>
                <c:pt idx="2">
                  <c:v>304</c:v>
                </c:pt>
                <c:pt idx="3">
                  <c:v>240</c:v>
                </c:pt>
                <c:pt idx="4">
                  <c:v>230</c:v>
                </c:pt>
                <c:pt idx="5">
                  <c:v>240</c:v>
                </c:pt>
                <c:pt idx="6">
                  <c:v>202</c:v>
                </c:pt>
                <c:pt idx="7">
                  <c:v>185</c:v>
                </c:pt>
                <c:pt idx="8">
                  <c:v>144</c:v>
                </c:pt>
                <c:pt idx="9">
                  <c:v>75</c:v>
                </c:pt>
                <c:pt idx="10">
                  <c:v>55</c:v>
                </c:pt>
                <c:pt idx="11">
                  <c:v>18</c:v>
                </c:pt>
                <c:pt idx="12">
                  <c:v>11</c:v>
                </c:pt>
                <c:pt idx="13">
                  <c:v>4</c:v>
                </c:pt>
                <c:pt idx="14">
                  <c:v>3</c:v>
                </c:pt>
                <c:pt idx="15">
                  <c:v>1</c:v>
                </c:pt>
              </c:numCache>
            </c:numRef>
          </c:val>
        </c:ser>
        <c:dLbls>
          <c:showLegendKey val="0"/>
          <c:showVal val="0"/>
          <c:showCatName val="0"/>
          <c:showSerName val="0"/>
          <c:showPercent val="0"/>
          <c:showBubbleSize val="0"/>
        </c:dLbls>
        <c:gapWidth val="150"/>
        <c:axId val="172254720"/>
        <c:axId val="172256640"/>
      </c:barChart>
      <c:catAx>
        <c:axId val="172254720"/>
        <c:scaling>
          <c:orientation val="minMax"/>
        </c:scaling>
        <c:delete val="0"/>
        <c:axPos val="b"/>
        <c:title>
          <c:tx>
            <c:rich>
              <a:bodyPr/>
              <a:lstStyle/>
              <a:p>
                <a:pPr>
                  <a:defRPr/>
                </a:pPr>
                <a:r>
                  <a:rPr lang="en-AU"/>
                  <a:t>Age</a:t>
                </a:r>
                <a:r>
                  <a:rPr lang="en-AU" baseline="0"/>
                  <a:t> (years)</a:t>
                </a:r>
                <a:endParaRPr lang="en-AU"/>
              </a:p>
            </c:rich>
          </c:tx>
          <c:overlay val="0"/>
        </c:title>
        <c:majorTickMark val="none"/>
        <c:minorTickMark val="none"/>
        <c:tickLblPos val="nextTo"/>
        <c:txPr>
          <a:bodyPr rot="-3000000"/>
          <a:lstStyle/>
          <a:p>
            <a:pPr>
              <a:defRPr/>
            </a:pPr>
            <a:endParaRPr lang="en-US"/>
          </a:p>
        </c:txPr>
        <c:crossAx val="172256640"/>
        <c:crosses val="autoZero"/>
        <c:auto val="1"/>
        <c:lblAlgn val="ctr"/>
        <c:lblOffset val="100"/>
        <c:noMultiLvlLbl val="0"/>
      </c:catAx>
      <c:valAx>
        <c:axId val="172256640"/>
        <c:scaling>
          <c:orientation val="minMax"/>
        </c:scaling>
        <c:delete val="0"/>
        <c:axPos val="l"/>
        <c:majorGridlines/>
        <c:title>
          <c:tx>
            <c:rich>
              <a:bodyPr/>
              <a:lstStyle/>
              <a:p>
                <a:pPr>
                  <a:defRPr/>
                </a:pPr>
                <a:r>
                  <a:rPr lang="en-US"/>
                  <a:t>Number of people making first attempt</a:t>
                </a:r>
              </a:p>
            </c:rich>
          </c:tx>
          <c:overlay val="0"/>
        </c:title>
        <c:numFmt formatCode="General" sourceLinked="1"/>
        <c:majorTickMark val="none"/>
        <c:minorTickMark val="none"/>
        <c:tickLblPos val="nextTo"/>
        <c:crossAx val="172254720"/>
        <c:crosses val="autoZero"/>
        <c:crossBetween val="between"/>
      </c:valAx>
    </c:plotArea>
    <c:legend>
      <c:legendPos val="b"/>
      <c:overlay val="0"/>
      <c:spPr>
        <a:solidFill>
          <a:schemeClr val="bg1"/>
        </a:solidFill>
      </c:spPr>
    </c:legend>
    <c:plotVisOnly val="1"/>
    <c:dispBlanksAs val="gap"/>
    <c:showDLblsOverMax val="0"/>
  </c:chart>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drawings/drawing1.xml><?xml version="1.0" encoding="utf-8"?>
<c:userShapes xmlns:c="http://schemas.openxmlformats.org/drawingml/2006/chart">
  <cdr:relSizeAnchor xmlns:cdr="http://schemas.openxmlformats.org/drawingml/2006/chartDrawing">
    <cdr:from>
      <cdr:x>0.67919</cdr:x>
      <cdr:y>0.14146</cdr:y>
    </cdr:from>
    <cdr:to>
      <cdr:x>0.68326</cdr:x>
      <cdr:y>0.69187</cdr:y>
    </cdr:to>
    <cdr:cxnSp macro="">
      <cdr:nvCxnSpPr>
        <cdr:cNvPr id="2" name="Straight Connector 1"/>
        <cdr:cNvCxnSpPr/>
      </cdr:nvCxnSpPr>
      <cdr:spPr>
        <a:xfrm xmlns:a="http://schemas.openxmlformats.org/drawingml/2006/main" flipH="1" flipV="1">
          <a:off x="3863026" y="523872"/>
          <a:ext cx="23174" cy="2038353"/>
        </a:xfrm>
        <a:prstGeom xmlns:a="http://schemas.openxmlformats.org/drawingml/2006/main" prst="line">
          <a:avLst/>
        </a:prstGeom>
        <a:ln xmlns:a="http://schemas.openxmlformats.org/drawingml/2006/main" w="15875">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0.88051</cdr:x>
      <cdr:y>0.31673</cdr:y>
    </cdr:from>
    <cdr:to>
      <cdr:x>0.88255</cdr:x>
      <cdr:y>0.6893</cdr:y>
    </cdr:to>
    <cdr:cxnSp macro="">
      <cdr:nvCxnSpPr>
        <cdr:cNvPr id="5" name="Straight Connector 4"/>
        <cdr:cNvCxnSpPr/>
      </cdr:nvCxnSpPr>
      <cdr:spPr>
        <a:xfrm xmlns:a="http://schemas.openxmlformats.org/drawingml/2006/main">
          <a:off x="5008073" y="1172953"/>
          <a:ext cx="11602" cy="1379747"/>
        </a:xfrm>
        <a:prstGeom xmlns:a="http://schemas.openxmlformats.org/drawingml/2006/main" prst="line">
          <a:avLst/>
        </a:prstGeom>
        <a:ln xmlns:a="http://schemas.openxmlformats.org/drawingml/2006/main" w="15875">
          <a:prstDash val="sysDash"/>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0.80869</cdr:x>
      <cdr:y>0.18776</cdr:y>
    </cdr:from>
    <cdr:to>
      <cdr:x>0.94996</cdr:x>
      <cdr:y>0.31358</cdr:y>
    </cdr:to>
    <cdr:sp macro="" textlink="">
      <cdr:nvSpPr>
        <cdr:cNvPr id="8" name="TextBox 7" descr="NRT becomes streamlined authority " title="NRT becomes streamlined authority"/>
        <cdr:cNvSpPr txBox="1"/>
      </cdr:nvSpPr>
      <cdr:spPr>
        <a:xfrm xmlns:a="http://schemas.openxmlformats.org/drawingml/2006/main">
          <a:off x="4599601" y="695326"/>
          <a:ext cx="803501" cy="465962"/>
        </a:xfrm>
        <a:prstGeom xmlns:a="http://schemas.openxmlformats.org/drawingml/2006/main" prst="rect">
          <a:avLst/>
        </a:prstGeom>
        <a:solidFill xmlns:a="http://schemas.openxmlformats.org/drawingml/2006/main">
          <a:schemeClr val="bg1"/>
        </a:solidFill>
        <a:ln xmlns:a="http://schemas.openxmlformats.org/drawingml/2006/main">
          <a:solidFill>
            <a:schemeClr val="dk1">
              <a:shade val="95000"/>
              <a:satMod val="105000"/>
            </a:schemeClr>
          </a:solidFill>
        </a:ln>
      </cdr:spPr>
      <cdr:txBody>
        <a:bodyPr xmlns:a="http://schemas.openxmlformats.org/drawingml/2006/main" vertOverflow="clip" wrap="square" rtlCol="0"/>
        <a:lstStyle xmlns:a="http://schemas.openxmlformats.org/drawingml/2006/main"/>
        <a:p xmlns:a="http://schemas.openxmlformats.org/drawingml/2006/main">
          <a:pPr algn="ctr"/>
          <a:r>
            <a:rPr lang="en-AU" sz="800"/>
            <a:t>NRT becomes Streamlined Authority</a:t>
          </a:r>
        </a:p>
      </cdr:txBody>
    </cdr:sp>
  </cdr:relSizeAnchor>
</c:userShapes>
</file>

<file path=word/drawings/drawing2.xml><?xml version="1.0" encoding="utf-8"?>
<c:userShapes xmlns:c="http://schemas.openxmlformats.org/drawingml/2006/chart">
  <cdr:relSizeAnchor xmlns:cdr="http://schemas.openxmlformats.org/drawingml/2006/chartDrawing">
    <cdr:from>
      <cdr:x>0.72346</cdr:x>
      <cdr:y>0.24041</cdr:y>
    </cdr:from>
    <cdr:to>
      <cdr:x>0.72848</cdr:x>
      <cdr:y>0.74744</cdr:y>
    </cdr:to>
    <cdr:cxnSp macro="">
      <cdr:nvCxnSpPr>
        <cdr:cNvPr id="3" name="Straight Connector 2"/>
        <cdr:cNvCxnSpPr/>
      </cdr:nvCxnSpPr>
      <cdr:spPr>
        <a:xfrm xmlns:a="http://schemas.openxmlformats.org/drawingml/2006/main" flipH="1" flipV="1">
          <a:off x="4114821" y="848639"/>
          <a:ext cx="28554" cy="1789786"/>
        </a:xfrm>
        <a:prstGeom xmlns:a="http://schemas.openxmlformats.org/drawingml/2006/main" prst="line">
          <a:avLst/>
        </a:prstGeom>
        <a:ln xmlns:a="http://schemas.openxmlformats.org/drawingml/2006/main" w="15875" cmpd="sng">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0.64529</cdr:x>
      <cdr:y>0.13906</cdr:y>
    </cdr:from>
    <cdr:to>
      <cdr:x>0.78702</cdr:x>
      <cdr:y>0.2237</cdr:y>
    </cdr:to>
    <cdr:sp macro="" textlink="">
      <cdr:nvSpPr>
        <cdr:cNvPr id="4" name="TextBox 3"/>
        <cdr:cNvSpPr txBox="1"/>
      </cdr:nvSpPr>
      <cdr:spPr>
        <a:xfrm xmlns:a="http://schemas.openxmlformats.org/drawingml/2006/main">
          <a:off x="5971442" y="842596"/>
          <a:ext cx="1311520" cy="51288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AU" sz="1100"/>
        </a:p>
      </cdr:txBody>
    </cdr:sp>
  </cdr:relSizeAnchor>
  <cdr:relSizeAnchor xmlns:cdr="http://schemas.openxmlformats.org/drawingml/2006/chartDrawing">
    <cdr:from>
      <cdr:x>0.63749</cdr:x>
      <cdr:y>0.08579</cdr:y>
    </cdr:from>
    <cdr:to>
      <cdr:x>0.81054</cdr:x>
      <cdr:y>0.23487</cdr:y>
    </cdr:to>
    <cdr:sp macro="" textlink="">
      <cdr:nvSpPr>
        <cdr:cNvPr id="5" name="TextBox 4" descr="NRT listed on PBS for general population" title="NRT listed on PBS for general population"/>
        <cdr:cNvSpPr txBox="1"/>
      </cdr:nvSpPr>
      <cdr:spPr>
        <a:xfrm xmlns:a="http://schemas.openxmlformats.org/drawingml/2006/main">
          <a:off x="3649327" y="304801"/>
          <a:ext cx="990629" cy="529652"/>
        </a:xfrm>
        <a:prstGeom xmlns:a="http://schemas.openxmlformats.org/drawingml/2006/main" prst="rect">
          <a:avLst/>
        </a:prstGeom>
        <a:solidFill xmlns:a="http://schemas.openxmlformats.org/drawingml/2006/main">
          <a:schemeClr val="bg1"/>
        </a:solidFill>
        <a:ln xmlns:a="http://schemas.openxmlformats.org/drawingml/2006/main">
          <a:solidFill>
            <a:schemeClr val="tx1"/>
          </a:solidFill>
        </a:ln>
      </cdr:spPr>
      <cdr:txBody>
        <a:bodyPr xmlns:a="http://schemas.openxmlformats.org/drawingml/2006/main" vertOverflow="clip" wrap="square" rtlCol="0" anchor="ctr"/>
        <a:lstStyle xmlns:a="http://schemas.openxmlformats.org/drawingml/2006/main"/>
        <a:p xmlns:a="http://schemas.openxmlformats.org/drawingml/2006/main">
          <a:pPr algn="ctr"/>
          <a:r>
            <a:rPr lang="en-AU" sz="800" baseline="0"/>
            <a:t>NRT listed on PBS for general population</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F2184-4016-4109-9956-CCF73FE28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9319</Words>
  <Characters>53123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2016-05-12T01:00:00Z</dcterms:created>
  <dcterms:modified xsi:type="dcterms:W3CDTF">2016-06-22T04:56:00Z</dcterms:modified>
</cp:coreProperties>
</file>