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A5377E" w:rsidP="00FE645A">
      <w:pPr>
        <w:pStyle w:val="Title"/>
      </w:pPr>
      <w:r>
        <w:t>Ticagrelor</w:t>
      </w:r>
      <w:r w:rsidR="001C4016">
        <w:t>: a</w:t>
      </w:r>
      <w:r w:rsidR="00935689">
        <w:t xml:space="preserve">nalysis </w:t>
      </w:r>
      <w:r w:rsidR="00AB24CD">
        <w:t>of predicted versus actual utilisation</w:t>
      </w:r>
    </w:p>
    <w:p w:rsidR="00736041" w:rsidRDefault="009053D3" w:rsidP="00A35800">
      <w:pPr>
        <w:pStyle w:val="Heading1"/>
      </w:pPr>
      <w:r>
        <w:t>D</w:t>
      </w:r>
      <w:r w:rsidR="00832324" w:rsidRPr="0063631C">
        <w:t xml:space="preserve">rug utilisation sub-committee </w:t>
      </w:r>
      <w:r w:rsidR="00832324">
        <w:t>(DUSC)</w:t>
      </w:r>
    </w:p>
    <w:p w:rsidR="009053D3" w:rsidRPr="000C46BB" w:rsidRDefault="00A5377E" w:rsidP="000C46BB">
      <w:pPr>
        <w:pStyle w:val="Heading2"/>
      </w:pPr>
      <w:r>
        <w:t>February 2016</w:t>
      </w:r>
    </w:p>
    <w:p w:rsidR="005C6661" w:rsidRDefault="005C6661" w:rsidP="005C6661">
      <w:pPr>
        <w:pStyle w:val="Heading3"/>
      </w:pPr>
      <w:r>
        <w:t>Abstract</w:t>
      </w:r>
    </w:p>
    <w:p w:rsidR="005C6661" w:rsidRDefault="005C6661" w:rsidP="005C6661">
      <w:pPr>
        <w:pStyle w:val="Heading2"/>
      </w:pPr>
      <w:r>
        <w:t>Purpose</w:t>
      </w:r>
    </w:p>
    <w:p w:rsidR="00853C6C" w:rsidRDefault="00853C6C" w:rsidP="00853C6C">
      <w:pPr>
        <w:rPr>
          <w:highlight w:val="yellow"/>
        </w:rPr>
      </w:pPr>
      <w:r>
        <w:t xml:space="preserve">To review the predicted versus actual use of ticagrelor for acute coronary syndrome, as requested by DUSC at its October 2015 meeting. </w:t>
      </w:r>
    </w:p>
    <w:p w:rsidR="002D144A" w:rsidRDefault="002D144A" w:rsidP="005C6661">
      <w:pPr>
        <w:pStyle w:val="Heading2"/>
      </w:pPr>
      <w:r>
        <w:t>Date of listing on the P</w:t>
      </w:r>
      <w:r w:rsidR="00A95FA5">
        <w:t xml:space="preserve">harmaceutical </w:t>
      </w:r>
      <w:r>
        <w:t>B</w:t>
      </w:r>
      <w:r w:rsidR="00A95FA5">
        <w:t xml:space="preserve">enefits </w:t>
      </w:r>
      <w:r>
        <w:t>S</w:t>
      </w:r>
      <w:r w:rsidR="00A95FA5">
        <w:t>cheme (PBS)</w:t>
      </w:r>
    </w:p>
    <w:p w:rsidR="009A3F72" w:rsidRPr="00CF130E" w:rsidRDefault="009A3F72" w:rsidP="009A3F72">
      <w:r w:rsidRPr="00CF130E">
        <w:t>Ticagrelor was first listed on the PBS on 1 August 2012</w:t>
      </w:r>
      <w:r w:rsidR="00AC2F4D">
        <w:t xml:space="preserve"> for acute coronary syndrome</w:t>
      </w:r>
      <w:r w:rsidRPr="00CF130E">
        <w:t>.</w:t>
      </w:r>
    </w:p>
    <w:p w:rsidR="005C6661" w:rsidRDefault="005C6661" w:rsidP="005C6661">
      <w:pPr>
        <w:pStyle w:val="Heading2"/>
      </w:pPr>
      <w:r>
        <w:t>Data Source / methodology</w:t>
      </w:r>
    </w:p>
    <w:p w:rsidR="00AC2F4D" w:rsidRDefault="00AC2F4D" w:rsidP="00AC2F4D">
      <w:r>
        <w:t xml:space="preserve">Prescription data </w:t>
      </w:r>
      <w:r w:rsidRPr="00143FC1">
        <w:t xml:space="preserve">were extracted from </w:t>
      </w:r>
      <w:r>
        <w:t xml:space="preserve">the </w:t>
      </w:r>
      <w:r w:rsidRPr="00143FC1">
        <w:t xml:space="preserve">Department of Human Services </w:t>
      </w:r>
      <w:r>
        <w:t>(DHS) prescription</w:t>
      </w:r>
      <w:r w:rsidRPr="00143FC1">
        <w:t xml:space="preserve"> database</w:t>
      </w:r>
      <w:r w:rsidRPr="00143FC1" w:rsidDel="002136B0">
        <w:t xml:space="preserve"> </w:t>
      </w:r>
      <w:r w:rsidRPr="00143FC1">
        <w:t xml:space="preserve">for the period </w:t>
      </w:r>
      <w:r>
        <w:t>August 2012</w:t>
      </w:r>
      <w:r w:rsidRPr="00143FC1">
        <w:t xml:space="preserve"> </w:t>
      </w:r>
      <w:r w:rsidRPr="002D325D">
        <w:t xml:space="preserve">to </w:t>
      </w:r>
      <w:r>
        <w:t>July 2015</w:t>
      </w:r>
      <w:r w:rsidRPr="00143FC1">
        <w:t>, inclusive.</w:t>
      </w:r>
      <w:r>
        <w:t xml:space="preserve"> The analyses completed include the number of prescriptions and patients over time and the length of time patients are receiving treatment with ticagrelor.</w:t>
      </w:r>
    </w:p>
    <w:p w:rsidR="009E0AA6" w:rsidRPr="009E0AA6" w:rsidRDefault="005C6661" w:rsidP="009E0AA6">
      <w:pPr>
        <w:pStyle w:val="Heading2"/>
      </w:pPr>
      <w:r>
        <w:t>Key Findings</w:t>
      </w:r>
    </w:p>
    <w:p w:rsidR="009E0AA6" w:rsidRDefault="00FE2E31" w:rsidP="009E0AA6">
      <w:pPr>
        <w:pStyle w:val="ListParagraph"/>
        <w:numPr>
          <w:ilvl w:val="0"/>
          <w:numId w:val="1"/>
        </w:numPr>
      </w:pPr>
      <w:r>
        <w:t>Since listing, 32,268</w:t>
      </w:r>
      <w:r w:rsidR="009E0AA6">
        <w:t xml:space="preserve"> patients have been treated with ticagrelor. In 2014:</w:t>
      </w:r>
    </w:p>
    <w:p w:rsidR="009E0AA6" w:rsidRDefault="00FE2E31" w:rsidP="009E0AA6">
      <w:pPr>
        <w:pStyle w:val="ListParagraph"/>
        <w:numPr>
          <w:ilvl w:val="1"/>
          <w:numId w:val="6"/>
        </w:numPr>
      </w:pPr>
      <w:r>
        <w:t>19,770</w:t>
      </w:r>
      <w:r w:rsidR="009E0AA6">
        <w:t xml:space="preserve"> patients were dispensed at least one prescription of ticagrelor; </w:t>
      </w:r>
    </w:p>
    <w:p w:rsidR="009E0AA6" w:rsidRPr="0048163B" w:rsidRDefault="00FE2E31" w:rsidP="009E0AA6">
      <w:pPr>
        <w:pStyle w:val="ListParagraph"/>
        <w:numPr>
          <w:ilvl w:val="1"/>
          <w:numId w:val="6"/>
        </w:numPr>
      </w:pPr>
      <w:r>
        <w:t>12,684</w:t>
      </w:r>
      <w:r w:rsidR="009E0AA6">
        <w:t xml:space="preserve"> of these patients were starting treatment with ticagrelor for the first </w:t>
      </w:r>
      <w:r w:rsidR="009E0AA6" w:rsidRPr="0048163B">
        <w:t xml:space="preserve">time. </w:t>
      </w:r>
    </w:p>
    <w:p w:rsidR="009E0AA6" w:rsidRDefault="009E0AA6" w:rsidP="009E0AA6">
      <w:pPr>
        <w:pStyle w:val="ListParagraph"/>
        <w:numPr>
          <w:ilvl w:val="0"/>
          <w:numId w:val="1"/>
        </w:numPr>
      </w:pPr>
      <w:r>
        <w:t>The length of</w:t>
      </w:r>
      <w:r w:rsidR="0074638D">
        <w:t xml:space="preserve"> treatment analysis suggests </w:t>
      </w:r>
      <w:r w:rsidR="005A7D3C">
        <w:t xml:space="preserve">that although some </w:t>
      </w:r>
      <w:r w:rsidR="0074638D">
        <w:t xml:space="preserve">patients </w:t>
      </w:r>
      <w:r w:rsidR="005A7D3C">
        <w:t>remain on treatment for more than two years, the majority have stopped ta</w:t>
      </w:r>
      <w:r w:rsidR="0074638D">
        <w:t xml:space="preserve">king ticagrelor one year </w:t>
      </w:r>
      <w:r w:rsidR="005A7D3C">
        <w:t>after initiation</w:t>
      </w:r>
      <w:r>
        <w:t>.</w:t>
      </w:r>
    </w:p>
    <w:p w:rsidR="009E0AA6" w:rsidRPr="00BB0D1A" w:rsidRDefault="009E0AA6" w:rsidP="0074638D">
      <w:pPr>
        <w:pStyle w:val="NoSpacing"/>
        <w:ind w:left="360"/>
        <w:rPr>
          <w:highlight w:val="yellow"/>
        </w:rPr>
      </w:pPr>
    </w:p>
    <w:p w:rsidR="00BB0D1A" w:rsidRDefault="00BB0D1A">
      <w:pPr>
        <w:spacing w:line="276" w:lineRule="auto"/>
        <w:rPr>
          <w:rFonts w:eastAsiaTheme="majorEastAsia" w:cstheme="majorBidi"/>
          <w:b/>
          <w:bCs/>
          <w:sz w:val="32"/>
          <w:szCs w:val="26"/>
        </w:rPr>
      </w:pPr>
      <w:r>
        <w:br w:type="page"/>
      </w:r>
    </w:p>
    <w:p w:rsidR="00E677DD" w:rsidRDefault="00E677DD" w:rsidP="000C46BB">
      <w:pPr>
        <w:pStyle w:val="Heading4"/>
      </w:pPr>
      <w:r w:rsidRPr="000C46BB">
        <w:lastRenderedPageBreak/>
        <w:t xml:space="preserve">Purpose of </w:t>
      </w:r>
      <w:r w:rsidR="00D151EB" w:rsidRPr="000C46BB">
        <w:t>analysis</w:t>
      </w:r>
    </w:p>
    <w:p w:rsidR="00853C6C" w:rsidRDefault="00853C6C" w:rsidP="00853C6C">
      <w:pPr>
        <w:rPr>
          <w:highlight w:val="yellow"/>
        </w:rPr>
      </w:pPr>
      <w:r>
        <w:t xml:space="preserve">To review the predicted versus actual use of ticagrelor for acute coronary syndrome, as requested by DUSC at its October 2015 meeting. </w:t>
      </w:r>
    </w:p>
    <w:p w:rsidR="006537D9" w:rsidRPr="005E22C2" w:rsidRDefault="00736041" w:rsidP="001E4CAB">
      <w:pPr>
        <w:pStyle w:val="Heading4"/>
      </w:pPr>
      <w:r w:rsidRPr="005E22C2">
        <w:t>Background</w:t>
      </w:r>
    </w:p>
    <w:p w:rsidR="007247B9" w:rsidRDefault="007247B9" w:rsidP="00FE645A">
      <w:pPr>
        <w:pStyle w:val="Heading3"/>
      </w:pPr>
      <w:r>
        <w:t>Pharmacology</w:t>
      </w:r>
    </w:p>
    <w:p w:rsidR="009B3324" w:rsidRDefault="009B3324" w:rsidP="009B3324">
      <w:r>
        <w:t>Ticagrelor belongs to a group of medicines called anti-platelet medicines. Platelets are very small cells in your blood that help to stop bleeding. When a blood vessel is damaged, they clump together to help form a blood clot. This stops bleeding. However, clots can also form inside a damaged blood vessel. This can be very dangerous because:</w:t>
      </w:r>
    </w:p>
    <w:p w:rsidR="009B3324" w:rsidRDefault="009B3324" w:rsidP="00AB24CD">
      <w:pPr>
        <w:pStyle w:val="ListParagraph"/>
        <w:numPr>
          <w:ilvl w:val="0"/>
          <w:numId w:val="4"/>
        </w:numPr>
      </w:pPr>
      <w:r>
        <w:t>the clot can cut off the blood supply completely - this can cause a heart attack (myocardial infarction) or stroke.</w:t>
      </w:r>
    </w:p>
    <w:p w:rsidR="009B3324" w:rsidRDefault="009B3324" w:rsidP="00AB24CD">
      <w:pPr>
        <w:pStyle w:val="ListParagraph"/>
        <w:numPr>
          <w:ilvl w:val="0"/>
          <w:numId w:val="4"/>
        </w:numPr>
      </w:pPr>
      <w:r>
        <w:t>the clot can partly block the blood vessels to the heart - this reduces the blood flow to the heart. This can cause chest pain which comes and goes (called 'unstable angina')</w:t>
      </w:r>
      <w:r w:rsidR="00363A36">
        <w:t>.</w:t>
      </w:r>
      <w:r>
        <w:t xml:space="preserve"> </w:t>
      </w:r>
    </w:p>
    <w:p w:rsidR="009B3324" w:rsidRDefault="00363A36" w:rsidP="009B3324">
      <w:pPr>
        <w:rPr>
          <w:highlight w:val="yellow"/>
        </w:rPr>
      </w:pPr>
      <w:r>
        <w:t>Ticagrelor</w:t>
      </w:r>
      <w:r w:rsidR="009B3324">
        <w:t xml:space="preserve"> helps stop the clumping of platelets. This reduces the chance of a blood clot forming that can block a blood vessel. This means that ticagrelor reduces the chance of you having another heart attack, chest pain or stroke.</w:t>
      </w:r>
      <w:r w:rsidR="009B3324">
        <w:rPr>
          <w:rStyle w:val="FootnoteReference"/>
        </w:rPr>
        <w:footnoteReference w:id="1"/>
      </w:r>
    </w:p>
    <w:p w:rsidR="001420B3" w:rsidRPr="005E22C2" w:rsidRDefault="00A52918" w:rsidP="00FE645A">
      <w:pPr>
        <w:pStyle w:val="Heading3"/>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0955AF" w:rsidRDefault="000955AF" w:rsidP="00A35800">
      <w:pPr>
        <w:rPr>
          <w:highlight w:val="yellow"/>
        </w:rPr>
      </w:pPr>
      <w:r>
        <w:t>Ticagrelor</w:t>
      </w:r>
      <w:r w:rsidRPr="000955AF">
        <w:t>, in combination with aspirin, is indicated for the prevention of atherothrombotic events (cardiovascular death, myocardial infarction and stroke) in adult patients with acute coronary syndromes (unstable angina [UA], non ST elevation Myocardial Infarction [NSTEMI] or ST elevation Myocardial Infarction [STEMI]) including patients managed medically, and those who are managed with percutaneous coronary intervention (PCI) or coronary artery by-pass grafting (CABG).</w:t>
      </w:r>
      <w:bookmarkStart w:id="0" w:name="_Ref433624370"/>
      <w:r>
        <w:rPr>
          <w:rStyle w:val="FootnoteReference"/>
        </w:rPr>
        <w:footnoteReference w:id="2"/>
      </w:r>
      <w:bookmarkEnd w:id="0"/>
    </w:p>
    <w:p w:rsidR="006B709B" w:rsidRDefault="006B709B" w:rsidP="00FE645A">
      <w:pPr>
        <w:pStyle w:val="Heading3"/>
      </w:pPr>
      <w:r>
        <w:t>Dosage and administration</w:t>
      </w:r>
    </w:p>
    <w:p w:rsidR="000955AF" w:rsidRDefault="00DB6262" w:rsidP="000955AF">
      <w:r>
        <w:t xml:space="preserve">Ticagrelor </w:t>
      </w:r>
      <w:r w:rsidR="000955AF">
        <w:t>treatment should be initiated with a single 180 mg loading dose (two tablets of 90 mg) and then continued at 90 mg twice daily.</w:t>
      </w:r>
    </w:p>
    <w:p w:rsidR="000955AF" w:rsidRDefault="000955AF" w:rsidP="000955AF">
      <w:r>
        <w:t xml:space="preserve">For oral use. </w:t>
      </w:r>
      <w:r w:rsidR="00DB6262">
        <w:t xml:space="preserve">Ticagrelor </w:t>
      </w:r>
      <w:r>
        <w:t xml:space="preserve">can be taken with or without food. Patients taking </w:t>
      </w:r>
      <w:r w:rsidR="00DB6262">
        <w:t xml:space="preserve">ticagrelor </w:t>
      </w:r>
      <w:r>
        <w:t xml:space="preserve">should take </w:t>
      </w:r>
      <w:r w:rsidR="00853C6C">
        <w:t>aspirin</w:t>
      </w:r>
      <w:r>
        <w:t xml:space="preserve"> daily unless specifically contraindicated. Following an initial dose of </w:t>
      </w:r>
      <w:r w:rsidR="00853C6C">
        <w:t>aspirin</w:t>
      </w:r>
      <w:r>
        <w:t xml:space="preserve">, </w:t>
      </w:r>
      <w:r w:rsidR="00DB6262">
        <w:t xml:space="preserve">ticagrelor </w:t>
      </w:r>
      <w:r>
        <w:t xml:space="preserve">should be used with a recommended maintenance dose of </w:t>
      </w:r>
      <w:r w:rsidR="00853C6C">
        <w:t xml:space="preserve">aspirin </w:t>
      </w:r>
      <w:r>
        <w:t xml:space="preserve">100 mg daily. </w:t>
      </w:r>
      <w:r>
        <w:lastRenderedPageBreak/>
        <w:t xml:space="preserve">If required, the </w:t>
      </w:r>
      <w:r w:rsidR="00853C6C">
        <w:t xml:space="preserve">aspirin </w:t>
      </w:r>
      <w:r>
        <w:t>maintenance dose may vary from 75-150 mg according to clinical need.</w:t>
      </w:r>
    </w:p>
    <w:p w:rsidR="000955AF" w:rsidRDefault="000955AF" w:rsidP="000955AF">
      <w:r>
        <w:t xml:space="preserve">Lapses in therapy should be avoided. A patient who misses a dose of </w:t>
      </w:r>
      <w:r w:rsidR="00DB6262">
        <w:t xml:space="preserve">ticagrelor </w:t>
      </w:r>
      <w:r>
        <w:t>should take one 90 mg tablet (their next dose) at its scheduled time.</w:t>
      </w:r>
    </w:p>
    <w:p w:rsidR="000955AF" w:rsidRDefault="000955AF" w:rsidP="000955AF">
      <w:r>
        <w:t xml:space="preserve">Physicians who desire to switch patients from clopidogrel to </w:t>
      </w:r>
      <w:r w:rsidR="00DB6262">
        <w:t xml:space="preserve">ticagrelor </w:t>
      </w:r>
      <w:r>
        <w:t xml:space="preserve">should administer the first 90 mg dose of </w:t>
      </w:r>
      <w:r w:rsidR="00DB6262">
        <w:t xml:space="preserve">ticagrelor </w:t>
      </w:r>
      <w:r>
        <w:t xml:space="preserve">24 hours following the last dose of clopidogrel. Switching from prasugrel to </w:t>
      </w:r>
      <w:r w:rsidR="00DB6262">
        <w:t xml:space="preserve">ticagrelor </w:t>
      </w:r>
      <w:r>
        <w:t>has not been investigated.</w:t>
      </w:r>
    </w:p>
    <w:p w:rsidR="000955AF" w:rsidRDefault="000955AF" w:rsidP="000955AF">
      <w:pPr>
        <w:rPr>
          <w:highlight w:val="yellow"/>
        </w:rPr>
      </w:pPr>
      <w:r>
        <w:t xml:space="preserve">Treatment is recommended for at least 12 months unless discontinuation of </w:t>
      </w:r>
      <w:r w:rsidR="00DB6262">
        <w:t xml:space="preserve">ticagrelor </w:t>
      </w:r>
      <w:r>
        <w:t xml:space="preserve">is clinically indicated. In patients with </w:t>
      </w:r>
      <w:r w:rsidR="00853C6C">
        <w:t>acute coronary syndrome</w:t>
      </w:r>
      <w:r>
        <w:t xml:space="preserve">, premature discontinuation with any antiplatelet therapy, including </w:t>
      </w:r>
      <w:r w:rsidR="00DB6262">
        <w:t>ticagrelor</w:t>
      </w:r>
      <w:r>
        <w:t>, could result in an increased risk of cardiovascular death, or myocardial infarction due to the patient’s underlying disease.</w:t>
      </w:r>
      <w:r w:rsidR="00DD7A61">
        <w:rPr>
          <w:vertAlign w:val="superscript"/>
        </w:rPr>
        <w:t>2</w:t>
      </w:r>
    </w:p>
    <w:p w:rsidR="00F17D4B" w:rsidRPr="002F61CA" w:rsidRDefault="00F17D4B" w:rsidP="00F17D4B">
      <w:r w:rsidRPr="002F61CA">
        <w:t xml:space="preserve">The current Product Information (PI) and Consumer Medicine Information (CMI) are available from </w:t>
      </w:r>
      <w:r w:rsidRPr="00D87D5F">
        <w:t>the TGA (Product Information)</w:t>
      </w:r>
      <w:r>
        <w:t xml:space="preserve"> and </w:t>
      </w:r>
      <w:r w:rsidRPr="00D87D5F">
        <w:t>the TGA (Consumer Medicines Information)</w:t>
      </w:r>
      <w:r>
        <w:t>.</w:t>
      </w:r>
    </w:p>
    <w:p w:rsidR="001420B3" w:rsidRPr="007247B9" w:rsidRDefault="001420B3" w:rsidP="00FE645A">
      <w:pPr>
        <w:pStyle w:val="Heading3"/>
      </w:pPr>
      <w:r w:rsidRPr="007247B9">
        <w:t>Clinical situation</w:t>
      </w:r>
    </w:p>
    <w:p w:rsidR="00F7235D" w:rsidRDefault="00F7235D" w:rsidP="00F7235D">
      <w:r>
        <w:t>Acute coronary syndrome is a term used to describe the symptoms of coronary artery disease, which include unstable angina, non-ST elevation MI and ST-elevation MI. Acute coronary syndrome is associa</w:t>
      </w:r>
      <w:r w:rsidR="00A144C9">
        <w:t>ted with atherosclerosis (build-</w:t>
      </w:r>
      <w:r>
        <w:t>up of cholesterol-laden plaques) and is usually precipitated by acute thrombosis, induced by a ruptured or eroded atherosclerotic plaque, with or without concomitant vasoconstriction, causing a sudden and critical reduction in coronary blood flow.</w:t>
      </w:r>
    </w:p>
    <w:p w:rsidR="00F7235D" w:rsidRDefault="00F7235D" w:rsidP="00F7235D">
      <w:pPr>
        <w:rPr>
          <w:highlight w:val="yellow"/>
        </w:rPr>
      </w:pPr>
      <w:r>
        <w:t>Platelets play a central role in the pathogenesis of atherothrombosis and the formation of thrombi following percutaneous coronary intervention (with or without stenting). Activated platelets are recruited to sites of coronary plaque rupture and intra-arterial stenting, thereby forming aggregates that may lead to platelet-rich thrombi, vascular occlusion, tissue ischemia, and MI.</w:t>
      </w:r>
      <w:bookmarkStart w:id="1" w:name="_Ref438216083"/>
      <w:r>
        <w:rPr>
          <w:rStyle w:val="FootnoteReference"/>
        </w:rPr>
        <w:footnoteReference w:id="3"/>
      </w:r>
      <w:bookmarkEnd w:id="1"/>
    </w:p>
    <w:p w:rsidR="00DF0B13" w:rsidRPr="007247B9" w:rsidRDefault="00DF0B13" w:rsidP="00FE645A">
      <w:pPr>
        <w:pStyle w:val="Heading3"/>
      </w:pPr>
      <w:r w:rsidRPr="007247B9">
        <w:t>PBS listing details</w:t>
      </w:r>
      <w:r w:rsidR="00D151EB">
        <w:t xml:space="preserve"> (</w:t>
      </w:r>
      <w:r w:rsidR="00DB6262">
        <w:t xml:space="preserve">current </w:t>
      </w:r>
      <w:r w:rsidR="00D151EB">
        <w:t xml:space="preserve">as at </w:t>
      </w:r>
      <w:r w:rsidR="005E4487">
        <w:t>October 2015)</w:t>
      </w:r>
    </w:p>
    <w:p w:rsidR="001420B3" w:rsidRPr="001420B3" w:rsidRDefault="00FB601F" w:rsidP="00C245EA">
      <w:pPr>
        <w:pStyle w:val="Tabletitle"/>
      </w:pPr>
      <w:r>
        <w:t>Table 1</w:t>
      </w:r>
      <w:r w:rsidR="001420B3" w:rsidRPr="001420B3">
        <w:t xml:space="preserve">: </w:t>
      </w:r>
      <w:r w:rsidR="009663B6">
        <w:t>PB</w:t>
      </w:r>
      <w:r w:rsidR="00DB6262">
        <w:t>S listing of ticagrelor</w:t>
      </w:r>
    </w:p>
    <w:tbl>
      <w:tblPr>
        <w:tblStyle w:val="TableGrid"/>
        <w:tblW w:w="9064" w:type="dxa"/>
        <w:tblLayout w:type="fixed"/>
        <w:tblLook w:val="04A0" w:firstRow="1" w:lastRow="0" w:firstColumn="1" w:lastColumn="0" w:noHBand="0" w:noVBand="1"/>
        <w:tblCaption w:val="PBS listing of ticagrelor"/>
        <w:tblDescription w:val="Ticagrelor is listed with a maximum quantity of 1 and 5 repeats at a DPMQ of $140.04"/>
      </w:tblPr>
      <w:tblGrid>
        <w:gridCol w:w="969"/>
        <w:gridCol w:w="2400"/>
        <w:gridCol w:w="1701"/>
        <w:gridCol w:w="850"/>
        <w:gridCol w:w="1040"/>
        <w:gridCol w:w="2104"/>
      </w:tblGrid>
      <w:tr w:rsidR="0093111F" w:rsidRPr="00A35800" w:rsidTr="0093111F">
        <w:trPr>
          <w:trHeight w:val="694"/>
          <w:tblHeader/>
        </w:trPr>
        <w:tc>
          <w:tcPr>
            <w:tcW w:w="969"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Item</w:t>
            </w:r>
          </w:p>
        </w:tc>
        <w:tc>
          <w:tcPr>
            <w:tcW w:w="240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Max</w:t>
            </w:r>
            <w:r w:rsidR="00A13C60" w:rsidRPr="00A35800">
              <w:rPr>
                <w:sz w:val="20"/>
                <w:szCs w:val="20"/>
              </w:rPr>
              <w:t xml:space="preserve">. </w:t>
            </w:r>
            <w:r w:rsidRPr="00A35800">
              <w:rPr>
                <w:sz w:val="20"/>
                <w:szCs w:val="20"/>
              </w:rPr>
              <w:t xml:space="preserve">quant. </w:t>
            </w:r>
          </w:p>
        </w:tc>
        <w:tc>
          <w:tcPr>
            <w:tcW w:w="85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 xml:space="preserve">Rpts </w:t>
            </w:r>
          </w:p>
        </w:tc>
        <w:tc>
          <w:tcPr>
            <w:tcW w:w="104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DPMQ</w:t>
            </w:r>
          </w:p>
        </w:tc>
        <w:tc>
          <w:tcPr>
            <w:tcW w:w="2104"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Brand name and manufacturer</w:t>
            </w:r>
          </w:p>
        </w:tc>
      </w:tr>
      <w:tr w:rsidR="0093111F" w:rsidRPr="00A35800" w:rsidTr="001263A0">
        <w:trPr>
          <w:trHeight w:val="552"/>
          <w:tblHeader/>
        </w:trPr>
        <w:tc>
          <w:tcPr>
            <w:tcW w:w="969" w:type="dxa"/>
            <w:shd w:val="clear" w:color="auto" w:fill="auto"/>
          </w:tcPr>
          <w:p w:rsidR="0093111F" w:rsidRPr="00A35800" w:rsidRDefault="001263A0" w:rsidP="00A35800">
            <w:pPr>
              <w:pStyle w:val="Tablewriting"/>
            </w:pPr>
            <w:r>
              <w:t>1418P</w:t>
            </w:r>
          </w:p>
        </w:tc>
        <w:tc>
          <w:tcPr>
            <w:tcW w:w="2400" w:type="dxa"/>
            <w:shd w:val="clear" w:color="auto" w:fill="auto"/>
          </w:tcPr>
          <w:p w:rsidR="0093111F" w:rsidRPr="00A35800" w:rsidRDefault="001263A0" w:rsidP="00A35800">
            <w:pPr>
              <w:pStyle w:val="Tablewriting"/>
            </w:pPr>
            <w:r>
              <w:t>Ticagrelor</w:t>
            </w:r>
            <w:r>
              <w:br/>
              <w:t>Tablet 90 mg, 56</w:t>
            </w:r>
          </w:p>
        </w:tc>
        <w:tc>
          <w:tcPr>
            <w:tcW w:w="1701" w:type="dxa"/>
            <w:shd w:val="clear" w:color="auto" w:fill="auto"/>
          </w:tcPr>
          <w:p w:rsidR="0093111F" w:rsidRPr="00A35800" w:rsidRDefault="001263A0" w:rsidP="001263A0">
            <w:pPr>
              <w:pStyle w:val="Tablewriting"/>
              <w:jc w:val="center"/>
            </w:pPr>
            <w:r>
              <w:t>1</w:t>
            </w:r>
          </w:p>
        </w:tc>
        <w:tc>
          <w:tcPr>
            <w:tcW w:w="850" w:type="dxa"/>
            <w:shd w:val="clear" w:color="auto" w:fill="auto"/>
          </w:tcPr>
          <w:p w:rsidR="0093111F" w:rsidRPr="00A35800" w:rsidRDefault="001263A0" w:rsidP="001263A0">
            <w:pPr>
              <w:pStyle w:val="Tablewriting"/>
              <w:jc w:val="center"/>
            </w:pPr>
            <w:r>
              <w:t>5</w:t>
            </w:r>
          </w:p>
        </w:tc>
        <w:tc>
          <w:tcPr>
            <w:tcW w:w="1040" w:type="dxa"/>
            <w:shd w:val="clear" w:color="auto" w:fill="auto"/>
          </w:tcPr>
          <w:p w:rsidR="0093111F" w:rsidRPr="00A35800" w:rsidRDefault="001263A0" w:rsidP="00A35800">
            <w:pPr>
              <w:pStyle w:val="Tablewriting"/>
            </w:pPr>
            <w:r>
              <w:t>$140.04</w:t>
            </w:r>
          </w:p>
        </w:tc>
        <w:tc>
          <w:tcPr>
            <w:tcW w:w="2104" w:type="dxa"/>
            <w:shd w:val="clear" w:color="auto" w:fill="auto"/>
          </w:tcPr>
          <w:p w:rsidR="0093111F" w:rsidRDefault="001263A0" w:rsidP="00A35800">
            <w:pPr>
              <w:pStyle w:val="Tablewriting"/>
            </w:pPr>
            <w:r w:rsidRPr="001263A0">
              <w:t>Brilinta</w:t>
            </w:r>
            <w:r>
              <w:t>®</w:t>
            </w:r>
          </w:p>
          <w:p w:rsidR="001263A0" w:rsidRPr="00A35800" w:rsidRDefault="001263A0" w:rsidP="00A35800">
            <w:pPr>
              <w:pStyle w:val="Tablewriting"/>
            </w:pPr>
            <w:r w:rsidRPr="001263A0">
              <w:t>AstraZeneca Pty Ltd</w:t>
            </w:r>
          </w:p>
        </w:tc>
      </w:tr>
    </w:tbl>
    <w:p w:rsidR="007247B9" w:rsidRPr="00A35800" w:rsidRDefault="007408C7" w:rsidP="00BB1D3B">
      <w:pPr>
        <w:pStyle w:val="Notes"/>
      </w:pPr>
      <w:r w:rsidRPr="00A35800">
        <w:t xml:space="preserve">Source: </w:t>
      </w:r>
      <w:r w:rsidR="001624D7">
        <w:t xml:space="preserve">the </w:t>
      </w:r>
      <w:r w:rsidR="001624D7" w:rsidRPr="00D87D5F">
        <w:t>PBS website</w:t>
      </w:r>
      <w:r w:rsidR="001624D7">
        <w:t>.</w:t>
      </w:r>
      <w:r w:rsidR="0080485E">
        <w:t xml:space="preserve">  </w:t>
      </w:r>
    </w:p>
    <w:p w:rsidR="004C3186" w:rsidRDefault="004C3186" w:rsidP="00732572">
      <w:pPr>
        <w:pStyle w:val="Heading2"/>
        <w:keepNext/>
      </w:pPr>
      <w:r>
        <w:lastRenderedPageBreak/>
        <w:t>Restriction</w:t>
      </w:r>
    </w:p>
    <w:p w:rsidR="001263A0" w:rsidRDefault="001263A0" w:rsidP="00A35800">
      <w:r w:rsidRPr="001263A0">
        <w:t>Ticagrelor is PB</w:t>
      </w:r>
      <w:r w:rsidR="00161A5E">
        <w:t>S listed for t</w:t>
      </w:r>
      <w:r w:rsidRPr="001263A0">
        <w:t>reatment of acute coronary syndrome (myocardial infarction or unstable angina) in combination with aspirin</w:t>
      </w:r>
      <w:r>
        <w:t>.</w:t>
      </w:r>
    </w:p>
    <w:p w:rsidR="006775F1" w:rsidRPr="006775F1" w:rsidRDefault="006775F1" w:rsidP="00A35800">
      <w:r w:rsidRPr="006775F1">
        <w:t xml:space="preserve">For </w:t>
      </w:r>
      <w:r w:rsidR="00835337">
        <w:t xml:space="preserve">details of the current PBS listing refer to the </w:t>
      </w:r>
      <w:r w:rsidR="00835337" w:rsidRPr="00D87D5F">
        <w:t>PBS website</w:t>
      </w:r>
      <w:r w:rsidR="001263A0" w:rsidRPr="001263A0">
        <w:rPr>
          <w:rStyle w:val="Hyperlink"/>
          <w:color w:val="auto"/>
          <w:u w:val="none"/>
        </w:rPr>
        <w:t>.</w:t>
      </w:r>
    </w:p>
    <w:p w:rsidR="009C35F2" w:rsidRPr="00675BB1" w:rsidRDefault="009C35F2" w:rsidP="00C245EA">
      <w:pPr>
        <w:pStyle w:val="Heading2"/>
      </w:pPr>
      <w:r w:rsidRPr="00675BB1">
        <w:t>Date of listing on PBS</w:t>
      </w:r>
    </w:p>
    <w:p w:rsidR="001263A0" w:rsidRPr="00CF130E" w:rsidRDefault="001263A0" w:rsidP="001263A0">
      <w:r w:rsidRPr="00CF130E">
        <w:t>Ticagrelor was first listed on the PBS on 1 August 2012.</w:t>
      </w:r>
    </w:p>
    <w:p w:rsidR="00675BB1" w:rsidRPr="00675BB1" w:rsidRDefault="00675BB1" w:rsidP="00C245EA">
      <w:pPr>
        <w:pStyle w:val="Heading2"/>
      </w:pPr>
      <w:r w:rsidRPr="00675BB1">
        <w:t>Changes to listing</w:t>
      </w:r>
    </w:p>
    <w:p w:rsidR="00DB6262" w:rsidRPr="00DB6262" w:rsidRDefault="00DB6262" w:rsidP="00A35800">
      <w:r w:rsidRPr="00DB6262">
        <w:t xml:space="preserve">There have been no significant changes to the listing since ticagrelor was </w:t>
      </w:r>
      <w:r w:rsidR="00FA711B">
        <w:t xml:space="preserve">first </w:t>
      </w:r>
      <w:r w:rsidRPr="00DB6262">
        <w:t>PBS listed.</w:t>
      </w:r>
    </w:p>
    <w:p w:rsidR="00BF544D" w:rsidRPr="002F61CA" w:rsidRDefault="00BF544D" w:rsidP="00BF544D">
      <w:r w:rsidRPr="002F61CA">
        <w:t xml:space="preserve">Current PBS listing details are available from </w:t>
      </w:r>
      <w:r>
        <w:t xml:space="preserve">the </w:t>
      </w:r>
      <w:r w:rsidR="001263A0" w:rsidRPr="00D87D5F">
        <w:t>PBS website</w:t>
      </w:r>
      <w:r>
        <w:t>.</w:t>
      </w:r>
    </w:p>
    <w:p w:rsidR="00736041" w:rsidRPr="005E22C2" w:rsidRDefault="00394AEE" w:rsidP="00FE645A">
      <w:pPr>
        <w:pStyle w:val="Heading3"/>
      </w:pPr>
      <w:r>
        <w:t>Relevant aspects of</w:t>
      </w:r>
      <w:r w:rsidR="00736041" w:rsidRPr="005E22C2">
        <w:t xml:space="preserve"> consideration</w:t>
      </w:r>
      <w:r>
        <w:t xml:space="preserve"> by the Pharmaceutical Benefits Advisory Committee (PBAC)</w:t>
      </w:r>
    </w:p>
    <w:p w:rsidR="00CF130E" w:rsidRDefault="00CF130E" w:rsidP="00CF130E">
      <w:r>
        <w:t>The PBAC recommended the listing of ticagrelor 90 mg as an Authority Required (Streamlined) benefit for the treatment of acute coronary syndrome (myocardial infarction or unstable angina) in combination with aspirin on the basis of acceptable cost-effectiveness compared with clopidogrel in combination with aspirin.</w:t>
      </w:r>
    </w:p>
    <w:p w:rsidR="00CF130E" w:rsidRDefault="00CF130E" w:rsidP="00CF130E">
      <w:r>
        <w:t xml:space="preserve">Given that the submission was based on clinical efficacy data up to 12 months and the fact that clinical guidelines recommend therapy for up to 12 months in the treatment of </w:t>
      </w:r>
      <w:r w:rsidR="00161A5E">
        <w:t>acute coronary syndrome</w:t>
      </w:r>
      <w:r>
        <w:t>, the PBAC considered whether it would be appropriate for the restriction to limit treatment up to a maximum of 12 months duration. However, the PBAC considered that length of treatment should be determined by the treating clinician and noted that the restrictions for similar drugs, clopidogrel and prasugrel, do not define treatment duration despite the listing of these drugs also being based on trials that limited treatment duration.</w:t>
      </w:r>
    </w:p>
    <w:p w:rsidR="00CF130E" w:rsidRDefault="00CF130E" w:rsidP="00CF130E">
      <w:pPr>
        <w:rPr>
          <w:highlight w:val="yellow"/>
        </w:rPr>
      </w:pPr>
      <w:r>
        <w:t xml:space="preserve">The PBAC considered the submission’s estimates on ticagrelor PBS usage and financial implications to be uncertain due to the high potential for ticagrelor to be used in non-ACS conditions by clinicians. On the other hand, </w:t>
      </w:r>
      <w:r w:rsidR="000155EF">
        <w:t xml:space="preserve">the Committee considered that its use </w:t>
      </w:r>
      <w:r>
        <w:t>may be less than predicted due to adverse events associated with ticagrelor (e.g. increased non-CABG bleeding) and potentially lower compliance arising from a twice daily dosing schedule compared to clopidogrel’s once daily dosing. The high potential for ticagrelor to be prescribed for non-ACS conditions was of particular concern to the PBAC as use in such conditions has the potential to result in high costs to the PBS. To address the issue of ticagrelor’s potential use outside any PBS restriction, the PBAC recommended that the Department enter into a risk share agreement with the sponsor.</w:t>
      </w:r>
    </w:p>
    <w:p w:rsidR="00D94863" w:rsidRPr="00F65F0D" w:rsidRDefault="00D94863" w:rsidP="00D94863">
      <w:r>
        <w:t xml:space="preserve">For further details refer to </w:t>
      </w:r>
      <w:r w:rsidRPr="00F65F0D">
        <w:t xml:space="preserve">the </w:t>
      </w:r>
      <w:r w:rsidRPr="00D87D5F">
        <w:t>Public Summary Document</w:t>
      </w:r>
      <w:r w:rsidRPr="00F65F0D">
        <w:t xml:space="preserve"> from the </w:t>
      </w:r>
      <w:r w:rsidR="00CF130E">
        <w:t xml:space="preserve">July 2011 </w:t>
      </w:r>
      <w:r>
        <w:t>PBAC meeting.</w:t>
      </w:r>
    </w:p>
    <w:p w:rsidR="000F2F51" w:rsidRDefault="00ED633B" w:rsidP="0074783E">
      <w:pPr>
        <w:pStyle w:val="Heading3"/>
        <w:keepNext/>
      </w:pPr>
      <w:r>
        <w:lastRenderedPageBreak/>
        <w:t>A</w:t>
      </w:r>
      <w:r w:rsidR="000F2F51">
        <w:t xml:space="preserve">pproach </w:t>
      </w:r>
      <w:r>
        <w:t xml:space="preserve">taken to </w:t>
      </w:r>
      <w:r w:rsidR="000F2F51">
        <w:t>estimat</w:t>
      </w:r>
      <w:r>
        <w:t>e</w:t>
      </w:r>
      <w:r w:rsidR="000F2F51">
        <w:t xml:space="preserve"> utilisation</w:t>
      </w:r>
    </w:p>
    <w:p w:rsidR="005C3B6E" w:rsidRDefault="005C3B6E" w:rsidP="00A35800">
      <w:r>
        <w:t>The ticagrelor submission used a</w:t>
      </w:r>
      <w:r w:rsidR="005D70F8">
        <w:t xml:space="preserve"> market share approach to estimate use. Following a positive recommendation from the PBAC, </w:t>
      </w:r>
      <w:r w:rsidR="00762954">
        <w:t xml:space="preserve">the Department re-estimated use using </w:t>
      </w:r>
      <w:r w:rsidR="005D70F8">
        <w:t>a</w:t>
      </w:r>
      <w:r>
        <w:t>n epidemiological approach</w:t>
      </w:r>
      <w:r w:rsidR="005D70F8">
        <w:t xml:space="preserve">. </w:t>
      </w:r>
      <w:r w:rsidR="00D87D5F">
        <w:rPr>
          <w:noProof/>
          <w:color w:val="000000"/>
          <w:highlight w:val="black"/>
        </w:rPr>
        <w:t>''''''' ''''''''' ''''''''''''' ''''''''''''''''' '''''''' '''''' ''''''''''''''''''''''''''''''''' ''''''''''''''''' ''''''' ''''''''''''''''' '''''''' '''''''''''''' ''''''''' ''''''''''''''''' ''''''' ''''' '''''''''''''''''''' '''''''' ''''''' '''''''''''''''''''</w:t>
      </w:r>
      <w:r w:rsidR="00CF0B70">
        <w:t xml:space="preserve"> This was because clopidogrel had the majority of use in clinical practice and had the same restriction as that requested for ticagrelor. Prasugrel was only available to a sub group of patients </w:t>
      </w:r>
      <w:r w:rsidR="00A56EFD">
        <w:t>with acute coronary s</w:t>
      </w:r>
      <w:r w:rsidR="00CF0B70">
        <w:t>yndrome managed by percutaneous coronary intervention.</w:t>
      </w:r>
    </w:p>
    <w:p w:rsidR="002A216F" w:rsidRPr="002A216F" w:rsidRDefault="0055465E" w:rsidP="002A216F">
      <w:r>
        <w:t xml:space="preserve">For further details refer to </w:t>
      </w:r>
      <w:r w:rsidRPr="00F65F0D">
        <w:t xml:space="preserve">the </w:t>
      </w:r>
      <w:r w:rsidRPr="00D87D5F">
        <w:t>Public Summary Document</w:t>
      </w:r>
      <w:r w:rsidRPr="00F65F0D">
        <w:t xml:space="preserve"> from the </w:t>
      </w:r>
      <w:r>
        <w:t>July 2011 PBAC meeting.</w:t>
      </w:r>
      <w:r w:rsidR="002A216F">
        <w:t xml:space="preserve"> </w:t>
      </w:r>
    </w:p>
    <w:p w:rsidR="00094DCF" w:rsidRDefault="00ED633B" w:rsidP="00FE645A">
      <w:pPr>
        <w:pStyle w:val="Heading3"/>
      </w:pPr>
      <w:r>
        <w:t xml:space="preserve">Previous reviews by </w:t>
      </w:r>
      <w:r w:rsidR="00177B86">
        <w:t xml:space="preserve">the </w:t>
      </w:r>
      <w:r>
        <w:t>DUSC</w:t>
      </w:r>
    </w:p>
    <w:p w:rsidR="00463F96" w:rsidRPr="00463F96" w:rsidRDefault="00463F96" w:rsidP="00A35800">
      <w:r>
        <w:t>Ticagrelor has not been previously reviewed by DUSC.</w:t>
      </w:r>
    </w:p>
    <w:p w:rsidR="00E677DD" w:rsidRPr="005E22C2" w:rsidRDefault="00E677DD" w:rsidP="00587724">
      <w:pPr>
        <w:pStyle w:val="Heading4"/>
      </w:pPr>
      <w:r w:rsidRPr="005E22C2">
        <w:t>Method</w:t>
      </w:r>
      <w:r w:rsidR="001B5D37" w:rsidRPr="005E22C2">
        <w:t>s</w:t>
      </w:r>
    </w:p>
    <w:p w:rsidR="009A2F54" w:rsidRDefault="009A2F54" w:rsidP="009A2F54">
      <w:r>
        <w:t xml:space="preserve">Prescription data </w:t>
      </w:r>
      <w:r w:rsidR="008F42FB">
        <w:t>f</w:t>
      </w:r>
      <w:r w:rsidR="006A1EBC">
        <w:t>or tic</w:t>
      </w:r>
      <w:r w:rsidR="008F42FB">
        <w:t xml:space="preserve">agrelor </w:t>
      </w:r>
      <w:r w:rsidRPr="00143FC1">
        <w:t xml:space="preserve">were extracted from </w:t>
      </w:r>
      <w:r>
        <w:t xml:space="preserve">the </w:t>
      </w:r>
      <w:r w:rsidRPr="00143FC1">
        <w:t xml:space="preserve">Department of Human Services </w:t>
      </w:r>
      <w:r>
        <w:t>(DHS) prescription</w:t>
      </w:r>
      <w:r w:rsidRPr="00143FC1">
        <w:t xml:space="preserve"> database</w:t>
      </w:r>
      <w:r w:rsidRPr="00143FC1" w:rsidDel="002136B0">
        <w:t xml:space="preserve"> </w:t>
      </w:r>
      <w:r w:rsidRPr="00143FC1">
        <w:t xml:space="preserve">for the </w:t>
      </w:r>
      <w:r>
        <w:t xml:space="preserve">supply </w:t>
      </w:r>
      <w:r w:rsidRPr="00143FC1">
        <w:t xml:space="preserve">period </w:t>
      </w:r>
      <w:r>
        <w:t>August 2012</w:t>
      </w:r>
      <w:r w:rsidRPr="00143FC1">
        <w:t xml:space="preserve"> </w:t>
      </w:r>
      <w:r w:rsidRPr="002D325D">
        <w:t xml:space="preserve">to </w:t>
      </w:r>
      <w:r>
        <w:t>July 2015</w:t>
      </w:r>
      <w:r w:rsidRPr="00143FC1">
        <w:t>, inclusive.</w:t>
      </w:r>
      <w:r>
        <w:t xml:space="preserve"> </w:t>
      </w:r>
      <w:r w:rsidRPr="00CF7365">
        <w:t>Th</w:t>
      </w:r>
      <w:r>
        <w:t xml:space="preserve">is </w:t>
      </w:r>
      <w:r w:rsidRPr="00CF7365">
        <w:t xml:space="preserve">database </w:t>
      </w:r>
      <w:r>
        <w:t>contains</w:t>
      </w:r>
      <w:r w:rsidRPr="00CF7365">
        <w:t xml:space="preserve"> data on PBS prescriptions submitted to DHS for payment of a PBS/RPBS </w:t>
      </w:r>
      <w:r>
        <w:t xml:space="preserve">(R/PBS) </w:t>
      </w:r>
      <w:r w:rsidRPr="00CF7365">
        <w:t>subsidy by the Govern</w:t>
      </w:r>
      <w:r>
        <w:t>ment.</w:t>
      </w:r>
    </w:p>
    <w:p w:rsidR="009A2F54" w:rsidRDefault="009A2F54" w:rsidP="009A2F54">
      <w:r>
        <w:t>All data were extracted based on the date of supply to the patient. The data differs from that available from the DHS (Medicare) PBS statistics website</w:t>
      </w:r>
      <w:r w:rsidRPr="00BF4776">
        <w:t xml:space="preserve"> </w:t>
      </w:r>
      <w:r>
        <w:t>which is based on the date of processing and is only for subsidised R/PBS prescriptions (under patient co-payment not included).</w:t>
      </w:r>
      <w:r>
        <w:rPr>
          <w:rStyle w:val="FootnoteReference"/>
        </w:rPr>
        <w:footnoteReference w:id="4"/>
      </w:r>
    </w:p>
    <w:p w:rsidR="009A2F54" w:rsidRDefault="009A2F54" w:rsidP="009A2F54">
      <w:r w:rsidRPr="00174E61">
        <w:rPr>
          <w:rFonts w:cstheme="minorHAnsi"/>
        </w:rPr>
        <w:t xml:space="preserve">An analysis of the number of incident and prevalent patients was undertaken using the </w:t>
      </w:r>
      <w:r>
        <w:rPr>
          <w:rFonts w:cstheme="minorHAnsi"/>
        </w:rPr>
        <w:t xml:space="preserve">DHS prescription </w:t>
      </w:r>
      <w:r w:rsidRPr="00174E61">
        <w:rPr>
          <w:rFonts w:cstheme="minorHAnsi"/>
        </w:rPr>
        <w:t>data</w:t>
      </w:r>
      <w:r>
        <w:rPr>
          <w:rFonts w:cstheme="minorHAnsi"/>
        </w:rPr>
        <w:t xml:space="preserve">. Patient counts were based on de-identified unique patient identification numbers (PINs) from the prescription data. </w:t>
      </w:r>
      <w:r w:rsidR="004875A0" w:rsidRPr="004875A0">
        <w:rPr>
          <w:rFonts w:cstheme="minorHAnsi"/>
        </w:rPr>
        <w:t xml:space="preserve">New (initiating) patients were defined as those with no prior </w:t>
      </w:r>
      <w:r w:rsidR="004875A0">
        <w:rPr>
          <w:rFonts w:cstheme="minorHAnsi"/>
        </w:rPr>
        <w:t>prescription</w:t>
      </w:r>
      <w:r w:rsidR="004875A0" w:rsidRPr="004875A0">
        <w:rPr>
          <w:rFonts w:cstheme="minorHAnsi"/>
        </w:rPr>
        <w:t xml:space="preserve"> for </w:t>
      </w:r>
      <w:r w:rsidR="004875A0">
        <w:rPr>
          <w:rFonts w:cstheme="minorHAnsi"/>
        </w:rPr>
        <w:t>ticagrelor</w:t>
      </w:r>
      <w:r w:rsidR="004875A0" w:rsidRPr="004875A0">
        <w:rPr>
          <w:rFonts w:cstheme="minorHAnsi"/>
        </w:rPr>
        <w:t>.</w:t>
      </w:r>
      <w:r w:rsidR="004875A0">
        <w:rPr>
          <w:rFonts w:cstheme="minorHAnsi"/>
        </w:rPr>
        <w:t xml:space="preserve"> </w:t>
      </w:r>
      <w:r>
        <w:rPr>
          <w:rFonts w:cstheme="minorHAnsi"/>
        </w:rPr>
        <w:t xml:space="preserve">Patients were identified as being on treatment (prevalent) if they had received at least one dispensing of </w:t>
      </w:r>
      <w:r w:rsidR="004875A0">
        <w:rPr>
          <w:rFonts w:cstheme="minorHAnsi"/>
        </w:rPr>
        <w:t>ticagrelor</w:t>
      </w:r>
      <w:r>
        <w:rPr>
          <w:rFonts w:cstheme="minorHAnsi"/>
        </w:rPr>
        <w:t xml:space="preserve"> in the specified period. </w:t>
      </w:r>
    </w:p>
    <w:p w:rsidR="004875A0" w:rsidRDefault="004875A0" w:rsidP="00A35800">
      <w:pPr>
        <w:rPr>
          <w:rFonts w:eastAsia="Calibri" w:cs="Times New Roman"/>
        </w:rPr>
      </w:pPr>
      <w:r>
        <w:rPr>
          <w:rFonts w:eastAsia="Calibri" w:cs="Times New Roman"/>
        </w:rPr>
        <w:t xml:space="preserve">Length of treatment analysis was performed using DHS </w:t>
      </w:r>
      <w:r w:rsidR="003843C4">
        <w:rPr>
          <w:rFonts w:eastAsia="Calibri" w:cs="Times New Roman"/>
        </w:rPr>
        <w:t>prescription</w:t>
      </w:r>
      <w:r>
        <w:rPr>
          <w:rFonts w:eastAsia="Calibri" w:cs="Times New Roman"/>
        </w:rPr>
        <w:t xml:space="preserve"> data using the methodology described in Appendix </w:t>
      </w:r>
      <w:r w:rsidR="003843C4">
        <w:rPr>
          <w:rFonts w:eastAsia="Calibri" w:cs="Times New Roman"/>
        </w:rPr>
        <w:t>A</w:t>
      </w:r>
      <w:r>
        <w:rPr>
          <w:rFonts w:eastAsia="Calibri" w:cs="Times New Roman"/>
        </w:rPr>
        <w:t xml:space="preserve">. </w:t>
      </w:r>
    </w:p>
    <w:p w:rsidR="00FB601F" w:rsidRDefault="009A2F54" w:rsidP="00A35800">
      <w:r>
        <w:t>For the analysis of changes to other drugs</w:t>
      </w:r>
      <w:r w:rsidR="00685E5B">
        <w:t>,</w:t>
      </w:r>
      <w:r>
        <w:t xml:space="preserve"> prescription data were extracted </w:t>
      </w:r>
      <w:r w:rsidR="00E202E2">
        <w:t xml:space="preserve">using the PBS item codes relating to acute coronary syndrome </w:t>
      </w:r>
      <w:r>
        <w:t xml:space="preserve">for the supply period </w:t>
      </w:r>
      <w:r w:rsidR="00FB601F">
        <w:t>February 2009</w:t>
      </w:r>
      <w:r>
        <w:t xml:space="preserve"> to July 2015</w:t>
      </w:r>
      <w:r w:rsidR="00F92322">
        <w:t>, inclusive</w:t>
      </w:r>
      <w:r w:rsidR="0022726A">
        <w:t xml:space="preserve">. </w:t>
      </w:r>
      <w:r w:rsidR="00FB601F">
        <w:t xml:space="preserve">The first listing for acute coronary syndrome was added to an existing PBS item code of clopidogrel on 1 February 2009. Streamlined codes were used to analyse use by indication from </w:t>
      </w:r>
      <w:r w:rsidR="00362520">
        <w:t>December 2011</w:t>
      </w:r>
      <w:r w:rsidR="00FB601F">
        <w:t>.</w:t>
      </w:r>
    </w:p>
    <w:p w:rsidR="00CF130E" w:rsidRDefault="00FB601F" w:rsidP="00A35800">
      <w:r>
        <w:lastRenderedPageBreak/>
        <w:t>These data include</w:t>
      </w:r>
      <w:r w:rsidR="009A2F54">
        <w:t xml:space="preserve"> </w:t>
      </w:r>
      <w:r w:rsidR="00FC7F0D" w:rsidRPr="00CF7365">
        <w:t xml:space="preserve">under </w:t>
      </w:r>
      <w:r w:rsidR="00F23139">
        <w:t xml:space="preserve">patient </w:t>
      </w:r>
      <w:r w:rsidR="00FC7F0D" w:rsidRPr="00CF7365">
        <w:t xml:space="preserve">co-payment </w:t>
      </w:r>
      <w:r w:rsidR="001E42C7">
        <w:t xml:space="preserve">prescription </w:t>
      </w:r>
      <w:r w:rsidR="00FC7F0D" w:rsidRPr="00CF7365">
        <w:t xml:space="preserve">data from 1 April 2012. </w:t>
      </w:r>
      <w:r w:rsidR="00CF130E">
        <w:t xml:space="preserve">As the price of clopidogrel </w:t>
      </w:r>
      <w:r w:rsidR="001263A0">
        <w:t xml:space="preserve">was reduced to a price lower </w:t>
      </w:r>
      <w:r w:rsidR="00CF130E">
        <w:t>than the general patient copayment on 1 September 2013, capture of all patients is possible for these medicines.</w:t>
      </w:r>
      <w:r w:rsidR="0022726A">
        <w:t xml:space="preserve"> </w:t>
      </w:r>
    </w:p>
    <w:p w:rsidR="009A2F54" w:rsidRPr="000226B3" w:rsidRDefault="009A2F54" w:rsidP="009A2F54">
      <w:pPr>
        <w:rPr>
          <w:rFonts w:eastAsia="Calibri" w:cs="Times New Roman"/>
        </w:rPr>
      </w:pPr>
      <w:r>
        <w:rPr>
          <w:rFonts w:eastAsia="Calibri" w:cs="Times New Roman"/>
        </w:rPr>
        <w:t>Analyses were undertaken in SAS.</w:t>
      </w:r>
    </w:p>
    <w:p w:rsidR="00C714D0" w:rsidRPr="005E22C2" w:rsidRDefault="00C714D0" w:rsidP="0074783E">
      <w:pPr>
        <w:pStyle w:val="Heading4"/>
        <w:keepNext/>
      </w:pPr>
      <w:r w:rsidRPr="005E22C2">
        <w:t>Results</w:t>
      </w:r>
    </w:p>
    <w:p w:rsidR="00736041" w:rsidRPr="005E22C2" w:rsidRDefault="001B5D37" w:rsidP="0074783E">
      <w:pPr>
        <w:pStyle w:val="Heading3"/>
        <w:keepNext/>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Pr="005E22C2" w:rsidRDefault="00736041" w:rsidP="001F4906">
      <w:pPr>
        <w:pStyle w:val="Heading2"/>
      </w:pPr>
      <w:r w:rsidRPr="005E22C2">
        <w:t>Overall utilisation</w:t>
      </w:r>
    </w:p>
    <w:p w:rsidR="00C10206" w:rsidRDefault="007B1843" w:rsidP="00A35800">
      <w:r>
        <w:t>The nu</w:t>
      </w:r>
      <w:r w:rsidR="00C10206">
        <w:t xml:space="preserve">mber of </w:t>
      </w:r>
      <w:r>
        <w:t>ticagrelor prescriptions</w:t>
      </w:r>
      <w:r w:rsidR="00C10206">
        <w:t xml:space="preserve"> supplied</w:t>
      </w:r>
      <w:r>
        <w:t xml:space="preserve"> by month</w:t>
      </w:r>
      <w:r w:rsidR="00CE2095">
        <w:t>, between 1 August 2012 and 31 July 2015,</w:t>
      </w:r>
      <w:r>
        <w:t xml:space="preserve"> is shown below.</w:t>
      </w:r>
    </w:p>
    <w:p w:rsidR="00C10206" w:rsidRPr="00C10206" w:rsidRDefault="004D1BA2" w:rsidP="00A35800">
      <w:r>
        <w:rPr>
          <w:noProof/>
        </w:rPr>
        <w:drawing>
          <wp:inline distT="0" distB="0" distL="0" distR="0" wp14:anchorId="737F9F1E" wp14:editId="02082D80">
            <wp:extent cx="5687695" cy="3706724"/>
            <wp:effectExtent l="0" t="0" r="27305" b="27305"/>
            <wp:docPr id="1" name="Chart 1" descr="Number of ticagrelor prescriptions supplied since listing" title="Number of ticagrelor prescriptions supplied since lis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0206" w:rsidRDefault="007B1843" w:rsidP="007B1843">
      <w:pPr>
        <w:pStyle w:val="Figuretitle"/>
      </w:pPr>
      <w:r>
        <w:t xml:space="preserve">Figure 1: Number of ticagrelor prescriptions supplied </w:t>
      </w:r>
      <w:r w:rsidR="00CE2095">
        <w:t>since listing</w:t>
      </w:r>
    </w:p>
    <w:p w:rsidR="007B1843" w:rsidRDefault="007B1843" w:rsidP="00A35800"/>
    <w:p w:rsidR="004D1BA2" w:rsidRDefault="004D1BA2" w:rsidP="00A35800">
      <w:r>
        <w:t xml:space="preserve">The figure above shows the uptake of ticagrelor has been fairly steady since listing, with some peaks and troughs around the end and beginning of </w:t>
      </w:r>
      <w:r w:rsidR="0055465E">
        <w:t xml:space="preserve">calendar </w:t>
      </w:r>
      <w:r>
        <w:t>year</w:t>
      </w:r>
      <w:r w:rsidR="0055465E">
        <w:t>s, likely</w:t>
      </w:r>
      <w:r>
        <w:t xml:space="preserve"> due to</w:t>
      </w:r>
      <w:r w:rsidR="005B31F6">
        <w:t xml:space="preserve"> </w:t>
      </w:r>
      <w:r w:rsidR="00685E5B">
        <w:t>PBS Safety N</w:t>
      </w:r>
      <w:r>
        <w:t xml:space="preserve">et </w:t>
      </w:r>
      <w:r w:rsidR="00685E5B">
        <w:t xml:space="preserve">eligible </w:t>
      </w:r>
      <w:r>
        <w:t xml:space="preserve">patients </w:t>
      </w:r>
      <w:r w:rsidR="00A56EFD">
        <w:t xml:space="preserve">stockpiling </w:t>
      </w:r>
      <w:r>
        <w:t>extra prescriptions.</w:t>
      </w:r>
      <w:r w:rsidR="00EC46BB">
        <w:t xml:space="preserve"> </w:t>
      </w:r>
    </w:p>
    <w:p w:rsidR="004D1BA2" w:rsidRDefault="00D42030" w:rsidP="00A35800">
      <w:r>
        <w:t xml:space="preserve">Overall in the first year of </w:t>
      </w:r>
      <w:r w:rsidR="00326FF4">
        <w:t>listing, 32,318 prescriptions of ticagrelor were supplied.</w:t>
      </w:r>
    </w:p>
    <w:p w:rsidR="004D1BA2" w:rsidRDefault="007B1843" w:rsidP="007B1843">
      <w:pPr>
        <w:keepNext/>
      </w:pPr>
      <w:r>
        <w:lastRenderedPageBreak/>
        <w:t>The number of initiating and</w:t>
      </w:r>
      <w:r w:rsidR="00551C91">
        <w:t xml:space="preserve"> </w:t>
      </w:r>
      <w:r>
        <w:t>treated</w:t>
      </w:r>
      <w:r w:rsidR="004D1BA2">
        <w:t xml:space="preserve"> unique patients </w:t>
      </w:r>
      <w:r>
        <w:t>each month is shown below.</w:t>
      </w:r>
    </w:p>
    <w:p w:rsidR="004D1BA2" w:rsidRDefault="004D1BA2" w:rsidP="00A35800">
      <w:r>
        <w:rPr>
          <w:noProof/>
        </w:rPr>
        <w:drawing>
          <wp:inline distT="0" distB="0" distL="0" distR="0" wp14:anchorId="0EC634AF" wp14:editId="64DFE55B">
            <wp:extent cx="5687695" cy="3706724"/>
            <wp:effectExtent l="0" t="0" r="27305" b="27305"/>
            <wp:docPr id="2" name="Chart 2" descr="Number of initiating and treated patients by month" title="Number of initiating and treated patients by month"/>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4DFF" w:rsidRDefault="00FF4DFF" w:rsidP="00FB601F">
      <w:pPr>
        <w:pStyle w:val="Figuretitle"/>
      </w:pPr>
      <w:r>
        <w:t>Figure 2: Number of initiating and treated patients by month</w:t>
      </w:r>
    </w:p>
    <w:p w:rsidR="00FF4DFF" w:rsidRPr="00C10206" w:rsidRDefault="00FF4DFF" w:rsidP="0055465E"/>
    <w:p w:rsidR="004D1BA2" w:rsidRPr="004D1BA2" w:rsidRDefault="004D1BA2" w:rsidP="00A35800">
      <w:r w:rsidRPr="00C66340">
        <w:t>The inc</w:t>
      </w:r>
      <w:r w:rsidR="00EC46BB" w:rsidRPr="00C66340">
        <w:t>reasing difference between ini</w:t>
      </w:r>
      <w:r w:rsidRPr="00C66340">
        <w:t xml:space="preserve">tiating and treated patients suggests </w:t>
      </w:r>
      <w:r w:rsidR="00C66340" w:rsidRPr="00C66340">
        <w:t xml:space="preserve">some </w:t>
      </w:r>
      <w:r w:rsidRPr="00C66340">
        <w:t xml:space="preserve">patients </w:t>
      </w:r>
      <w:r w:rsidR="00C66340" w:rsidRPr="00C66340">
        <w:t>may be</w:t>
      </w:r>
      <w:r w:rsidRPr="00C66340">
        <w:t xml:space="preserve"> remaining on therapy.</w:t>
      </w:r>
    </w:p>
    <w:p w:rsidR="00736041" w:rsidRPr="005E22C2" w:rsidRDefault="00736041" w:rsidP="001F4906">
      <w:pPr>
        <w:pStyle w:val="Heading2"/>
      </w:pPr>
      <w:r w:rsidRPr="005E22C2">
        <w:t>Utilisation by relevant sub-populations/regions</w:t>
      </w:r>
      <w:r w:rsidR="001B5D37" w:rsidRPr="005E22C2">
        <w:t xml:space="preserve"> or patient level analysis</w:t>
      </w:r>
    </w:p>
    <w:p w:rsidR="002F1BC6" w:rsidRDefault="002D33D7" w:rsidP="002F1BC6">
      <w:r>
        <w:t xml:space="preserve">An analysis of the length of treatment of ticagrelor </w:t>
      </w:r>
      <w:r w:rsidR="003843C4">
        <w:t xml:space="preserve">by year of initiation </w:t>
      </w:r>
      <w:r>
        <w:t xml:space="preserve">is shown below. At the time of recommendation, </w:t>
      </w:r>
      <w:r w:rsidR="002F1BC6">
        <w:t>the PBAC considered whether it would be appropriate for the restriction to limit treatment up to a maximum of 12 months duration. However, the PBAC considered that length of treatment should be determined by the treating clinician.</w:t>
      </w:r>
    </w:p>
    <w:p w:rsidR="007B1843" w:rsidRDefault="007B1843" w:rsidP="007B1843">
      <w:r>
        <w:rPr>
          <w:noProof/>
        </w:rPr>
        <w:lastRenderedPageBreak/>
        <w:drawing>
          <wp:inline distT="0" distB="0" distL="0" distR="0" wp14:anchorId="7C6EC559" wp14:editId="4095D9BF">
            <wp:extent cx="5687695" cy="4265771"/>
            <wp:effectExtent l="0" t="0" r="8255" b="1905"/>
            <wp:docPr id="4" name="Picture 4" descr="Kaplan-Meier analysis of the length of treatment by year of initiation" title="Kaplan-Meier analysis of the length of treatment by year of ini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p>
    <w:p w:rsidR="003E737F" w:rsidRDefault="00FF4DFF" w:rsidP="00FF4DFF">
      <w:pPr>
        <w:pStyle w:val="Figuretitle"/>
      </w:pPr>
      <w:r>
        <w:t>Figure 3: Kaplan-Meier analysis of the length of treatment by year of initiation</w:t>
      </w:r>
    </w:p>
    <w:p w:rsidR="00FF4DFF" w:rsidRDefault="00FF4DFF" w:rsidP="007B1843"/>
    <w:p w:rsidR="003E737F" w:rsidRDefault="003E737F" w:rsidP="003E737F">
      <w:r>
        <w:t xml:space="preserve">The length of treatment analysis shows that approximately 10% of </w:t>
      </w:r>
      <w:r w:rsidR="002D33D7">
        <w:t>patients do not refill their prescription after their initial supply</w:t>
      </w:r>
      <w:r>
        <w:t>. There is another noticeable decrease in</w:t>
      </w:r>
      <w:r w:rsidR="005E0C02">
        <w:t xml:space="preserve"> the number of</w:t>
      </w:r>
      <w:r>
        <w:t xml:space="preserve"> treated patients, by about 20%, around one year after initiation. Only 20% of patients are remaining on treatment for two years or more.</w:t>
      </w:r>
    </w:p>
    <w:p w:rsidR="003E737F" w:rsidRDefault="003E737F" w:rsidP="007B1843"/>
    <w:p w:rsidR="002F1BC6" w:rsidRDefault="00AB25B4" w:rsidP="007B1843">
      <w:r>
        <w:rPr>
          <w:noProof/>
        </w:rPr>
        <w:lastRenderedPageBreak/>
        <w:drawing>
          <wp:inline distT="0" distB="0" distL="0" distR="0" wp14:anchorId="4FCF5C50" wp14:editId="6115406D">
            <wp:extent cx="5687695" cy="4265771"/>
            <wp:effectExtent l="0" t="0" r="8255" b="1905"/>
            <wp:docPr id="9" name="Picture 9" descr="Kaplan Meier analysis of length of treatment using different approaches to managing breaks in therapy" title="Kaplan Meier analysis of length of treatment using different approaches to managing breaks in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p>
    <w:p w:rsidR="00FF4DFF" w:rsidRDefault="00FF4DFF" w:rsidP="00FF4DFF">
      <w:pPr>
        <w:pStyle w:val="Figuretitle"/>
      </w:pPr>
      <w:r>
        <w:t xml:space="preserve">Figure 4: Kaplan Meier analysis of length of treatment using different </w:t>
      </w:r>
      <w:r w:rsidR="00033060">
        <w:t>approaches to</w:t>
      </w:r>
      <w:r>
        <w:t xml:space="preserve"> managing breaks in therapy</w:t>
      </w:r>
    </w:p>
    <w:p w:rsidR="00FF4DFF" w:rsidRDefault="00FF4DFF" w:rsidP="007B1843"/>
    <w:p w:rsidR="007B1843" w:rsidRDefault="003E737F" w:rsidP="007B1843">
      <w:r>
        <w:t xml:space="preserve">A </w:t>
      </w:r>
      <w:r w:rsidR="002D33D7">
        <w:t>further</w:t>
      </w:r>
      <w:r>
        <w:t xml:space="preserve"> analysis was </w:t>
      </w:r>
      <w:r w:rsidR="002D33D7">
        <w:t>undertaken</w:t>
      </w:r>
      <w:r>
        <w:t xml:space="preserve"> to investigate whether breaks in therapy affect the length of treatment. Figure </w:t>
      </w:r>
      <w:r w:rsidR="008A282D">
        <w:t>4</w:t>
      </w:r>
      <w:r>
        <w:t xml:space="preserve"> above shows the length of treatment is similar whether breaks </w:t>
      </w:r>
      <w:r w:rsidR="00C47C37">
        <w:t xml:space="preserve">in therapy </w:t>
      </w:r>
      <w:r>
        <w:t>are included, excluded, or only the first episode of therapy is included.</w:t>
      </w:r>
      <w:r w:rsidR="00C47C37">
        <w:t xml:space="preserve"> This analysis excluded patients who in</w:t>
      </w:r>
      <w:r w:rsidR="00AB25B4">
        <w:t>itiated therapy after July 2014</w:t>
      </w:r>
      <w:r w:rsidR="00C47C37">
        <w:t>.</w:t>
      </w:r>
    </w:p>
    <w:p w:rsidR="00DC49E9" w:rsidRDefault="00DC49E9" w:rsidP="007B1843">
      <w:pPr>
        <w:pStyle w:val="Heading2"/>
        <w:keepNext/>
      </w:pPr>
      <w:r w:rsidRPr="005E22C2">
        <w:t>Changes in the use of other drugs</w:t>
      </w:r>
    </w:p>
    <w:p w:rsidR="000272E9" w:rsidRPr="000272E9" w:rsidRDefault="000272E9" w:rsidP="000272E9">
      <w:r>
        <w:t>The use of clopidogrel</w:t>
      </w:r>
      <w:r w:rsidR="005B31F6">
        <w:t>, prasugrel</w:t>
      </w:r>
      <w:r>
        <w:t xml:space="preserve"> and the combination item clopidogrel plus aspirin are graphed below. As ticagrelor is taken with aspirin this should represent the drugs that could decrease in use with the listing of ticagrelor.</w:t>
      </w:r>
    </w:p>
    <w:p w:rsidR="003354B9" w:rsidRDefault="003354B9" w:rsidP="003354B9">
      <w:r>
        <w:t xml:space="preserve">The dosage of these medicines </w:t>
      </w:r>
      <w:r w:rsidR="00C74EFD">
        <w:t>is</w:t>
      </w:r>
      <w:r>
        <w:t xml:space="preserve"> different; clopidogrel</w:t>
      </w:r>
      <w:r w:rsidR="005B31F6">
        <w:t>, prasugrel</w:t>
      </w:r>
      <w:r>
        <w:t xml:space="preserve"> and clopidogrel with aspirin are once daily while ticagrelor is taken twice daily. However the maximum quantities (28, </w:t>
      </w:r>
      <w:r w:rsidR="005B31F6">
        <w:t xml:space="preserve">28, </w:t>
      </w:r>
      <w:r>
        <w:t>30 and 56 respectively) account for this.</w:t>
      </w:r>
    </w:p>
    <w:p w:rsidR="00252EFE" w:rsidRDefault="00252EFE" w:rsidP="00A35800">
      <w:pPr>
        <w:rPr>
          <w:highlight w:val="yellow"/>
        </w:rPr>
      </w:pPr>
    </w:p>
    <w:p w:rsidR="00252EFE" w:rsidRDefault="00362520" w:rsidP="00A35800">
      <w:r w:rsidRPr="00362520">
        <w:rPr>
          <w:noProof/>
        </w:rPr>
        <w:lastRenderedPageBreak/>
        <w:t xml:space="preserve"> </w:t>
      </w:r>
      <w:r>
        <w:rPr>
          <w:noProof/>
        </w:rPr>
        <w:drawing>
          <wp:inline distT="0" distB="0" distL="0" distR="0" wp14:anchorId="07558DDD" wp14:editId="782FF8DA">
            <wp:extent cx="5687695" cy="3706724"/>
            <wp:effectExtent l="0" t="0" r="27305" b="27305"/>
            <wp:docPr id="6" name="Chart 6" descr="Use of clopidogrel, clopidogrel plus aspirin, prasugrel and ticagrelor" title="Use of clopidogrel, clopidogrel plus aspirin, prasugrel and ticagrelo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3060" w:rsidRDefault="00033060" w:rsidP="00033060">
      <w:pPr>
        <w:pStyle w:val="Figuretitle"/>
      </w:pPr>
      <w:r>
        <w:t xml:space="preserve">Figure 5: </w:t>
      </w:r>
      <w:r w:rsidR="0022726A">
        <w:t>Use of clopidogrel, clopidogrel plus aspirin</w:t>
      </w:r>
      <w:r w:rsidR="00421DFB">
        <w:t>, prasugrel</w:t>
      </w:r>
      <w:r w:rsidR="0022726A">
        <w:t xml:space="preserve"> and ticagrelor</w:t>
      </w:r>
    </w:p>
    <w:p w:rsidR="00033060" w:rsidRDefault="00033060" w:rsidP="00A35800"/>
    <w:p w:rsidR="00673288" w:rsidRDefault="00677B28" w:rsidP="00A35800">
      <w:r>
        <w:t xml:space="preserve">Figure 5 shows the use of these drugs </w:t>
      </w:r>
      <w:r w:rsidR="000A7C4E">
        <w:t>using</w:t>
      </w:r>
      <w:r>
        <w:t xml:space="preserve"> PBS item codes </w:t>
      </w:r>
      <w:r w:rsidR="000A7C4E">
        <w:t>which</w:t>
      </w:r>
      <w:r>
        <w:t xml:space="preserve"> include </w:t>
      </w:r>
      <w:r w:rsidR="000A7C4E">
        <w:t>an indication for</w:t>
      </w:r>
      <w:r>
        <w:t xml:space="preserve"> acute coronary syndrome. </w:t>
      </w:r>
      <w:r w:rsidR="00FB601F">
        <w:t xml:space="preserve">As noted in the methods, </w:t>
      </w:r>
      <w:r w:rsidR="000A7C4E">
        <w:t>the original listing of clopido</w:t>
      </w:r>
      <w:r w:rsidR="00FB601F">
        <w:t>grel for acute coronary syndrome was added to an existing PBS item code</w:t>
      </w:r>
      <w:r w:rsidR="00362520">
        <w:t xml:space="preserve"> on 1 February 2009</w:t>
      </w:r>
      <w:r w:rsidR="00FB601F">
        <w:t>. T</w:t>
      </w:r>
      <w:r>
        <w:t>he item codes for clopidogrel and clopidogrel plus aspirin that include acute coronary syndrome also include use for p</w:t>
      </w:r>
      <w:r w:rsidRPr="007B4FF2">
        <w:t>revention of recurrence of ischaemic stroke or transient cerebral ischaemic events</w:t>
      </w:r>
      <w:r>
        <w:t xml:space="preserve"> and p</w:t>
      </w:r>
      <w:r w:rsidRPr="006C2564">
        <w:t>revention of recurrence of myocardial infarction or unstable angina</w:t>
      </w:r>
      <w:r>
        <w:t xml:space="preserve"> in patients contraindicated to aspirin</w:t>
      </w:r>
      <w:r w:rsidR="00673288">
        <w:t xml:space="preserve">. </w:t>
      </w:r>
      <w:r>
        <w:t xml:space="preserve">The PBS item codes for </w:t>
      </w:r>
      <w:r w:rsidRPr="007D18A9">
        <w:t>use in patients pre- and post-angioplasty</w:t>
      </w:r>
      <w:r>
        <w:t xml:space="preserve"> have been excluded from this analysis.</w:t>
      </w:r>
      <w:r w:rsidR="00673288" w:rsidRPr="00673288">
        <w:t xml:space="preserve"> </w:t>
      </w:r>
      <w:r w:rsidR="0055465E">
        <w:t xml:space="preserve">For a complete list of the PBS item codes used in this analysis please see Appendix </w:t>
      </w:r>
      <w:r w:rsidR="002A216F">
        <w:t>A</w:t>
      </w:r>
      <w:r w:rsidR="0055465E">
        <w:t>.</w:t>
      </w:r>
    </w:p>
    <w:p w:rsidR="00B32EB5" w:rsidRDefault="00B32EB5">
      <w:pPr>
        <w:spacing w:line="276" w:lineRule="auto"/>
      </w:pPr>
      <w:r>
        <w:br w:type="page"/>
      </w:r>
    </w:p>
    <w:p w:rsidR="00677B28" w:rsidRDefault="00673288" w:rsidP="00A35800">
      <w:pPr>
        <w:rPr>
          <w:rStyle w:val="IntenseReference"/>
          <w:b w:val="0"/>
          <w:i w:val="0"/>
          <w:smallCaps w:val="0"/>
          <w:color w:val="auto"/>
        </w:rPr>
      </w:pPr>
      <w:r>
        <w:lastRenderedPageBreak/>
        <w:t xml:space="preserve">Figure 6 below shows the use of these drugs </w:t>
      </w:r>
      <w:r w:rsidR="00BA2616">
        <w:t>by indication</w:t>
      </w:r>
      <w:r>
        <w:t xml:space="preserve"> using streamlined authority code</w:t>
      </w:r>
      <w:r w:rsidR="001A5A2C">
        <w:t xml:space="preserve"> from December 2011</w:t>
      </w:r>
      <w:r>
        <w:t>.</w:t>
      </w:r>
      <w:r w:rsidR="00B32EB5">
        <w:t xml:space="preserve"> Any </w:t>
      </w:r>
      <w:r w:rsidR="003E73A9">
        <w:t xml:space="preserve">missing or invalid codes </w:t>
      </w:r>
      <w:r w:rsidR="003E73A9">
        <w:rPr>
          <w:rStyle w:val="IntenseReference"/>
          <w:b w:val="0"/>
          <w:i w:val="0"/>
          <w:smallCaps w:val="0"/>
          <w:color w:val="auto"/>
        </w:rPr>
        <w:t xml:space="preserve">(a zero, three digit code, or a code relating to indications these medicines are not PBS listed for) </w:t>
      </w:r>
      <w:r w:rsidR="00B32EB5">
        <w:t>have been excluded from this analysis.</w:t>
      </w:r>
      <w:r w:rsidR="001A5A2C">
        <w:t xml:space="preserve"> In December 2011 approximately 25% of the </w:t>
      </w:r>
      <w:r w:rsidR="00A32551">
        <w:t xml:space="preserve">restrictions for these </w:t>
      </w:r>
      <w:r w:rsidR="001A5A2C">
        <w:t>medicines were not recorded.</w:t>
      </w:r>
      <w:r w:rsidR="003E73A9">
        <w:t xml:space="preserve"> </w:t>
      </w:r>
      <w:r w:rsidR="003E73A9">
        <w:rPr>
          <w:rStyle w:val="IntenseReference"/>
          <w:b w:val="0"/>
          <w:i w:val="0"/>
          <w:smallCaps w:val="0"/>
          <w:color w:val="auto"/>
        </w:rPr>
        <w:t>From July 2012 onwards</w:t>
      </w:r>
      <w:r w:rsidR="009C6CEF">
        <w:rPr>
          <w:rStyle w:val="IntenseReference"/>
          <w:b w:val="0"/>
          <w:i w:val="0"/>
          <w:smallCaps w:val="0"/>
          <w:color w:val="auto"/>
        </w:rPr>
        <w:t>,</w:t>
      </w:r>
      <w:r w:rsidR="006A27F1">
        <w:rPr>
          <w:rStyle w:val="IntenseReference"/>
          <w:b w:val="0"/>
          <w:i w:val="0"/>
          <w:smallCaps w:val="0"/>
          <w:color w:val="auto"/>
        </w:rPr>
        <w:t xml:space="preserve"> approximately 1% of prescriptions did not have a code recorded, and</w:t>
      </w:r>
      <w:r w:rsidR="003E73A9">
        <w:rPr>
          <w:rStyle w:val="IntenseReference"/>
          <w:b w:val="0"/>
          <w:i w:val="0"/>
          <w:smallCaps w:val="0"/>
          <w:color w:val="auto"/>
        </w:rPr>
        <w:t xml:space="preserve"> less than 0.1% of prescriptions had an invalid code recorded.</w:t>
      </w:r>
    </w:p>
    <w:p w:rsidR="002A216F" w:rsidRDefault="002A216F" w:rsidP="00A35800">
      <w:r>
        <w:rPr>
          <w:noProof/>
        </w:rPr>
        <w:drawing>
          <wp:inline distT="0" distB="0" distL="0" distR="0" wp14:anchorId="636AAB6B" wp14:editId="0E3F1B30">
            <wp:extent cx="5686425" cy="4543425"/>
            <wp:effectExtent l="0" t="0" r="9525" b="9525"/>
            <wp:docPr id="3" name="Chart 3" descr="Use of clopidogrel, clopidogrel plus aspirin, prasugrel and ticagrelor by indication" title="Use of clopidogrel, clopidogrel plus aspirin, prasugrel and ticagrelor by ind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2616" w:rsidRDefault="00BA2616" w:rsidP="009C6CEF">
      <w:pPr>
        <w:pStyle w:val="Figuretitle"/>
      </w:pPr>
      <w:r>
        <w:t>Figure 6: Use of clopidogrel, clopidogrel plus aspirin, prasugrel and ticagrelor by indication</w:t>
      </w:r>
    </w:p>
    <w:p w:rsidR="00BA2616" w:rsidRDefault="00BA2616" w:rsidP="003E73A9">
      <w:pPr>
        <w:rPr>
          <w:rStyle w:val="IntenseReference"/>
          <w:b w:val="0"/>
          <w:i w:val="0"/>
          <w:smallCaps w:val="0"/>
          <w:color w:val="auto"/>
        </w:rPr>
      </w:pPr>
    </w:p>
    <w:p w:rsidR="003E73A9" w:rsidRDefault="003E73A9" w:rsidP="003E73A9">
      <w:r>
        <w:rPr>
          <w:rStyle w:val="IntenseReference"/>
          <w:b w:val="0"/>
          <w:i w:val="0"/>
          <w:smallCaps w:val="0"/>
          <w:color w:val="auto"/>
        </w:rPr>
        <w:t xml:space="preserve">The proportion of use for acute coronary syndrome across all these medicines has increased from 7% at the beginning of 2013 to 13% in </w:t>
      </w:r>
      <w:r w:rsidR="00BF516F">
        <w:rPr>
          <w:rStyle w:val="IntenseReference"/>
          <w:b w:val="0"/>
          <w:i w:val="0"/>
          <w:smallCaps w:val="0"/>
          <w:color w:val="auto"/>
        </w:rPr>
        <w:t xml:space="preserve">July </w:t>
      </w:r>
      <w:r>
        <w:rPr>
          <w:rStyle w:val="IntenseReference"/>
          <w:b w:val="0"/>
          <w:i w:val="0"/>
          <w:smallCaps w:val="0"/>
          <w:color w:val="auto"/>
        </w:rPr>
        <w:t xml:space="preserve">2015. </w:t>
      </w:r>
      <w:r w:rsidR="00E767DE">
        <w:rPr>
          <w:rStyle w:val="IntenseReference"/>
          <w:b w:val="0"/>
          <w:i w:val="0"/>
          <w:smallCaps w:val="0"/>
          <w:color w:val="auto"/>
        </w:rPr>
        <w:t>Over the same time period, o</w:t>
      </w:r>
      <w:r>
        <w:rPr>
          <w:rStyle w:val="IntenseReference"/>
          <w:b w:val="0"/>
          <w:i w:val="0"/>
          <w:smallCaps w:val="0"/>
          <w:color w:val="auto"/>
        </w:rPr>
        <w:t>ther indications have remained steady; cardiac stent insertion at 12% and p</w:t>
      </w:r>
      <w:r w:rsidRPr="00C6367A">
        <w:rPr>
          <w:rStyle w:val="IntenseReference"/>
          <w:b w:val="0"/>
          <w:i w:val="0"/>
          <w:smallCaps w:val="0"/>
          <w:color w:val="auto"/>
        </w:rPr>
        <w:t>revention of recurrence of ischaemic stroke or transient cerebral ischaemic events</w:t>
      </w:r>
      <w:r>
        <w:rPr>
          <w:rStyle w:val="IntenseReference"/>
          <w:b w:val="0"/>
          <w:i w:val="0"/>
          <w:smallCaps w:val="0"/>
          <w:color w:val="auto"/>
        </w:rPr>
        <w:t xml:space="preserve"> at 32%. However, p</w:t>
      </w:r>
      <w:r w:rsidRPr="00C6367A">
        <w:rPr>
          <w:rStyle w:val="IntenseReference"/>
          <w:b w:val="0"/>
          <w:i w:val="0"/>
          <w:smallCaps w:val="0"/>
          <w:color w:val="auto"/>
        </w:rPr>
        <w:t>revention of recurrence of myocardial infarction or unstable angina</w:t>
      </w:r>
      <w:r>
        <w:rPr>
          <w:rStyle w:val="IntenseReference"/>
          <w:b w:val="0"/>
          <w:i w:val="0"/>
          <w:smallCaps w:val="0"/>
          <w:color w:val="auto"/>
        </w:rPr>
        <w:t xml:space="preserve"> where the patient has </w:t>
      </w:r>
      <w:r w:rsidRPr="003E73A9">
        <w:rPr>
          <w:rStyle w:val="IntenseReference"/>
          <w:b w:val="0"/>
          <w:i w:val="0"/>
          <w:smallCaps w:val="0"/>
          <w:color w:val="auto"/>
        </w:rPr>
        <w:t xml:space="preserve">a history of symptomatic cardiac ischaemic events while on therapy with low-dose aspirin </w:t>
      </w:r>
      <w:r>
        <w:rPr>
          <w:rStyle w:val="IntenseReference"/>
          <w:b w:val="0"/>
          <w:i w:val="0"/>
          <w:smallCaps w:val="0"/>
          <w:color w:val="auto"/>
        </w:rPr>
        <w:t>has decreased from 50</w:t>
      </w:r>
      <w:r w:rsidRPr="003809F8">
        <w:rPr>
          <w:rStyle w:val="IntenseReference"/>
          <w:b w:val="0"/>
          <w:i w:val="0"/>
          <w:smallCaps w:val="0"/>
          <w:color w:val="auto"/>
        </w:rPr>
        <w:t>% to 43%.</w:t>
      </w:r>
    </w:p>
    <w:p w:rsidR="003E73A9" w:rsidRDefault="00BA2616" w:rsidP="00A35800">
      <w:r>
        <w:lastRenderedPageBreak/>
        <w:t>Figure 7 below shows the use of these drugs for acute coronary syndrome using streamlined authority code from December 2011.</w:t>
      </w:r>
    </w:p>
    <w:p w:rsidR="00D934F8" w:rsidRDefault="000A7C4E" w:rsidP="00A35800">
      <w:r>
        <w:rPr>
          <w:noProof/>
        </w:rPr>
        <w:drawing>
          <wp:inline distT="0" distB="0" distL="0" distR="0" wp14:anchorId="2602C8D2" wp14:editId="53DEE599">
            <wp:extent cx="5686425" cy="4105275"/>
            <wp:effectExtent l="0" t="0" r="9525" b="9525"/>
            <wp:docPr id="5" name="Chart 5" descr="Use of medicines for acute coronary syndrome" title="Use of medicines for acute coronary syndro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934F8" w:rsidRDefault="00D934F8" w:rsidP="005E0C02">
      <w:pPr>
        <w:pStyle w:val="Figuretitle"/>
      </w:pPr>
      <w:r>
        <w:t xml:space="preserve">Figure </w:t>
      </w:r>
      <w:r w:rsidR="00BA2616">
        <w:t>7</w:t>
      </w:r>
      <w:r>
        <w:t xml:space="preserve">: </w:t>
      </w:r>
      <w:r w:rsidR="0022726A">
        <w:t>Use of medicines for acute coronary syndrome</w:t>
      </w:r>
    </w:p>
    <w:p w:rsidR="00C74EFD" w:rsidRDefault="00C74EFD" w:rsidP="00A35800"/>
    <w:p w:rsidR="00161A5E" w:rsidRDefault="0043740B" w:rsidP="00A35800">
      <w:r>
        <w:t xml:space="preserve">Together Figure 5 and </w:t>
      </w:r>
      <w:r w:rsidR="00BA2616">
        <w:t>7</w:t>
      </w:r>
      <w:r>
        <w:t xml:space="preserve"> show</w:t>
      </w:r>
      <w:r w:rsidR="00FB601F">
        <w:t xml:space="preserve"> that although ticagrelor has taken a small proportion of the market of clopidogrel an</w:t>
      </w:r>
      <w:r>
        <w:t>d clopidogrel with aspirin, it is now the most commonly used medicine for</w:t>
      </w:r>
      <w:r w:rsidR="00FB601F">
        <w:t xml:space="preserve"> acute coronary syndrome. </w:t>
      </w:r>
    </w:p>
    <w:p w:rsidR="00252EFE" w:rsidRPr="00252EFE" w:rsidRDefault="00B32EB5" w:rsidP="0043740B">
      <w:pPr>
        <w:pStyle w:val="Tabletitle"/>
        <w:keepNext/>
      </w:pPr>
      <w:r>
        <w:t>Table 2</w:t>
      </w:r>
      <w:r w:rsidR="00E574BE">
        <w:t>: Prescriptions</w:t>
      </w:r>
      <w:r w:rsidR="007B4FF2" w:rsidRPr="007B4FF2">
        <w:t xml:space="preserve"> </w:t>
      </w:r>
      <w:r w:rsidR="007B4FF2">
        <w:t>of medicines for acute coronary syndrome</w:t>
      </w:r>
      <w:r w:rsidR="00E574BE">
        <w:t xml:space="preserve"> since </w:t>
      </w:r>
      <w:r w:rsidR="00753AC8">
        <w:t>December 2011</w:t>
      </w:r>
    </w:p>
    <w:tbl>
      <w:tblPr>
        <w:tblStyle w:val="TableGrid"/>
        <w:tblW w:w="9039" w:type="dxa"/>
        <w:tblLayout w:type="fixed"/>
        <w:tblLook w:val="04A0" w:firstRow="1" w:lastRow="0" w:firstColumn="1" w:lastColumn="0" w:noHBand="0" w:noVBand="1"/>
        <w:tblCaption w:val="Prescriptions of medicines for acute coronary syndrome since December 2011"/>
        <w:tblDescription w:val="Prescriptions of medicines for acute coronary syndrome since December 2011"/>
      </w:tblPr>
      <w:tblGrid>
        <w:gridCol w:w="1668"/>
        <w:gridCol w:w="1474"/>
        <w:gridCol w:w="1474"/>
        <w:gridCol w:w="1474"/>
        <w:gridCol w:w="1474"/>
        <w:gridCol w:w="1475"/>
      </w:tblGrid>
      <w:tr w:rsidR="0043740B" w:rsidRPr="0043740B" w:rsidTr="00D21C48">
        <w:trPr>
          <w:cantSplit/>
          <w:trHeight w:val="300"/>
          <w:tblHeader/>
        </w:trPr>
        <w:tc>
          <w:tcPr>
            <w:tcW w:w="1668" w:type="dxa"/>
            <w:shd w:val="clear" w:color="auto" w:fill="BFBFBF" w:themeFill="background1" w:themeFillShade="BF"/>
            <w:noWrap/>
            <w:hideMark/>
          </w:tcPr>
          <w:p w:rsidR="0043740B" w:rsidRPr="0043740B" w:rsidRDefault="0043740B" w:rsidP="0043740B">
            <w:pPr>
              <w:pStyle w:val="Tablewriting"/>
              <w:keepNext/>
              <w:rPr>
                <w:b/>
              </w:rPr>
            </w:pPr>
          </w:p>
        </w:tc>
        <w:tc>
          <w:tcPr>
            <w:tcW w:w="1474" w:type="dxa"/>
            <w:shd w:val="clear" w:color="auto" w:fill="BFBFBF" w:themeFill="background1" w:themeFillShade="BF"/>
            <w:noWrap/>
            <w:vAlign w:val="bottom"/>
            <w:hideMark/>
          </w:tcPr>
          <w:p w:rsidR="0043740B" w:rsidRPr="0043740B" w:rsidRDefault="0043740B" w:rsidP="0043740B">
            <w:pPr>
              <w:pStyle w:val="Tablewriting"/>
              <w:keepNext/>
              <w:rPr>
                <w:b/>
              </w:rPr>
            </w:pPr>
            <w:r w:rsidRPr="0043740B">
              <w:rPr>
                <w:rFonts w:ascii="Calibri" w:hAnsi="Calibri"/>
                <w:b/>
                <w:bCs/>
              </w:rPr>
              <w:t xml:space="preserve"> CLOPIDOGREL </w:t>
            </w:r>
          </w:p>
        </w:tc>
        <w:tc>
          <w:tcPr>
            <w:tcW w:w="1474" w:type="dxa"/>
            <w:shd w:val="clear" w:color="auto" w:fill="BFBFBF" w:themeFill="background1" w:themeFillShade="BF"/>
            <w:noWrap/>
            <w:vAlign w:val="bottom"/>
            <w:hideMark/>
          </w:tcPr>
          <w:p w:rsidR="0043740B" w:rsidRPr="0043740B" w:rsidRDefault="0043740B" w:rsidP="0043740B">
            <w:pPr>
              <w:pStyle w:val="Tablewriting"/>
              <w:keepNext/>
              <w:rPr>
                <w:b/>
              </w:rPr>
            </w:pPr>
            <w:r w:rsidRPr="0043740B">
              <w:rPr>
                <w:rFonts w:ascii="Calibri" w:hAnsi="Calibri"/>
                <w:b/>
                <w:bCs/>
              </w:rPr>
              <w:t xml:space="preserve"> CLOPIDOGREL + ASPIRIN </w:t>
            </w:r>
          </w:p>
        </w:tc>
        <w:tc>
          <w:tcPr>
            <w:tcW w:w="1474" w:type="dxa"/>
            <w:shd w:val="clear" w:color="auto" w:fill="BFBFBF" w:themeFill="background1" w:themeFillShade="BF"/>
            <w:noWrap/>
            <w:vAlign w:val="bottom"/>
            <w:hideMark/>
          </w:tcPr>
          <w:p w:rsidR="0043740B" w:rsidRPr="0043740B" w:rsidRDefault="0043740B" w:rsidP="0043740B">
            <w:pPr>
              <w:pStyle w:val="Tablewriting"/>
              <w:keepNext/>
              <w:rPr>
                <w:b/>
              </w:rPr>
            </w:pPr>
            <w:r w:rsidRPr="0043740B">
              <w:rPr>
                <w:rFonts w:ascii="Calibri" w:hAnsi="Calibri"/>
                <w:b/>
                <w:bCs/>
              </w:rPr>
              <w:t xml:space="preserve"> PRASUGREL </w:t>
            </w:r>
          </w:p>
        </w:tc>
        <w:tc>
          <w:tcPr>
            <w:tcW w:w="1474" w:type="dxa"/>
            <w:shd w:val="clear" w:color="auto" w:fill="BFBFBF" w:themeFill="background1" w:themeFillShade="BF"/>
            <w:vAlign w:val="bottom"/>
          </w:tcPr>
          <w:p w:rsidR="0043740B" w:rsidRPr="0043740B" w:rsidRDefault="0043740B" w:rsidP="0043740B">
            <w:pPr>
              <w:pStyle w:val="Tablewriting"/>
              <w:keepNext/>
              <w:rPr>
                <w:b/>
              </w:rPr>
            </w:pPr>
            <w:r w:rsidRPr="0043740B">
              <w:rPr>
                <w:rFonts w:ascii="Calibri" w:hAnsi="Calibri"/>
                <w:b/>
                <w:bCs/>
              </w:rPr>
              <w:t xml:space="preserve"> TICAGRELOR </w:t>
            </w:r>
          </w:p>
        </w:tc>
        <w:tc>
          <w:tcPr>
            <w:tcW w:w="1475" w:type="dxa"/>
            <w:shd w:val="clear" w:color="auto" w:fill="BFBFBF" w:themeFill="background1" w:themeFillShade="BF"/>
            <w:noWrap/>
            <w:vAlign w:val="bottom"/>
            <w:hideMark/>
          </w:tcPr>
          <w:p w:rsidR="0043740B" w:rsidRPr="0043740B" w:rsidRDefault="0043740B" w:rsidP="0043740B">
            <w:pPr>
              <w:pStyle w:val="Tablewriting"/>
              <w:keepNext/>
              <w:rPr>
                <w:b/>
              </w:rPr>
            </w:pPr>
            <w:r w:rsidRPr="0043740B">
              <w:rPr>
                <w:rFonts w:ascii="Calibri" w:hAnsi="Calibri"/>
                <w:b/>
                <w:bCs/>
              </w:rPr>
              <w:t xml:space="preserve"> TOTAL </w:t>
            </w:r>
          </w:p>
        </w:tc>
      </w:tr>
      <w:tr w:rsidR="0043740B" w:rsidRPr="0043740B" w:rsidTr="00382E78">
        <w:trPr>
          <w:cantSplit/>
          <w:trHeight w:val="300"/>
        </w:trPr>
        <w:tc>
          <w:tcPr>
            <w:tcW w:w="1668" w:type="dxa"/>
            <w:noWrap/>
            <w:hideMark/>
          </w:tcPr>
          <w:p w:rsidR="0043740B" w:rsidRPr="0043740B" w:rsidRDefault="0043740B" w:rsidP="0043740B">
            <w:pPr>
              <w:pStyle w:val="Tablewriting"/>
              <w:keepNext/>
            </w:pPr>
            <w:r w:rsidRPr="0043740B">
              <w:t>2011 (December only)</w:t>
            </w:r>
          </w:p>
        </w:tc>
        <w:tc>
          <w:tcPr>
            <w:tcW w:w="1474" w:type="dxa"/>
            <w:noWrap/>
            <w:vAlign w:val="bottom"/>
            <w:hideMark/>
          </w:tcPr>
          <w:p w:rsidR="0043740B" w:rsidRPr="0043740B" w:rsidRDefault="0043740B" w:rsidP="0043740B">
            <w:pPr>
              <w:pStyle w:val="Tablewriting"/>
              <w:keepNext/>
              <w:jc w:val="right"/>
            </w:pPr>
            <w:r w:rsidRPr="0043740B">
              <w:rPr>
                <w:rFonts w:ascii="Calibri" w:hAnsi="Calibri"/>
              </w:rPr>
              <w:t xml:space="preserve"> 3,078 </w:t>
            </w:r>
          </w:p>
        </w:tc>
        <w:tc>
          <w:tcPr>
            <w:tcW w:w="1474" w:type="dxa"/>
            <w:noWrap/>
            <w:vAlign w:val="bottom"/>
            <w:hideMark/>
          </w:tcPr>
          <w:p w:rsidR="0043740B" w:rsidRPr="0043740B" w:rsidRDefault="0043740B" w:rsidP="0043740B">
            <w:pPr>
              <w:pStyle w:val="Tablewriting"/>
              <w:keepNext/>
              <w:jc w:val="right"/>
            </w:pPr>
            <w:r w:rsidRPr="0043740B">
              <w:rPr>
                <w:rFonts w:ascii="Calibri" w:hAnsi="Calibri"/>
              </w:rPr>
              <w:t xml:space="preserve">4,446 </w:t>
            </w:r>
          </w:p>
        </w:tc>
        <w:tc>
          <w:tcPr>
            <w:tcW w:w="1474" w:type="dxa"/>
            <w:noWrap/>
            <w:vAlign w:val="bottom"/>
            <w:hideMark/>
          </w:tcPr>
          <w:p w:rsidR="0043740B" w:rsidRPr="0043740B" w:rsidRDefault="0043740B" w:rsidP="0043740B">
            <w:pPr>
              <w:pStyle w:val="Tablewriting"/>
              <w:keepNext/>
              <w:jc w:val="right"/>
            </w:pPr>
            <w:r w:rsidRPr="0043740B">
              <w:rPr>
                <w:rFonts w:ascii="Calibri" w:hAnsi="Calibri"/>
              </w:rPr>
              <w:t xml:space="preserve">3,171 </w:t>
            </w:r>
          </w:p>
        </w:tc>
        <w:tc>
          <w:tcPr>
            <w:tcW w:w="1474" w:type="dxa"/>
            <w:vAlign w:val="bottom"/>
          </w:tcPr>
          <w:p w:rsidR="0043740B" w:rsidRPr="0043740B" w:rsidRDefault="00A368D3" w:rsidP="0043740B">
            <w:pPr>
              <w:pStyle w:val="Tablewriting"/>
              <w:keepNext/>
              <w:jc w:val="right"/>
              <w:rPr>
                <w:rFonts w:ascii="Calibri" w:hAnsi="Calibri"/>
              </w:rPr>
            </w:pPr>
            <w:r>
              <w:rPr>
                <w:rFonts w:ascii="Calibri" w:hAnsi="Calibri"/>
              </w:rPr>
              <w:t>-</w:t>
            </w:r>
          </w:p>
        </w:tc>
        <w:tc>
          <w:tcPr>
            <w:tcW w:w="1475" w:type="dxa"/>
            <w:noWrap/>
            <w:vAlign w:val="bottom"/>
            <w:hideMark/>
          </w:tcPr>
          <w:p w:rsidR="0043740B" w:rsidRPr="0043740B" w:rsidRDefault="0043740B" w:rsidP="0043740B">
            <w:pPr>
              <w:pStyle w:val="Tablewriting"/>
              <w:keepNext/>
              <w:jc w:val="right"/>
            </w:pPr>
            <w:r w:rsidRPr="0043740B">
              <w:rPr>
                <w:rFonts w:ascii="Calibri" w:hAnsi="Calibri"/>
              </w:rPr>
              <w:t xml:space="preserve">10,695 </w:t>
            </w:r>
          </w:p>
        </w:tc>
      </w:tr>
      <w:tr w:rsidR="0043740B" w:rsidRPr="0043740B" w:rsidTr="00382E78">
        <w:trPr>
          <w:cantSplit/>
          <w:trHeight w:val="300"/>
        </w:trPr>
        <w:tc>
          <w:tcPr>
            <w:tcW w:w="1668" w:type="dxa"/>
            <w:noWrap/>
            <w:hideMark/>
          </w:tcPr>
          <w:p w:rsidR="0043740B" w:rsidRPr="0043740B" w:rsidRDefault="0043740B" w:rsidP="0043740B">
            <w:pPr>
              <w:pStyle w:val="Tablewriting"/>
              <w:keepNext/>
            </w:pPr>
            <w:r w:rsidRPr="0043740B">
              <w:t>2012</w:t>
            </w:r>
          </w:p>
        </w:tc>
        <w:tc>
          <w:tcPr>
            <w:tcW w:w="1474" w:type="dxa"/>
            <w:noWrap/>
            <w:vAlign w:val="bottom"/>
            <w:hideMark/>
          </w:tcPr>
          <w:p w:rsidR="0043740B" w:rsidRPr="0043740B" w:rsidRDefault="0043740B" w:rsidP="0043740B">
            <w:pPr>
              <w:pStyle w:val="Tablewriting"/>
              <w:keepNext/>
              <w:jc w:val="right"/>
            </w:pPr>
            <w:r w:rsidRPr="0043740B">
              <w:rPr>
                <w:rFonts w:ascii="Calibri" w:hAnsi="Calibri"/>
              </w:rPr>
              <w:t xml:space="preserve">32,789 </w:t>
            </w:r>
          </w:p>
        </w:tc>
        <w:tc>
          <w:tcPr>
            <w:tcW w:w="1474" w:type="dxa"/>
            <w:noWrap/>
            <w:vAlign w:val="bottom"/>
            <w:hideMark/>
          </w:tcPr>
          <w:p w:rsidR="0043740B" w:rsidRPr="0043740B" w:rsidRDefault="0043740B" w:rsidP="0043740B">
            <w:pPr>
              <w:pStyle w:val="Tablewriting"/>
              <w:keepNext/>
              <w:jc w:val="right"/>
            </w:pPr>
            <w:r w:rsidRPr="0043740B">
              <w:rPr>
                <w:rFonts w:ascii="Calibri" w:hAnsi="Calibri"/>
              </w:rPr>
              <w:t xml:space="preserve">45,517 </w:t>
            </w:r>
          </w:p>
        </w:tc>
        <w:tc>
          <w:tcPr>
            <w:tcW w:w="1474" w:type="dxa"/>
            <w:noWrap/>
            <w:vAlign w:val="bottom"/>
            <w:hideMark/>
          </w:tcPr>
          <w:p w:rsidR="0043740B" w:rsidRPr="0043740B" w:rsidRDefault="0043740B" w:rsidP="0043740B">
            <w:pPr>
              <w:pStyle w:val="Tablewriting"/>
              <w:keepNext/>
              <w:jc w:val="right"/>
            </w:pPr>
            <w:r w:rsidRPr="0043740B">
              <w:rPr>
                <w:rFonts w:ascii="Calibri" w:hAnsi="Calibri"/>
              </w:rPr>
              <w:t xml:space="preserve">52,347 </w:t>
            </w:r>
          </w:p>
        </w:tc>
        <w:tc>
          <w:tcPr>
            <w:tcW w:w="1474" w:type="dxa"/>
            <w:vAlign w:val="bottom"/>
          </w:tcPr>
          <w:p w:rsidR="0043740B" w:rsidRPr="0043740B" w:rsidRDefault="0043740B" w:rsidP="0043740B">
            <w:pPr>
              <w:pStyle w:val="Tablewriting"/>
              <w:keepNext/>
              <w:jc w:val="right"/>
              <w:rPr>
                <w:rFonts w:ascii="Calibri" w:hAnsi="Calibri"/>
              </w:rPr>
            </w:pPr>
            <w:r w:rsidRPr="0043740B">
              <w:rPr>
                <w:rFonts w:ascii="Calibri" w:hAnsi="Calibri"/>
              </w:rPr>
              <w:t xml:space="preserve">6,850 </w:t>
            </w:r>
          </w:p>
        </w:tc>
        <w:tc>
          <w:tcPr>
            <w:tcW w:w="1475" w:type="dxa"/>
            <w:noWrap/>
            <w:vAlign w:val="bottom"/>
            <w:hideMark/>
          </w:tcPr>
          <w:p w:rsidR="0043740B" w:rsidRPr="0043740B" w:rsidRDefault="0043740B" w:rsidP="0043740B">
            <w:pPr>
              <w:pStyle w:val="Tablewriting"/>
              <w:keepNext/>
              <w:jc w:val="right"/>
            </w:pPr>
            <w:r w:rsidRPr="0043740B">
              <w:rPr>
                <w:rFonts w:ascii="Calibri" w:hAnsi="Calibri"/>
              </w:rPr>
              <w:t xml:space="preserve"> 137,503 </w:t>
            </w:r>
          </w:p>
        </w:tc>
      </w:tr>
      <w:tr w:rsidR="0043740B" w:rsidRPr="0043740B" w:rsidTr="00382E78">
        <w:trPr>
          <w:cantSplit/>
          <w:trHeight w:val="300"/>
        </w:trPr>
        <w:tc>
          <w:tcPr>
            <w:tcW w:w="1668" w:type="dxa"/>
            <w:noWrap/>
            <w:hideMark/>
          </w:tcPr>
          <w:p w:rsidR="0043740B" w:rsidRPr="0043740B" w:rsidRDefault="0043740B" w:rsidP="0043740B">
            <w:pPr>
              <w:pStyle w:val="Tablewriting"/>
              <w:keepNext/>
            </w:pPr>
            <w:r w:rsidRPr="0043740B">
              <w:t>2013</w:t>
            </w:r>
          </w:p>
        </w:tc>
        <w:tc>
          <w:tcPr>
            <w:tcW w:w="1474" w:type="dxa"/>
            <w:noWrap/>
            <w:vAlign w:val="bottom"/>
            <w:hideMark/>
          </w:tcPr>
          <w:p w:rsidR="0043740B" w:rsidRPr="0043740B" w:rsidRDefault="0043740B" w:rsidP="0043740B">
            <w:pPr>
              <w:pStyle w:val="Tablewriting"/>
              <w:keepNext/>
              <w:jc w:val="right"/>
            </w:pPr>
            <w:r w:rsidRPr="0043740B">
              <w:rPr>
                <w:rFonts w:ascii="Calibri" w:hAnsi="Calibri"/>
              </w:rPr>
              <w:t xml:space="preserve">64,130 </w:t>
            </w:r>
          </w:p>
        </w:tc>
        <w:tc>
          <w:tcPr>
            <w:tcW w:w="1474" w:type="dxa"/>
            <w:noWrap/>
            <w:vAlign w:val="bottom"/>
            <w:hideMark/>
          </w:tcPr>
          <w:p w:rsidR="0043740B" w:rsidRPr="0043740B" w:rsidRDefault="0043740B" w:rsidP="0043740B">
            <w:pPr>
              <w:pStyle w:val="Tablewriting"/>
              <w:keepNext/>
              <w:jc w:val="right"/>
            </w:pPr>
            <w:r w:rsidRPr="0043740B">
              <w:rPr>
                <w:rFonts w:ascii="Calibri" w:hAnsi="Calibri"/>
              </w:rPr>
              <w:t xml:space="preserve">58,899 </w:t>
            </w:r>
          </w:p>
        </w:tc>
        <w:tc>
          <w:tcPr>
            <w:tcW w:w="1474" w:type="dxa"/>
            <w:noWrap/>
            <w:vAlign w:val="bottom"/>
            <w:hideMark/>
          </w:tcPr>
          <w:p w:rsidR="0043740B" w:rsidRPr="0043740B" w:rsidRDefault="0043740B" w:rsidP="0043740B">
            <w:pPr>
              <w:pStyle w:val="Tablewriting"/>
              <w:keepNext/>
              <w:jc w:val="right"/>
            </w:pPr>
            <w:r w:rsidRPr="0043740B">
              <w:rPr>
                <w:rFonts w:ascii="Calibri" w:hAnsi="Calibri"/>
              </w:rPr>
              <w:t xml:space="preserve">65,279 </w:t>
            </w:r>
          </w:p>
        </w:tc>
        <w:tc>
          <w:tcPr>
            <w:tcW w:w="1474" w:type="dxa"/>
            <w:vAlign w:val="bottom"/>
          </w:tcPr>
          <w:p w:rsidR="0043740B" w:rsidRPr="0043740B" w:rsidRDefault="0043740B" w:rsidP="0043740B">
            <w:pPr>
              <w:pStyle w:val="Tablewriting"/>
              <w:keepNext/>
              <w:jc w:val="right"/>
              <w:rPr>
                <w:rFonts w:ascii="Calibri" w:hAnsi="Calibri"/>
              </w:rPr>
            </w:pPr>
            <w:r w:rsidRPr="0043740B">
              <w:rPr>
                <w:rFonts w:ascii="Calibri" w:hAnsi="Calibri"/>
              </w:rPr>
              <w:t xml:space="preserve">58,592 </w:t>
            </w:r>
          </w:p>
        </w:tc>
        <w:tc>
          <w:tcPr>
            <w:tcW w:w="1475" w:type="dxa"/>
            <w:noWrap/>
            <w:vAlign w:val="bottom"/>
            <w:hideMark/>
          </w:tcPr>
          <w:p w:rsidR="0043740B" w:rsidRPr="0043740B" w:rsidRDefault="0043740B" w:rsidP="0043740B">
            <w:pPr>
              <w:pStyle w:val="Tablewriting"/>
              <w:keepNext/>
              <w:jc w:val="right"/>
            </w:pPr>
            <w:r w:rsidRPr="0043740B">
              <w:rPr>
                <w:rFonts w:ascii="Calibri" w:hAnsi="Calibri"/>
              </w:rPr>
              <w:t xml:space="preserve"> 246,900 </w:t>
            </w:r>
          </w:p>
        </w:tc>
      </w:tr>
      <w:tr w:rsidR="0043740B" w:rsidRPr="0043740B" w:rsidTr="00382E78">
        <w:trPr>
          <w:cantSplit/>
          <w:trHeight w:val="300"/>
        </w:trPr>
        <w:tc>
          <w:tcPr>
            <w:tcW w:w="1668" w:type="dxa"/>
            <w:noWrap/>
            <w:hideMark/>
          </w:tcPr>
          <w:p w:rsidR="0043740B" w:rsidRPr="0043740B" w:rsidRDefault="0043740B" w:rsidP="0043740B">
            <w:pPr>
              <w:pStyle w:val="Tablewriting"/>
              <w:keepNext/>
            </w:pPr>
            <w:r w:rsidRPr="0043740B">
              <w:t>2014</w:t>
            </w:r>
          </w:p>
        </w:tc>
        <w:tc>
          <w:tcPr>
            <w:tcW w:w="1474" w:type="dxa"/>
            <w:noWrap/>
            <w:vAlign w:val="bottom"/>
            <w:hideMark/>
          </w:tcPr>
          <w:p w:rsidR="0043740B" w:rsidRPr="0043740B" w:rsidRDefault="0043740B" w:rsidP="0043740B">
            <w:pPr>
              <w:pStyle w:val="Tablewriting"/>
              <w:keepNext/>
              <w:jc w:val="right"/>
            </w:pPr>
            <w:r w:rsidRPr="0043740B">
              <w:rPr>
                <w:rFonts w:ascii="Calibri" w:hAnsi="Calibri"/>
              </w:rPr>
              <w:t xml:space="preserve">93,041 </w:t>
            </w:r>
          </w:p>
        </w:tc>
        <w:tc>
          <w:tcPr>
            <w:tcW w:w="1474" w:type="dxa"/>
            <w:noWrap/>
            <w:vAlign w:val="bottom"/>
            <w:hideMark/>
          </w:tcPr>
          <w:p w:rsidR="0043740B" w:rsidRPr="0043740B" w:rsidRDefault="0043740B" w:rsidP="0043740B">
            <w:pPr>
              <w:pStyle w:val="Tablewriting"/>
              <w:keepNext/>
              <w:jc w:val="right"/>
            </w:pPr>
            <w:r w:rsidRPr="0043740B">
              <w:rPr>
                <w:rFonts w:ascii="Calibri" w:hAnsi="Calibri"/>
              </w:rPr>
              <w:t xml:space="preserve">64,385 </w:t>
            </w:r>
          </w:p>
        </w:tc>
        <w:tc>
          <w:tcPr>
            <w:tcW w:w="1474" w:type="dxa"/>
            <w:noWrap/>
            <w:vAlign w:val="bottom"/>
            <w:hideMark/>
          </w:tcPr>
          <w:p w:rsidR="0043740B" w:rsidRPr="0043740B" w:rsidRDefault="0043740B" w:rsidP="0043740B">
            <w:pPr>
              <w:pStyle w:val="Tablewriting"/>
              <w:keepNext/>
              <w:jc w:val="right"/>
            </w:pPr>
            <w:r w:rsidRPr="0043740B">
              <w:rPr>
                <w:rFonts w:ascii="Calibri" w:hAnsi="Calibri"/>
              </w:rPr>
              <w:t xml:space="preserve">60,570 </w:t>
            </w:r>
          </w:p>
        </w:tc>
        <w:tc>
          <w:tcPr>
            <w:tcW w:w="1474" w:type="dxa"/>
            <w:vAlign w:val="bottom"/>
          </w:tcPr>
          <w:p w:rsidR="0043740B" w:rsidRPr="0043740B" w:rsidRDefault="0043740B" w:rsidP="0043740B">
            <w:pPr>
              <w:pStyle w:val="Tablewriting"/>
              <w:keepNext/>
              <w:jc w:val="right"/>
              <w:rPr>
                <w:rFonts w:ascii="Calibri" w:hAnsi="Calibri"/>
              </w:rPr>
            </w:pPr>
            <w:r w:rsidRPr="0043740B">
              <w:rPr>
                <w:rFonts w:ascii="Calibri" w:hAnsi="Calibri"/>
              </w:rPr>
              <w:t xml:space="preserve">122,202 </w:t>
            </w:r>
          </w:p>
        </w:tc>
        <w:tc>
          <w:tcPr>
            <w:tcW w:w="1475" w:type="dxa"/>
            <w:noWrap/>
            <w:vAlign w:val="bottom"/>
            <w:hideMark/>
          </w:tcPr>
          <w:p w:rsidR="0043740B" w:rsidRPr="0043740B" w:rsidRDefault="0043740B" w:rsidP="0043740B">
            <w:pPr>
              <w:pStyle w:val="Tablewriting"/>
              <w:keepNext/>
              <w:jc w:val="right"/>
            </w:pPr>
            <w:r w:rsidRPr="0043740B">
              <w:rPr>
                <w:rFonts w:ascii="Calibri" w:hAnsi="Calibri"/>
              </w:rPr>
              <w:t xml:space="preserve"> 340,198 </w:t>
            </w:r>
          </w:p>
        </w:tc>
      </w:tr>
      <w:tr w:rsidR="0043740B" w:rsidRPr="0043740B" w:rsidTr="00382E78">
        <w:trPr>
          <w:cantSplit/>
          <w:trHeight w:val="300"/>
        </w:trPr>
        <w:tc>
          <w:tcPr>
            <w:tcW w:w="1668" w:type="dxa"/>
            <w:noWrap/>
            <w:hideMark/>
          </w:tcPr>
          <w:p w:rsidR="0043740B" w:rsidRPr="0043740B" w:rsidRDefault="0043740B" w:rsidP="00252EFE">
            <w:pPr>
              <w:pStyle w:val="Tablewriting"/>
            </w:pPr>
            <w:r w:rsidRPr="0043740B">
              <w:t>2015 (YTD to July)</w:t>
            </w:r>
          </w:p>
        </w:tc>
        <w:tc>
          <w:tcPr>
            <w:tcW w:w="1474" w:type="dxa"/>
            <w:noWrap/>
            <w:vAlign w:val="bottom"/>
            <w:hideMark/>
          </w:tcPr>
          <w:p w:rsidR="0043740B" w:rsidRPr="0043740B" w:rsidRDefault="0043740B" w:rsidP="00252EFE">
            <w:pPr>
              <w:pStyle w:val="Tablewriting"/>
              <w:jc w:val="right"/>
            </w:pPr>
            <w:r w:rsidRPr="0043740B">
              <w:rPr>
                <w:rFonts w:ascii="Calibri" w:hAnsi="Calibri"/>
              </w:rPr>
              <w:t xml:space="preserve">56,993 </w:t>
            </w:r>
          </w:p>
        </w:tc>
        <w:tc>
          <w:tcPr>
            <w:tcW w:w="1474" w:type="dxa"/>
            <w:noWrap/>
            <w:vAlign w:val="bottom"/>
            <w:hideMark/>
          </w:tcPr>
          <w:p w:rsidR="0043740B" w:rsidRPr="0043740B" w:rsidRDefault="0043740B" w:rsidP="00252EFE">
            <w:pPr>
              <w:pStyle w:val="Tablewriting"/>
              <w:jc w:val="right"/>
            </w:pPr>
            <w:r w:rsidRPr="0043740B">
              <w:rPr>
                <w:rFonts w:ascii="Calibri" w:hAnsi="Calibri"/>
              </w:rPr>
              <w:t xml:space="preserve">36,125 </w:t>
            </w:r>
          </w:p>
        </w:tc>
        <w:tc>
          <w:tcPr>
            <w:tcW w:w="1474" w:type="dxa"/>
            <w:noWrap/>
            <w:vAlign w:val="bottom"/>
            <w:hideMark/>
          </w:tcPr>
          <w:p w:rsidR="0043740B" w:rsidRPr="0043740B" w:rsidRDefault="0043740B" w:rsidP="00252EFE">
            <w:pPr>
              <w:pStyle w:val="Tablewriting"/>
              <w:jc w:val="right"/>
            </w:pPr>
            <w:r w:rsidRPr="0043740B">
              <w:rPr>
                <w:rFonts w:ascii="Calibri" w:hAnsi="Calibri"/>
              </w:rPr>
              <w:t xml:space="preserve">31,678 </w:t>
            </w:r>
          </w:p>
        </w:tc>
        <w:tc>
          <w:tcPr>
            <w:tcW w:w="1474" w:type="dxa"/>
            <w:vAlign w:val="bottom"/>
          </w:tcPr>
          <w:p w:rsidR="0043740B" w:rsidRPr="0043740B" w:rsidRDefault="0043740B" w:rsidP="00252EFE">
            <w:pPr>
              <w:pStyle w:val="Tablewriting"/>
              <w:jc w:val="right"/>
              <w:rPr>
                <w:rFonts w:ascii="Calibri" w:hAnsi="Calibri"/>
              </w:rPr>
            </w:pPr>
            <w:r w:rsidRPr="0043740B">
              <w:rPr>
                <w:rFonts w:ascii="Calibri" w:hAnsi="Calibri"/>
              </w:rPr>
              <w:t xml:space="preserve">91,139 </w:t>
            </w:r>
          </w:p>
        </w:tc>
        <w:tc>
          <w:tcPr>
            <w:tcW w:w="1475" w:type="dxa"/>
            <w:noWrap/>
            <w:vAlign w:val="bottom"/>
            <w:hideMark/>
          </w:tcPr>
          <w:p w:rsidR="0043740B" w:rsidRPr="0043740B" w:rsidRDefault="0043740B" w:rsidP="00252EFE">
            <w:pPr>
              <w:pStyle w:val="Tablewriting"/>
              <w:jc w:val="right"/>
            </w:pPr>
            <w:r w:rsidRPr="0043740B">
              <w:rPr>
                <w:rFonts w:ascii="Calibri" w:hAnsi="Calibri"/>
              </w:rPr>
              <w:t xml:space="preserve"> 215,935 </w:t>
            </w:r>
          </w:p>
        </w:tc>
      </w:tr>
    </w:tbl>
    <w:p w:rsidR="00252EFE" w:rsidRPr="00252EFE" w:rsidRDefault="00252EFE" w:rsidP="00A35800">
      <w:pPr>
        <w:rPr>
          <w:sz w:val="20"/>
          <w:szCs w:val="20"/>
          <w:highlight w:val="yellow"/>
        </w:rPr>
      </w:pPr>
    </w:p>
    <w:p w:rsidR="00736041" w:rsidRPr="005E22C2" w:rsidRDefault="001B5D37" w:rsidP="00C74EFD">
      <w:pPr>
        <w:pStyle w:val="Heading3"/>
        <w:keepNext/>
      </w:pPr>
      <w:r w:rsidRPr="005E22C2">
        <w:lastRenderedPageBreak/>
        <w:t xml:space="preserve">Analysis </w:t>
      </w:r>
      <w:r w:rsidR="00481108" w:rsidRPr="005E22C2">
        <w:t xml:space="preserve">of </w:t>
      </w:r>
      <w:r w:rsidR="0063631C">
        <w:t>e</w:t>
      </w:r>
      <w:r w:rsidR="00736041" w:rsidRPr="005E22C2">
        <w:t>xpenditure</w:t>
      </w:r>
    </w:p>
    <w:p w:rsidR="00145722" w:rsidRDefault="002D33D7" w:rsidP="00A35800">
      <w:r>
        <w:t xml:space="preserve">The table below summarises Commonwealth Expenditure on ticagrelor by calendar year since listing. </w:t>
      </w:r>
      <w:r w:rsidR="006B10E6" w:rsidRPr="006B10E6">
        <w:t>Clopidogrel</w:t>
      </w:r>
      <w:r w:rsidR="00CE2095">
        <w:t xml:space="preserve"> and clopidogrel with aspirin are</w:t>
      </w:r>
      <w:r w:rsidR="006B10E6" w:rsidRPr="006B10E6">
        <w:t xml:space="preserve"> not included in </w:t>
      </w:r>
      <w:r>
        <w:t xml:space="preserve">this analysis </w:t>
      </w:r>
      <w:r w:rsidR="006B10E6" w:rsidRPr="006B10E6">
        <w:t xml:space="preserve">because </w:t>
      </w:r>
      <w:r w:rsidR="00CE2095">
        <w:t>they have</w:t>
      </w:r>
      <w:r w:rsidR="006B10E6" w:rsidRPr="006B10E6">
        <w:t xml:space="preserve"> been subject to several price reductions over the last few years.</w:t>
      </w:r>
    </w:p>
    <w:p w:rsidR="00033060" w:rsidRPr="006B10E6" w:rsidRDefault="00033060" w:rsidP="00033060">
      <w:pPr>
        <w:pStyle w:val="Tabletitle"/>
      </w:pPr>
      <w:r>
        <w:t xml:space="preserve">Table </w:t>
      </w:r>
      <w:r w:rsidR="00A32551">
        <w:t>3</w:t>
      </w:r>
      <w:r>
        <w:t>: Government expenditure on ticagrelor by calendar year since listing</w:t>
      </w:r>
    </w:p>
    <w:tbl>
      <w:tblPr>
        <w:tblStyle w:val="TableGrid"/>
        <w:tblW w:w="0" w:type="auto"/>
        <w:tblLook w:val="04A0" w:firstRow="1" w:lastRow="0" w:firstColumn="1" w:lastColumn="0" w:noHBand="0" w:noVBand="1"/>
        <w:tblCaption w:val="Government expenditure on ticagrelor by calendar year since listing"/>
        <w:tblDescription w:val="Government expenditure on ticagrelor by calendar year since listing"/>
      </w:tblPr>
      <w:tblGrid>
        <w:gridCol w:w="1360"/>
        <w:gridCol w:w="2120"/>
      </w:tblGrid>
      <w:tr w:rsidR="00145722" w:rsidRPr="00145722" w:rsidTr="00D21C48">
        <w:trPr>
          <w:trHeight w:val="300"/>
          <w:tblHeader/>
        </w:trPr>
        <w:tc>
          <w:tcPr>
            <w:tcW w:w="1360" w:type="dxa"/>
            <w:shd w:val="clear" w:color="auto" w:fill="BFBFBF" w:themeFill="background1" w:themeFillShade="BF"/>
            <w:noWrap/>
          </w:tcPr>
          <w:p w:rsidR="00145722" w:rsidRPr="00145722" w:rsidRDefault="00145722">
            <w:pPr>
              <w:rPr>
                <w:b/>
                <w:bCs/>
                <w:sz w:val="20"/>
                <w:szCs w:val="20"/>
              </w:rPr>
            </w:pPr>
            <w:r>
              <w:rPr>
                <w:b/>
                <w:bCs/>
                <w:sz w:val="20"/>
                <w:szCs w:val="20"/>
              </w:rPr>
              <w:t>Year</w:t>
            </w:r>
          </w:p>
        </w:tc>
        <w:tc>
          <w:tcPr>
            <w:tcW w:w="2120" w:type="dxa"/>
            <w:shd w:val="clear" w:color="auto" w:fill="BFBFBF" w:themeFill="background1" w:themeFillShade="BF"/>
            <w:noWrap/>
          </w:tcPr>
          <w:p w:rsidR="00145722" w:rsidRDefault="00145722">
            <w:pPr>
              <w:rPr>
                <w:b/>
                <w:bCs/>
                <w:sz w:val="20"/>
                <w:szCs w:val="20"/>
              </w:rPr>
            </w:pPr>
            <w:r>
              <w:rPr>
                <w:b/>
                <w:bCs/>
                <w:sz w:val="20"/>
                <w:szCs w:val="20"/>
              </w:rPr>
              <w:t>Government expenditure</w:t>
            </w:r>
            <w:r w:rsidR="00CE2095">
              <w:rPr>
                <w:b/>
                <w:bCs/>
                <w:sz w:val="20"/>
                <w:szCs w:val="20"/>
              </w:rPr>
              <w:t xml:space="preserve"> on ticagrelor</w:t>
            </w:r>
          </w:p>
          <w:p w:rsidR="00145722" w:rsidRPr="00145722" w:rsidRDefault="00145722">
            <w:pPr>
              <w:rPr>
                <w:b/>
                <w:bCs/>
                <w:sz w:val="20"/>
                <w:szCs w:val="20"/>
              </w:rPr>
            </w:pPr>
          </w:p>
        </w:tc>
      </w:tr>
      <w:tr w:rsidR="006B10E6" w:rsidRPr="00145722" w:rsidTr="006B10E6">
        <w:trPr>
          <w:trHeight w:val="300"/>
        </w:trPr>
        <w:tc>
          <w:tcPr>
            <w:tcW w:w="1360" w:type="dxa"/>
            <w:noWrap/>
            <w:vAlign w:val="center"/>
            <w:hideMark/>
          </w:tcPr>
          <w:p w:rsidR="006B10E6" w:rsidRPr="00145722" w:rsidRDefault="006B10E6" w:rsidP="006B10E6">
            <w:pPr>
              <w:rPr>
                <w:sz w:val="20"/>
                <w:szCs w:val="20"/>
              </w:rPr>
            </w:pPr>
            <w:r w:rsidRPr="00145722">
              <w:rPr>
                <w:sz w:val="20"/>
                <w:szCs w:val="20"/>
              </w:rPr>
              <w:t>2012</w:t>
            </w:r>
          </w:p>
        </w:tc>
        <w:tc>
          <w:tcPr>
            <w:tcW w:w="2120" w:type="dxa"/>
            <w:noWrap/>
            <w:vAlign w:val="center"/>
            <w:hideMark/>
          </w:tcPr>
          <w:p w:rsidR="006B10E6" w:rsidRPr="006B10E6" w:rsidRDefault="006B10E6" w:rsidP="006B10E6">
            <w:pPr>
              <w:jc w:val="right"/>
              <w:rPr>
                <w:sz w:val="20"/>
                <w:szCs w:val="20"/>
              </w:rPr>
            </w:pPr>
            <w:r w:rsidRPr="006B10E6">
              <w:rPr>
                <w:rFonts w:ascii="Calibri" w:hAnsi="Calibri"/>
                <w:sz w:val="20"/>
                <w:szCs w:val="20"/>
              </w:rPr>
              <w:t>$921,544</w:t>
            </w:r>
          </w:p>
        </w:tc>
      </w:tr>
      <w:tr w:rsidR="006B10E6" w:rsidRPr="00145722" w:rsidTr="006B10E6">
        <w:trPr>
          <w:trHeight w:val="300"/>
        </w:trPr>
        <w:tc>
          <w:tcPr>
            <w:tcW w:w="1360" w:type="dxa"/>
            <w:noWrap/>
            <w:vAlign w:val="center"/>
            <w:hideMark/>
          </w:tcPr>
          <w:p w:rsidR="006B10E6" w:rsidRPr="00145722" w:rsidRDefault="006B10E6" w:rsidP="006B10E6">
            <w:pPr>
              <w:rPr>
                <w:sz w:val="20"/>
                <w:szCs w:val="20"/>
              </w:rPr>
            </w:pPr>
            <w:r w:rsidRPr="00145722">
              <w:rPr>
                <w:sz w:val="20"/>
                <w:szCs w:val="20"/>
              </w:rPr>
              <w:t>2013</w:t>
            </w:r>
          </w:p>
        </w:tc>
        <w:tc>
          <w:tcPr>
            <w:tcW w:w="2120" w:type="dxa"/>
            <w:noWrap/>
            <w:vAlign w:val="center"/>
            <w:hideMark/>
          </w:tcPr>
          <w:p w:rsidR="006B10E6" w:rsidRPr="006B10E6" w:rsidRDefault="006B10E6" w:rsidP="006B10E6">
            <w:pPr>
              <w:jc w:val="right"/>
              <w:rPr>
                <w:sz w:val="20"/>
                <w:szCs w:val="20"/>
              </w:rPr>
            </w:pPr>
            <w:r w:rsidRPr="006B10E6">
              <w:rPr>
                <w:rFonts w:ascii="Calibri" w:hAnsi="Calibri"/>
                <w:sz w:val="20"/>
                <w:szCs w:val="20"/>
              </w:rPr>
              <w:t>$7,735,143</w:t>
            </w:r>
          </w:p>
        </w:tc>
      </w:tr>
      <w:tr w:rsidR="006B10E6" w:rsidRPr="00145722" w:rsidTr="006B10E6">
        <w:trPr>
          <w:trHeight w:val="300"/>
        </w:trPr>
        <w:tc>
          <w:tcPr>
            <w:tcW w:w="1360" w:type="dxa"/>
            <w:noWrap/>
            <w:vAlign w:val="center"/>
            <w:hideMark/>
          </w:tcPr>
          <w:p w:rsidR="006B10E6" w:rsidRPr="00145722" w:rsidRDefault="006B10E6" w:rsidP="006B10E6">
            <w:pPr>
              <w:rPr>
                <w:sz w:val="20"/>
                <w:szCs w:val="20"/>
              </w:rPr>
            </w:pPr>
            <w:r w:rsidRPr="00145722">
              <w:rPr>
                <w:sz w:val="20"/>
                <w:szCs w:val="20"/>
              </w:rPr>
              <w:t>2014</w:t>
            </w:r>
          </w:p>
        </w:tc>
        <w:tc>
          <w:tcPr>
            <w:tcW w:w="2120" w:type="dxa"/>
            <w:noWrap/>
            <w:vAlign w:val="center"/>
            <w:hideMark/>
          </w:tcPr>
          <w:p w:rsidR="006B10E6" w:rsidRPr="006B10E6" w:rsidRDefault="006B10E6" w:rsidP="006B10E6">
            <w:pPr>
              <w:jc w:val="right"/>
              <w:rPr>
                <w:sz w:val="20"/>
                <w:szCs w:val="20"/>
              </w:rPr>
            </w:pPr>
            <w:r w:rsidRPr="006B10E6">
              <w:rPr>
                <w:rFonts w:ascii="Calibri" w:hAnsi="Calibri"/>
                <w:sz w:val="20"/>
                <w:szCs w:val="20"/>
              </w:rPr>
              <w:t>$16,010,427</w:t>
            </w:r>
          </w:p>
        </w:tc>
      </w:tr>
      <w:tr w:rsidR="006B10E6" w:rsidRPr="00145722" w:rsidTr="006B10E6">
        <w:trPr>
          <w:trHeight w:val="300"/>
        </w:trPr>
        <w:tc>
          <w:tcPr>
            <w:tcW w:w="1360" w:type="dxa"/>
            <w:noWrap/>
            <w:vAlign w:val="center"/>
            <w:hideMark/>
          </w:tcPr>
          <w:p w:rsidR="006B10E6" w:rsidRPr="00145722" w:rsidRDefault="006B10E6" w:rsidP="006B10E6">
            <w:pPr>
              <w:rPr>
                <w:sz w:val="20"/>
                <w:szCs w:val="20"/>
              </w:rPr>
            </w:pPr>
            <w:r w:rsidRPr="00145722">
              <w:rPr>
                <w:sz w:val="20"/>
                <w:szCs w:val="20"/>
              </w:rPr>
              <w:t>2015</w:t>
            </w:r>
            <w:r w:rsidR="00AA4D29">
              <w:rPr>
                <w:sz w:val="20"/>
                <w:szCs w:val="20"/>
              </w:rPr>
              <w:t>*</w:t>
            </w:r>
          </w:p>
        </w:tc>
        <w:tc>
          <w:tcPr>
            <w:tcW w:w="2120" w:type="dxa"/>
            <w:noWrap/>
            <w:vAlign w:val="center"/>
            <w:hideMark/>
          </w:tcPr>
          <w:p w:rsidR="006B10E6" w:rsidRPr="006B10E6" w:rsidRDefault="006B10E6" w:rsidP="006B10E6">
            <w:pPr>
              <w:jc w:val="right"/>
              <w:rPr>
                <w:sz w:val="20"/>
                <w:szCs w:val="20"/>
              </w:rPr>
            </w:pPr>
            <w:r w:rsidRPr="006B10E6">
              <w:rPr>
                <w:rFonts w:ascii="Calibri" w:hAnsi="Calibri"/>
                <w:sz w:val="20"/>
                <w:szCs w:val="20"/>
              </w:rPr>
              <w:t>$11,696,154</w:t>
            </w:r>
          </w:p>
        </w:tc>
      </w:tr>
    </w:tbl>
    <w:p w:rsidR="00145722" w:rsidRPr="00AA4D29" w:rsidRDefault="006012BB" w:rsidP="00145722">
      <w:pPr>
        <w:pStyle w:val="Figurecaption"/>
      </w:pPr>
      <w:r>
        <w:t>Note:</w:t>
      </w:r>
      <w:r w:rsidR="0056439D">
        <w:t xml:space="preserve"> </w:t>
      </w:r>
      <w:r w:rsidR="00AA4D29" w:rsidRPr="00AA4D29">
        <w:t>*</w:t>
      </w:r>
      <w:r w:rsidR="00145722" w:rsidRPr="00AA4D29">
        <w:t>2015 includes 7 months of data</w:t>
      </w:r>
      <w:r w:rsidR="0056439D">
        <w:t xml:space="preserve">. </w:t>
      </w:r>
    </w:p>
    <w:p w:rsidR="00145722" w:rsidRDefault="00145722" w:rsidP="00145722">
      <w:pPr>
        <w:pStyle w:val="Figurecaption"/>
        <w:rPr>
          <w:highlight w:val="yellow"/>
        </w:rPr>
      </w:pPr>
    </w:p>
    <w:p w:rsidR="0049042B" w:rsidRDefault="003D627B" w:rsidP="00A35800">
      <w:r>
        <w:t>It should be noted this</w:t>
      </w:r>
      <w:r w:rsidR="00EC028D" w:rsidRPr="003D627B">
        <w:t xml:space="preserve"> analys</w:t>
      </w:r>
      <w:r>
        <w:t>i</w:t>
      </w:r>
      <w:r w:rsidR="00EC028D" w:rsidRPr="003D627B">
        <w:t xml:space="preserve">s </w:t>
      </w:r>
      <w:r>
        <w:t>is based on date of supply. T</w:t>
      </w:r>
      <w:r w:rsidR="00EC028D" w:rsidRPr="003D627B">
        <w:t xml:space="preserve">here may be small differences between </w:t>
      </w:r>
      <w:r w:rsidR="007E054A">
        <w:t xml:space="preserve">these results and those obtained from </w:t>
      </w:r>
      <w:r w:rsidR="0049042B" w:rsidRPr="003D627B">
        <w:t xml:space="preserve">publicly available </w:t>
      </w:r>
      <w:r w:rsidR="00DC49E9" w:rsidRPr="003D627B">
        <w:t xml:space="preserve">Medicare Australia </w:t>
      </w:r>
      <w:r w:rsidR="00EC028D" w:rsidRPr="003D627B">
        <w:t>date of processing data.</w:t>
      </w:r>
      <w:r w:rsidR="00DC49E9" w:rsidRPr="002F61CA">
        <w:t xml:space="preserve"> </w:t>
      </w:r>
      <w:r w:rsidR="00B1554C">
        <w:t>Further, the figures are based on th</w:t>
      </w:r>
      <w:r w:rsidR="00B72CA5">
        <w:t>e published price of ticagrelor. Ticagrelor</w:t>
      </w:r>
      <w:r w:rsidR="00B1554C">
        <w:t xml:space="preserve"> has a special pricing arrangement and government expenditure may be less than presented in Table 3.</w:t>
      </w:r>
    </w:p>
    <w:p w:rsidR="00736041" w:rsidRDefault="00D151EB" w:rsidP="00FE645A">
      <w:pPr>
        <w:pStyle w:val="Heading3"/>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rsidR="00CE2095" w:rsidRDefault="00CE2095" w:rsidP="00CE2095">
      <w:r w:rsidRPr="00CE2095">
        <w:t xml:space="preserve">This analysis compares the estimates of utilisation agreed between the Sponsor and the Department prior to listing. </w:t>
      </w:r>
      <w:r w:rsidR="00C33D2C">
        <w:t>The actual numbers reflect all patients and prescriptions for ticagrelor, regardless of whether a valid streamlined authority code was recorded.</w:t>
      </w:r>
    </w:p>
    <w:p w:rsidR="00033060" w:rsidRDefault="00A32551" w:rsidP="00033060">
      <w:pPr>
        <w:pStyle w:val="Tabletitle"/>
      </w:pPr>
      <w:r>
        <w:t>Table 4</w:t>
      </w:r>
      <w:r w:rsidR="00033060">
        <w:t>: Predicted versus actual numbers of patients and prescriptions</w:t>
      </w:r>
    </w:p>
    <w:tbl>
      <w:tblPr>
        <w:tblW w:w="8804" w:type="dxa"/>
        <w:tblInd w:w="93" w:type="dxa"/>
        <w:tblLook w:val="04A0" w:firstRow="1" w:lastRow="0" w:firstColumn="1" w:lastColumn="0" w:noHBand="0" w:noVBand="1"/>
        <w:tblCaption w:val="Predicted versus actual numbers of patients and prescriptions"/>
        <w:tblDescription w:val="Predicted versus actual numbers of patients and prescriptions"/>
      </w:tblPr>
      <w:tblGrid>
        <w:gridCol w:w="1716"/>
        <w:gridCol w:w="1724"/>
        <w:gridCol w:w="1341"/>
        <w:gridCol w:w="1341"/>
        <w:gridCol w:w="1341"/>
        <w:gridCol w:w="1341"/>
      </w:tblGrid>
      <w:tr w:rsidR="005B0660" w:rsidRPr="005B0660" w:rsidTr="005B0660">
        <w:trPr>
          <w:trHeight w:val="300"/>
        </w:trPr>
        <w:tc>
          <w:tcPr>
            <w:tcW w:w="171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B0660" w:rsidRPr="005B0660" w:rsidRDefault="005B0660" w:rsidP="005B0660">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 </w:t>
            </w:r>
          </w:p>
        </w:tc>
        <w:tc>
          <w:tcPr>
            <w:tcW w:w="1724" w:type="dxa"/>
            <w:tcBorders>
              <w:top w:val="single" w:sz="4" w:space="0" w:color="auto"/>
              <w:left w:val="nil"/>
              <w:bottom w:val="single" w:sz="4" w:space="0" w:color="auto"/>
              <w:right w:val="single" w:sz="4" w:space="0" w:color="auto"/>
            </w:tcBorders>
            <w:shd w:val="clear" w:color="000000" w:fill="BFBFBF"/>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 </w:t>
            </w:r>
          </w:p>
        </w:tc>
        <w:tc>
          <w:tcPr>
            <w:tcW w:w="1341" w:type="dxa"/>
            <w:tcBorders>
              <w:top w:val="single" w:sz="4" w:space="0" w:color="auto"/>
              <w:left w:val="nil"/>
              <w:bottom w:val="single" w:sz="4" w:space="0" w:color="auto"/>
              <w:right w:val="single" w:sz="4" w:space="0" w:color="auto"/>
            </w:tcBorders>
            <w:shd w:val="clear" w:color="000000" w:fill="BFBFBF"/>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2012</w:t>
            </w:r>
          </w:p>
        </w:tc>
        <w:tc>
          <w:tcPr>
            <w:tcW w:w="1341" w:type="dxa"/>
            <w:tcBorders>
              <w:top w:val="single" w:sz="4" w:space="0" w:color="auto"/>
              <w:left w:val="nil"/>
              <w:bottom w:val="single" w:sz="4" w:space="0" w:color="auto"/>
              <w:right w:val="single" w:sz="4" w:space="0" w:color="auto"/>
            </w:tcBorders>
            <w:shd w:val="clear" w:color="000000" w:fill="BFBFBF"/>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2013</w:t>
            </w:r>
          </w:p>
        </w:tc>
        <w:tc>
          <w:tcPr>
            <w:tcW w:w="1341" w:type="dxa"/>
            <w:tcBorders>
              <w:top w:val="single" w:sz="4" w:space="0" w:color="auto"/>
              <w:left w:val="nil"/>
              <w:bottom w:val="single" w:sz="4" w:space="0" w:color="auto"/>
              <w:right w:val="single" w:sz="4" w:space="0" w:color="auto"/>
            </w:tcBorders>
            <w:shd w:val="clear" w:color="000000" w:fill="BFBFBF"/>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2014</w:t>
            </w:r>
          </w:p>
        </w:tc>
        <w:tc>
          <w:tcPr>
            <w:tcW w:w="1341" w:type="dxa"/>
            <w:tcBorders>
              <w:top w:val="single" w:sz="4" w:space="0" w:color="auto"/>
              <w:left w:val="nil"/>
              <w:bottom w:val="single" w:sz="4" w:space="0" w:color="auto"/>
              <w:right w:val="single" w:sz="4" w:space="0" w:color="auto"/>
            </w:tcBorders>
            <w:shd w:val="clear" w:color="000000" w:fill="BFBFBF"/>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2015</w:t>
            </w:r>
            <w:r>
              <w:rPr>
                <w:rFonts w:ascii="Calibri" w:eastAsia="Times New Roman" w:hAnsi="Calibri" w:cs="Times New Roman"/>
                <w:color w:val="000000"/>
                <w:sz w:val="20"/>
                <w:szCs w:val="20"/>
              </w:rPr>
              <w:t>*</w:t>
            </w:r>
          </w:p>
        </w:tc>
      </w:tr>
      <w:tr w:rsidR="005B0660" w:rsidRPr="005B0660" w:rsidTr="005B0660">
        <w:trPr>
          <w:trHeight w:val="300"/>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5B0660" w:rsidRPr="005B0660" w:rsidRDefault="005B0660" w:rsidP="005B0660">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Patients</w:t>
            </w:r>
          </w:p>
        </w:tc>
        <w:tc>
          <w:tcPr>
            <w:tcW w:w="1724"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Predicted</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5B0660" w:rsidRPr="005B0660" w:rsidTr="005B0660">
        <w:trPr>
          <w:trHeight w:val="300"/>
        </w:trPr>
        <w:tc>
          <w:tcPr>
            <w:tcW w:w="1716" w:type="dxa"/>
            <w:vMerge/>
            <w:tcBorders>
              <w:top w:val="nil"/>
              <w:left w:val="single" w:sz="4" w:space="0" w:color="auto"/>
              <w:bottom w:val="single" w:sz="4" w:space="0" w:color="000000"/>
              <w:right w:val="single" w:sz="4" w:space="0" w:color="auto"/>
            </w:tcBorders>
            <w:vAlign w:val="center"/>
            <w:hideMark/>
          </w:tcPr>
          <w:p w:rsidR="005B0660" w:rsidRPr="005B0660" w:rsidRDefault="005B0660" w:rsidP="005B0660">
            <w:pPr>
              <w:spacing w:after="0"/>
              <w:rPr>
                <w:rFonts w:ascii="Calibri" w:eastAsia="Times New Roman" w:hAnsi="Calibri" w:cs="Times New Roman"/>
                <w:color w:val="000000"/>
                <w:sz w:val="20"/>
                <w:szCs w:val="20"/>
              </w:rPr>
            </w:pPr>
          </w:p>
        </w:tc>
        <w:tc>
          <w:tcPr>
            <w:tcW w:w="1724"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Actual</w:t>
            </w:r>
          </w:p>
        </w:tc>
        <w:tc>
          <w:tcPr>
            <w:tcW w:w="1341"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2,420</w:t>
            </w:r>
          </w:p>
        </w:tc>
        <w:tc>
          <w:tcPr>
            <w:tcW w:w="1341"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10,704</w:t>
            </w:r>
          </w:p>
        </w:tc>
        <w:tc>
          <w:tcPr>
            <w:tcW w:w="1341"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19,770</w:t>
            </w:r>
          </w:p>
        </w:tc>
        <w:tc>
          <w:tcPr>
            <w:tcW w:w="1341"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19,784</w:t>
            </w:r>
          </w:p>
        </w:tc>
      </w:tr>
      <w:tr w:rsidR="005B0660" w:rsidRPr="005B0660" w:rsidTr="005B0660">
        <w:trPr>
          <w:trHeight w:val="300"/>
        </w:trPr>
        <w:tc>
          <w:tcPr>
            <w:tcW w:w="1716" w:type="dxa"/>
            <w:vMerge/>
            <w:tcBorders>
              <w:top w:val="nil"/>
              <w:left w:val="single" w:sz="4" w:space="0" w:color="auto"/>
              <w:bottom w:val="single" w:sz="4" w:space="0" w:color="000000"/>
              <w:right w:val="single" w:sz="4" w:space="0" w:color="auto"/>
            </w:tcBorders>
            <w:vAlign w:val="center"/>
            <w:hideMark/>
          </w:tcPr>
          <w:p w:rsidR="005B0660" w:rsidRPr="005B0660" w:rsidRDefault="005B0660" w:rsidP="005B0660">
            <w:pPr>
              <w:spacing w:after="0"/>
              <w:rPr>
                <w:rFonts w:ascii="Calibri" w:eastAsia="Times New Roman" w:hAnsi="Calibri" w:cs="Times New Roman"/>
                <w:color w:val="000000"/>
                <w:sz w:val="20"/>
                <w:szCs w:val="20"/>
              </w:rPr>
            </w:pPr>
          </w:p>
        </w:tc>
        <w:tc>
          <w:tcPr>
            <w:tcW w:w="1724"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Difference</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5B0660" w:rsidRPr="005B0660" w:rsidTr="005B0660">
        <w:trPr>
          <w:trHeight w:val="300"/>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5B0660" w:rsidRPr="005B0660" w:rsidRDefault="005B0660" w:rsidP="005B0660">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Prescriptions</w:t>
            </w:r>
          </w:p>
        </w:tc>
        <w:tc>
          <w:tcPr>
            <w:tcW w:w="1724"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Predicted</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5B0660" w:rsidRPr="005B0660" w:rsidTr="005B0660">
        <w:trPr>
          <w:trHeight w:val="300"/>
        </w:trPr>
        <w:tc>
          <w:tcPr>
            <w:tcW w:w="1716" w:type="dxa"/>
            <w:vMerge/>
            <w:tcBorders>
              <w:top w:val="nil"/>
              <w:left w:val="single" w:sz="4" w:space="0" w:color="auto"/>
              <w:bottom w:val="single" w:sz="4" w:space="0" w:color="000000"/>
              <w:right w:val="single" w:sz="4" w:space="0" w:color="auto"/>
            </w:tcBorders>
            <w:vAlign w:val="center"/>
            <w:hideMark/>
          </w:tcPr>
          <w:p w:rsidR="005B0660" w:rsidRPr="005B0660" w:rsidRDefault="005B0660" w:rsidP="005B0660">
            <w:pPr>
              <w:spacing w:after="0"/>
              <w:rPr>
                <w:rFonts w:ascii="Calibri" w:eastAsia="Times New Roman" w:hAnsi="Calibri" w:cs="Times New Roman"/>
                <w:color w:val="000000"/>
                <w:sz w:val="20"/>
                <w:szCs w:val="20"/>
              </w:rPr>
            </w:pPr>
          </w:p>
        </w:tc>
        <w:tc>
          <w:tcPr>
            <w:tcW w:w="1724"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Actual</w:t>
            </w:r>
          </w:p>
        </w:tc>
        <w:tc>
          <w:tcPr>
            <w:tcW w:w="1341"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7,077</w:t>
            </w:r>
          </w:p>
        </w:tc>
        <w:tc>
          <w:tcPr>
            <w:tcW w:w="1341"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59,483</w:t>
            </w:r>
          </w:p>
        </w:tc>
        <w:tc>
          <w:tcPr>
            <w:tcW w:w="1341"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123,030</w:t>
            </w:r>
          </w:p>
        </w:tc>
        <w:tc>
          <w:tcPr>
            <w:tcW w:w="1341"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jc w:val="center"/>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91,684</w:t>
            </w:r>
          </w:p>
        </w:tc>
      </w:tr>
      <w:tr w:rsidR="005B0660" w:rsidRPr="005B0660" w:rsidTr="005B0660">
        <w:trPr>
          <w:trHeight w:val="300"/>
        </w:trPr>
        <w:tc>
          <w:tcPr>
            <w:tcW w:w="1716" w:type="dxa"/>
            <w:vMerge/>
            <w:tcBorders>
              <w:top w:val="nil"/>
              <w:left w:val="single" w:sz="4" w:space="0" w:color="auto"/>
              <w:bottom w:val="single" w:sz="4" w:space="0" w:color="000000"/>
              <w:right w:val="single" w:sz="4" w:space="0" w:color="auto"/>
            </w:tcBorders>
            <w:vAlign w:val="center"/>
            <w:hideMark/>
          </w:tcPr>
          <w:p w:rsidR="005B0660" w:rsidRPr="005B0660" w:rsidRDefault="005B0660" w:rsidP="005B0660">
            <w:pPr>
              <w:spacing w:after="0"/>
              <w:rPr>
                <w:rFonts w:ascii="Calibri" w:eastAsia="Times New Roman" w:hAnsi="Calibri" w:cs="Times New Roman"/>
                <w:color w:val="000000"/>
                <w:sz w:val="20"/>
                <w:szCs w:val="20"/>
              </w:rPr>
            </w:pPr>
          </w:p>
        </w:tc>
        <w:tc>
          <w:tcPr>
            <w:tcW w:w="1724" w:type="dxa"/>
            <w:tcBorders>
              <w:top w:val="nil"/>
              <w:left w:val="nil"/>
              <w:bottom w:val="single" w:sz="4" w:space="0" w:color="auto"/>
              <w:right w:val="single" w:sz="4" w:space="0" w:color="auto"/>
            </w:tcBorders>
            <w:shd w:val="clear" w:color="auto" w:fill="auto"/>
            <w:vAlign w:val="center"/>
            <w:hideMark/>
          </w:tcPr>
          <w:p w:rsidR="005B0660" w:rsidRPr="005B0660" w:rsidRDefault="005B0660" w:rsidP="005B0660">
            <w:pPr>
              <w:spacing w:after="0"/>
              <w:rPr>
                <w:rFonts w:ascii="Calibri" w:eastAsia="Times New Roman" w:hAnsi="Calibri" w:cs="Times New Roman"/>
                <w:color w:val="000000"/>
                <w:sz w:val="20"/>
                <w:szCs w:val="20"/>
              </w:rPr>
            </w:pPr>
            <w:r w:rsidRPr="005B0660">
              <w:rPr>
                <w:rFonts w:ascii="Calibri" w:eastAsia="Times New Roman" w:hAnsi="Calibri" w:cs="Times New Roman"/>
                <w:color w:val="000000"/>
                <w:sz w:val="20"/>
                <w:szCs w:val="20"/>
              </w:rPr>
              <w:t>Difference</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341" w:type="dxa"/>
            <w:tcBorders>
              <w:top w:val="nil"/>
              <w:left w:val="nil"/>
              <w:bottom w:val="single" w:sz="4" w:space="0" w:color="auto"/>
              <w:right w:val="single" w:sz="4" w:space="0" w:color="auto"/>
            </w:tcBorders>
            <w:shd w:val="clear" w:color="auto" w:fill="auto"/>
            <w:vAlign w:val="center"/>
            <w:hideMark/>
          </w:tcPr>
          <w:p w:rsidR="005B0660" w:rsidRPr="00D87D5F" w:rsidRDefault="00D87D5F" w:rsidP="005B066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bl>
    <w:p w:rsidR="005B0660" w:rsidRPr="00AA4D29" w:rsidRDefault="006012BB" w:rsidP="0073014E">
      <w:pPr>
        <w:pStyle w:val="Figurecaption"/>
        <w:spacing w:before="120"/>
      </w:pPr>
      <w:r>
        <w:t xml:space="preserve">Note: </w:t>
      </w:r>
      <w:r w:rsidR="005B0660" w:rsidRPr="00AA4D29">
        <w:t>*2015 includes 7 months of data</w:t>
      </w:r>
    </w:p>
    <w:p w:rsidR="003D627B" w:rsidRPr="00657EFC" w:rsidRDefault="00657EFC" w:rsidP="0073014E">
      <w:pPr>
        <w:spacing w:before="120"/>
      </w:pPr>
      <w:r>
        <w:t>The analysis of predicted versus actual use is based on calendar years as the final agreed estimates were based on calendar years. In the first two years of treatment i</w:t>
      </w:r>
      <w:r w:rsidRPr="00657EFC">
        <w:t>t ap</w:t>
      </w:r>
      <w:r>
        <w:t>pears the number of patients were underestimated but these patients were supplied few</w:t>
      </w:r>
      <w:r w:rsidR="00DF1C56">
        <w:t>er</w:t>
      </w:r>
      <w:r>
        <w:t xml:space="preserve"> prescriptions than estimated. In 2014 the number of patients and prescriptions were both underestimated.</w:t>
      </w:r>
      <w:r w:rsidR="00FB03F7">
        <w:t xml:space="preserve"> This suggests the uptake was underestimated in the first years of listing, but overestimated in later years.</w:t>
      </w:r>
    </w:p>
    <w:p w:rsidR="00591512" w:rsidRDefault="00AB3733" w:rsidP="003843C4">
      <w:pPr>
        <w:pStyle w:val="Heading4"/>
        <w:keepNext/>
      </w:pPr>
      <w:r>
        <w:lastRenderedPageBreak/>
        <w:t>D</w:t>
      </w:r>
      <w:r w:rsidR="007346C7" w:rsidRPr="005E22C2">
        <w:t>iscussion</w:t>
      </w:r>
    </w:p>
    <w:p w:rsidR="00DD700B" w:rsidRDefault="00DF0B90" w:rsidP="00DF0B90">
      <w:pPr>
        <w:rPr>
          <w:rStyle w:val="IntenseReference"/>
          <w:b w:val="0"/>
          <w:i w:val="0"/>
          <w:smallCaps w:val="0"/>
          <w:color w:val="auto"/>
        </w:rPr>
      </w:pPr>
      <w:r>
        <w:rPr>
          <w:rStyle w:val="IntenseReference"/>
          <w:b w:val="0"/>
          <w:i w:val="0"/>
          <w:smallCaps w:val="0"/>
          <w:color w:val="auto"/>
        </w:rPr>
        <w:t xml:space="preserve">The use of ticagrelor is growing, which is demonstrated by the </w:t>
      </w:r>
      <w:r w:rsidR="00B42CB1">
        <w:rPr>
          <w:rStyle w:val="IntenseReference"/>
          <w:b w:val="0"/>
          <w:i w:val="0"/>
          <w:smallCaps w:val="0"/>
          <w:color w:val="auto"/>
        </w:rPr>
        <w:t>increasing</w:t>
      </w:r>
      <w:r>
        <w:rPr>
          <w:rStyle w:val="IntenseReference"/>
          <w:b w:val="0"/>
          <w:i w:val="0"/>
          <w:smallCaps w:val="0"/>
          <w:color w:val="auto"/>
        </w:rPr>
        <w:t xml:space="preserve"> number of prescriptions and treated patients each year. However, it is not growing as quickly as expected. </w:t>
      </w:r>
      <w:r w:rsidR="00DD700B">
        <w:rPr>
          <w:rStyle w:val="IntenseReference"/>
          <w:b w:val="0"/>
          <w:i w:val="0"/>
          <w:smallCaps w:val="0"/>
          <w:color w:val="auto"/>
        </w:rPr>
        <w:t>In the first two years of PBS listing, two to three times more patients acc</w:t>
      </w:r>
      <w:r w:rsidR="00045C5B">
        <w:rPr>
          <w:rStyle w:val="IntenseReference"/>
          <w:b w:val="0"/>
          <w:i w:val="0"/>
          <w:smallCaps w:val="0"/>
          <w:color w:val="auto"/>
        </w:rPr>
        <w:t xml:space="preserve">essed ticagrelor than expected, but </w:t>
      </w:r>
      <w:r w:rsidR="00DD700B">
        <w:rPr>
          <w:rStyle w:val="IntenseReference"/>
          <w:b w:val="0"/>
          <w:i w:val="0"/>
          <w:smallCaps w:val="0"/>
          <w:color w:val="auto"/>
        </w:rPr>
        <w:t xml:space="preserve">in 2014 less than half of the expected number of patients were prescribed ticagrelor. The </w:t>
      </w:r>
      <w:r w:rsidR="00E17129">
        <w:rPr>
          <w:rStyle w:val="IntenseReference"/>
          <w:b w:val="0"/>
          <w:i w:val="0"/>
          <w:smallCaps w:val="0"/>
          <w:color w:val="auto"/>
        </w:rPr>
        <w:t xml:space="preserve">difference between the predicted and </w:t>
      </w:r>
      <w:r w:rsidR="00DD700B">
        <w:rPr>
          <w:rStyle w:val="IntenseReference"/>
          <w:b w:val="0"/>
          <w:i w:val="0"/>
          <w:smallCaps w:val="0"/>
          <w:color w:val="auto"/>
        </w:rPr>
        <w:t xml:space="preserve">actual numbers of prescriptions </w:t>
      </w:r>
      <w:r w:rsidR="00045C5B">
        <w:rPr>
          <w:rStyle w:val="IntenseReference"/>
          <w:b w:val="0"/>
          <w:i w:val="0"/>
          <w:smallCaps w:val="0"/>
          <w:color w:val="auto"/>
        </w:rPr>
        <w:t>has</w:t>
      </w:r>
      <w:r w:rsidR="00E17129">
        <w:rPr>
          <w:rStyle w:val="IntenseReference"/>
          <w:b w:val="0"/>
          <w:i w:val="0"/>
          <w:smallCaps w:val="0"/>
          <w:color w:val="auto"/>
        </w:rPr>
        <w:t xml:space="preserve"> always been lower than the patients, perhaps due to some patients filling fewer prescriptions than expected.</w:t>
      </w:r>
      <w:r w:rsidR="00DD700B">
        <w:rPr>
          <w:rStyle w:val="IntenseReference"/>
          <w:b w:val="0"/>
          <w:i w:val="0"/>
          <w:smallCaps w:val="0"/>
          <w:color w:val="auto"/>
        </w:rPr>
        <w:t xml:space="preserve"> </w:t>
      </w:r>
    </w:p>
    <w:p w:rsidR="00532767" w:rsidRPr="00DF0B90" w:rsidRDefault="00DB688D" w:rsidP="002E07C7">
      <w:pPr>
        <w:spacing w:after="0"/>
        <w:rPr>
          <w:rStyle w:val="IntenseReference"/>
          <w:b w:val="0"/>
          <w:bCs w:val="0"/>
          <w:i w:val="0"/>
          <w:smallCaps w:val="0"/>
          <w:color w:val="auto"/>
        </w:rPr>
      </w:pPr>
      <w:r>
        <w:rPr>
          <w:rStyle w:val="IntenseReference"/>
          <w:b w:val="0"/>
          <w:i w:val="0"/>
          <w:smallCaps w:val="0"/>
          <w:color w:val="auto"/>
        </w:rPr>
        <w:t>Issues</w:t>
      </w:r>
      <w:r w:rsidR="00532767">
        <w:rPr>
          <w:rStyle w:val="IntenseReference"/>
          <w:b w:val="0"/>
          <w:i w:val="0"/>
          <w:smallCaps w:val="0"/>
          <w:color w:val="auto"/>
        </w:rPr>
        <w:t xml:space="preserve"> that may be affecting </w:t>
      </w:r>
      <w:r w:rsidR="00045C5B">
        <w:rPr>
          <w:rStyle w:val="IntenseReference"/>
          <w:b w:val="0"/>
          <w:i w:val="0"/>
          <w:smallCaps w:val="0"/>
          <w:color w:val="auto"/>
        </w:rPr>
        <w:t xml:space="preserve">the </w:t>
      </w:r>
      <w:r w:rsidR="006A6203">
        <w:rPr>
          <w:rStyle w:val="IntenseReference"/>
          <w:b w:val="0"/>
          <w:i w:val="0"/>
          <w:smallCaps w:val="0"/>
          <w:color w:val="auto"/>
        </w:rPr>
        <w:t xml:space="preserve">lower than expected </w:t>
      </w:r>
      <w:r w:rsidR="00532767">
        <w:rPr>
          <w:rStyle w:val="IntenseReference"/>
          <w:b w:val="0"/>
          <w:i w:val="0"/>
          <w:smallCaps w:val="0"/>
          <w:color w:val="auto"/>
        </w:rPr>
        <w:t>use</w:t>
      </w:r>
      <w:r w:rsidR="00045C5B">
        <w:rPr>
          <w:rStyle w:val="IntenseReference"/>
          <w:b w:val="0"/>
          <w:i w:val="0"/>
          <w:smallCaps w:val="0"/>
          <w:color w:val="auto"/>
        </w:rPr>
        <w:t xml:space="preserve"> of ticagrelor</w:t>
      </w:r>
      <w:r w:rsidR="00532767">
        <w:rPr>
          <w:rStyle w:val="IntenseReference"/>
          <w:b w:val="0"/>
          <w:i w:val="0"/>
          <w:smallCaps w:val="0"/>
          <w:color w:val="auto"/>
        </w:rPr>
        <w:t xml:space="preserve"> include:</w:t>
      </w:r>
    </w:p>
    <w:p w:rsidR="00532767" w:rsidRPr="00DF0B90" w:rsidRDefault="00532767" w:rsidP="002E07C7">
      <w:pPr>
        <w:pStyle w:val="ListParagraph"/>
        <w:numPr>
          <w:ilvl w:val="0"/>
          <w:numId w:val="1"/>
        </w:numPr>
        <w:spacing w:after="0"/>
        <w:rPr>
          <w:rStyle w:val="IntenseReference"/>
          <w:b w:val="0"/>
          <w:bCs w:val="0"/>
          <w:i w:val="0"/>
          <w:smallCaps w:val="0"/>
          <w:color w:val="auto"/>
        </w:rPr>
      </w:pPr>
      <w:r w:rsidRPr="00DF0B90">
        <w:rPr>
          <w:rStyle w:val="IntenseReference"/>
          <w:b w:val="0"/>
          <w:i w:val="0"/>
          <w:smallCaps w:val="0"/>
          <w:color w:val="auto"/>
        </w:rPr>
        <w:t xml:space="preserve">Twice daily ticagrelor </w:t>
      </w:r>
      <w:r>
        <w:rPr>
          <w:rStyle w:val="IntenseReference"/>
          <w:b w:val="0"/>
          <w:i w:val="0"/>
          <w:smallCaps w:val="0"/>
          <w:color w:val="auto"/>
        </w:rPr>
        <w:t>may</w:t>
      </w:r>
      <w:r w:rsidRPr="00DF0B90">
        <w:rPr>
          <w:rStyle w:val="IntenseReference"/>
          <w:b w:val="0"/>
          <w:i w:val="0"/>
          <w:smallCaps w:val="0"/>
          <w:color w:val="auto"/>
        </w:rPr>
        <w:t xml:space="preserve"> be less convenient th</w:t>
      </w:r>
      <w:r w:rsidR="00DB688D">
        <w:rPr>
          <w:rStyle w:val="IntenseReference"/>
          <w:b w:val="0"/>
          <w:i w:val="0"/>
          <w:smallCaps w:val="0"/>
          <w:color w:val="auto"/>
        </w:rPr>
        <w:t xml:space="preserve">an its once daily alternatives such as </w:t>
      </w:r>
      <w:r w:rsidR="006012BB" w:rsidRPr="00DF0B90">
        <w:rPr>
          <w:rStyle w:val="IntenseReference"/>
          <w:b w:val="0"/>
          <w:i w:val="0"/>
          <w:smallCaps w:val="0"/>
          <w:color w:val="auto"/>
        </w:rPr>
        <w:t>clopid</w:t>
      </w:r>
      <w:r w:rsidR="006012BB">
        <w:rPr>
          <w:rStyle w:val="IntenseReference"/>
          <w:b w:val="0"/>
          <w:i w:val="0"/>
          <w:smallCaps w:val="0"/>
          <w:color w:val="auto"/>
        </w:rPr>
        <w:t>o</w:t>
      </w:r>
      <w:r w:rsidR="006012BB" w:rsidRPr="00DF0B90">
        <w:rPr>
          <w:rStyle w:val="IntenseReference"/>
          <w:b w:val="0"/>
          <w:i w:val="0"/>
          <w:smallCaps w:val="0"/>
          <w:color w:val="auto"/>
        </w:rPr>
        <w:t>grel</w:t>
      </w:r>
      <w:r w:rsidRPr="00DF0B90">
        <w:rPr>
          <w:rStyle w:val="IntenseReference"/>
          <w:b w:val="0"/>
          <w:i w:val="0"/>
          <w:smallCaps w:val="0"/>
          <w:color w:val="auto"/>
        </w:rPr>
        <w:t xml:space="preserve"> and prasugrel.</w:t>
      </w:r>
    </w:p>
    <w:p w:rsidR="00532767" w:rsidRPr="00DF0B90" w:rsidRDefault="00532767" w:rsidP="00DB688D">
      <w:pPr>
        <w:pStyle w:val="ListParagraph"/>
        <w:numPr>
          <w:ilvl w:val="0"/>
          <w:numId w:val="1"/>
        </w:numPr>
        <w:rPr>
          <w:rStyle w:val="IntenseReference"/>
          <w:b w:val="0"/>
          <w:bCs w:val="0"/>
          <w:i w:val="0"/>
          <w:smallCaps w:val="0"/>
          <w:color w:val="auto"/>
        </w:rPr>
      </w:pPr>
      <w:r>
        <w:rPr>
          <w:rStyle w:val="IntenseReference"/>
          <w:b w:val="0"/>
          <w:i w:val="0"/>
          <w:smallCaps w:val="0"/>
          <w:color w:val="auto"/>
        </w:rPr>
        <w:t>Ticagrelor is</w:t>
      </w:r>
      <w:r w:rsidRPr="00DF0B90">
        <w:rPr>
          <w:rStyle w:val="IntenseReference"/>
          <w:b w:val="0"/>
          <w:i w:val="0"/>
          <w:smallCaps w:val="0"/>
          <w:color w:val="auto"/>
        </w:rPr>
        <w:t xml:space="preserve"> not as effective for patients who need higher doses of aspirin compared to clopidogrel.</w:t>
      </w:r>
    </w:p>
    <w:p w:rsidR="00532767" w:rsidRPr="00DF0B90" w:rsidRDefault="00532767" w:rsidP="00DB688D">
      <w:pPr>
        <w:pStyle w:val="ListParagraph"/>
        <w:numPr>
          <w:ilvl w:val="0"/>
          <w:numId w:val="1"/>
        </w:numPr>
        <w:rPr>
          <w:rStyle w:val="IntenseReference"/>
          <w:b w:val="0"/>
          <w:bCs w:val="0"/>
          <w:i w:val="0"/>
          <w:smallCaps w:val="0"/>
          <w:color w:val="auto"/>
        </w:rPr>
      </w:pPr>
      <w:r w:rsidRPr="00DF0B90">
        <w:rPr>
          <w:rStyle w:val="IntenseReference"/>
          <w:b w:val="0"/>
          <w:i w:val="0"/>
          <w:smallCaps w:val="0"/>
          <w:color w:val="auto"/>
        </w:rPr>
        <w:t>Adverse events are more common, in particular strokes, intracranial bleeds and minor bleeds.</w:t>
      </w:r>
      <w:r w:rsidRPr="004D23CC">
        <w:rPr>
          <w:rStyle w:val="FootnoteReference"/>
          <w:bCs/>
          <w:spacing w:val="5"/>
        </w:rPr>
        <w:footnoteReference w:id="5"/>
      </w:r>
    </w:p>
    <w:p w:rsidR="006A27F1" w:rsidRDefault="006A27F1" w:rsidP="007B3540">
      <w:pPr>
        <w:rPr>
          <w:rStyle w:val="IntenseReference"/>
          <w:b w:val="0"/>
          <w:i w:val="0"/>
          <w:smallCaps w:val="0"/>
          <w:color w:val="auto"/>
        </w:rPr>
      </w:pPr>
      <w:r>
        <w:rPr>
          <w:rStyle w:val="IntenseReference"/>
          <w:b w:val="0"/>
          <w:i w:val="0"/>
          <w:smallCaps w:val="0"/>
          <w:color w:val="auto"/>
        </w:rPr>
        <w:t xml:space="preserve">The length of treatment analysis shows there is relatively low use of ticagrelor beyond 12 months after initiation. </w:t>
      </w:r>
      <w:r w:rsidR="002D7A05" w:rsidRPr="009C6CEF">
        <w:t>The PBAC did not recommend the treatment duration be limited by the PBS restriction, although the submission was based on clinical efficacy data up to 12 months and clinical guidelines at the time recommended therapy for acute coronary syndrome be given for up to 12 months.</w:t>
      </w:r>
      <w:r w:rsidR="00DD7A61">
        <w:rPr>
          <w:vertAlign w:val="superscript"/>
        </w:rPr>
        <w:t>3</w:t>
      </w:r>
      <w:r w:rsidR="002D7A05" w:rsidRPr="009C6CEF">
        <w:t xml:space="preserve"> </w:t>
      </w:r>
    </w:p>
    <w:p w:rsidR="007B3540" w:rsidRDefault="007B3540" w:rsidP="007B3540">
      <w:pPr>
        <w:rPr>
          <w:rStyle w:val="IntenseReference"/>
          <w:b w:val="0"/>
          <w:i w:val="0"/>
          <w:smallCaps w:val="0"/>
          <w:color w:val="auto"/>
        </w:rPr>
      </w:pPr>
      <w:r>
        <w:rPr>
          <w:rStyle w:val="IntenseReference"/>
          <w:b w:val="0"/>
          <w:i w:val="0"/>
          <w:smallCaps w:val="0"/>
          <w:color w:val="auto"/>
        </w:rPr>
        <w:t>When the total market of medicines for acute coronary syndrome is considered</w:t>
      </w:r>
      <w:r w:rsidR="00882E55">
        <w:rPr>
          <w:rStyle w:val="IntenseReference"/>
          <w:b w:val="0"/>
          <w:i w:val="0"/>
          <w:smallCaps w:val="0"/>
          <w:color w:val="auto"/>
        </w:rPr>
        <w:t xml:space="preserve"> (Figure </w:t>
      </w:r>
      <w:r w:rsidR="009E2529">
        <w:rPr>
          <w:rStyle w:val="IntenseReference"/>
          <w:b w:val="0"/>
          <w:i w:val="0"/>
          <w:smallCaps w:val="0"/>
          <w:color w:val="auto"/>
        </w:rPr>
        <w:t>5)</w:t>
      </w:r>
      <w:r>
        <w:rPr>
          <w:rStyle w:val="IntenseReference"/>
          <w:b w:val="0"/>
          <w:i w:val="0"/>
          <w:smallCaps w:val="0"/>
          <w:color w:val="auto"/>
        </w:rPr>
        <w:t xml:space="preserve">, it appears </w:t>
      </w:r>
      <w:r w:rsidR="00590047">
        <w:rPr>
          <w:rStyle w:val="IntenseReference"/>
          <w:b w:val="0"/>
          <w:i w:val="0"/>
          <w:smallCaps w:val="0"/>
          <w:color w:val="auto"/>
        </w:rPr>
        <w:t xml:space="preserve">the PBS listing of </w:t>
      </w:r>
      <w:r>
        <w:rPr>
          <w:rStyle w:val="IntenseReference"/>
          <w:b w:val="0"/>
          <w:i w:val="0"/>
          <w:smallCaps w:val="0"/>
          <w:color w:val="auto"/>
        </w:rPr>
        <w:t xml:space="preserve">ticagrelor has not had a large impact on the use of clopidogrel, clopidogrel plus aspirin or prasugrel. </w:t>
      </w:r>
    </w:p>
    <w:p w:rsidR="00385634" w:rsidRDefault="00006C56" w:rsidP="007B3540">
      <w:pPr>
        <w:rPr>
          <w:rStyle w:val="IntenseReference"/>
          <w:b w:val="0"/>
          <w:i w:val="0"/>
          <w:smallCaps w:val="0"/>
          <w:color w:val="auto"/>
        </w:rPr>
      </w:pPr>
      <w:r>
        <w:rPr>
          <w:rStyle w:val="IntenseReference"/>
          <w:b w:val="0"/>
          <w:i w:val="0"/>
          <w:smallCaps w:val="0"/>
          <w:color w:val="auto"/>
        </w:rPr>
        <w:t>Prior to the PBS listing of ticagrelor</w:t>
      </w:r>
      <w:r w:rsidR="00482B48">
        <w:rPr>
          <w:rStyle w:val="IntenseReference"/>
          <w:b w:val="0"/>
          <w:i w:val="0"/>
          <w:smallCaps w:val="0"/>
          <w:color w:val="auto"/>
        </w:rPr>
        <w:t>,</w:t>
      </w:r>
      <w:r>
        <w:rPr>
          <w:rStyle w:val="IntenseReference"/>
          <w:b w:val="0"/>
          <w:i w:val="0"/>
          <w:smallCaps w:val="0"/>
          <w:color w:val="auto"/>
        </w:rPr>
        <w:t xml:space="preserve"> the use of existing medicines specifically for acute coronary syndrome cannot be </w:t>
      </w:r>
      <w:r w:rsidR="002E07C7">
        <w:rPr>
          <w:rStyle w:val="IntenseReference"/>
          <w:b w:val="0"/>
          <w:i w:val="0"/>
          <w:smallCaps w:val="0"/>
          <w:color w:val="auto"/>
        </w:rPr>
        <w:t xml:space="preserve">fully </w:t>
      </w:r>
      <w:r>
        <w:rPr>
          <w:rStyle w:val="IntenseReference"/>
          <w:b w:val="0"/>
          <w:i w:val="0"/>
          <w:smallCaps w:val="0"/>
          <w:color w:val="auto"/>
        </w:rPr>
        <w:t xml:space="preserve">quantified. </w:t>
      </w:r>
      <w:r w:rsidR="00385634">
        <w:rPr>
          <w:rStyle w:val="IntenseReference"/>
          <w:b w:val="0"/>
          <w:i w:val="0"/>
          <w:smallCaps w:val="0"/>
          <w:color w:val="auto"/>
        </w:rPr>
        <w:t>The streamlined authority codes of other medicines used for acute coronary syndrome, such as clopidogrel and prasugrel, began to be collected from December 2011. It took until July 2012 for there to be an appropriate streamlined code recorded for approximately 99% of prescriptions.</w:t>
      </w:r>
      <w:r w:rsidR="00530D29">
        <w:rPr>
          <w:rStyle w:val="IntenseReference"/>
          <w:b w:val="0"/>
          <w:i w:val="0"/>
          <w:smallCaps w:val="0"/>
          <w:color w:val="auto"/>
        </w:rPr>
        <w:t xml:space="preserve"> </w:t>
      </w:r>
    </w:p>
    <w:p w:rsidR="002E7018" w:rsidRDefault="00882E55" w:rsidP="00DF0B90">
      <w:pPr>
        <w:rPr>
          <w:rStyle w:val="IntenseReference"/>
          <w:b w:val="0"/>
          <w:i w:val="0"/>
          <w:smallCaps w:val="0"/>
          <w:color w:val="auto"/>
        </w:rPr>
      </w:pPr>
      <w:r>
        <w:rPr>
          <w:rStyle w:val="IntenseReference"/>
          <w:b w:val="0"/>
          <w:i w:val="0"/>
          <w:smallCaps w:val="0"/>
          <w:color w:val="auto"/>
        </w:rPr>
        <w:t>Since the PBS listing of ticagrelor</w:t>
      </w:r>
      <w:r w:rsidR="009C6CEF">
        <w:rPr>
          <w:rStyle w:val="IntenseReference"/>
          <w:b w:val="0"/>
          <w:i w:val="0"/>
          <w:smallCaps w:val="0"/>
          <w:color w:val="auto"/>
        </w:rPr>
        <w:t>,</w:t>
      </w:r>
      <w:r w:rsidR="00006C56">
        <w:rPr>
          <w:rStyle w:val="IntenseReference"/>
          <w:b w:val="0"/>
          <w:i w:val="0"/>
          <w:smallCaps w:val="0"/>
          <w:color w:val="auto"/>
        </w:rPr>
        <w:t xml:space="preserve"> in August 2012</w:t>
      </w:r>
      <w:r>
        <w:rPr>
          <w:rStyle w:val="IntenseReference"/>
          <w:b w:val="0"/>
          <w:i w:val="0"/>
          <w:smallCaps w:val="0"/>
          <w:color w:val="auto"/>
        </w:rPr>
        <w:t>, t</w:t>
      </w:r>
      <w:r w:rsidR="00590047">
        <w:rPr>
          <w:rStyle w:val="IntenseReference"/>
          <w:b w:val="0"/>
          <w:i w:val="0"/>
          <w:smallCaps w:val="0"/>
          <w:color w:val="auto"/>
        </w:rPr>
        <w:t xml:space="preserve">he </w:t>
      </w:r>
      <w:r>
        <w:rPr>
          <w:rStyle w:val="IntenseReference"/>
          <w:b w:val="0"/>
          <w:i w:val="0"/>
          <w:smallCaps w:val="0"/>
          <w:color w:val="auto"/>
        </w:rPr>
        <w:t xml:space="preserve">monthly utilisation of prasugrel has remained relatively unchanged </w:t>
      </w:r>
      <w:r w:rsidR="002E7018">
        <w:rPr>
          <w:rStyle w:val="IntenseReference"/>
          <w:b w:val="0"/>
          <w:i w:val="0"/>
          <w:smallCaps w:val="0"/>
          <w:color w:val="auto"/>
        </w:rPr>
        <w:t xml:space="preserve">(Figure 7) </w:t>
      </w:r>
      <w:r>
        <w:rPr>
          <w:rStyle w:val="IntenseReference"/>
          <w:b w:val="0"/>
          <w:i w:val="0"/>
          <w:smallCaps w:val="0"/>
          <w:color w:val="auto"/>
        </w:rPr>
        <w:t xml:space="preserve">and the use of clopidogrel has continued to grow. </w:t>
      </w:r>
      <w:r w:rsidR="002E7018">
        <w:rPr>
          <w:rStyle w:val="IntenseReference"/>
          <w:b w:val="0"/>
          <w:i w:val="0"/>
          <w:smallCaps w:val="0"/>
          <w:color w:val="auto"/>
        </w:rPr>
        <w:t>C</w:t>
      </w:r>
      <w:r w:rsidR="002E7018" w:rsidRPr="00394B1A">
        <w:rPr>
          <w:rStyle w:val="IntenseReference"/>
          <w:b w:val="0"/>
          <w:i w:val="0"/>
          <w:smallCaps w:val="0"/>
          <w:color w:val="auto"/>
        </w:rPr>
        <w:t>lopidogrel ha</w:t>
      </w:r>
      <w:r w:rsidR="002E7018">
        <w:rPr>
          <w:rStyle w:val="IntenseReference"/>
          <w:b w:val="0"/>
          <w:i w:val="0"/>
          <w:smallCaps w:val="0"/>
          <w:color w:val="auto"/>
        </w:rPr>
        <w:t xml:space="preserve">s </w:t>
      </w:r>
      <w:r w:rsidR="002E7018" w:rsidRPr="00394B1A">
        <w:rPr>
          <w:rStyle w:val="IntenseReference"/>
          <w:b w:val="0"/>
          <w:i w:val="0"/>
          <w:smallCaps w:val="0"/>
          <w:color w:val="auto"/>
        </w:rPr>
        <w:t>the same restriction as ticagrelor</w:t>
      </w:r>
      <w:r w:rsidR="002E7018">
        <w:rPr>
          <w:rStyle w:val="IntenseReference"/>
          <w:b w:val="0"/>
          <w:i w:val="0"/>
          <w:smallCaps w:val="0"/>
          <w:color w:val="auto"/>
        </w:rPr>
        <w:t xml:space="preserve"> but p</w:t>
      </w:r>
      <w:r w:rsidR="002E7018" w:rsidRPr="00394B1A">
        <w:rPr>
          <w:rStyle w:val="IntenseReference"/>
          <w:b w:val="0"/>
          <w:i w:val="0"/>
          <w:smallCaps w:val="0"/>
          <w:color w:val="auto"/>
        </w:rPr>
        <w:t xml:space="preserve">rasugrel </w:t>
      </w:r>
      <w:r w:rsidR="002E7018">
        <w:rPr>
          <w:rStyle w:val="IntenseReference"/>
          <w:b w:val="0"/>
          <w:i w:val="0"/>
          <w:smallCaps w:val="0"/>
          <w:color w:val="auto"/>
        </w:rPr>
        <w:t>is</w:t>
      </w:r>
      <w:r w:rsidR="002E7018" w:rsidRPr="00394B1A">
        <w:rPr>
          <w:rStyle w:val="IntenseReference"/>
          <w:b w:val="0"/>
          <w:i w:val="0"/>
          <w:smallCaps w:val="0"/>
          <w:color w:val="auto"/>
        </w:rPr>
        <w:t xml:space="preserve"> only available to a sub group of patients with acute coronary syndrome managed by per</w:t>
      </w:r>
      <w:r w:rsidR="002E7018">
        <w:rPr>
          <w:rStyle w:val="IntenseReference"/>
          <w:b w:val="0"/>
          <w:i w:val="0"/>
          <w:smallCaps w:val="0"/>
          <w:color w:val="auto"/>
        </w:rPr>
        <w:t>cutaneous coronary intervention.</w:t>
      </w:r>
    </w:p>
    <w:p w:rsidR="00C6367A" w:rsidRDefault="002E7018" w:rsidP="00DF0B90">
      <w:pPr>
        <w:rPr>
          <w:rStyle w:val="IntenseReference"/>
          <w:b w:val="0"/>
          <w:i w:val="0"/>
          <w:smallCaps w:val="0"/>
          <w:color w:val="auto"/>
        </w:rPr>
      </w:pPr>
      <w:r>
        <w:rPr>
          <w:rStyle w:val="IntenseReference"/>
          <w:b w:val="0"/>
          <w:i w:val="0"/>
          <w:smallCaps w:val="0"/>
          <w:color w:val="auto"/>
        </w:rPr>
        <w:t>Although the use of medicines for acute coronary syndrome appears to be growing (Figures 6 and 7)</w:t>
      </w:r>
      <w:r w:rsidR="00AF1FE1">
        <w:rPr>
          <w:rStyle w:val="IntenseReference"/>
          <w:b w:val="0"/>
          <w:i w:val="0"/>
          <w:smallCaps w:val="0"/>
          <w:color w:val="auto"/>
        </w:rPr>
        <w:t>,</w:t>
      </w:r>
      <w:r w:rsidR="00D75D78">
        <w:rPr>
          <w:rStyle w:val="IntenseReference"/>
          <w:b w:val="0"/>
          <w:i w:val="0"/>
          <w:smallCaps w:val="0"/>
          <w:color w:val="auto"/>
        </w:rPr>
        <w:t xml:space="preserve"> the </w:t>
      </w:r>
      <w:r w:rsidR="00AF1FE1">
        <w:rPr>
          <w:rStyle w:val="IntenseReference"/>
          <w:b w:val="0"/>
          <w:i w:val="0"/>
          <w:smallCaps w:val="0"/>
          <w:color w:val="auto"/>
        </w:rPr>
        <w:t>use for p</w:t>
      </w:r>
      <w:r w:rsidR="00AF1FE1" w:rsidRPr="00C6367A">
        <w:rPr>
          <w:rStyle w:val="IntenseReference"/>
          <w:b w:val="0"/>
          <w:i w:val="0"/>
          <w:smallCaps w:val="0"/>
          <w:color w:val="auto"/>
        </w:rPr>
        <w:t>revention of recurrence of myocardial infarction or unstable angina</w:t>
      </w:r>
      <w:r w:rsidR="00AF1FE1">
        <w:rPr>
          <w:rStyle w:val="IntenseReference"/>
          <w:b w:val="0"/>
          <w:i w:val="0"/>
          <w:smallCaps w:val="0"/>
          <w:color w:val="auto"/>
        </w:rPr>
        <w:t xml:space="preserve"> </w:t>
      </w:r>
      <w:r w:rsidR="009E2529">
        <w:rPr>
          <w:rStyle w:val="IntenseReference"/>
          <w:b w:val="0"/>
          <w:i w:val="0"/>
          <w:smallCaps w:val="0"/>
          <w:color w:val="auto"/>
        </w:rPr>
        <w:t>has been</w:t>
      </w:r>
      <w:r w:rsidR="00D75D78">
        <w:rPr>
          <w:rStyle w:val="IntenseReference"/>
          <w:b w:val="0"/>
          <w:i w:val="0"/>
          <w:smallCaps w:val="0"/>
          <w:color w:val="auto"/>
        </w:rPr>
        <w:t xml:space="preserve"> decreasing</w:t>
      </w:r>
      <w:r w:rsidR="00571A70" w:rsidRPr="00571A70">
        <w:rPr>
          <w:rStyle w:val="IntenseReference"/>
          <w:b w:val="0"/>
          <w:i w:val="0"/>
          <w:smallCaps w:val="0"/>
          <w:color w:val="auto"/>
        </w:rPr>
        <w:t xml:space="preserve"> </w:t>
      </w:r>
      <w:r w:rsidR="00571A70">
        <w:rPr>
          <w:rStyle w:val="IntenseReference"/>
          <w:b w:val="0"/>
          <w:i w:val="0"/>
          <w:smallCaps w:val="0"/>
          <w:color w:val="auto"/>
        </w:rPr>
        <w:t>over time</w:t>
      </w:r>
      <w:r w:rsidR="00D75D78">
        <w:rPr>
          <w:rStyle w:val="IntenseReference"/>
          <w:b w:val="0"/>
          <w:i w:val="0"/>
          <w:smallCaps w:val="0"/>
          <w:color w:val="auto"/>
        </w:rPr>
        <w:t xml:space="preserve">. This </w:t>
      </w:r>
      <w:r w:rsidR="00AF1FE1">
        <w:rPr>
          <w:rStyle w:val="IntenseReference"/>
          <w:b w:val="0"/>
          <w:i w:val="0"/>
          <w:smallCaps w:val="0"/>
          <w:color w:val="auto"/>
        </w:rPr>
        <w:t xml:space="preserve">suggests </w:t>
      </w:r>
      <w:r w:rsidR="008707A1">
        <w:rPr>
          <w:rStyle w:val="IntenseReference"/>
          <w:b w:val="0"/>
          <w:i w:val="0"/>
          <w:smallCaps w:val="0"/>
          <w:color w:val="auto"/>
        </w:rPr>
        <w:t xml:space="preserve">that </w:t>
      </w:r>
      <w:r w:rsidR="009E2529">
        <w:rPr>
          <w:rStyle w:val="IntenseReference"/>
          <w:b w:val="0"/>
          <w:i w:val="0"/>
          <w:smallCaps w:val="0"/>
          <w:color w:val="auto"/>
        </w:rPr>
        <w:t xml:space="preserve">some of </w:t>
      </w:r>
      <w:r w:rsidR="00D75D78">
        <w:rPr>
          <w:rStyle w:val="IntenseReference"/>
          <w:b w:val="0"/>
          <w:i w:val="0"/>
          <w:smallCaps w:val="0"/>
          <w:color w:val="auto"/>
        </w:rPr>
        <w:t xml:space="preserve">the </w:t>
      </w:r>
      <w:r w:rsidR="003809F8" w:rsidRPr="003809F8">
        <w:rPr>
          <w:rStyle w:val="IntenseReference"/>
          <w:b w:val="0"/>
          <w:i w:val="0"/>
          <w:smallCaps w:val="0"/>
          <w:color w:val="auto"/>
        </w:rPr>
        <w:t xml:space="preserve">increase in </w:t>
      </w:r>
      <w:r w:rsidR="008707A1">
        <w:rPr>
          <w:rStyle w:val="IntenseReference"/>
          <w:b w:val="0"/>
          <w:i w:val="0"/>
          <w:smallCaps w:val="0"/>
          <w:color w:val="auto"/>
        </w:rPr>
        <w:t xml:space="preserve">the </w:t>
      </w:r>
      <w:r w:rsidR="003809F8" w:rsidRPr="003809F8">
        <w:rPr>
          <w:rStyle w:val="IntenseReference"/>
          <w:b w:val="0"/>
          <w:i w:val="0"/>
          <w:smallCaps w:val="0"/>
          <w:color w:val="auto"/>
        </w:rPr>
        <w:t xml:space="preserve">use of medicines for acute coronary syndrome </w:t>
      </w:r>
      <w:r w:rsidR="00D75D78">
        <w:rPr>
          <w:rStyle w:val="IntenseReference"/>
          <w:b w:val="0"/>
          <w:i w:val="0"/>
          <w:smallCaps w:val="0"/>
          <w:color w:val="auto"/>
        </w:rPr>
        <w:t>(</w:t>
      </w:r>
      <w:r w:rsidR="00D75D78" w:rsidRPr="00C6367A">
        <w:rPr>
          <w:rStyle w:val="IntenseReference"/>
          <w:b w:val="0"/>
          <w:i w:val="0"/>
          <w:smallCaps w:val="0"/>
          <w:color w:val="auto"/>
        </w:rPr>
        <w:t xml:space="preserve">myocardial infarction or unstable </w:t>
      </w:r>
      <w:r w:rsidR="00D75D78" w:rsidRPr="00C6367A">
        <w:rPr>
          <w:rStyle w:val="IntenseReference"/>
          <w:b w:val="0"/>
          <w:i w:val="0"/>
          <w:smallCaps w:val="0"/>
          <w:color w:val="auto"/>
        </w:rPr>
        <w:lastRenderedPageBreak/>
        <w:t>angina</w:t>
      </w:r>
      <w:r w:rsidR="00D75D78">
        <w:rPr>
          <w:rStyle w:val="IntenseReference"/>
          <w:b w:val="0"/>
          <w:i w:val="0"/>
          <w:smallCaps w:val="0"/>
          <w:color w:val="auto"/>
        </w:rPr>
        <w:t xml:space="preserve">) </w:t>
      </w:r>
      <w:r w:rsidR="003809F8" w:rsidRPr="003809F8">
        <w:rPr>
          <w:rStyle w:val="IntenseReference"/>
          <w:b w:val="0"/>
          <w:i w:val="0"/>
          <w:smallCaps w:val="0"/>
          <w:color w:val="auto"/>
        </w:rPr>
        <w:t xml:space="preserve">may </w:t>
      </w:r>
      <w:r w:rsidR="00571A70">
        <w:rPr>
          <w:rStyle w:val="IntenseReference"/>
          <w:b w:val="0"/>
          <w:i w:val="0"/>
          <w:smallCaps w:val="0"/>
          <w:color w:val="auto"/>
        </w:rPr>
        <w:t>be</w:t>
      </w:r>
      <w:r w:rsidR="00571A70" w:rsidRPr="003809F8">
        <w:rPr>
          <w:rStyle w:val="IntenseReference"/>
          <w:b w:val="0"/>
          <w:i w:val="0"/>
          <w:smallCaps w:val="0"/>
          <w:color w:val="auto"/>
        </w:rPr>
        <w:t xml:space="preserve"> </w:t>
      </w:r>
      <w:r w:rsidR="00D75D78">
        <w:rPr>
          <w:rStyle w:val="IntenseReference"/>
          <w:b w:val="0"/>
          <w:i w:val="0"/>
          <w:smallCaps w:val="0"/>
          <w:color w:val="auto"/>
        </w:rPr>
        <w:t xml:space="preserve">due to </w:t>
      </w:r>
      <w:r w:rsidR="0073196B">
        <w:rPr>
          <w:rStyle w:val="IntenseReference"/>
          <w:b w:val="0"/>
          <w:i w:val="0"/>
          <w:smallCaps w:val="0"/>
          <w:color w:val="auto"/>
        </w:rPr>
        <w:t xml:space="preserve">all </w:t>
      </w:r>
      <w:r w:rsidR="00D75D78">
        <w:rPr>
          <w:rStyle w:val="IntenseReference"/>
          <w:b w:val="0"/>
          <w:i w:val="0"/>
          <w:smallCaps w:val="0"/>
          <w:color w:val="auto"/>
        </w:rPr>
        <w:t>prescribing of</w:t>
      </w:r>
      <w:r w:rsidR="003809F8" w:rsidRPr="003809F8">
        <w:rPr>
          <w:rStyle w:val="IntenseReference"/>
          <w:b w:val="0"/>
          <w:i w:val="0"/>
          <w:smallCaps w:val="0"/>
          <w:color w:val="auto"/>
        </w:rPr>
        <w:t xml:space="preserve"> </w:t>
      </w:r>
      <w:r w:rsidR="00D75D78">
        <w:rPr>
          <w:rStyle w:val="IntenseReference"/>
          <w:b w:val="0"/>
          <w:i w:val="0"/>
          <w:smallCaps w:val="0"/>
          <w:color w:val="auto"/>
        </w:rPr>
        <w:t xml:space="preserve">ticagrelor </w:t>
      </w:r>
      <w:r w:rsidR="003809F8" w:rsidRPr="003809F8">
        <w:rPr>
          <w:rStyle w:val="IntenseReference"/>
          <w:b w:val="0"/>
          <w:i w:val="0"/>
          <w:smallCaps w:val="0"/>
          <w:color w:val="auto"/>
        </w:rPr>
        <w:t xml:space="preserve">being recorded for acute coronary syndrome </w:t>
      </w:r>
      <w:r w:rsidR="00571A70">
        <w:rPr>
          <w:rStyle w:val="IntenseReference"/>
          <w:b w:val="0"/>
          <w:i w:val="0"/>
          <w:smallCaps w:val="0"/>
          <w:color w:val="auto"/>
        </w:rPr>
        <w:t>where</w:t>
      </w:r>
      <w:r w:rsidR="009E2529">
        <w:rPr>
          <w:rStyle w:val="IntenseReference"/>
          <w:b w:val="0"/>
          <w:i w:val="0"/>
          <w:smallCaps w:val="0"/>
          <w:color w:val="auto"/>
        </w:rPr>
        <w:t xml:space="preserve"> corresponding use of</w:t>
      </w:r>
      <w:r w:rsidR="00571A70">
        <w:rPr>
          <w:rStyle w:val="IntenseReference"/>
          <w:b w:val="0"/>
          <w:i w:val="0"/>
          <w:smallCaps w:val="0"/>
          <w:color w:val="auto"/>
        </w:rPr>
        <w:t xml:space="preserve"> clopidogrel may have been recorded as for</w:t>
      </w:r>
      <w:r w:rsidR="003809F8" w:rsidRPr="003809F8">
        <w:rPr>
          <w:rStyle w:val="IntenseReference"/>
          <w:b w:val="0"/>
          <w:i w:val="0"/>
          <w:smallCaps w:val="0"/>
          <w:color w:val="auto"/>
        </w:rPr>
        <w:t xml:space="preserve"> prevention of recurrence of myocardial infarction or unstable angina.</w:t>
      </w:r>
      <w:r w:rsidR="003809F8">
        <w:rPr>
          <w:rStyle w:val="IntenseReference"/>
          <w:b w:val="0"/>
          <w:i w:val="0"/>
          <w:smallCaps w:val="0"/>
          <w:color w:val="auto"/>
        </w:rPr>
        <w:t xml:space="preserve"> </w:t>
      </w:r>
    </w:p>
    <w:p w:rsidR="00DB51F5" w:rsidRDefault="00DB51F5" w:rsidP="00DB51F5">
      <w:pPr>
        <w:pStyle w:val="Heading4"/>
      </w:pPr>
      <w:r>
        <w:t>DUSC consideration</w:t>
      </w:r>
    </w:p>
    <w:p w:rsidR="00DB51F5" w:rsidRPr="00DB51F5" w:rsidRDefault="00DB51F5" w:rsidP="00DB51F5">
      <w:r>
        <w:t xml:space="preserve">The uptake of ticagrelor has been rising in a steady manner since listing, with some peaks and troughs around the end and beginning of calendar years, likely due to PBS Safety Net </w:t>
      </w:r>
      <w:r w:rsidRPr="00DB51F5">
        <w:t>eligible patients stockpiling extra prescriptions. Overall in the first year of listing, 32,318 prescriptions of ticagrelor were supplied.</w:t>
      </w:r>
    </w:p>
    <w:p w:rsidR="00DB51F5" w:rsidRPr="00DB51F5" w:rsidRDefault="00DB51F5" w:rsidP="00DB51F5">
      <w:r w:rsidRPr="00DB51F5">
        <w:t xml:space="preserve">The length of treatment analysis showed that approximately 10% of patients do not refill their prescription after their initial supply. DUSC agreed there is another noticeable decrease in the number of treated patients, by about 20%, around one year after initiation. Only 20% of patients remain on treatment for two years or more. DUSC noted the length of treatment analysis suggests there is a conscious decision to stop treatment in some patients. DUSC noted the response from the sponsor suggested that in </w:t>
      </w:r>
      <w:r w:rsidRPr="00DB51F5">
        <w:rPr>
          <w:rFonts w:cs="Calibri+FPEF"/>
        </w:rPr>
        <w:t xml:space="preserve">some patients, continued use may be appropriate because of their underlying disease and that the PBAC considered that treatment beyond 12 months </w:t>
      </w:r>
      <w:r w:rsidRPr="00DB51F5">
        <w:rPr>
          <w:rFonts w:cs="Arial"/>
          <w:color w:val="222222"/>
        </w:rPr>
        <w:t>represents acceptable cost effectiveness</w:t>
      </w:r>
      <w:r w:rsidRPr="00DB51F5">
        <w:rPr>
          <w:rStyle w:val="FootnoteReference"/>
          <w:rFonts w:cs="Calibri+FPEF"/>
        </w:rPr>
        <w:footnoteReference w:id="6"/>
      </w:r>
      <w:r w:rsidRPr="00DB51F5">
        <w:rPr>
          <w:rFonts w:cs="Arial"/>
          <w:color w:val="222222"/>
        </w:rPr>
        <w:t>.</w:t>
      </w:r>
    </w:p>
    <w:p w:rsidR="00DB51F5" w:rsidRPr="00DB51F5" w:rsidRDefault="00DB51F5" w:rsidP="00DB51F5">
      <w:r w:rsidRPr="00DB51F5">
        <w:t>Ticagrelor has taken a small proportion of the market of clopidogrel, clopidogrel with aspirin, and prasugrel. (It was noted these medicines are PBS listed for several other indications). However, ticagrelor is now the most commonly used medicine for acute coronary syndrome (ACS), as identified by indications associated with specific PBS item codes.</w:t>
      </w:r>
    </w:p>
    <w:p w:rsidR="00DB51F5" w:rsidRPr="00DB51F5" w:rsidRDefault="00DB51F5" w:rsidP="00DB51F5">
      <w:r w:rsidRPr="00DB51F5">
        <w:t>DUSC noted the analysis of predicted versus actual use found the uptake was underestimated in the early years of listing but overestimated in later years. DUSC suggested the sponsor may have anticipated that initiation of prescribing of ticagrelor would move to general practitioners, however noting the context of its use for ACS, it is still being initiated by cardiologists. DUSC considered this may have affected the rate of uptake of ticagrelor. DUSC noted the response from the sponsor suggested the lower than expected use of ticagrelor may mean ACS patients in Australia are not treated as per clinical guidelines</w:t>
      </w:r>
      <w:r w:rsidRPr="00DB51F5">
        <w:rPr>
          <w:rStyle w:val="FootnoteReference"/>
        </w:rPr>
        <w:footnoteReference w:id="7"/>
      </w:r>
      <w:r w:rsidRPr="00DB51F5">
        <w:t xml:space="preserve">, which could be a quality use of medicines issue. </w:t>
      </w:r>
    </w:p>
    <w:p w:rsidR="00DB51F5" w:rsidRDefault="00DB51F5" w:rsidP="00DB51F5">
      <w:pPr>
        <w:pStyle w:val="Heading4"/>
      </w:pPr>
      <w:r>
        <w:t>DUSC actions</w:t>
      </w:r>
    </w:p>
    <w:p w:rsidR="00DB51F5" w:rsidRDefault="00DB51F5" w:rsidP="00DB51F5">
      <w:r w:rsidRPr="00DB51F5">
        <w:t>DUSC requested that the report be provided to the PBAC.</w:t>
      </w:r>
    </w:p>
    <w:p w:rsidR="00B30DBA" w:rsidRPr="00DB51F5" w:rsidRDefault="00B30DBA" w:rsidP="00DB51F5"/>
    <w:p w:rsidR="00D87D5F" w:rsidRDefault="00D87D5F" w:rsidP="00DB51F5">
      <w:pPr>
        <w:pStyle w:val="Heading4"/>
      </w:pPr>
      <w:r>
        <w:br w:type="page"/>
      </w:r>
    </w:p>
    <w:p w:rsidR="00DB51F5" w:rsidRDefault="00DB51F5" w:rsidP="00DB51F5">
      <w:pPr>
        <w:pStyle w:val="Heading4"/>
      </w:pPr>
      <w:bookmarkStart w:id="2" w:name="_GoBack"/>
      <w:bookmarkEnd w:id="2"/>
      <w:r w:rsidRPr="0092516A">
        <w:lastRenderedPageBreak/>
        <w:t>Context for analysis</w:t>
      </w:r>
    </w:p>
    <w:p w:rsidR="00DB51F5" w:rsidRDefault="00DB51F5" w:rsidP="00DB51F5">
      <w:r>
        <w:t>The DUSC is a Sub Committee of the Pharmaceutical Benefits Advisory Committee (PBAC). The DUSC assesses estimates on projected usage and financial cost of medicines.</w:t>
      </w:r>
    </w:p>
    <w:p w:rsidR="00DB51F5" w:rsidRDefault="00DB51F5" w:rsidP="00DB51F5">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DB51F5" w:rsidRDefault="00DB51F5" w:rsidP="00DB51F5">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DB51F5" w:rsidRDefault="00DB51F5" w:rsidP="00DB51F5">
      <w:r>
        <w:t>The utilisation analysis report was provided to the pharmaceutical sponsors of each drug and comments on the report were provided to DUSC prior to its consideration of the analysis.</w:t>
      </w:r>
    </w:p>
    <w:p w:rsidR="00DB51F5" w:rsidRDefault="00DB51F5" w:rsidP="00DB51F5">
      <w:pPr>
        <w:pStyle w:val="Heading4"/>
      </w:pPr>
      <w:r>
        <w:t>Sponsor</w:t>
      </w:r>
      <w:r w:rsidRPr="0092516A">
        <w:t>s</w:t>
      </w:r>
      <w:r>
        <w:t>’</w:t>
      </w:r>
      <w:r w:rsidRPr="0092516A">
        <w:t xml:space="preserve"> comments</w:t>
      </w:r>
    </w:p>
    <w:p w:rsidR="00450A74" w:rsidRPr="00435ACF" w:rsidRDefault="00450A74" w:rsidP="00450A74">
      <w:r w:rsidRPr="00435ACF">
        <w:t>AstraZeneca</w:t>
      </w:r>
      <w:r>
        <w:t>: The sponsor</w:t>
      </w:r>
      <w:r w:rsidRPr="00435ACF">
        <w:t xml:space="preserve"> has no comment.</w:t>
      </w:r>
    </w:p>
    <w:p w:rsidR="00DB51F5" w:rsidRDefault="00DB51F5" w:rsidP="00DB51F5">
      <w:pPr>
        <w:pStyle w:val="Heading4"/>
      </w:pPr>
      <w:r w:rsidRPr="00A4020E">
        <w:t>Disclaimer</w:t>
      </w:r>
    </w:p>
    <w:p w:rsidR="00DB51F5" w:rsidRDefault="00DB51F5" w:rsidP="00DB51F5">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DB51F5" w:rsidRDefault="00DB51F5" w:rsidP="00DB51F5">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DB51F5" w:rsidRDefault="00DB51F5" w:rsidP="00DB51F5">
      <w:r>
        <w:t xml:space="preserve">To the extent provided by law, DoH makes no warranties or representations as to accuracy or completeness of information contained in this report. </w:t>
      </w:r>
    </w:p>
    <w:p w:rsidR="00DF0B90" w:rsidRDefault="00DB51F5" w:rsidP="00DF0B90">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7D6164" w:rsidRDefault="007D6164">
      <w:pPr>
        <w:spacing w:line="276" w:lineRule="auto"/>
      </w:pPr>
      <w:r>
        <w:br w:type="page"/>
      </w:r>
    </w:p>
    <w:p w:rsidR="002C6E0C" w:rsidRDefault="002F0BBD" w:rsidP="005D474B">
      <w:pPr>
        <w:pStyle w:val="Heading4"/>
      </w:pPr>
      <w:r>
        <w:lastRenderedPageBreak/>
        <w:t>Appendix A</w:t>
      </w:r>
    </w:p>
    <w:p w:rsidR="004875A0" w:rsidRPr="009B5CFA" w:rsidRDefault="004875A0" w:rsidP="004875A0">
      <w:pPr>
        <w:pStyle w:val="Heading2"/>
        <w:rPr>
          <w:rFonts w:cs="Times New Roman"/>
          <w:i w:val="0"/>
          <w:sz w:val="28"/>
        </w:rPr>
      </w:pPr>
      <w:r w:rsidRPr="009B5CFA">
        <w:rPr>
          <w:sz w:val="28"/>
        </w:rPr>
        <w:t>Detailed methodology for Kaplan Meier length of treatment analyses</w:t>
      </w:r>
    </w:p>
    <w:p w:rsidR="004875A0" w:rsidRDefault="004875A0" w:rsidP="006012BB">
      <w:r>
        <w:t xml:space="preserve">A break in treatment is defined as a gap of 2 </w:t>
      </w:r>
      <w:r w:rsidR="00532767">
        <w:t>×</w:t>
      </w:r>
      <w:r>
        <w:t xml:space="preserve"> Standard Coverage Days (SCD) in drug coverage which is equivalent to 3</w:t>
      </w:r>
      <w:r w:rsidR="00532767">
        <w:t xml:space="preserve"> × </w:t>
      </w:r>
      <w:r>
        <w:t>SCDs between script supply. An episode is defined as the time from the first script to the last script before a break plus one SCD (ie. the coverage of the last script). The script after a break in treatment is defined as the first script of the next episode. The SCDs are equal to the medi</w:t>
      </w:r>
      <w:r w:rsidR="003843C4">
        <w:t>an time to re-supply of scripts, which for ticagrelor was calculated to be 28 days</w:t>
      </w:r>
      <w:r>
        <w:t>.</w:t>
      </w:r>
    </w:p>
    <w:p w:rsidR="004875A0" w:rsidRDefault="004875A0" w:rsidP="006012BB">
      <w:r>
        <w:t>The data period used in the length of treatment analysis was from August 2012 (the listing of ticagrelor) and July 2015 inclusive. A patient was deemed to be continuing treatment (ie. censored for the purposes of the KM analysis) at the end of the data period if the supply of their last script was within 3</w:t>
      </w:r>
      <w:r w:rsidR="00532767">
        <w:t xml:space="preserve"> × </w:t>
      </w:r>
      <w:r>
        <w:t>SCDs (which is equivalent to the item coverage end date being within 2</w:t>
      </w:r>
      <w:r w:rsidR="00532767">
        <w:t xml:space="preserve"> × </w:t>
      </w:r>
      <w:r>
        <w:t>SCDs) of the end of the data period (ie. 31 July 2015). Patients initiating between August 2014 and July 2015 inclusive are excluded as they have minimal follow-up time. Three lengths of treatment wer</w:t>
      </w:r>
      <w:r w:rsidR="006012BB">
        <w:t>e calculated, ie. the length of:</w:t>
      </w:r>
    </w:p>
    <w:p w:rsidR="004875A0" w:rsidRDefault="004875A0" w:rsidP="004875A0">
      <w:pPr>
        <w:pStyle w:val="ListParagraph"/>
        <w:numPr>
          <w:ilvl w:val="0"/>
          <w:numId w:val="5"/>
        </w:numPr>
        <w:tabs>
          <w:tab w:val="left" w:pos="4058"/>
        </w:tabs>
        <w:rPr>
          <w:rFonts w:eastAsia="Calibri" w:cs="Times New Roman"/>
        </w:rPr>
      </w:pPr>
      <w:r>
        <w:rPr>
          <w:rFonts w:eastAsia="Calibri" w:cs="Times New Roman"/>
        </w:rPr>
        <w:t xml:space="preserve">the </w:t>
      </w:r>
      <w:r w:rsidRPr="00DB07D2">
        <w:rPr>
          <w:rFonts w:eastAsia="Calibri" w:cs="Times New Roman"/>
        </w:rPr>
        <w:t>first episode of treatment (ie. up t</w:t>
      </w:r>
      <w:r>
        <w:rPr>
          <w:rFonts w:eastAsia="Calibri" w:cs="Times New Roman"/>
        </w:rPr>
        <w:t>o the first break in treatment);</w:t>
      </w:r>
    </w:p>
    <w:p w:rsidR="004875A0" w:rsidRDefault="004875A0" w:rsidP="004875A0">
      <w:pPr>
        <w:pStyle w:val="ListParagraph"/>
        <w:numPr>
          <w:ilvl w:val="0"/>
          <w:numId w:val="5"/>
        </w:numPr>
        <w:tabs>
          <w:tab w:val="left" w:pos="4058"/>
        </w:tabs>
        <w:rPr>
          <w:rFonts w:eastAsia="Calibri" w:cs="Times New Roman"/>
        </w:rPr>
      </w:pPr>
      <w:r>
        <w:rPr>
          <w:rFonts w:eastAsia="Calibri" w:cs="Times New Roman"/>
        </w:rPr>
        <w:t>all treatment excluding breaks (ie. the sum of all episodes); and</w:t>
      </w:r>
    </w:p>
    <w:p w:rsidR="004875A0" w:rsidRPr="00DB07D2" w:rsidRDefault="004875A0" w:rsidP="004875A0">
      <w:pPr>
        <w:pStyle w:val="ListParagraph"/>
        <w:numPr>
          <w:ilvl w:val="0"/>
          <w:numId w:val="5"/>
        </w:numPr>
        <w:tabs>
          <w:tab w:val="left" w:pos="4058"/>
        </w:tabs>
        <w:rPr>
          <w:rFonts w:eastAsia="Calibri" w:cs="Times New Roman"/>
        </w:rPr>
      </w:pPr>
      <w:r>
        <w:rPr>
          <w:rFonts w:eastAsia="Calibri" w:cs="Times New Roman"/>
        </w:rPr>
        <w:t>all treatment including breaks (ie. the time from the first script of the first episode to the last script of the last episode plus one SCD (ie. the coverage of the last script).</w:t>
      </w:r>
    </w:p>
    <w:p w:rsidR="004875A0" w:rsidRDefault="004875A0" w:rsidP="009A537C">
      <w:pPr>
        <w:rPr>
          <w:b/>
          <w:sz w:val="28"/>
        </w:rPr>
      </w:pPr>
    </w:p>
    <w:p w:rsidR="00255945" w:rsidRPr="002A216F" w:rsidRDefault="00255945" w:rsidP="002A216F">
      <w:pPr>
        <w:pStyle w:val="Heading2"/>
        <w:rPr>
          <w:sz w:val="28"/>
          <w:szCs w:val="28"/>
        </w:rPr>
      </w:pPr>
      <w:r w:rsidRPr="00C665F2">
        <w:rPr>
          <w:sz w:val="28"/>
          <w:szCs w:val="28"/>
        </w:rPr>
        <w:t>PBS item codes used to analyse complete market</w:t>
      </w:r>
    </w:p>
    <w:tbl>
      <w:tblPr>
        <w:tblStyle w:val="TableGrid"/>
        <w:tblW w:w="0" w:type="auto"/>
        <w:tblLook w:val="04A0" w:firstRow="1" w:lastRow="0" w:firstColumn="1" w:lastColumn="0" w:noHBand="0" w:noVBand="1"/>
        <w:tblCaption w:val="PBS item codes used to analyse complete market"/>
        <w:tblDescription w:val="PBS item codes used to analyse complete market"/>
      </w:tblPr>
      <w:tblGrid>
        <w:gridCol w:w="3341"/>
        <w:gridCol w:w="2916"/>
      </w:tblGrid>
      <w:tr w:rsidR="002A216F" w:rsidRPr="000D2E9B" w:rsidTr="00D21C48">
        <w:trPr>
          <w:tblHeader/>
        </w:trPr>
        <w:tc>
          <w:tcPr>
            <w:tcW w:w="3341" w:type="dxa"/>
            <w:shd w:val="clear" w:color="auto" w:fill="BFBFBF" w:themeFill="background1" w:themeFillShade="BF"/>
          </w:tcPr>
          <w:p w:rsidR="002A216F" w:rsidRPr="000D2E9B" w:rsidRDefault="000D2E9B" w:rsidP="00255945">
            <w:pPr>
              <w:rPr>
                <w:b/>
              </w:rPr>
            </w:pPr>
            <w:r>
              <w:rPr>
                <w:b/>
              </w:rPr>
              <w:t>Medicine</w:t>
            </w:r>
          </w:p>
        </w:tc>
        <w:tc>
          <w:tcPr>
            <w:tcW w:w="2916" w:type="dxa"/>
            <w:shd w:val="clear" w:color="auto" w:fill="BFBFBF" w:themeFill="background1" w:themeFillShade="BF"/>
          </w:tcPr>
          <w:p w:rsidR="002A216F" w:rsidRPr="000D2E9B" w:rsidRDefault="002A216F" w:rsidP="00255945">
            <w:pPr>
              <w:rPr>
                <w:b/>
              </w:rPr>
            </w:pPr>
            <w:r w:rsidRPr="000D2E9B">
              <w:rPr>
                <w:b/>
              </w:rPr>
              <w:t>PBS item codes</w:t>
            </w:r>
          </w:p>
        </w:tc>
      </w:tr>
      <w:tr w:rsidR="002A216F" w:rsidTr="00255945">
        <w:tc>
          <w:tcPr>
            <w:tcW w:w="3341" w:type="dxa"/>
          </w:tcPr>
          <w:p w:rsidR="002A216F" w:rsidRDefault="002A216F" w:rsidP="00255945">
            <w:r>
              <w:t>Clopidogrel</w:t>
            </w:r>
          </w:p>
        </w:tc>
        <w:tc>
          <w:tcPr>
            <w:tcW w:w="2916" w:type="dxa"/>
          </w:tcPr>
          <w:p w:rsidR="002A216F" w:rsidRDefault="002A216F" w:rsidP="002A216F">
            <w:r>
              <w:t>2275R</w:t>
            </w:r>
          </w:p>
          <w:p w:rsidR="002A216F" w:rsidRDefault="002A216F" w:rsidP="002A216F">
            <w:r>
              <w:t>8358X</w:t>
            </w:r>
          </w:p>
          <w:p w:rsidR="002A216F" w:rsidRDefault="002A216F" w:rsidP="002A216F">
            <w:r>
              <w:t>9317J</w:t>
            </w:r>
          </w:p>
        </w:tc>
      </w:tr>
      <w:tr w:rsidR="002A216F" w:rsidTr="00255945">
        <w:tc>
          <w:tcPr>
            <w:tcW w:w="3341" w:type="dxa"/>
          </w:tcPr>
          <w:p w:rsidR="002A216F" w:rsidRDefault="002A216F" w:rsidP="00255945">
            <w:r>
              <w:t>Clopidogrel plus aspirin</w:t>
            </w:r>
          </w:p>
        </w:tc>
        <w:tc>
          <w:tcPr>
            <w:tcW w:w="2916" w:type="dxa"/>
          </w:tcPr>
          <w:p w:rsidR="002A216F" w:rsidRDefault="002A216F" w:rsidP="00255945">
            <w:r>
              <w:t>9296G</w:t>
            </w:r>
          </w:p>
        </w:tc>
      </w:tr>
      <w:tr w:rsidR="002A216F" w:rsidTr="00255945">
        <w:tc>
          <w:tcPr>
            <w:tcW w:w="3341" w:type="dxa"/>
          </w:tcPr>
          <w:p w:rsidR="002A216F" w:rsidRDefault="002A216F" w:rsidP="00255945">
            <w:r>
              <w:t>Prasugrel</w:t>
            </w:r>
          </w:p>
        </w:tc>
        <w:tc>
          <w:tcPr>
            <w:tcW w:w="2916" w:type="dxa"/>
          </w:tcPr>
          <w:p w:rsidR="002A216F" w:rsidRDefault="002A216F" w:rsidP="00255945">
            <w:r>
              <w:t>9496T</w:t>
            </w:r>
          </w:p>
          <w:p w:rsidR="002A216F" w:rsidRDefault="002A216F" w:rsidP="00255945">
            <w:r w:rsidRPr="00255945">
              <w:t>9495R</w:t>
            </w:r>
          </w:p>
        </w:tc>
      </w:tr>
    </w:tbl>
    <w:p w:rsidR="00255945" w:rsidRPr="00C665F2" w:rsidRDefault="00255945" w:rsidP="00C665F2">
      <w:pPr>
        <w:rPr>
          <w:i/>
        </w:rPr>
      </w:pPr>
    </w:p>
    <w:p w:rsidR="00336816" w:rsidRPr="002F0BBD" w:rsidRDefault="00336816" w:rsidP="002F0BBD">
      <w:pPr>
        <w:spacing w:line="276" w:lineRule="auto"/>
        <w:rPr>
          <w:b/>
          <w:sz w:val="28"/>
        </w:rPr>
      </w:pPr>
    </w:p>
    <w:sectPr w:rsidR="00336816" w:rsidRPr="002F0BBD" w:rsidSect="00DD188C">
      <w:headerReference w:type="even" r:id="rId16"/>
      <w:headerReference w:type="default" r:id="rId17"/>
      <w:footerReference w:type="even" r:id="rId18"/>
      <w:footerReference w:type="default" r:id="rId19"/>
      <w:headerReference w:type="first" r:id="rId20"/>
      <w:footerReference w:type="first" r:id="rId21"/>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5F" w:rsidRDefault="00D87D5F" w:rsidP="00A35800">
      <w:r>
        <w:separator/>
      </w:r>
    </w:p>
  </w:endnote>
  <w:endnote w:type="continuationSeparator" w:id="0">
    <w:p w:rsidR="00D87D5F" w:rsidRDefault="00D87D5F"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libri+FPE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30" w:rsidRDefault="00D42030"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42030" w:rsidRDefault="00D42030"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220733839"/>
      <w:docPartObj>
        <w:docPartGallery w:val="Page Numbers (Bottom of Page)"/>
        <w:docPartUnique/>
      </w:docPartObj>
    </w:sdtPr>
    <w:sdtEndPr>
      <w:rPr>
        <w:i w:val="0"/>
        <w:sz w:val="24"/>
        <w:szCs w:val="24"/>
      </w:rPr>
    </w:sdtEndPr>
    <w:sdtContent>
      <w:sdt>
        <w:sdtPr>
          <w:rPr>
            <w:i/>
            <w:sz w:val="20"/>
            <w:szCs w:val="20"/>
          </w:rPr>
          <w:id w:val="-1669238322"/>
          <w:docPartObj>
            <w:docPartGallery w:val="Page Numbers (Top of Page)"/>
            <w:docPartUnique/>
          </w:docPartObj>
        </w:sdtPr>
        <w:sdtEndPr>
          <w:rPr>
            <w:i w:val="0"/>
            <w:sz w:val="24"/>
            <w:szCs w:val="24"/>
          </w:rPr>
        </w:sdtEndPr>
        <w:sdtContent>
          <w:p w:rsidR="00DB51F5" w:rsidRPr="00DB51F5" w:rsidRDefault="00DB51F5" w:rsidP="000E72C6">
            <w:pPr>
              <w:pStyle w:val="Footer"/>
              <w:jc w:val="center"/>
              <w:rPr>
                <w:i/>
                <w:sz w:val="20"/>
                <w:szCs w:val="20"/>
              </w:rPr>
            </w:pPr>
            <w:r w:rsidRPr="00DB51F5">
              <w:rPr>
                <w:i/>
                <w:sz w:val="20"/>
                <w:szCs w:val="20"/>
              </w:rPr>
              <w:t xml:space="preserve">Public Release Document, February 2016 DUSC Meeting </w:t>
            </w:r>
          </w:p>
          <w:p w:rsidR="00D42030" w:rsidRDefault="00D42030"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1F4F56">
              <w:rPr>
                <w:bCs/>
                <w:i/>
                <w:noProof/>
                <w:sz w:val="20"/>
              </w:rPr>
              <w:t>6</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1F4F56">
              <w:rPr>
                <w:bCs/>
                <w:i/>
                <w:noProof/>
                <w:sz w:val="20"/>
              </w:rPr>
              <w:t>17</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30" w:rsidRDefault="00D42030" w:rsidP="007A5733">
    <w:pPr>
      <w:pStyle w:val="Footer"/>
      <w:jc w:val="center"/>
      <w:rPr>
        <w:rStyle w:val="PageNumber"/>
      </w:rPr>
    </w:pPr>
    <w:r>
      <w:rPr>
        <w:rStyle w:val="PageNumber"/>
      </w:rPr>
      <w:t>Committee-in-Confidence</w:t>
    </w:r>
  </w:p>
  <w:p w:rsidR="00D42030" w:rsidRDefault="00D42030"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5F" w:rsidRDefault="00D87D5F" w:rsidP="00A35800">
      <w:r>
        <w:separator/>
      </w:r>
    </w:p>
  </w:footnote>
  <w:footnote w:type="continuationSeparator" w:id="0">
    <w:p w:rsidR="00D87D5F" w:rsidRDefault="00D87D5F" w:rsidP="00A35800">
      <w:r>
        <w:continuationSeparator/>
      </w:r>
    </w:p>
  </w:footnote>
  <w:footnote w:id="1">
    <w:p w:rsidR="00D42030" w:rsidRDefault="00D42030">
      <w:pPr>
        <w:pStyle w:val="FootnoteText"/>
      </w:pPr>
      <w:r>
        <w:rPr>
          <w:rStyle w:val="FootnoteReference"/>
        </w:rPr>
        <w:footnoteRef/>
      </w:r>
      <w:r>
        <w:t xml:space="preserve"> Brilinta® (ticagrelor), </w:t>
      </w:r>
      <w:r>
        <w:rPr>
          <w:szCs w:val="18"/>
        </w:rPr>
        <w:t xml:space="preserve">Australian Approved Consumer Medicine Information. North Ryde NSW: </w:t>
      </w:r>
      <w:r w:rsidRPr="000955AF">
        <w:rPr>
          <w:szCs w:val="18"/>
        </w:rPr>
        <w:t>AstraZeneca Pty Ltd</w:t>
      </w:r>
      <w:r>
        <w:rPr>
          <w:szCs w:val="18"/>
        </w:rPr>
        <w:t xml:space="preserve">. July 2015, accessed 26 October 2015. Available from </w:t>
      </w:r>
      <w:hyperlink r:id="rId1" w:history="1">
        <w:r w:rsidRPr="002F5EB8">
          <w:rPr>
            <w:rStyle w:val="Hyperlink"/>
            <w:szCs w:val="18"/>
          </w:rPr>
          <w:t>https://www.ebs.tga.gov.au/ebs/picmi/picmirepository.nsf/pdf?OpenAgent&amp;id=CP-2011-CMI-02826-3</w:t>
        </w:r>
      </w:hyperlink>
      <w:r>
        <w:rPr>
          <w:szCs w:val="18"/>
        </w:rPr>
        <w:t xml:space="preserve"> </w:t>
      </w:r>
    </w:p>
  </w:footnote>
  <w:footnote w:id="2">
    <w:p w:rsidR="00D42030" w:rsidRPr="000955AF" w:rsidRDefault="00D42030">
      <w:pPr>
        <w:pStyle w:val="FootnoteText"/>
        <w:rPr>
          <w:szCs w:val="18"/>
        </w:rPr>
      </w:pPr>
      <w:r>
        <w:rPr>
          <w:rStyle w:val="FootnoteReference"/>
        </w:rPr>
        <w:footnoteRef/>
      </w:r>
      <w:r>
        <w:t xml:space="preserve"> Brilinta® (ticagrelor), </w:t>
      </w:r>
      <w:r>
        <w:rPr>
          <w:szCs w:val="18"/>
        </w:rPr>
        <w:t xml:space="preserve">Australian Approved Product Information. North Ryde NSW: </w:t>
      </w:r>
      <w:r w:rsidRPr="000955AF">
        <w:rPr>
          <w:szCs w:val="18"/>
        </w:rPr>
        <w:t>AstraZeneca Pty Ltd</w:t>
      </w:r>
      <w:r>
        <w:rPr>
          <w:szCs w:val="18"/>
        </w:rPr>
        <w:t xml:space="preserve">. Approved 21 June 2011, updated 25 July 2015, accessed 26 October 2015. Available from </w:t>
      </w:r>
      <w:hyperlink r:id="rId2" w:history="1">
        <w:r w:rsidRPr="002F5EB8">
          <w:rPr>
            <w:rStyle w:val="Hyperlink"/>
            <w:szCs w:val="18"/>
          </w:rPr>
          <w:t>https://www.ebs.tga.gov.au/ebs/picmi/picmirepository.nsf/pdf?OpenAgent&amp;id=CP-2011-PI-02824-3&amp;d=2015102616114622412</w:t>
        </w:r>
      </w:hyperlink>
      <w:r>
        <w:rPr>
          <w:szCs w:val="18"/>
        </w:rPr>
        <w:t xml:space="preserve"> </w:t>
      </w:r>
    </w:p>
  </w:footnote>
  <w:footnote w:id="3">
    <w:p w:rsidR="00D42030" w:rsidRDefault="00D42030">
      <w:pPr>
        <w:pStyle w:val="FootnoteText"/>
      </w:pPr>
      <w:r w:rsidRPr="00732572">
        <w:rPr>
          <w:rStyle w:val="FootnoteReference"/>
        </w:rPr>
        <w:footnoteRef/>
      </w:r>
      <w:r w:rsidRPr="00732572">
        <w:t xml:space="preserve"> </w:t>
      </w:r>
      <w:r w:rsidR="00732572" w:rsidRPr="00732572">
        <w:t>Brillinta® (t</w:t>
      </w:r>
      <w:r w:rsidRPr="00732572">
        <w:t>icagrelor</w:t>
      </w:r>
      <w:r w:rsidR="00732572" w:rsidRPr="00732572">
        <w:t>)</w:t>
      </w:r>
      <w:r w:rsidRPr="00732572">
        <w:t xml:space="preserve"> </w:t>
      </w:r>
      <w:hyperlink r:id="rId3" w:history="1">
        <w:r w:rsidRPr="00FB601F">
          <w:rPr>
            <w:rStyle w:val="Hyperlink"/>
          </w:rPr>
          <w:t>Public Summary Document</w:t>
        </w:r>
      </w:hyperlink>
      <w:r w:rsidR="00732572" w:rsidRPr="00732572">
        <w:t>, July</w:t>
      </w:r>
      <w:r w:rsidR="00732572">
        <w:t xml:space="preserve"> 201</w:t>
      </w:r>
      <w:r w:rsidR="00FB601F">
        <w:t>1.</w:t>
      </w:r>
    </w:p>
  </w:footnote>
  <w:footnote w:id="4">
    <w:p w:rsidR="00D42030" w:rsidRPr="00BC5AE2" w:rsidRDefault="00D42030" w:rsidP="009A2F54">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4" w:history="1">
        <w:r w:rsidR="00FB601F" w:rsidRPr="004C0F56">
          <w:rPr>
            <w:rStyle w:val="Hyperlink"/>
            <w:sz w:val="20"/>
          </w:rPr>
          <w:t>http://www.medicareaustralia.gov.au/provider/pbs/stats.jsp</w:t>
        </w:r>
      </w:hyperlink>
      <w:r>
        <w:rPr>
          <w:sz w:val="20"/>
        </w:rPr>
        <w:t>&gt;.</w:t>
      </w:r>
    </w:p>
  </w:footnote>
  <w:footnote w:id="5">
    <w:p w:rsidR="00532767" w:rsidRPr="00532767" w:rsidRDefault="00532767" w:rsidP="00532767">
      <w:pPr>
        <w:pStyle w:val="FootnoteText"/>
      </w:pPr>
      <w:r>
        <w:rPr>
          <w:rStyle w:val="FootnoteReference"/>
        </w:rPr>
        <w:footnoteRef/>
      </w:r>
      <w:r>
        <w:t xml:space="preserve"> </w:t>
      </w:r>
      <w:r w:rsidRPr="00532767">
        <w:rPr>
          <w:rStyle w:val="IntenseReference"/>
          <w:b w:val="0"/>
          <w:i w:val="0"/>
          <w:smallCaps w:val="0"/>
          <w:color w:val="auto"/>
        </w:rPr>
        <w:t>NPS MedicineWise</w:t>
      </w:r>
      <w:r>
        <w:rPr>
          <w:rStyle w:val="IntenseReference"/>
          <w:b w:val="0"/>
          <w:i w:val="0"/>
          <w:smallCaps w:val="0"/>
          <w:color w:val="auto"/>
        </w:rPr>
        <w:t>, NSW Australia, available from</w:t>
      </w:r>
      <w:r>
        <w:t xml:space="preserve"> &lt;</w:t>
      </w:r>
      <w:hyperlink r:id="rId5" w:history="1">
        <w:r w:rsidRPr="00DF0B90">
          <w:rPr>
            <w:rStyle w:val="IntenseReference"/>
            <w:b w:val="0"/>
            <w:i w:val="0"/>
            <w:smallCaps w:val="0"/>
            <w:color w:val="auto"/>
          </w:rPr>
          <w:t>http://www.nps.org.au/publications/health-professional/nps-radar/2011/december-2011/ticagrelor</w:t>
        </w:r>
      </w:hyperlink>
      <w:r>
        <w:rPr>
          <w:rStyle w:val="IntenseReference"/>
          <w:b w:val="0"/>
          <w:i w:val="0"/>
          <w:smallCaps w:val="0"/>
          <w:color w:val="auto"/>
        </w:rPr>
        <w:t xml:space="preserve">&gt;. </w:t>
      </w:r>
    </w:p>
  </w:footnote>
  <w:footnote w:id="6">
    <w:p w:rsidR="00DB51F5" w:rsidRPr="00D22273" w:rsidRDefault="00DB51F5" w:rsidP="00DB51F5">
      <w:pPr>
        <w:pStyle w:val="FootnoteText"/>
      </w:pPr>
      <w:r w:rsidRPr="00D22273">
        <w:rPr>
          <w:rStyle w:val="FootnoteReference"/>
        </w:rPr>
        <w:footnoteRef/>
      </w:r>
      <w:r w:rsidRPr="00D22273">
        <w:t xml:space="preserve"> Ticagrelor Public Summary Document, July 2011</w:t>
      </w:r>
    </w:p>
  </w:footnote>
  <w:footnote w:id="7">
    <w:p w:rsidR="00DB51F5" w:rsidRPr="00D22273" w:rsidRDefault="00DB51F5" w:rsidP="00DB51F5">
      <w:pPr>
        <w:pStyle w:val="FootnoteText"/>
      </w:pPr>
      <w:r w:rsidRPr="00D22273">
        <w:rPr>
          <w:rStyle w:val="FootnoteReference"/>
        </w:rPr>
        <w:footnoteRef/>
      </w:r>
      <w:r w:rsidRPr="00D22273">
        <w:t xml:space="preserve"> 2015 ESC Guidelines for the management of acute coronary syndromes</w:t>
      </w:r>
      <w:r>
        <w:t xml:space="preserve"> in patients presenting without </w:t>
      </w:r>
      <w:r w:rsidRPr="00D22273">
        <w:t>persistent ST-segment elevation; European heart Journal (2016) 37, 367-315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1E" w:rsidRDefault="003F6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1E" w:rsidRDefault="003F65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1E" w:rsidRDefault="003F6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1DDE"/>
    <w:multiLevelType w:val="hybridMultilevel"/>
    <w:tmpl w:val="145A25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220000"/>
    <w:multiLevelType w:val="hybridMultilevel"/>
    <w:tmpl w:val="58DA3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3483E58"/>
    <w:multiLevelType w:val="hybridMultilevel"/>
    <w:tmpl w:val="5476AE5E"/>
    <w:lvl w:ilvl="0" w:tplc="6158E59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72880EB7"/>
    <w:multiLevelType w:val="hybridMultilevel"/>
    <w:tmpl w:val="1EF88A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F372A8F"/>
    <w:multiLevelType w:val="hybridMultilevel"/>
    <w:tmpl w:val="BE02DFBC"/>
    <w:lvl w:ilvl="0" w:tplc="0C090001">
      <w:start w:val="1"/>
      <w:numFmt w:val="bullet"/>
      <w:lvlText w:val=""/>
      <w:lvlJc w:val="left"/>
      <w:pPr>
        <w:ind w:left="360" w:hanging="360"/>
      </w:pPr>
      <w:rPr>
        <w:rFonts w:ascii="Symbol" w:hAnsi="Symbol" w:hint="default"/>
      </w:rPr>
    </w:lvl>
    <w:lvl w:ilvl="1" w:tplc="61C8A34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6C56"/>
    <w:rsid w:val="00007E85"/>
    <w:rsid w:val="00011A0C"/>
    <w:rsid w:val="00013465"/>
    <w:rsid w:val="000155EF"/>
    <w:rsid w:val="00015731"/>
    <w:rsid w:val="00015D35"/>
    <w:rsid w:val="000226B3"/>
    <w:rsid w:val="00024549"/>
    <w:rsid w:val="00026941"/>
    <w:rsid w:val="000272E9"/>
    <w:rsid w:val="00033060"/>
    <w:rsid w:val="00045C5B"/>
    <w:rsid w:val="00046FE3"/>
    <w:rsid w:val="000544B6"/>
    <w:rsid w:val="000604AF"/>
    <w:rsid w:val="000813BA"/>
    <w:rsid w:val="00086C11"/>
    <w:rsid w:val="00094DCF"/>
    <w:rsid w:val="000955AF"/>
    <w:rsid w:val="00096AE1"/>
    <w:rsid w:val="000A30CD"/>
    <w:rsid w:val="000A6CFD"/>
    <w:rsid w:val="000A7C4E"/>
    <w:rsid w:val="000B0982"/>
    <w:rsid w:val="000B796C"/>
    <w:rsid w:val="000C46BB"/>
    <w:rsid w:val="000C4D9D"/>
    <w:rsid w:val="000C7C4B"/>
    <w:rsid w:val="000C7D8B"/>
    <w:rsid w:val="000D0B89"/>
    <w:rsid w:val="000D2E9B"/>
    <w:rsid w:val="000D4AAF"/>
    <w:rsid w:val="000E45AE"/>
    <w:rsid w:val="000E485D"/>
    <w:rsid w:val="000E72C6"/>
    <w:rsid w:val="000F1893"/>
    <w:rsid w:val="000F2DA0"/>
    <w:rsid w:val="000F2F51"/>
    <w:rsid w:val="00113CF8"/>
    <w:rsid w:val="00113D74"/>
    <w:rsid w:val="00116C08"/>
    <w:rsid w:val="00117C5C"/>
    <w:rsid w:val="0012284C"/>
    <w:rsid w:val="001263A0"/>
    <w:rsid w:val="00126DEC"/>
    <w:rsid w:val="001310AE"/>
    <w:rsid w:val="00133B4A"/>
    <w:rsid w:val="001420B3"/>
    <w:rsid w:val="00145722"/>
    <w:rsid w:val="00145872"/>
    <w:rsid w:val="0015492F"/>
    <w:rsid w:val="0015691C"/>
    <w:rsid w:val="00161A5E"/>
    <w:rsid w:val="001621F7"/>
    <w:rsid w:val="001624D7"/>
    <w:rsid w:val="00166324"/>
    <w:rsid w:val="0017019E"/>
    <w:rsid w:val="00176479"/>
    <w:rsid w:val="00177823"/>
    <w:rsid w:val="00177B86"/>
    <w:rsid w:val="00182585"/>
    <w:rsid w:val="00182E80"/>
    <w:rsid w:val="00190121"/>
    <w:rsid w:val="00191182"/>
    <w:rsid w:val="0019664D"/>
    <w:rsid w:val="001A2A0E"/>
    <w:rsid w:val="001A5A2C"/>
    <w:rsid w:val="001A6103"/>
    <w:rsid w:val="001B5D37"/>
    <w:rsid w:val="001B7D11"/>
    <w:rsid w:val="001C2940"/>
    <w:rsid w:val="001C4016"/>
    <w:rsid w:val="001C548D"/>
    <w:rsid w:val="001C6A5D"/>
    <w:rsid w:val="001D08A2"/>
    <w:rsid w:val="001D2722"/>
    <w:rsid w:val="001E31A6"/>
    <w:rsid w:val="001E42C7"/>
    <w:rsid w:val="001E4CAB"/>
    <w:rsid w:val="001F2F3E"/>
    <w:rsid w:val="001F4906"/>
    <w:rsid w:val="001F4F56"/>
    <w:rsid w:val="001F7C4A"/>
    <w:rsid w:val="0020578A"/>
    <w:rsid w:val="00207631"/>
    <w:rsid w:val="00214013"/>
    <w:rsid w:val="00220FC1"/>
    <w:rsid w:val="00221A1A"/>
    <w:rsid w:val="00222E9A"/>
    <w:rsid w:val="0022505C"/>
    <w:rsid w:val="0022726A"/>
    <w:rsid w:val="0022779A"/>
    <w:rsid w:val="00230A1C"/>
    <w:rsid w:val="0023179D"/>
    <w:rsid w:val="002410C6"/>
    <w:rsid w:val="00252EFE"/>
    <w:rsid w:val="00253026"/>
    <w:rsid w:val="0025389D"/>
    <w:rsid w:val="00255113"/>
    <w:rsid w:val="00255945"/>
    <w:rsid w:val="0026265F"/>
    <w:rsid w:val="00280A6F"/>
    <w:rsid w:val="00286C3A"/>
    <w:rsid w:val="002930F5"/>
    <w:rsid w:val="002932F7"/>
    <w:rsid w:val="002A06B7"/>
    <w:rsid w:val="002A216F"/>
    <w:rsid w:val="002B63B6"/>
    <w:rsid w:val="002B7F8A"/>
    <w:rsid w:val="002C6E0C"/>
    <w:rsid w:val="002D144A"/>
    <w:rsid w:val="002D33D7"/>
    <w:rsid w:val="002D7A05"/>
    <w:rsid w:val="002D7D63"/>
    <w:rsid w:val="002D7E12"/>
    <w:rsid w:val="002E07C7"/>
    <w:rsid w:val="002E19A3"/>
    <w:rsid w:val="002E212B"/>
    <w:rsid w:val="002E3337"/>
    <w:rsid w:val="002E6B81"/>
    <w:rsid w:val="002E6D03"/>
    <w:rsid w:val="002E7018"/>
    <w:rsid w:val="002E7232"/>
    <w:rsid w:val="002E7973"/>
    <w:rsid w:val="002F0BBD"/>
    <w:rsid w:val="002F1BC6"/>
    <w:rsid w:val="002F49A8"/>
    <w:rsid w:val="002F5E66"/>
    <w:rsid w:val="002F61CA"/>
    <w:rsid w:val="002F74DA"/>
    <w:rsid w:val="002F7A40"/>
    <w:rsid w:val="0030010D"/>
    <w:rsid w:val="00323B05"/>
    <w:rsid w:val="00326FF4"/>
    <w:rsid w:val="0033504C"/>
    <w:rsid w:val="003354B9"/>
    <w:rsid w:val="00336816"/>
    <w:rsid w:val="003370D0"/>
    <w:rsid w:val="00337355"/>
    <w:rsid w:val="003402E4"/>
    <w:rsid w:val="00340F95"/>
    <w:rsid w:val="003531ED"/>
    <w:rsid w:val="00360B9A"/>
    <w:rsid w:val="00362520"/>
    <w:rsid w:val="00363A36"/>
    <w:rsid w:val="00375F4D"/>
    <w:rsid w:val="00375FFB"/>
    <w:rsid w:val="003809F8"/>
    <w:rsid w:val="003843C4"/>
    <w:rsid w:val="00385634"/>
    <w:rsid w:val="0039017F"/>
    <w:rsid w:val="00390EAF"/>
    <w:rsid w:val="00394AEE"/>
    <w:rsid w:val="00394B1A"/>
    <w:rsid w:val="003A690A"/>
    <w:rsid w:val="003B5C2A"/>
    <w:rsid w:val="003C2D98"/>
    <w:rsid w:val="003D351E"/>
    <w:rsid w:val="003D3A96"/>
    <w:rsid w:val="003D6240"/>
    <w:rsid w:val="003D627B"/>
    <w:rsid w:val="003E279D"/>
    <w:rsid w:val="003E737F"/>
    <w:rsid w:val="003E73A9"/>
    <w:rsid w:val="003F651E"/>
    <w:rsid w:val="003F6C4A"/>
    <w:rsid w:val="00404F03"/>
    <w:rsid w:val="00412051"/>
    <w:rsid w:val="00421DFB"/>
    <w:rsid w:val="00423B94"/>
    <w:rsid w:val="0043740B"/>
    <w:rsid w:val="00443DA1"/>
    <w:rsid w:val="00450A6A"/>
    <w:rsid w:val="00450A74"/>
    <w:rsid w:val="004565E0"/>
    <w:rsid w:val="00463731"/>
    <w:rsid w:val="00463F96"/>
    <w:rsid w:val="0046400A"/>
    <w:rsid w:val="00467B25"/>
    <w:rsid w:val="00481108"/>
    <w:rsid w:val="00482B48"/>
    <w:rsid w:val="004869C4"/>
    <w:rsid w:val="004875A0"/>
    <w:rsid w:val="0049042B"/>
    <w:rsid w:val="004953AD"/>
    <w:rsid w:val="00495473"/>
    <w:rsid w:val="004A458E"/>
    <w:rsid w:val="004A4A40"/>
    <w:rsid w:val="004B23E7"/>
    <w:rsid w:val="004B306F"/>
    <w:rsid w:val="004B3FFE"/>
    <w:rsid w:val="004B7DE5"/>
    <w:rsid w:val="004C3186"/>
    <w:rsid w:val="004C5042"/>
    <w:rsid w:val="004D1BA2"/>
    <w:rsid w:val="004D23CC"/>
    <w:rsid w:val="004D2F7E"/>
    <w:rsid w:val="004D3D2A"/>
    <w:rsid w:val="004D7632"/>
    <w:rsid w:val="004E3AC6"/>
    <w:rsid w:val="004E4422"/>
    <w:rsid w:val="00503998"/>
    <w:rsid w:val="005059E1"/>
    <w:rsid w:val="0050623B"/>
    <w:rsid w:val="00515362"/>
    <w:rsid w:val="005160A4"/>
    <w:rsid w:val="00522DF8"/>
    <w:rsid w:val="00523181"/>
    <w:rsid w:val="00524D13"/>
    <w:rsid w:val="00530D29"/>
    <w:rsid w:val="00532767"/>
    <w:rsid w:val="005339F6"/>
    <w:rsid w:val="00535BF6"/>
    <w:rsid w:val="005441DA"/>
    <w:rsid w:val="00551C91"/>
    <w:rsid w:val="0055465E"/>
    <w:rsid w:val="0056439D"/>
    <w:rsid w:val="00571A70"/>
    <w:rsid w:val="00576B18"/>
    <w:rsid w:val="00587724"/>
    <w:rsid w:val="00590047"/>
    <w:rsid w:val="00591512"/>
    <w:rsid w:val="00596229"/>
    <w:rsid w:val="005A7D3C"/>
    <w:rsid w:val="005B0660"/>
    <w:rsid w:val="005B31F6"/>
    <w:rsid w:val="005B48B4"/>
    <w:rsid w:val="005C2C77"/>
    <w:rsid w:val="005C3B6E"/>
    <w:rsid w:val="005C6661"/>
    <w:rsid w:val="005C6E3B"/>
    <w:rsid w:val="005D375D"/>
    <w:rsid w:val="005D474B"/>
    <w:rsid w:val="005D70F8"/>
    <w:rsid w:val="005E085C"/>
    <w:rsid w:val="005E0C02"/>
    <w:rsid w:val="005E147D"/>
    <w:rsid w:val="005E22C2"/>
    <w:rsid w:val="005E4487"/>
    <w:rsid w:val="005E57BB"/>
    <w:rsid w:val="005F0017"/>
    <w:rsid w:val="006012BB"/>
    <w:rsid w:val="006014F1"/>
    <w:rsid w:val="0061357B"/>
    <w:rsid w:val="00614A7D"/>
    <w:rsid w:val="00624DB2"/>
    <w:rsid w:val="006265DB"/>
    <w:rsid w:val="006333DB"/>
    <w:rsid w:val="0063631C"/>
    <w:rsid w:val="0063757B"/>
    <w:rsid w:val="006377CE"/>
    <w:rsid w:val="00640E66"/>
    <w:rsid w:val="00643ACB"/>
    <w:rsid w:val="006537D9"/>
    <w:rsid w:val="00657EFC"/>
    <w:rsid w:val="00664A48"/>
    <w:rsid w:val="00665DEF"/>
    <w:rsid w:val="00673288"/>
    <w:rsid w:val="00675BB1"/>
    <w:rsid w:val="00675EA7"/>
    <w:rsid w:val="006770DE"/>
    <w:rsid w:val="006775F1"/>
    <w:rsid w:val="00677B28"/>
    <w:rsid w:val="00684076"/>
    <w:rsid w:val="00685E5B"/>
    <w:rsid w:val="00692AA7"/>
    <w:rsid w:val="00697FEC"/>
    <w:rsid w:val="006A175F"/>
    <w:rsid w:val="006A1EBC"/>
    <w:rsid w:val="006A27F1"/>
    <w:rsid w:val="006A44F5"/>
    <w:rsid w:val="006A6203"/>
    <w:rsid w:val="006B10E6"/>
    <w:rsid w:val="006B4537"/>
    <w:rsid w:val="006B5F85"/>
    <w:rsid w:val="006B6929"/>
    <w:rsid w:val="006B709B"/>
    <w:rsid w:val="006C2564"/>
    <w:rsid w:val="006C54AF"/>
    <w:rsid w:val="006C7B06"/>
    <w:rsid w:val="006D160D"/>
    <w:rsid w:val="006D578F"/>
    <w:rsid w:val="006D650D"/>
    <w:rsid w:val="006E0181"/>
    <w:rsid w:val="006F1AC2"/>
    <w:rsid w:val="006F4B1D"/>
    <w:rsid w:val="00700C0E"/>
    <w:rsid w:val="00705DAD"/>
    <w:rsid w:val="00707920"/>
    <w:rsid w:val="007247B9"/>
    <w:rsid w:val="00727D85"/>
    <w:rsid w:val="0073014E"/>
    <w:rsid w:val="0073196B"/>
    <w:rsid w:val="00732572"/>
    <w:rsid w:val="007346C7"/>
    <w:rsid w:val="00736041"/>
    <w:rsid w:val="007408C7"/>
    <w:rsid w:val="0074638D"/>
    <w:rsid w:val="007465DA"/>
    <w:rsid w:val="00746CF4"/>
    <w:rsid w:val="0074783E"/>
    <w:rsid w:val="00752C7F"/>
    <w:rsid w:val="00753AC8"/>
    <w:rsid w:val="00762954"/>
    <w:rsid w:val="00776598"/>
    <w:rsid w:val="00792948"/>
    <w:rsid w:val="00796E84"/>
    <w:rsid w:val="00796EA3"/>
    <w:rsid w:val="007A2586"/>
    <w:rsid w:val="007A3ADE"/>
    <w:rsid w:val="007A5733"/>
    <w:rsid w:val="007A5774"/>
    <w:rsid w:val="007B1843"/>
    <w:rsid w:val="007B1C1E"/>
    <w:rsid w:val="007B3540"/>
    <w:rsid w:val="007B4FF2"/>
    <w:rsid w:val="007C4198"/>
    <w:rsid w:val="007C4C02"/>
    <w:rsid w:val="007D18A9"/>
    <w:rsid w:val="007D5BE6"/>
    <w:rsid w:val="007D6164"/>
    <w:rsid w:val="007D7220"/>
    <w:rsid w:val="007E054A"/>
    <w:rsid w:val="00801E74"/>
    <w:rsid w:val="0080485E"/>
    <w:rsid w:val="008142B4"/>
    <w:rsid w:val="008208CA"/>
    <w:rsid w:val="0082270F"/>
    <w:rsid w:val="00832324"/>
    <w:rsid w:val="00835337"/>
    <w:rsid w:val="0084075B"/>
    <w:rsid w:val="00846DCD"/>
    <w:rsid w:val="00851D85"/>
    <w:rsid w:val="00853C6C"/>
    <w:rsid w:val="008552A6"/>
    <w:rsid w:val="00860CCB"/>
    <w:rsid w:val="00866E38"/>
    <w:rsid w:val="008707A1"/>
    <w:rsid w:val="008740A3"/>
    <w:rsid w:val="00882E55"/>
    <w:rsid w:val="0089297B"/>
    <w:rsid w:val="008A282D"/>
    <w:rsid w:val="008B03CB"/>
    <w:rsid w:val="008C36CA"/>
    <w:rsid w:val="008E3F8C"/>
    <w:rsid w:val="008F42FB"/>
    <w:rsid w:val="00902FD0"/>
    <w:rsid w:val="009053D3"/>
    <w:rsid w:val="0090691F"/>
    <w:rsid w:val="0093111F"/>
    <w:rsid w:val="00935689"/>
    <w:rsid w:val="0095303B"/>
    <w:rsid w:val="00956158"/>
    <w:rsid w:val="009663B6"/>
    <w:rsid w:val="009744BE"/>
    <w:rsid w:val="00974A47"/>
    <w:rsid w:val="009767FB"/>
    <w:rsid w:val="00980286"/>
    <w:rsid w:val="00990DCF"/>
    <w:rsid w:val="009920E8"/>
    <w:rsid w:val="009936B0"/>
    <w:rsid w:val="009938C7"/>
    <w:rsid w:val="009A2F54"/>
    <w:rsid w:val="009A3F72"/>
    <w:rsid w:val="009A4CD6"/>
    <w:rsid w:val="009A537C"/>
    <w:rsid w:val="009B3324"/>
    <w:rsid w:val="009C0886"/>
    <w:rsid w:val="009C19EE"/>
    <w:rsid w:val="009C28D0"/>
    <w:rsid w:val="009C35F2"/>
    <w:rsid w:val="009C628A"/>
    <w:rsid w:val="009C6CEF"/>
    <w:rsid w:val="009C7782"/>
    <w:rsid w:val="009D1ED5"/>
    <w:rsid w:val="009D4C13"/>
    <w:rsid w:val="009E0AA6"/>
    <w:rsid w:val="009E21A7"/>
    <w:rsid w:val="009E2529"/>
    <w:rsid w:val="00A07FCA"/>
    <w:rsid w:val="00A103ED"/>
    <w:rsid w:val="00A13C60"/>
    <w:rsid w:val="00A144C9"/>
    <w:rsid w:val="00A218A5"/>
    <w:rsid w:val="00A21910"/>
    <w:rsid w:val="00A2674F"/>
    <w:rsid w:val="00A278CE"/>
    <w:rsid w:val="00A32551"/>
    <w:rsid w:val="00A341A3"/>
    <w:rsid w:val="00A34212"/>
    <w:rsid w:val="00A35800"/>
    <w:rsid w:val="00A368D3"/>
    <w:rsid w:val="00A4111D"/>
    <w:rsid w:val="00A52918"/>
    <w:rsid w:val="00A5377E"/>
    <w:rsid w:val="00A547B3"/>
    <w:rsid w:val="00A55701"/>
    <w:rsid w:val="00A56EFD"/>
    <w:rsid w:val="00A70E82"/>
    <w:rsid w:val="00A71AC9"/>
    <w:rsid w:val="00A84CAD"/>
    <w:rsid w:val="00A860E8"/>
    <w:rsid w:val="00A90E50"/>
    <w:rsid w:val="00A95FA5"/>
    <w:rsid w:val="00A96D92"/>
    <w:rsid w:val="00AA021B"/>
    <w:rsid w:val="00AA4D29"/>
    <w:rsid w:val="00AA4E69"/>
    <w:rsid w:val="00AB0AD5"/>
    <w:rsid w:val="00AB24CD"/>
    <w:rsid w:val="00AB25B4"/>
    <w:rsid w:val="00AB3733"/>
    <w:rsid w:val="00AB7897"/>
    <w:rsid w:val="00AC2F4D"/>
    <w:rsid w:val="00AC424F"/>
    <w:rsid w:val="00AC5054"/>
    <w:rsid w:val="00AE098B"/>
    <w:rsid w:val="00AE4BAC"/>
    <w:rsid w:val="00AE7EC9"/>
    <w:rsid w:val="00AF1FE1"/>
    <w:rsid w:val="00AF2DB4"/>
    <w:rsid w:val="00AF6EEE"/>
    <w:rsid w:val="00B034FC"/>
    <w:rsid w:val="00B05310"/>
    <w:rsid w:val="00B07695"/>
    <w:rsid w:val="00B10A0B"/>
    <w:rsid w:val="00B1180C"/>
    <w:rsid w:val="00B1554C"/>
    <w:rsid w:val="00B20FC7"/>
    <w:rsid w:val="00B2581B"/>
    <w:rsid w:val="00B27673"/>
    <w:rsid w:val="00B27E00"/>
    <w:rsid w:val="00B30D85"/>
    <w:rsid w:val="00B30DBA"/>
    <w:rsid w:val="00B31E00"/>
    <w:rsid w:val="00B32EB5"/>
    <w:rsid w:val="00B35A4A"/>
    <w:rsid w:val="00B36D8F"/>
    <w:rsid w:val="00B42CB1"/>
    <w:rsid w:val="00B5657F"/>
    <w:rsid w:val="00B61E8D"/>
    <w:rsid w:val="00B63FD7"/>
    <w:rsid w:val="00B72CA5"/>
    <w:rsid w:val="00B76EC4"/>
    <w:rsid w:val="00B816D9"/>
    <w:rsid w:val="00B827E3"/>
    <w:rsid w:val="00B9120F"/>
    <w:rsid w:val="00B9216C"/>
    <w:rsid w:val="00B924A4"/>
    <w:rsid w:val="00B92778"/>
    <w:rsid w:val="00B92DF6"/>
    <w:rsid w:val="00B93C6A"/>
    <w:rsid w:val="00BA2616"/>
    <w:rsid w:val="00BB0D1A"/>
    <w:rsid w:val="00BB1D3B"/>
    <w:rsid w:val="00BB420A"/>
    <w:rsid w:val="00BC0902"/>
    <w:rsid w:val="00BC215B"/>
    <w:rsid w:val="00BC35ED"/>
    <w:rsid w:val="00BC7326"/>
    <w:rsid w:val="00BE205A"/>
    <w:rsid w:val="00BE3802"/>
    <w:rsid w:val="00BE6DAE"/>
    <w:rsid w:val="00BF238E"/>
    <w:rsid w:val="00BF2F4A"/>
    <w:rsid w:val="00BF516F"/>
    <w:rsid w:val="00BF544D"/>
    <w:rsid w:val="00C0076F"/>
    <w:rsid w:val="00C0301C"/>
    <w:rsid w:val="00C050B6"/>
    <w:rsid w:val="00C10206"/>
    <w:rsid w:val="00C10F12"/>
    <w:rsid w:val="00C2275B"/>
    <w:rsid w:val="00C245EA"/>
    <w:rsid w:val="00C25634"/>
    <w:rsid w:val="00C256F6"/>
    <w:rsid w:val="00C3097E"/>
    <w:rsid w:val="00C33D2C"/>
    <w:rsid w:val="00C35ECC"/>
    <w:rsid w:val="00C361A8"/>
    <w:rsid w:val="00C366A5"/>
    <w:rsid w:val="00C37EAE"/>
    <w:rsid w:val="00C41246"/>
    <w:rsid w:val="00C45AC8"/>
    <w:rsid w:val="00C45E5F"/>
    <w:rsid w:val="00C46291"/>
    <w:rsid w:val="00C47C37"/>
    <w:rsid w:val="00C5128B"/>
    <w:rsid w:val="00C574D5"/>
    <w:rsid w:val="00C63412"/>
    <w:rsid w:val="00C6367A"/>
    <w:rsid w:val="00C66340"/>
    <w:rsid w:val="00C665F2"/>
    <w:rsid w:val="00C714D0"/>
    <w:rsid w:val="00C728FE"/>
    <w:rsid w:val="00C74EFD"/>
    <w:rsid w:val="00C90EF4"/>
    <w:rsid w:val="00CA015A"/>
    <w:rsid w:val="00CA7385"/>
    <w:rsid w:val="00CC1AA3"/>
    <w:rsid w:val="00CD4486"/>
    <w:rsid w:val="00CD5C74"/>
    <w:rsid w:val="00CE2095"/>
    <w:rsid w:val="00CE5350"/>
    <w:rsid w:val="00CF0B70"/>
    <w:rsid w:val="00CF130E"/>
    <w:rsid w:val="00D06A44"/>
    <w:rsid w:val="00D0728B"/>
    <w:rsid w:val="00D10444"/>
    <w:rsid w:val="00D151EB"/>
    <w:rsid w:val="00D21C48"/>
    <w:rsid w:val="00D22930"/>
    <w:rsid w:val="00D300E0"/>
    <w:rsid w:val="00D336A0"/>
    <w:rsid w:val="00D35EF7"/>
    <w:rsid w:val="00D374CD"/>
    <w:rsid w:val="00D406F0"/>
    <w:rsid w:val="00D42030"/>
    <w:rsid w:val="00D650CE"/>
    <w:rsid w:val="00D71719"/>
    <w:rsid w:val="00D75D78"/>
    <w:rsid w:val="00D776DA"/>
    <w:rsid w:val="00D86985"/>
    <w:rsid w:val="00D8758B"/>
    <w:rsid w:val="00D87D5F"/>
    <w:rsid w:val="00D9010A"/>
    <w:rsid w:val="00D91A76"/>
    <w:rsid w:val="00D934F8"/>
    <w:rsid w:val="00D93C42"/>
    <w:rsid w:val="00D942B3"/>
    <w:rsid w:val="00D94863"/>
    <w:rsid w:val="00D96E06"/>
    <w:rsid w:val="00DA1A32"/>
    <w:rsid w:val="00DA2807"/>
    <w:rsid w:val="00DA7D09"/>
    <w:rsid w:val="00DB36F5"/>
    <w:rsid w:val="00DB51F5"/>
    <w:rsid w:val="00DB6262"/>
    <w:rsid w:val="00DB688D"/>
    <w:rsid w:val="00DC2630"/>
    <w:rsid w:val="00DC49E9"/>
    <w:rsid w:val="00DC55E4"/>
    <w:rsid w:val="00DC7D71"/>
    <w:rsid w:val="00DD188C"/>
    <w:rsid w:val="00DD29A3"/>
    <w:rsid w:val="00DD48EE"/>
    <w:rsid w:val="00DD700B"/>
    <w:rsid w:val="00DD7A61"/>
    <w:rsid w:val="00DE0B96"/>
    <w:rsid w:val="00DE10B9"/>
    <w:rsid w:val="00DF0B13"/>
    <w:rsid w:val="00DF0B90"/>
    <w:rsid w:val="00DF1C56"/>
    <w:rsid w:val="00DF2EB8"/>
    <w:rsid w:val="00DF4A94"/>
    <w:rsid w:val="00DF6003"/>
    <w:rsid w:val="00E00095"/>
    <w:rsid w:val="00E066C3"/>
    <w:rsid w:val="00E10D8C"/>
    <w:rsid w:val="00E1353A"/>
    <w:rsid w:val="00E1564B"/>
    <w:rsid w:val="00E17129"/>
    <w:rsid w:val="00E202E2"/>
    <w:rsid w:val="00E208A0"/>
    <w:rsid w:val="00E24CE9"/>
    <w:rsid w:val="00E25B49"/>
    <w:rsid w:val="00E35669"/>
    <w:rsid w:val="00E371EA"/>
    <w:rsid w:val="00E46A2B"/>
    <w:rsid w:val="00E47CBA"/>
    <w:rsid w:val="00E521CD"/>
    <w:rsid w:val="00E53E30"/>
    <w:rsid w:val="00E574BE"/>
    <w:rsid w:val="00E625F2"/>
    <w:rsid w:val="00E64429"/>
    <w:rsid w:val="00E677DD"/>
    <w:rsid w:val="00E67DDD"/>
    <w:rsid w:val="00E74330"/>
    <w:rsid w:val="00E7594B"/>
    <w:rsid w:val="00E76250"/>
    <w:rsid w:val="00E767DE"/>
    <w:rsid w:val="00E82220"/>
    <w:rsid w:val="00E928B3"/>
    <w:rsid w:val="00EB4688"/>
    <w:rsid w:val="00EB6C07"/>
    <w:rsid w:val="00EC028D"/>
    <w:rsid w:val="00EC46BB"/>
    <w:rsid w:val="00ED4C20"/>
    <w:rsid w:val="00ED633B"/>
    <w:rsid w:val="00EE2AB5"/>
    <w:rsid w:val="00EE3872"/>
    <w:rsid w:val="00EE478C"/>
    <w:rsid w:val="00F1132C"/>
    <w:rsid w:val="00F143B5"/>
    <w:rsid w:val="00F15DD5"/>
    <w:rsid w:val="00F17D4B"/>
    <w:rsid w:val="00F23139"/>
    <w:rsid w:val="00F27F50"/>
    <w:rsid w:val="00F50917"/>
    <w:rsid w:val="00F66CD5"/>
    <w:rsid w:val="00F67A9A"/>
    <w:rsid w:val="00F70F4E"/>
    <w:rsid w:val="00F721F6"/>
    <w:rsid w:val="00F7235D"/>
    <w:rsid w:val="00F75217"/>
    <w:rsid w:val="00F75FC4"/>
    <w:rsid w:val="00F85981"/>
    <w:rsid w:val="00F86EE4"/>
    <w:rsid w:val="00F87263"/>
    <w:rsid w:val="00F92322"/>
    <w:rsid w:val="00F93725"/>
    <w:rsid w:val="00FA4890"/>
    <w:rsid w:val="00FA711B"/>
    <w:rsid w:val="00FB03F7"/>
    <w:rsid w:val="00FB2EFD"/>
    <w:rsid w:val="00FB601F"/>
    <w:rsid w:val="00FB77FA"/>
    <w:rsid w:val="00FC3C70"/>
    <w:rsid w:val="00FC4A73"/>
    <w:rsid w:val="00FC559C"/>
    <w:rsid w:val="00FC7F0D"/>
    <w:rsid w:val="00FE2E31"/>
    <w:rsid w:val="00FE45CB"/>
    <w:rsid w:val="00FE645A"/>
    <w:rsid w:val="00FF4DFF"/>
    <w:rsid w:val="00FF592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customStyle="1" w:styleId="ListParagraphChar">
    <w:name w:val="List Paragraph Char"/>
    <w:link w:val="ListParagraph"/>
    <w:uiPriority w:val="34"/>
    <w:rsid w:val="004875A0"/>
    <w:rPr>
      <w:sz w:val="24"/>
      <w:szCs w:val="24"/>
    </w:rPr>
  </w:style>
  <w:style w:type="character" w:styleId="IntenseReference">
    <w:name w:val="Intense Reference"/>
    <w:basedOn w:val="DefaultParagraphFont"/>
    <w:uiPriority w:val="32"/>
    <w:qFormat/>
    <w:rsid w:val="00DF0B90"/>
    <w:rPr>
      <w:b/>
      <w:bCs/>
      <w:i/>
      <w:smallCaps/>
      <w:color w:val="C0504D" w:themeColor="accent2"/>
      <w:spacing w:val="5"/>
      <w:u w:val="none"/>
    </w:rPr>
  </w:style>
  <w:style w:type="paragraph" w:styleId="Revision">
    <w:name w:val="Revision"/>
    <w:hidden/>
    <w:uiPriority w:val="99"/>
    <w:semiHidden/>
    <w:rsid w:val="00B5657F"/>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customStyle="1" w:styleId="ListParagraphChar">
    <w:name w:val="List Paragraph Char"/>
    <w:link w:val="ListParagraph"/>
    <w:uiPriority w:val="34"/>
    <w:rsid w:val="004875A0"/>
    <w:rPr>
      <w:sz w:val="24"/>
      <w:szCs w:val="24"/>
    </w:rPr>
  </w:style>
  <w:style w:type="character" w:styleId="IntenseReference">
    <w:name w:val="Intense Reference"/>
    <w:basedOn w:val="DefaultParagraphFont"/>
    <w:uiPriority w:val="32"/>
    <w:qFormat/>
    <w:rsid w:val="00DF0B90"/>
    <w:rPr>
      <w:b/>
      <w:bCs/>
      <w:i/>
      <w:smallCaps/>
      <w:color w:val="C0504D" w:themeColor="accent2"/>
      <w:spacing w:val="5"/>
      <w:u w:val="none"/>
    </w:rPr>
  </w:style>
  <w:style w:type="paragraph" w:styleId="Revision">
    <w:name w:val="Revision"/>
    <w:hidden/>
    <w:uiPriority w:val="99"/>
    <w:semiHidden/>
    <w:rsid w:val="00B5657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4776">
      <w:bodyDiv w:val="1"/>
      <w:marLeft w:val="0"/>
      <w:marRight w:val="0"/>
      <w:marTop w:val="0"/>
      <w:marBottom w:val="0"/>
      <w:divBdr>
        <w:top w:val="none" w:sz="0" w:space="0" w:color="auto"/>
        <w:left w:val="none" w:sz="0" w:space="0" w:color="auto"/>
        <w:bottom w:val="none" w:sz="0" w:space="0" w:color="auto"/>
        <w:right w:val="none" w:sz="0" w:space="0" w:color="auto"/>
      </w:divBdr>
    </w:div>
    <w:div w:id="194973959">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965623616">
      <w:bodyDiv w:val="1"/>
      <w:marLeft w:val="0"/>
      <w:marRight w:val="0"/>
      <w:marTop w:val="0"/>
      <w:marBottom w:val="0"/>
      <w:divBdr>
        <w:top w:val="none" w:sz="0" w:space="0" w:color="auto"/>
        <w:left w:val="none" w:sz="0" w:space="0" w:color="auto"/>
        <w:bottom w:val="none" w:sz="0" w:space="0" w:color="auto"/>
        <w:right w:val="none" w:sz="0" w:space="0" w:color="auto"/>
      </w:divBdr>
    </w:div>
    <w:div w:id="1063261208">
      <w:bodyDiv w:val="1"/>
      <w:marLeft w:val="0"/>
      <w:marRight w:val="0"/>
      <w:marTop w:val="0"/>
      <w:marBottom w:val="0"/>
      <w:divBdr>
        <w:top w:val="none" w:sz="0" w:space="0" w:color="auto"/>
        <w:left w:val="none" w:sz="0" w:space="0" w:color="auto"/>
        <w:bottom w:val="none" w:sz="0" w:space="0" w:color="auto"/>
        <w:right w:val="none" w:sz="0" w:space="0" w:color="auto"/>
      </w:divBdr>
    </w:div>
    <w:div w:id="1090158133">
      <w:bodyDiv w:val="1"/>
      <w:marLeft w:val="0"/>
      <w:marRight w:val="0"/>
      <w:marTop w:val="0"/>
      <w:marBottom w:val="0"/>
      <w:divBdr>
        <w:top w:val="none" w:sz="0" w:space="0" w:color="auto"/>
        <w:left w:val="none" w:sz="0" w:space="0" w:color="auto"/>
        <w:bottom w:val="none" w:sz="0" w:space="0" w:color="auto"/>
        <w:right w:val="none" w:sz="0" w:space="0" w:color="auto"/>
      </w:divBdr>
    </w:div>
    <w:div w:id="13137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bs.gov.au/info/industry/listing/elements/pbac-meetings/psd/2011-07/pbac-psd-ticagrelor-july11" TargetMode="External"/><Relationship Id="rId2" Type="http://schemas.openxmlformats.org/officeDocument/2006/relationships/hyperlink" Target="https://www.ebs.tga.gov.au/ebs/picmi/picmirepository.nsf/pdf?OpenAgent&amp;id=CP-2011-PI-02824-3&amp;d=2015102616114622412" TargetMode="External"/><Relationship Id="rId1" Type="http://schemas.openxmlformats.org/officeDocument/2006/relationships/hyperlink" Target="https://www.ebs.tga.gov.au/ebs/picmi/picmirepository.nsf/pdf?OpenAgent&amp;id=CP-2011-CMI-02826-3" TargetMode="External"/><Relationship Id="rId5" Type="http://schemas.openxmlformats.org/officeDocument/2006/relationships/hyperlink" Target="http://www.nps.org.au/publications/health-professional/nps-radar/2011/december-2011/ticagrelor" TargetMode="External"/><Relationship Id="rId4"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6%20Feb\Ticagrelor\Data\D897_SCRIPT_COUNT_STRM_CD%20C%20P%20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6%20Feb\Ticagrelor\Data\D897_SCRIPT_COUNT_STRM_CD%20C%20P%20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5\D897%20-%20Ticagrelor\D897_SCRIPT_COUNT_STRM_CD%20C%20P%20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[TICAGRELOR D897_SCRIPT_BENEFIT_COUNT.xlsx]Sheet1!PivotTable3</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s>
    <c:plotArea>
      <c:layout/>
      <c:lineChart>
        <c:grouping val="standard"/>
        <c:varyColors val="0"/>
        <c:ser>
          <c:idx val="0"/>
          <c:order val="0"/>
          <c:tx>
            <c:strRef>
              <c:f>Sheet1!$B$3:$B$4</c:f>
              <c:strCache>
                <c:ptCount val="1"/>
                <c:pt idx="0">
                  <c:v>TICAGRELOR</c:v>
                </c:pt>
              </c:strCache>
            </c:strRef>
          </c:tx>
          <c:marker>
            <c:symbol val="none"/>
          </c:marker>
          <c:cat>
            <c:strRef>
              <c:f>Sheet1!$A$5:$A$41</c:f>
              <c:strCache>
                <c:ptCount val="36"/>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pt idx="20">
                  <c:v>201404</c:v>
                </c:pt>
                <c:pt idx="21">
                  <c:v>201405</c:v>
                </c:pt>
                <c:pt idx="22">
                  <c:v>201406</c:v>
                </c:pt>
                <c:pt idx="23">
                  <c:v>201407</c:v>
                </c:pt>
                <c:pt idx="24">
                  <c:v>201408</c:v>
                </c:pt>
                <c:pt idx="25">
                  <c:v>201409</c:v>
                </c:pt>
                <c:pt idx="26">
                  <c:v>201410</c:v>
                </c:pt>
                <c:pt idx="27">
                  <c:v>201411</c:v>
                </c:pt>
                <c:pt idx="28">
                  <c:v>201412</c:v>
                </c:pt>
                <c:pt idx="29">
                  <c:v>201501</c:v>
                </c:pt>
                <c:pt idx="30">
                  <c:v>201502</c:v>
                </c:pt>
                <c:pt idx="31">
                  <c:v>201503</c:v>
                </c:pt>
                <c:pt idx="32">
                  <c:v>201504</c:v>
                </c:pt>
                <c:pt idx="33">
                  <c:v>201505</c:v>
                </c:pt>
                <c:pt idx="34">
                  <c:v>201506</c:v>
                </c:pt>
                <c:pt idx="35">
                  <c:v>201507</c:v>
                </c:pt>
              </c:strCache>
            </c:strRef>
          </c:cat>
          <c:val>
            <c:numRef>
              <c:f>Sheet1!$B$5:$B$41</c:f>
              <c:numCache>
                <c:formatCode>General</c:formatCode>
                <c:ptCount val="36"/>
                <c:pt idx="0">
                  <c:v>495</c:v>
                </c:pt>
                <c:pt idx="1">
                  <c:v>927</c:v>
                </c:pt>
                <c:pt idx="2">
                  <c:v>1539</c:v>
                </c:pt>
                <c:pt idx="3">
                  <c:v>1841</c:v>
                </c:pt>
                <c:pt idx="4">
                  <c:v>2275</c:v>
                </c:pt>
                <c:pt idx="5">
                  <c:v>2302</c:v>
                </c:pt>
                <c:pt idx="6">
                  <c:v>2503</c:v>
                </c:pt>
                <c:pt idx="7">
                  <c:v>3111</c:v>
                </c:pt>
                <c:pt idx="8">
                  <c:v>3553</c:v>
                </c:pt>
                <c:pt idx="9">
                  <c:v>4122</c:v>
                </c:pt>
                <c:pt idx="10">
                  <c:v>4402</c:v>
                </c:pt>
                <c:pt idx="11">
                  <c:v>5248</c:v>
                </c:pt>
                <c:pt idx="12">
                  <c:v>5801</c:v>
                </c:pt>
                <c:pt idx="13">
                  <c:v>6037</c:v>
                </c:pt>
                <c:pt idx="14">
                  <c:v>6854</c:v>
                </c:pt>
                <c:pt idx="15">
                  <c:v>7246</c:v>
                </c:pt>
                <c:pt idx="16">
                  <c:v>8304</c:v>
                </c:pt>
                <c:pt idx="17">
                  <c:v>7705</c:v>
                </c:pt>
                <c:pt idx="18">
                  <c:v>7663</c:v>
                </c:pt>
                <c:pt idx="19">
                  <c:v>8833</c:v>
                </c:pt>
                <c:pt idx="20">
                  <c:v>9105</c:v>
                </c:pt>
                <c:pt idx="21">
                  <c:v>9904</c:v>
                </c:pt>
                <c:pt idx="22">
                  <c:v>9726</c:v>
                </c:pt>
                <c:pt idx="23">
                  <c:v>10849</c:v>
                </c:pt>
                <c:pt idx="24">
                  <c:v>10877</c:v>
                </c:pt>
                <c:pt idx="25">
                  <c:v>11171</c:v>
                </c:pt>
                <c:pt idx="26">
                  <c:v>12053</c:v>
                </c:pt>
                <c:pt idx="27">
                  <c:v>11526</c:v>
                </c:pt>
                <c:pt idx="28">
                  <c:v>13618</c:v>
                </c:pt>
                <c:pt idx="29">
                  <c:v>11713</c:v>
                </c:pt>
                <c:pt idx="30">
                  <c:v>11507</c:v>
                </c:pt>
                <c:pt idx="31">
                  <c:v>13313</c:v>
                </c:pt>
                <c:pt idx="32">
                  <c:v>12951</c:v>
                </c:pt>
                <c:pt idx="33">
                  <c:v>13611</c:v>
                </c:pt>
                <c:pt idx="34">
                  <c:v>13989</c:v>
                </c:pt>
                <c:pt idx="35">
                  <c:v>14600</c:v>
                </c:pt>
              </c:numCache>
            </c:numRef>
          </c:val>
          <c:smooth val="0"/>
        </c:ser>
        <c:dLbls>
          <c:showLegendKey val="0"/>
          <c:showVal val="0"/>
          <c:showCatName val="0"/>
          <c:showSerName val="0"/>
          <c:showPercent val="0"/>
          <c:showBubbleSize val="0"/>
        </c:dLbls>
        <c:marker val="1"/>
        <c:smooth val="0"/>
        <c:axId val="222491776"/>
        <c:axId val="222493312"/>
      </c:lineChart>
      <c:catAx>
        <c:axId val="222491776"/>
        <c:scaling>
          <c:orientation val="minMax"/>
        </c:scaling>
        <c:delete val="0"/>
        <c:axPos val="b"/>
        <c:majorTickMark val="out"/>
        <c:minorTickMark val="none"/>
        <c:tickLblPos val="nextTo"/>
        <c:crossAx val="222493312"/>
        <c:crosses val="autoZero"/>
        <c:auto val="1"/>
        <c:lblAlgn val="ctr"/>
        <c:lblOffset val="100"/>
        <c:noMultiLvlLbl val="0"/>
      </c:catAx>
      <c:valAx>
        <c:axId val="222493312"/>
        <c:scaling>
          <c:orientation val="minMax"/>
        </c:scaling>
        <c:delete val="0"/>
        <c:axPos val="l"/>
        <c:majorGridlines/>
        <c:title>
          <c:tx>
            <c:rich>
              <a:bodyPr rot="-5400000" vert="horz"/>
              <a:lstStyle/>
              <a:p>
                <a:pPr>
                  <a:defRPr/>
                </a:pPr>
                <a:r>
                  <a:rPr lang="en-AU" b="0"/>
                  <a:t>Number</a:t>
                </a:r>
                <a:r>
                  <a:rPr lang="en-AU" b="0" baseline="0"/>
                  <a:t> of prescriptions</a:t>
                </a:r>
                <a:endParaRPr lang="en-AU" b="0"/>
              </a:p>
            </c:rich>
          </c:tx>
          <c:layout/>
          <c:overlay val="0"/>
        </c:title>
        <c:numFmt formatCode="#,##0" sourceLinked="0"/>
        <c:majorTickMark val="out"/>
        <c:minorTickMark val="none"/>
        <c:tickLblPos val="nextTo"/>
        <c:crossAx val="222491776"/>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[TICAGRELOR PAT_CNT_BY_DRUG_N_YMSUPP_SUM.xlsx]Sheet1!PivotTable3</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s>
    <c:plotArea>
      <c:layout/>
      <c:lineChart>
        <c:grouping val="standard"/>
        <c:varyColors val="0"/>
        <c:ser>
          <c:idx val="0"/>
          <c:order val="0"/>
          <c:tx>
            <c:strRef>
              <c:f>Sheet1!$B$3:$B$4</c:f>
              <c:strCache>
                <c:ptCount val="1"/>
                <c:pt idx="0">
                  <c:v>Treated patients</c:v>
                </c:pt>
              </c:strCache>
            </c:strRef>
          </c:tx>
          <c:marker>
            <c:symbol val="none"/>
          </c:marker>
          <c:cat>
            <c:strRef>
              <c:f>Sheet1!$A$5:$A$41</c:f>
              <c:strCache>
                <c:ptCount val="36"/>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pt idx="20">
                  <c:v>201404</c:v>
                </c:pt>
                <c:pt idx="21">
                  <c:v>201405</c:v>
                </c:pt>
                <c:pt idx="22">
                  <c:v>201406</c:v>
                </c:pt>
                <c:pt idx="23">
                  <c:v>201407</c:v>
                </c:pt>
                <c:pt idx="24">
                  <c:v>201408</c:v>
                </c:pt>
                <c:pt idx="25">
                  <c:v>201409</c:v>
                </c:pt>
                <c:pt idx="26">
                  <c:v>201410</c:v>
                </c:pt>
                <c:pt idx="27">
                  <c:v>201411</c:v>
                </c:pt>
                <c:pt idx="28">
                  <c:v>201412</c:v>
                </c:pt>
                <c:pt idx="29">
                  <c:v>201501</c:v>
                </c:pt>
                <c:pt idx="30">
                  <c:v>201502</c:v>
                </c:pt>
                <c:pt idx="31">
                  <c:v>201503</c:v>
                </c:pt>
                <c:pt idx="32">
                  <c:v>201504</c:v>
                </c:pt>
                <c:pt idx="33">
                  <c:v>201505</c:v>
                </c:pt>
                <c:pt idx="34">
                  <c:v>201506</c:v>
                </c:pt>
                <c:pt idx="35">
                  <c:v>201507</c:v>
                </c:pt>
              </c:strCache>
            </c:strRef>
          </c:cat>
          <c:val>
            <c:numRef>
              <c:f>Sheet1!$B$5:$B$41</c:f>
              <c:numCache>
                <c:formatCode>General</c:formatCode>
                <c:ptCount val="36"/>
                <c:pt idx="0">
                  <c:v>430</c:v>
                </c:pt>
                <c:pt idx="1">
                  <c:v>824</c:v>
                </c:pt>
                <c:pt idx="2">
                  <c:v>1252</c:v>
                </c:pt>
                <c:pt idx="3">
                  <c:v>1539</c:v>
                </c:pt>
                <c:pt idx="4">
                  <c:v>1828</c:v>
                </c:pt>
                <c:pt idx="5">
                  <c:v>1989</c:v>
                </c:pt>
                <c:pt idx="6">
                  <c:v>2198</c:v>
                </c:pt>
                <c:pt idx="7">
                  <c:v>2674</c:v>
                </c:pt>
                <c:pt idx="8">
                  <c:v>3001</c:v>
                </c:pt>
                <c:pt idx="9">
                  <c:v>3415</c:v>
                </c:pt>
                <c:pt idx="10">
                  <c:v>3802</c:v>
                </c:pt>
                <c:pt idx="11">
                  <c:v>4373</c:v>
                </c:pt>
                <c:pt idx="12">
                  <c:v>4852</c:v>
                </c:pt>
                <c:pt idx="13">
                  <c:v>5210</c:v>
                </c:pt>
                <c:pt idx="14">
                  <c:v>5799</c:v>
                </c:pt>
                <c:pt idx="15">
                  <c:v>6193</c:v>
                </c:pt>
                <c:pt idx="16">
                  <c:v>6772</c:v>
                </c:pt>
                <c:pt idx="17">
                  <c:v>6703</c:v>
                </c:pt>
                <c:pt idx="18">
                  <c:v>6927</c:v>
                </c:pt>
                <c:pt idx="19">
                  <c:v>7609</c:v>
                </c:pt>
                <c:pt idx="20">
                  <c:v>7826</c:v>
                </c:pt>
                <c:pt idx="21">
                  <c:v>8295</c:v>
                </c:pt>
                <c:pt idx="22">
                  <c:v>8395</c:v>
                </c:pt>
                <c:pt idx="23">
                  <c:v>9103</c:v>
                </c:pt>
                <c:pt idx="24">
                  <c:v>9346</c:v>
                </c:pt>
                <c:pt idx="25">
                  <c:v>9613</c:v>
                </c:pt>
                <c:pt idx="26">
                  <c:v>10142</c:v>
                </c:pt>
                <c:pt idx="27">
                  <c:v>10109</c:v>
                </c:pt>
                <c:pt idx="28">
                  <c:v>10885</c:v>
                </c:pt>
                <c:pt idx="29">
                  <c:v>10258</c:v>
                </c:pt>
                <c:pt idx="30">
                  <c:v>10354</c:v>
                </c:pt>
                <c:pt idx="31">
                  <c:v>11293</c:v>
                </c:pt>
                <c:pt idx="32">
                  <c:v>11165</c:v>
                </c:pt>
                <c:pt idx="33">
                  <c:v>11627</c:v>
                </c:pt>
                <c:pt idx="34">
                  <c:v>12009</c:v>
                </c:pt>
                <c:pt idx="35">
                  <c:v>12326</c:v>
                </c:pt>
              </c:numCache>
            </c:numRef>
          </c:val>
          <c:smooth val="0"/>
        </c:ser>
        <c:ser>
          <c:idx val="1"/>
          <c:order val="1"/>
          <c:tx>
            <c:strRef>
              <c:f>Sheet1!$C$3:$C$4</c:f>
              <c:strCache>
                <c:ptCount val="1"/>
                <c:pt idx="0">
                  <c:v>Initiating patients</c:v>
                </c:pt>
              </c:strCache>
            </c:strRef>
          </c:tx>
          <c:marker>
            <c:symbol val="none"/>
          </c:marker>
          <c:cat>
            <c:strRef>
              <c:f>Sheet1!$A$5:$A$41</c:f>
              <c:strCache>
                <c:ptCount val="36"/>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pt idx="20">
                  <c:v>201404</c:v>
                </c:pt>
                <c:pt idx="21">
                  <c:v>201405</c:v>
                </c:pt>
                <c:pt idx="22">
                  <c:v>201406</c:v>
                </c:pt>
                <c:pt idx="23">
                  <c:v>201407</c:v>
                </c:pt>
                <c:pt idx="24">
                  <c:v>201408</c:v>
                </c:pt>
                <c:pt idx="25">
                  <c:v>201409</c:v>
                </c:pt>
                <c:pt idx="26">
                  <c:v>201410</c:v>
                </c:pt>
                <c:pt idx="27">
                  <c:v>201411</c:v>
                </c:pt>
                <c:pt idx="28">
                  <c:v>201412</c:v>
                </c:pt>
                <c:pt idx="29">
                  <c:v>201501</c:v>
                </c:pt>
                <c:pt idx="30">
                  <c:v>201502</c:v>
                </c:pt>
                <c:pt idx="31">
                  <c:v>201503</c:v>
                </c:pt>
                <c:pt idx="32">
                  <c:v>201504</c:v>
                </c:pt>
                <c:pt idx="33">
                  <c:v>201505</c:v>
                </c:pt>
                <c:pt idx="34">
                  <c:v>201506</c:v>
                </c:pt>
                <c:pt idx="35">
                  <c:v>201507</c:v>
                </c:pt>
              </c:strCache>
            </c:strRef>
          </c:cat>
          <c:val>
            <c:numRef>
              <c:f>Sheet1!$C$5:$C$41</c:f>
              <c:numCache>
                <c:formatCode>General</c:formatCode>
                <c:ptCount val="36"/>
                <c:pt idx="0">
                  <c:v>430</c:v>
                </c:pt>
                <c:pt idx="1">
                  <c:v>545</c:v>
                </c:pt>
                <c:pt idx="2">
                  <c:v>534</c:v>
                </c:pt>
                <c:pt idx="3">
                  <c:v>473</c:v>
                </c:pt>
                <c:pt idx="4">
                  <c:v>438</c:v>
                </c:pt>
                <c:pt idx="5">
                  <c:v>417</c:v>
                </c:pt>
                <c:pt idx="6">
                  <c:v>430</c:v>
                </c:pt>
                <c:pt idx="7">
                  <c:v>584</c:v>
                </c:pt>
                <c:pt idx="8">
                  <c:v>564</c:v>
                </c:pt>
                <c:pt idx="9">
                  <c:v>705</c:v>
                </c:pt>
                <c:pt idx="10">
                  <c:v>719</c:v>
                </c:pt>
                <c:pt idx="11">
                  <c:v>823</c:v>
                </c:pt>
                <c:pt idx="12">
                  <c:v>871</c:v>
                </c:pt>
                <c:pt idx="13">
                  <c:v>825</c:v>
                </c:pt>
                <c:pt idx="14">
                  <c:v>986</c:v>
                </c:pt>
                <c:pt idx="15">
                  <c:v>952</c:v>
                </c:pt>
                <c:pt idx="16">
                  <c:v>962</c:v>
                </c:pt>
                <c:pt idx="17">
                  <c:v>911</c:v>
                </c:pt>
                <c:pt idx="18">
                  <c:v>838</c:v>
                </c:pt>
                <c:pt idx="19">
                  <c:v>968</c:v>
                </c:pt>
                <c:pt idx="20">
                  <c:v>926</c:v>
                </c:pt>
                <c:pt idx="21">
                  <c:v>1022</c:v>
                </c:pt>
                <c:pt idx="22">
                  <c:v>1046</c:v>
                </c:pt>
                <c:pt idx="23">
                  <c:v>1211</c:v>
                </c:pt>
                <c:pt idx="24">
                  <c:v>1119</c:v>
                </c:pt>
                <c:pt idx="25">
                  <c:v>1114</c:v>
                </c:pt>
                <c:pt idx="26">
                  <c:v>1195</c:v>
                </c:pt>
                <c:pt idx="27">
                  <c:v>1117</c:v>
                </c:pt>
                <c:pt idx="28">
                  <c:v>1217</c:v>
                </c:pt>
                <c:pt idx="29">
                  <c:v>1094</c:v>
                </c:pt>
                <c:pt idx="30">
                  <c:v>969</c:v>
                </c:pt>
                <c:pt idx="31">
                  <c:v>1227</c:v>
                </c:pt>
                <c:pt idx="32">
                  <c:v>1230</c:v>
                </c:pt>
                <c:pt idx="33">
                  <c:v>1256</c:v>
                </c:pt>
                <c:pt idx="34">
                  <c:v>1258</c:v>
                </c:pt>
                <c:pt idx="35">
                  <c:v>1285</c:v>
                </c:pt>
              </c:numCache>
            </c:numRef>
          </c:val>
          <c:smooth val="0"/>
        </c:ser>
        <c:dLbls>
          <c:showLegendKey val="0"/>
          <c:showVal val="0"/>
          <c:showCatName val="0"/>
          <c:showSerName val="0"/>
          <c:showPercent val="0"/>
          <c:showBubbleSize val="0"/>
        </c:dLbls>
        <c:marker val="1"/>
        <c:smooth val="0"/>
        <c:axId val="226938240"/>
        <c:axId val="227300480"/>
      </c:lineChart>
      <c:catAx>
        <c:axId val="226938240"/>
        <c:scaling>
          <c:orientation val="minMax"/>
        </c:scaling>
        <c:delete val="0"/>
        <c:axPos val="b"/>
        <c:majorTickMark val="out"/>
        <c:minorTickMark val="none"/>
        <c:tickLblPos val="nextTo"/>
        <c:crossAx val="227300480"/>
        <c:crosses val="autoZero"/>
        <c:auto val="1"/>
        <c:lblAlgn val="ctr"/>
        <c:lblOffset val="100"/>
        <c:noMultiLvlLbl val="0"/>
      </c:catAx>
      <c:valAx>
        <c:axId val="227300480"/>
        <c:scaling>
          <c:orientation val="minMax"/>
        </c:scaling>
        <c:delete val="0"/>
        <c:axPos val="l"/>
        <c:majorGridlines/>
        <c:title>
          <c:tx>
            <c:rich>
              <a:bodyPr rot="-5400000" vert="horz"/>
              <a:lstStyle/>
              <a:p>
                <a:pPr>
                  <a:defRPr/>
                </a:pPr>
                <a:r>
                  <a:rPr lang="en-AU" b="0"/>
                  <a:t>Number</a:t>
                </a:r>
                <a:r>
                  <a:rPr lang="en-AU" b="0" baseline="0"/>
                  <a:t> of patients</a:t>
                </a:r>
                <a:endParaRPr lang="en-AU" b="0"/>
              </a:p>
            </c:rich>
          </c:tx>
          <c:layout/>
          <c:overlay val="0"/>
        </c:title>
        <c:numFmt formatCode="#,##0" sourceLinked="0"/>
        <c:majorTickMark val="out"/>
        <c:minorTickMark val="none"/>
        <c:tickLblPos val="nextTo"/>
        <c:crossAx val="226938240"/>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[D897_SCRIPT_COUNT_STRM_CD C P T.xlsx]Sheet3!PivotTable2</c:name>
    <c:fmtId val="10"/>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s>
    <c:plotArea>
      <c:layout/>
      <c:lineChart>
        <c:grouping val="standard"/>
        <c:varyColors val="0"/>
        <c:ser>
          <c:idx val="0"/>
          <c:order val="0"/>
          <c:tx>
            <c:strRef>
              <c:f>Sheet3!$B$3:$B$4</c:f>
              <c:strCache>
                <c:ptCount val="1"/>
                <c:pt idx="0">
                  <c:v>CLOPIDOGREL</c:v>
                </c:pt>
              </c:strCache>
            </c:strRef>
          </c:tx>
          <c:marker>
            <c:symbol val="none"/>
          </c:marker>
          <c:cat>
            <c:strRef>
              <c:f>Sheet3!$A$5:$A$83</c:f>
              <c:strCache>
                <c:ptCount val="78"/>
                <c:pt idx="0">
                  <c:v>200902</c:v>
                </c:pt>
                <c:pt idx="1">
                  <c:v>200903</c:v>
                </c:pt>
                <c:pt idx="2">
                  <c:v>200904</c:v>
                </c:pt>
                <c:pt idx="3">
                  <c:v>200905</c:v>
                </c:pt>
                <c:pt idx="4">
                  <c:v>200906</c:v>
                </c:pt>
                <c:pt idx="5">
                  <c:v>200907</c:v>
                </c:pt>
                <c:pt idx="6">
                  <c:v>200908</c:v>
                </c:pt>
                <c:pt idx="7">
                  <c:v>200909</c:v>
                </c:pt>
                <c:pt idx="8">
                  <c:v>200910</c:v>
                </c:pt>
                <c:pt idx="9">
                  <c:v>200911</c:v>
                </c:pt>
                <c:pt idx="10">
                  <c:v>200912</c:v>
                </c:pt>
                <c:pt idx="11">
                  <c:v>201001</c:v>
                </c:pt>
                <c:pt idx="12">
                  <c:v>201002</c:v>
                </c:pt>
                <c:pt idx="13">
                  <c:v>201003</c:v>
                </c:pt>
                <c:pt idx="14">
                  <c:v>201004</c:v>
                </c:pt>
                <c:pt idx="15">
                  <c:v>201005</c:v>
                </c:pt>
                <c:pt idx="16">
                  <c:v>201006</c:v>
                </c:pt>
                <c:pt idx="17">
                  <c:v>201007</c:v>
                </c:pt>
                <c:pt idx="18">
                  <c:v>201008</c:v>
                </c:pt>
                <c:pt idx="19">
                  <c:v>201009</c:v>
                </c:pt>
                <c:pt idx="20">
                  <c:v>201010</c:v>
                </c:pt>
                <c:pt idx="21">
                  <c:v>201011</c:v>
                </c:pt>
                <c:pt idx="22">
                  <c:v>201012</c:v>
                </c:pt>
                <c:pt idx="23">
                  <c:v>201101</c:v>
                </c:pt>
                <c:pt idx="24">
                  <c:v>201102</c:v>
                </c:pt>
                <c:pt idx="25">
                  <c:v>201103</c:v>
                </c:pt>
                <c:pt idx="26">
                  <c:v>201104</c:v>
                </c:pt>
                <c:pt idx="27">
                  <c:v>201105</c:v>
                </c:pt>
                <c:pt idx="28">
                  <c:v>201106</c:v>
                </c:pt>
                <c:pt idx="29">
                  <c:v>201107</c:v>
                </c:pt>
                <c:pt idx="30">
                  <c:v>201108</c:v>
                </c:pt>
                <c:pt idx="31">
                  <c:v>201109</c:v>
                </c:pt>
                <c:pt idx="32">
                  <c:v>201110</c:v>
                </c:pt>
                <c:pt idx="33">
                  <c:v>201111</c:v>
                </c:pt>
                <c:pt idx="34">
                  <c:v>201112</c:v>
                </c:pt>
                <c:pt idx="35">
                  <c:v>201201</c:v>
                </c:pt>
                <c:pt idx="36">
                  <c:v>201202</c:v>
                </c:pt>
                <c:pt idx="37">
                  <c:v>201203</c:v>
                </c:pt>
                <c:pt idx="38">
                  <c:v>201204</c:v>
                </c:pt>
                <c:pt idx="39">
                  <c:v>201205</c:v>
                </c:pt>
                <c:pt idx="40">
                  <c:v>201206</c:v>
                </c:pt>
                <c:pt idx="41">
                  <c:v>201207</c:v>
                </c:pt>
                <c:pt idx="42">
                  <c:v>201208</c:v>
                </c:pt>
                <c:pt idx="43">
                  <c:v>201209</c:v>
                </c:pt>
                <c:pt idx="44">
                  <c:v>201210</c:v>
                </c:pt>
                <c:pt idx="45">
                  <c:v>201211</c:v>
                </c:pt>
                <c:pt idx="46">
                  <c:v>201212</c:v>
                </c:pt>
                <c:pt idx="47">
                  <c:v>201301</c:v>
                </c:pt>
                <c:pt idx="48">
                  <c:v>201302</c:v>
                </c:pt>
                <c:pt idx="49">
                  <c:v>201303</c:v>
                </c:pt>
                <c:pt idx="50">
                  <c:v>201304</c:v>
                </c:pt>
                <c:pt idx="51">
                  <c:v>201305</c:v>
                </c:pt>
                <c:pt idx="52">
                  <c:v>201306</c:v>
                </c:pt>
                <c:pt idx="53">
                  <c:v>201307</c:v>
                </c:pt>
                <c:pt idx="54">
                  <c:v>201308</c:v>
                </c:pt>
                <c:pt idx="55">
                  <c:v>201309</c:v>
                </c:pt>
                <c:pt idx="56">
                  <c:v>201310</c:v>
                </c:pt>
                <c:pt idx="57">
                  <c:v>201311</c:v>
                </c:pt>
                <c:pt idx="58">
                  <c:v>201312</c:v>
                </c:pt>
                <c:pt idx="59">
                  <c:v>201401</c:v>
                </c:pt>
                <c:pt idx="60">
                  <c:v>201402</c:v>
                </c:pt>
                <c:pt idx="61">
                  <c:v>201403</c:v>
                </c:pt>
                <c:pt idx="62">
                  <c:v>201404</c:v>
                </c:pt>
                <c:pt idx="63">
                  <c:v>201405</c:v>
                </c:pt>
                <c:pt idx="64">
                  <c:v>201406</c:v>
                </c:pt>
                <c:pt idx="65">
                  <c:v>201407</c:v>
                </c:pt>
                <c:pt idx="66">
                  <c:v>201408</c:v>
                </c:pt>
                <c:pt idx="67">
                  <c:v>201409</c:v>
                </c:pt>
                <c:pt idx="68">
                  <c:v>201410</c:v>
                </c:pt>
                <c:pt idx="69">
                  <c:v>201411</c:v>
                </c:pt>
                <c:pt idx="70">
                  <c:v>201412</c:v>
                </c:pt>
                <c:pt idx="71">
                  <c:v>201501</c:v>
                </c:pt>
                <c:pt idx="72">
                  <c:v>201502</c:v>
                </c:pt>
                <c:pt idx="73">
                  <c:v>201503</c:v>
                </c:pt>
                <c:pt idx="74">
                  <c:v>201504</c:v>
                </c:pt>
                <c:pt idx="75">
                  <c:v>201505</c:v>
                </c:pt>
                <c:pt idx="76">
                  <c:v>201506</c:v>
                </c:pt>
                <c:pt idx="77">
                  <c:v>201507</c:v>
                </c:pt>
              </c:strCache>
            </c:strRef>
          </c:cat>
          <c:val>
            <c:numRef>
              <c:f>Sheet3!$B$5:$B$83</c:f>
              <c:numCache>
                <c:formatCode>General</c:formatCode>
                <c:ptCount val="78"/>
                <c:pt idx="0">
                  <c:v>218591</c:v>
                </c:pt>
                <c:pt idx="1">
                  <c:v>244526</c:v>
                </c:pt>
                <c:pt idx="2">
                  <c:v>245391</c:v>
                </c:pt>
                <c:pt idx="3">
                  <c:v>245203</c:v>
                </c:pt>
                <c:pt idx="4">
                  <c:v>247577</c:v>
                </c:pt>
                <c:pt idx="5">
                  <c:v>257360</c:v>
                </c:pt>
                <c:pt idx="6">
                  <c:v>248243</c:v>
                </c:pt>
                <c:pt idx="7">
                  <c:v>251471</c:v>
                </c:pt>
                <c:pt idx="8">
                  <c:v>262602</c:v>
                </c:pt>
                <c:pt idx="9">
                  <c:v>253449</c:v>
                </c:pt>
                <c:pt idx="10">
                  <c:v>294905</c:v>
                </c:pt>
                <c:pt idx="11">
                  <c:v>216386</c:v>
                </c:pt>
                <c:pt idx="12">
                  <c:v>228854</c:v>
                </c:pt>
                <c:pt idx="13">
                  <c:v>264720</c:v>
                </c:pt>
                <c:pt idx="14">
                  <c:v>241431</c:v>
                </c:pt>
                <c:pt idx="15">
                  <c:v>245258</c:v>
                </c:pt>
                <c:pt idx="16">
                  <c:v>235027</c:v>
                </c:pt>
                <c:pt idx="17">
                  <c:v>234636</c:v>
                </c:pt>
                <c:pt idx="18">
                  <c:v>228261</c:v>
                </c:pt>
                <c:pt idx="19">
                  <c:v>225733</c:v>
                </c:pt>
                <c:pt idx="20">
                  <c:v>222064</c:v>
                </c:pt>
                <c:pt idx="21">
                  <c:v>225681</c:v>
                </c:pt>
                <c:pt idx="22">
                  <c:v>250348</c:v>
                </c:pt>
                <c:pt idx="23">
                  <c:v>179406</c:v>
                </c:pt>
                <c:pt idx="24">
                  <c:v>189328</c:v>
                </c:pt>
                <c:pt idx="25">
                  <c:v>215429</c:v>
                </c:pt>
                <c:pt idx="26">
                  <c:v>201042</c:v>
                </c:pt>
                <c:pt idx="27">
                  <c:v>209653</c:v>
                </c:pt>
                <c:pt idx="28">
                  <c:v>203180</c:v>
                </c:pt>
                <c:pt idx="29">
                  <c:v>199735</c:v>
                </c:pt>
                <c:pt idx="30">
                  <c:v>209648</c:v>
                </c:pt>
                <c:pt idx="31">
                  <c:v>201839</c:v>
                </c:pt>
                <c:pt idx="32">
                  <c:v>199529</c:v>
                </c:pt>
                <c:pt idx="33">
                  <c:v>204524</c:v>
                </c:pt>
                <c:pt idx="34">
                  <c:v>225290</c:v>
                </c:pt>
                <c:pt idx="35">
                  <c:v>169822</c:v>
                </c:pt>
                <c:pt idx="36">
                  <c:v>184516</c:v>
                </c:pt>
                <c:pt idx="37">
                  <c:v>202657</c:v>
                </c:pt>
                <c:pt idx="38">
                  <c:v>183147</c:v>
                </c:pt>
                <c:pt idx="39">
                  <c:v>200342</c:v>
                </c:pt>
                <c:pt idx="40">
                  <c:v>186698</c:v>
                </c:pt>
                <c:pt idx="41">
                  <c:v>190295</c:v>
                </c:pt>
                <c:pt idx="42">
                  <c:v>197087</c:v>
                </c:pt>
                <c:pt idx="43">
                  <c:v>179478</c:v>
                </c:pt>
                <c:pt idx="44">
                  <c:v>194483</c:v>
                </c:pt>
                <c:pt idx="45">
                  <c:v>191131</c:v>
                </c:pt>
                <c:pt idx="46">
                  <c:v>206235</c:v>
                </c:pt>
                <c:pt idx="47">
                  <c:v>162597</c:v>
                </c:pt>
                <c:pt idx="48">
                  <c:v>166045</c:v>
                </c:pt>
                <c:pt idx="49">
                  <c:v>178378</c:v>
                </c:pt>
                <c:pt idx="50">
                  <c:v>181924</c:v>
                </c:pt>
                <c:pt idx="51">
                  <c:v>190470</c:v>
                </c:pt>
                <c:pt idx="52">
                  <c:v>172404</c:v>
                </c:pt>
                <c:pt idx="53">
                  <c:v>189781</c:v>
                </c:pt>
                <c:pt idx="54">
                  <c:v>188048</c:v>
                </c:pt>
                <c:pt idx="55">
                  <c:v>178138</c:v>
                </c:pt>
                <c:pt idx="56">
                  <c:v>192468</c:v>
                </c:pt>
                <c:pt idx="57">
                  <c:v>185275</c:v>
                </c:pt>
                <c:pt idx="58">
                  <c:v>207627</c:v>
                </c:pt>
                <c:pt idx="59">
                  <c:v>163376</c:v>
                </c:pt>
                <c:pt idx="60">
                  <c:v>165454</c:v>
                </c:pt>
                <c:pt idx="61">
                  <c:v>182073</c:v>
                </c:pt>
                <c:pt idx="62">
                  <c:v>178991</c:v>
                </c:pt>
                <c:pt idx="63">
                  <c:v>188414</c:v>
                </c:pt>
                <c:pt idx="64">
                  <c:v>176774</c:v>
                </c:pt>
                <c:pt idx="65">
                  <c:v>187985</c:v>
                </c:pt>
                <c:pt idx="66">
                  <c:v>179965</c:v>
                </c:pt>
                <c:pt idx="67">
                  <c:v>182132</c:v>
                </c:pt>
                <c:pt idx="68">
                  <c:v>188226</c:v>
                </c:pt>
                <c:pt idx="69">
                  <c:v>177226</c:v>
                </c:pt>
                <c:pt idx="70">
                  <c:v>210781</c:v>
                </c:pt>
                <c:pt idx="71">
                  <c:v>157989</c:v>
                </c:pt>
                <c:pt idx="72">
                  <c:v>162009</c:v>
                </c:pt>
                <c:pt idx="73">
                  <c:v>183077</c:v>
                </c:pt>
                <c:pt idx="74">
                  <c:v>173031</c:v>
                </c:pt>
                <c:pt idx="75">
                  <c:v>178792</c:v>
                </c:pt>
                <c:pt idx="76">
                  <c:v>178712</c:v>
                </c:pt>
                <c:pt idx="77">
                  <c:v>185446</c:v>
                </c:pt>
              </c:numCache>
            </c:numRef>
          </c:val>
          <c:smooth val="0"/>
        </c:ser>
        <c:ser>
          <c:idx val="1"/>
          <c:order val="1"/>
          <c:tx>
            <c:strRef>
              <c:f>Sheet3!$C$3:$C$4</c:f>
              <c:strCache>
                <c:ptCount val="1"/>
                <c:pt idx="0">
                  <c:v>CLOPIDOGREL + ASPIRIN</c:v>
                </c:pt>
              </c:strCache>
            </c:strRef>
          </c:tx>
          <c:marker>
            <c:symbol val="none"/>
          </c:marker>
          <c:cat>
            <c:strRef>
              <c:f>Sheet3!$A$5:$A$83</c:f>
              <c:strCache>
                <c:ptCount val="78"/>
                <c:pt idx="0">
                  <c:v>200902</c:v>
                </c:pt>
                <c:pt idx="1">
                  <c:v>200903</c:v>
                </c:pt>
                <c:pt idx="2">
                  <c:v>200904</c:v>
                </c:pt>
                <c:pt idx="3">
                  <c:v>200905</c:v>
                </c:pt>
                <c:pt idx="4">
                  <c:v>200906</c:v>
                </c:pt>
                <c:pt idx="5">
                  <c:v>200907</c:v>
                </c:pt>
                <c:pt idx="6">
                  <c:v>200908</c:v>
                </c:pt>
                <c:pt idx="7">
                  <c:v>200909</c:v>
                </c:pt>
                <c:pt idx="8">
                  <c:v>200910</c:v>
                </c:pt>
                <c:pt idx="9">
                  <c:v>200911</c:v>
                </c:pt>
                <c:pt idx="10">
                  <c:v>200912</c:v>
                </c:pt>
                <c:pt idx="11">
                  <c:v>201001</c:v>
                </c:pt>
                <c:pt idx="12">
                  <c:v>201002</c:v>
                </c:pt>
                <c:pt idx="13">
                  <c:v>201003</c:v>
                </c:pt>
                <c:pt idx="14">
                  <c:v>201004</c:v>
                </c:pt>
                <c:pt idx="15">
                  <c:v>201005</c:v>
                </c:pt>
                <c:pt idx="16">
                  <c:v>201006</c:v>
                </c:pt>
                <c:pt idx="17">
                  <c:v>201007</c:v>
                </c:pt>
                <c:pt idx="18">
                  <c:v>201008</c:v>
                </c:pt>
                <c:pt idx="19">
                  <c:v>201009</c:v>
                </c:pt>
                <c:pt idx="20">
                  <c:v>201010</c:v>
                </c:pt>
                <c:pt idx="21">
                  <c:v>201011</c:v>
                </c:pt>
                <c:pt idx="22">
                  <c:v>201012</c:v>
                </c:pt>
                <c:pt idx="23">
                  <c:v>201101</c:v>
                </c:pt>
                <c:pt idx="24">
                  <c:v>201102</c:v>
                </c:pt>
                <c:pt idx="25">
                  <c:v>201103</c:v>
                </c:pt>
                <c:pt idx="26">
                  <c:v>201104</c:v>
                </c:pt>
                <c:pt idx="27">
                  <c:v>201105</c:v>
                </c:pt>
                <c:pt idx="28">
                  <c:v>201106</c:v>
                </c:pt>
                <c:pt idx="29">
                  <c:v>201107</c:v>
                </c:pt>
                <c:pt idx="30">
                  <c:v>201108</c:v>
                </c:pt>
                <c:pt idx="31">
                  <c:v>201109</c:v>
                </c:pt>
                <c:pt idx="32">
                  <c:v>201110</c:v>
                </c:pt>
                <c:pt idx="33">
                  <c:v>201111</c:v>
                </c:pt>
                <c:pt idx="34">
                  <c:v>201112</c:v>
                </c:pt>
                <c:pt idx="35">
                  <c:v>201201</c:v>
                </c:pt>
                <c:pt idx="36">
                  <c:v>201202</c:v>
                </c:pt>
                <c:pt idx="37">
                  <c:v>201203</c:v>
                </c:pt>
                <c:pt idx="38">
                  <c:v>201204</c:v>
                </c:pt>
                <c:pt idx="39">
                  <c:v>201205</c:v>
                </c:pt>
                <c:pt idx="40">
                  <c:v>201206</c:v>
                </c:pt>
                <c:pt idx="41">
                  <c:v>201207</c:v>
                </c:pt>
                <c:pt idx="42">
                  <c:v>201208</c:v>
                </c:pt>
                <c:pt idx="43">
                  <c:v>201209</c:v>
                </c:pt>
                <c:pt idx="44">
                  <c:v>201210</c:v>
                </c:pt>
                <c:pt idx="45">
                  <c:v>201211</c:v>
                </c:pt>
                <c:pt idx="46">
                  <c:v>201212</c:v>
                </c:pt>
                <c:pt idx="47">
                  <c:v>201301</c:v>
                </c:pt>
                <c:pt idx="48">
                  <c:v>201302</c:v>
                </c:pt>
                <c:pt idx="49">
                  <c:v>201303</c:v>
                </c:pt>
                <c:pt idx="50">
                  <c:v>201304</c:v>
                </c:pt>
                <c:pt idx="51">
                  <c:v>201305</c:v>
                </c:pt>
                <c:pt idx="52">
                  <c:v>201306</c:v>
                </c:pt>
                <c:pt idx="53">
                  <c:v>201307</c:v>
                </c:pt>
                <c:pt idx="54">
                  <c:v>201308</c:v>
                </c:pt>
                <c:pt idx="55">
                  <c:v>201309</c:v>
                </c:pt>
                <c:pt idx="56">
                  <c:v>201310</c:v>
                </c:pt>
                <c:pt idx="57">
                  <c:v>201311</c:v>
                </c:pt>
                <c:pt idx="58">
                  <c:v>201312</c:v>
                </c:pt>
                <c:pt idx="59">
                  <c:v>201401</c:v>
                </c:pt>
                <c:pt idx="60">
                  <c:v>201402</c:v>
                </c:pt>
                <c:pt idx="61">
                  <c:v>201403</c:v>
                </c:pt>
                <c:pt idx="62">
                  <c:v>201404</c:v>
                </c:pt>
                <c:pt idx="63">
                  <c:v>201405</c:v>
                </c:pt>
                <c:pt idx="64">
                  <c:v>201406</c:v>
                </c:pt>
                <c:pt idx="65">
                  <c:v>201407</c:v>
                </c:pt>
                <c:pt idx="66">
                  <c:v>201408</c:v>
                </c:pt>
                <c:pt idx="67">
                  <c:v>201409</c:v>
                </c:pt>
                <c:pt idx="68">
                  <c:v>201410</c:v>
                </c:pt>
                <c:pt idx="69">
                  <c:v>201411</c:v>
                </c:pt>
                <c:pt idx="70">
                  <c:v>201412</c:v>
                </c:pt>
                <c:pt idx="71">
                  <c:v>201501</c:v>
                </c:pt>
                <c:pt idx="72">
                  <c:v>201502</c:v>
                </c:pt>
                <c:pt idx="73">
                  <c:v>201503</c:v>
                </c:pt>
                <c:pt idx="74">
                  <c:v>201504</c:v>
                </c:pt>
                <c:pt idx="75">
                  <c:v>201505</c:v>
                </c:pt>
                <c:pt idx="76">
                  <c:v>201506</c:v>
                </c:pt>
                <c:pt idx="77">
                  <c:v>201507</c:v>
                </c:pt>
              </c:strCache>
            </c:strRef>
          </c:cat>
          <c:val>
            <c:numRef>
              <c:f>Sheet3!$C$5:$C$83</c:f>
              <c:numCache>
                <c:formatCode>General</c:formatCode>
                <c:ptCount val="78"/>
                <c:pt idx="10">
                  <c:v>2186</c:v>
                </c:pt>
                <c:pt idx="11">
                  <c:v>3454</c:v>
                </c:pt>
                <c:pt idx="12">
                  <c:v>6227</c:v>
                </c:pt>
                <c:pt idx="13">
                  <c:v>10772</c:v>
                </c:pt>
                <c:pt idx="14">
                  <c:v>13012</c:v>
                </c:pt>
                <c:pt idx="15">
                  <c:v>16706</c:v>
                </c:pt>
                <c:pt idx="16">
                  <c:v>19857</c:v>
                </c:pt>
                <c:pt idx="17">
                  <c:v>23277</c:v>
                </c:pt>
                <c:pt idx="18">
                  <c:v>25982</c:v>
                </c:pt>
                <c:pt idx="19">
                  <c:v>28485</c:v>
                </c:pt>
                <c:pt idx="20">
                  <c:v>30789</c:v>
                </c:pt>
                <c:pt idx="21">
                  <c:v>33455</c:v>
                </c:pt>
                <c:pt idx="22">
                  <c:v>39947</c:v>
                </c:pt>
                <c:pt idx="23">
                  <c:v>29964</c:v>
                </c:pt>
                <c:pt idx="24">
                  <c:v>32923</c:v>
                </c:pt>
                <c:pt idx="25">
                  <c:v>39512</c:v>
                </c:pt>
                <c:pt idx="26">
                  <c:v>38683</c:v>
                </c:pt>
                <c:pt idx="27">
                  <c:v>41594</c:v>
                </c:pt>
                <c:pt idx="28">
                  <c:v>41965</c:v>
                </c:pt>
                <c:pt idx="29">
                  <c:v>42760</c:v>
                </c:pt>
                <c:pt idx="30">
                  <c:v>46332</c:v>
                </c:pt>
                <c:pt idx="31">
                  <c:v>45690</c:v>
                </c:pt>
                <c:pt idx="32">
                  <c:v>46422</c:v>
                </c:pt>
                <c:pt idx="33">
                  <c:v>48539</c:v>
                </c:pt>
                <c:pt idx="34">
                  <c:v>55172</c:v>
                </c:pt>
                <c:pt idx="35">
                  <c:v>41054</c:v>
                </c:pt>
                <c:pt idx="36">
                  <c:v>45589</c:v>
                </c:pt>
                <c:pt idx="37">
                  <c:v>50900</c:v>
                </c:pt>
                <c:pt idx="38">
                  <c:v>47800</c:v>
                </c:pt>
                <c:pt idx="39">
                  <c:v>52931</c:v>
                </c:pt>
                <c:pt idx="40">
                  <c:v>50375</c:v>
                </c:pt>
                <c:pt idx="41">
                  <c:v>52157</c:v>
                </c:pt>
                <c:pt idx="42">
                  <c:v>54440</c:v>
                </c:pt>
                <c:pt idx="43">
                  <c:v>50996</c:v>
                </c:pt>
                <c:pt idx="44">
                  <c:v>55455</c:v>
                </c:pt>
                <c:pt idx="45">
                  <c:v>55010</c:v>
                </c:pt>
                <c:pt idx="46">
                  <c:v>60382</c:v>
                </c:pt>
                <c:pt idx="47">
                  <c:v>46424</c:v>
                </c:pt>
                <c:pt idx="48">
                  <c:v>48285</c:v>
                </c:pt>
                <c:pt idx="49">
                  <c:v>52536</c:v>
                </c:pt>
                <c:pt idx="50">
                  <c:v>53310</c:v>
                </c:pt>
                <c:pt idx="51">
                  <c:v>55541</c:v>
                </c:pt>
                <c:pt idx="52">
                  <c:v>50999</c:v>
                </c:pt>
                <c:pt idx="53">
                  <c:v>55290</c:v>
                </c:pt>
                <c:pt idx="54">
                  <c:v>54425</c:v>
                </c:pt>
                <c:pt idx="55">
                  <c:v>51500</c:v>
                </c:pt>
                <c:pt idx="56">
                  <c:v>55139</c:v>
                </c:pt>
                <c:pt idx="57">
                  <c:v>53233</c:v>
                </c:pt>
                <c:pt idx="58">
                  <c:v>59699</c:v>
                </c:pt>
                <c:pt idx="59">
                  <c:v>44906</c:v>
                </c:pt>
                <c:pt idx="60">
                  <c:v>46090</c:v>
                </c:pt>
                <c:pt idx="61">
                  <c:v>51287</c:v>
                </c:pt>
                <c:pt idx="62">
                  <c:v>50082</c:v>
                </c:pt>
                <c:pt idx="63">
                  <c:v>52323</c:v>
                </c:pt>
                <c:pt idx="64">
                  <c:v>48955</c:v>
                </c:pt>
                <c:pt idx="65">
                  <c:v>51696</c:v>
                </c:pt>
                <c:pt idx="66">
                  <c:v>49656</c:v>
                </c:pt>
                <c:pt idx="67">
                  <c:v>49482</c:v>
                </c:pt>
                <c:pt idx="68">
                  <c:v>51200</c:v>
                </c:pt>
                <c:pt idx="69">
                  <c:v>48148</c:v>
                </c:pt>
                <c:pt idx="70">
                  <c:v>57539</c:v>
                </c:pt>
                <c:pt idx="71">
                  <c:v>41355</c:v>
                </c:pt>
                <c:pt idx="72">
                  <c:v>42925</c:v>
                </c:pt>
                <c:pt idx="73">
                  <c:v>48946</c:v>
                </c:pt>
                <c:pt idx="74">
                  <c:v>45393</c:v>
                </c:pt>
                <c:pt idx="75">
                  <c:v>46955</c:v>
                </c:pt>
                <c:pt idx="76">
                  <c:v>46416</c:v>
                </c:pt>
                <c:pt idx="77">
                  <c:v>47703</c:v>
                </c:pt>
              </c:numCache>
            </c:numRef>
          </c:val>
          <c:smooth val="0"/>
        </c:ser>
        <c:ser>
          <c:idx val="2"/>
          <c:order val="2"/>
          <c:tx>
            <c:strRef>
              <c:f>Sheet3!$D$3:$D$4</c:f>
              <c:strCache>
                <c:ptCount val="1"/>
                <c:pt idx="0">
                  <c:v>PRASUGREL</c:v>
                </c:pt>
              </c:strCache>
            </c:strRef>
          </c:tx>
          <c:marker>
            <c:symbol val="none"/>
          </c:marker>
          <c:cat>
            <c:strRef>
              <c:f>Sheet3!$A$5:$A$83</c:f>
              <c:strCache>
                <c:ptCount val="78"/>
                <c:pt idx="0">
                  <c:v>200902</c:v>
                </c:pt>
                <c:pt idx="1">
                  <c:v>200903</c:v>
                </c:pt>
                <c:pt idx="2">
                  <c:v>200904</c:v>
                </c:pt>
                <c:pt idx="3">
                  <c:v>200905</c:v>
                </c:pt>
                <c:pt idx="4">
                  <c:v>200906</c:v>
                </c:pt>
                <c:pt idx="5">
                  <c:v>200907</c:v>
                </c:pt>
                <c:pt idx="6">
                  <c:v>200908</c:v>
                </c:pt>
                <c:pt idx="7">
                  <c:v>200909</c:v>
                </c:pt>
                <c:pt idx="8">
                  <c:v>200910</c:v>
                </c:pt>
                <c:pt idx="9">
                  <c:v>200911</c:v>
                </c:pt>
                <c:pt idx="10">
                  <c:v>200912</c:v>
                </c:pt>
                <c:pt idx="11">
                  <c:v>201001</c:v>
                </c:pt>
                <c:pt idx="12">
                  <c:v>201002</c:v>
                </c:pt>
                <c:pt idx="13">
                  <c:v>201003</c:v>
                </c:pt>
                <c:pt idx="14">
                  <c:v>201004</c:v>
                </c:pt>
                <c:pt idx="15">
                  <c:v>201005</c:v>
                </c:pt>
                <c:pt idx="16">
                  <c:v>201006</c:v>
                </c:pt>
                <c:pt idx="17">
                  <c:v>201007</c:v>
                </c:pt>
                <c:pt idx="18">
                  <c:v>201008</c:v>
                </c:pt>
                <c:pt idx="19">
                  <c:v>201009</c:v>
                </c:pt>
                <c:pt idx="20">
                  <c:v>201010</c:v>
                </c:pt>
                <c:pt idx="21">
                  <c:v>201011</c:v>
                </c:pt>
                <c:pt idx="22">
                  <c:v>201012</c:v>
                </c:pt>
                <c:pt idx="23">
                  <c:v>201101</c:v>
                </c:pt>
                <c:pt idx="24">
                  <c:v>201102</c:v>
                </c:pt>
                <c:pt idx="25">
                  <c:v>201103</c:v>
                </c:pt>
                <c:pt idx="26">
                  <c:v>201104</c:v>
                </c:pt>
                <c:pt idx="27">
                  <c:v>201105</c:v>
                </c:pt>
                <c:pt idx="28">
                  <c:v>201106</c:v>
                </c:pt>
                <c:pt idx="29">
                  <c:v>201107</c:v>
                </c:pt>
                <c:pt idx="30">
                  <c:v>201108</c:v>
                </c:pt>
                <c:pt idx="31">
                  <c:v>201109</c:v>
                </c:pt>
                <c:pt idx="32">
                  <c:v>201110</c:v>
                </c:pt>
                <c:pt idx="33">
                  <c:v>201111</c:v>
                </c:pt>
                <c:pt idx="34">
                  <c:v>201112</c:v>
                </c:pt>
                <c:pt idx="35">
                  <c:v>201201</c:v>
                </c:pt>
                <c:pt idx="36">
                  <c:v>201202</c:v>
                </c:pt>
                <c:pt idx="37">
                  <c:v>201203</c:v>
                </c:pt>
                <c:pt idx="38">
                  <c:v>201204</c:v>
                </c:pt>
                <c:pt idx="39">
                  <c:v>201205</c:v>
                </c:pt>
                <c:pt idx="40">
                  <c:v>201206</c:v>
                </c:pt>
                <c:pt idx="41">
                  <c:v>201207</c:v>
                </c:pt>
                <c:pt idx="42">
                  <c:v>201208</c:v>
                </c:pt>
                <c:pt idx="43">
                  <c:v>201209</c:v>
                </c:pt>
                <c:pt idx="44">
                  <c:v>201210</c:v>
                </c:pt>
                <c:pt idx="45">
                  <c:v>201211</c:v>
                </c:pt>
                <c:pt idx="46">
                  <c:v>201212</c:v>
                </c:pt>
                <c:pt idx="47">
                  <c:v>201301</c:v>
                </c:pt>
                <c:pt idx="48">
                  <c:v>201302</c:v>
                </c:pt>
                <c:pt idx="49">
                  <c:v>201303</c:v>
                </c:pt>
                <c:pt idx="50">
                  <c:v>201304</c:v>
                </c:pt>
                <c:pt idx="51">
                  <c:v>201305</c:v>
                </c:pt>
                <c:pt idx="52">
                  <c:v>201306</c:v>
                </c:pt>
                <c:pt idx="53">
                  <c:v>201307</c:v>
                </c:pt>
                <c:pt idx="54">
                  <c:v>201308</c:v>
                </c:pt>
                <c:pt idx="55">
                  <c:v>201309</c:v>
                </c:pt>
                <c:pt idx="56">
                  <c:v>201310</c:v>
                </c:pt>
                <c:pt idx="57">
                  <c:v>201311</c:v>
                </c:pt>
                <c:pt idx="58">
                  <c:v>201312</c:v>
                </c:pt>
                <c:pt idx="59">
                  <c:v>201401</c:v>
                </c:pt>
                <c:pt idx="60">
                  <c:v>201402</c:v>
                </c:pt>
                <c:pt idx="61">
                  <c:v>201403</c:v>
                </c:pt>
                <c:pt idx="62">
                  <c:v>201404</c:v>
                </c:pt>
                <c:pt idx="63">
                  <c:v>201405</c:v>
                </c:pt>
                <c:pt idx="64">
                  <c:v>201406</c:v>
                </c:pt>
                <c:pt idx="65">
                  <c:v>201407</c:v>
                </c:pt>
                <c:pt idx="66">
                  <c:v>201408</c:v>
                </c:pt>
                <c:pt idx="67">
                  <c:v>201409</c:v>
                </c:pt>
                <c:pt idx="68">
                  <c:v>201410</c:v>
                </c:pt>
                <c:pt idx="69">
                  <c:v>201411</c:v>
                </c:pt>
                <c:pt idx="70">
                  <c:v>201412</c:v>
                </c:pt>
                <c:pt idx="71">
                  <c:v>201501</c:v>
                </c:pt>
                <c:pt idx="72">
                  <c:v>201502</c:v>
                </c:pt>
                <c:pt idx="73">
                  <c:v>201503</c:v>
                </c:pt>
                <c:pt idx="74">
                  <c:v>201504</c:v>
                </c:pt>
                <c:pt idx="75">
                  <c:v>201505</c:v>
                </c:pt>
                <c:pt idx="76">
                  <c:v>201506</c:v>
                </c:pt>
                <c:pt idx="77">
                  <c:v>201507</c:v>
                </c:pt>
              </c:strCache>
            </c:strRef>
          </c:cat>
          <c:val>
            <c:numRef>
              <c:f>Sheet3!$D$5:$D$83</c:f>
              <c:numCache>
                <c:formatCode>General</c:formatCode>
                <c:ptCount val="78"/>
                <c:pt idx="10">
                  <c:v>135</c:v>
                </c:pt>
                <c:pt idx="11">
                  <c:v>191</c:v>
                </c:pt>
                <c:pt idx="12">
                  <c:v>275</c:v>
                </c:pt>
                <c:pt idx="13">
                  <c:v>488</c:v>
                </c:pt>
                <c:pt idx="14">
                  <c:v>541</c:v>
                </c:pt>
                <c:pt idx="15">
                  <c:v>637</c:v>
                </c:pt>
                <c:pt idx="16">
                  <c:v>761</c:v>
                </c:pt>
                <c:pt idx="17">
                  <c:v>885</c:v>
                </c:pt>
                <c:pt idx="18">
                  <c:v>951</c:v>
                </c:pt>
                <c:pt idx="19">
                  <c:v>1135</c:v>
                </c:pt>
                <c:pt idx="20">
                  <c:v>1288</c:v>
                </c:pt>
                <c:pt idx="21">
                  <c:v>1438</c:v>
                </c:pt>
                <c:pt idx="22">
                  <c:v>1828</c:v>
                </c:pt>
                <c:pt idx="23">
                  <c:v>1498</c:v>
                </c:pt>
                <c:pt idx="24">
                  <c:v>1697</c:v>
                </c:pt>
                <c:pt idx="25">
                  <c:v>2077</c:v>
                </c:pt>
                <c:pt idx="26">
                  <c:v>2093</c:v>
                </c:pt>
                <c:pt idx="27">
                  <c:v>2397</c:v>
                </c:pt>
                <c:pt idx="28">
                  <c:v>2505</c:v>
                </c:pt>
                <c:pt idx="29">
                  <c:v>2636</c:v>
                </c:pt>
                <c:pt idx="30">
                  <c:v>2984</c:v>
                </c:pt>
                <c:pt idx="31">
                  <c:v>3082</c:v>
                </c:pt>
                <c:pt idx="32">
                  <c:v>3272</c:v>
                </c:pt>
                <c:pt idx="33">
                  <c:v>3488</c:v>
                </c:pt>
                <c:pt idx="34">
                  <c:v>4052</c:v>
                </c:pt>
                <c:pt idx="35">
                  <c:v>3456</c:v>
                </c:pt>
                <c:pt idx="36">
                  <c:v>3769</c:v>
                </c:pt>
                <c:pt idx="37">
                  <c:v>4179</c:v>
                </c:pt>
                <c:pt idx="38">
                  <c:v>4126</c:v>
                </c:pt>
                <c:pt idx="39">
                  <c:v>4511</c:v>
                </c:pt>
                <c:pt idx="40">
                  <c:v>4369</c:v>
                </c:pt>
                <c:pt idx="41">
                  <c:v>4617</c:v>
                </c:pt>
                <c:pt idx="42">
                  <c:v>4894</c:v>
                </c:pt>
                <c:pt idx="43">
                  <c:v>4692</c:v>
                </c:pt>
                <c:pt idx="44">
                  <c:v>5164</c:v>
                </c:pt>
                <c:pt idx="45">
                  <c:v>5233</c:v>
                </c:pt>
                <c:pt idx="46">
                  <c:v>5546</c:v>
                </c:pt>
                <c:pt idx="47">
                  <c:v>4897</c:v>
                </c:pt>
                <c:pt idx="48">
                  <c:v>4928</c:v>
                </c:pt>
                <c:pt idx="49">
                  <c:v>5453</c:v>
                </c:pt>
                <c:pt idx="50">
                  <c:v>5469</c:v>
                </c:pt>
                <c:pt idx="51">
                  <c:v>5756</c:v>
                </c:pt>
                <c:pt idx="52">
                  <c:v>5344</c:v>
                </c:pt>
                <c:pt idx="53">
                  <c:v>5806</c:v>
                </c:pt>
                <c:pt idx="54">
                  <c:v>5641</c:v>
                </c:pt>
                <c:pt idx="55">
                  <c:v>5456</c:v>
                </c:pt>
                <c:pt idx="56">
                  <c:v>5770</c:v>
                </c:pt>
                <c:pt idx="57">
                  <c:v>5538</c:v>
                </c:pt>
                <c:pt idx="58">
                  <c:v>5997</c:v>
                </c:pt>
                <c:pt idx="59">
                  <c:v>4915</c:v>
                </c:pt>
                <c:pt idx="60">
                  <c:v>4936</c:v>
                </c:pt>
                <c:pt idx="61">
                  <c:v>5210</c:v>
                </c:pt>
                <c:pt idx="62">
                  <c:v>5145</c:v>
                </c:pt>
                <c:pt idx="63">
                  <c:v>5340</c:v>
                </c:pt>
                <c:pt idx="64">
                  <c:v>5003</c:v>
                </c:pt>
                <c:pt idx="65">
                  <c:v>5191</c:v>
                </c:pt>
                <c:pt idx="66">
                  <c:v>4973</c:v>
                </c:pt>
                <c:pt idx="67">
                  <c:v>4906</c:v>
                </c:pt>
                <c:pt idx="68">
                  <c:v>5091</c:v>
                </c:pt>
                <c:pt idx="69">
                  <c:v>4818</c:v>
                </c:pt>
                <c:pt idx="70">
                  <c:v>5528</c:v>
                </c:pt>
                <c:pt idx="71">
                  <c:v>4318</c:v>
                </c:pt>
                <c:pt idx="72">
                  <c:v>4409</c:v>
                </c:pt>
                <c:pt idx="73">
                  <c:v>4755</c:v>
                </c:pt>
                <c:pt idx="74">
                  <c:v>4470</c:v>
                </c:pt>
                <c:pt idx="75">
                  <c:v>4654</c:v>
                </c:pt>
                <c:pt idx="76">
                  <c:v>4640</c:v>
                </c:pt>
                <c:pt idx="77">
                  <c:v>4663</c:v>
                </c:pt>
              </c:numCache>
            </c:numRef>
          </c:val>
          <c:smooth val="0"/>
        </c:ser>
        <c:ser>
          <c:idx val="3"/>
          <c:order val="3"/>
          <c:tx>
            <c:strRef>
              <c:f>Sheet3!$E$3:$E$4</c:f>
              <c:strCache>
                <c:ptCount val="1"/>
                <c:pt idx="0">
                  <c:v>TICAGRELOR</c:v>
                </c:pt>
              </c:strCache>
            </c:strRef>
          </c:tx>
          <c:marker>
            <c:symbol val="none"/>
          </c:marker>
          <c:cat>
            <c:strRef>
              <c:f>Sheet3!$A$5:$A$83</c:f>
              <c:strCache>
                <c:ptCount val="78"/>
                <c:pt idx="0">
                  <c:v>200902</c:v>
                </c:pt>
                <c:pt idx="1">
                  <c:v>200903</c:v>
                </c:pt>
                <c:pt idx="2">
                  <c:v>200904</c:v>
                </c:pt>
                <c:pt idx="3">
                  <c:v>200905</c:v>
                </c:pt>
                <c:pt idx="4">
                  <c:v>200906</c:v>
                </c:pt>
                <c:pt idx="5">
                  <c:v>200907</c:v>
                </c:pt>
                <c:pt idx="6">
                  <c:v>200908</c:v>
                </c:pt>
                <c:pt idx="7">
                  <c:v>200909</c:v>
                </c:pt>
                <c:pt idx="8">
                  <c:v>200910</c:v>
                </c:pt>
                <c:pt idx="9">
                  <c:v>200911</c:v>
                </c:pt>
                <c:pt idx="10">
                  <c:v>200912</c:v>
                </c:pt>
                <c:pt idx="11">
                  <c:v>201001</c:v>
                </c:pt>
                <c:pt idx="12">
                  <c:v>201002</c:v>
                </c:pt>
                <c:pt idx="13">
                  <c:v>201003</c:v>
                </c:pt>
                <c:pt idx="14">
                  <c:v>201004</c:v>
                </c:pt>
                <c:pt idx="15">
                  <c:v>201005</c:v>
                </c:pt>
                <c:pt idx="16">
                  <c:v>201006</c:v>
                </c:pt>
                <c:pt idx="17">
                  <c:v>201007</c:v>
                </c:pt>
                <c:pt idx="18">
                  <c:v>201008</c:v>
                </c:pt>
                <c:pt idx="19">
                  <c:v>201009</c:v>
                </c:pt>
                <c:pt idx="20">
                  <c:v>201010</c:v>
                </c:pt>
                <c:pt idx="21">
                  <c:v>201011</c:v>
                </c:pt>
                <c:pt idx="22">
                  <c:v>201012</c:v>
                </c:pt>
                <c:pt idx="23">
                  <c:v>201101</c:v>
                </c:pt>
                <c:pt idx="24">
                  <c:v>201102</c:v>
                </c:pt>
                <c:pt idx="25">
                  <c:v>201103</c:v>
                </c:pt>
                <c:pt idx="26">
                  <c:v>201104</c:v>
                </c:pt>
                <c:pt idx="27">
                  <c:v>201105</c:v>
                </c:pt>
                <c:pt idx="28">
                  <c:v>201106</c:v>
                </c:pt>
                <c:pt idx="29">
                  <c:v>201107</c:v>
                </c:pt>
                <c:pt idx="30">
                  <c:v>201108</c:v>
                </c:pt>
                <c:pt idx="31">
                  <c:v>201109</c:v>
                </c:pt>
                <c:pt idx="32">
                  <c:v>201110</c:v>
                </c:pt>
                <c:pt idx="33">
                  <c:v>201111</c:v>
                </c:pt>
                <c:pt idx="34">
                  <c:v>201112</c:v>
                </c:pt>
                <c:pt idx="35">
                  <c:v>201201</c:v>
                </c:pt>
                <c:pt idx="36">
                  <c:v>201202</c:v>
                </c:pt>
                <c:pt idx="37">
                  <c:v>201203</c:v>
                </c:pt>
                <c:pt idx="38">
                  <c:v>201204</c:v>
                </c:pt>
                <c:pt idx="39">
                  <c:v>201205</c:v>
                </c:pt>
                <c:pt idx="40">
                  <c:v>201206</c:v>
                </c:pt>
                <c:pt idx="41">
                  <c:v>201207</c:v>
                </c:pt>
                <c:pt idx="42">
                  <c:v>201208</c:v>
                </c:pt>
                <c:pt idx="43">
                  <c:v>201209</c:v>
                </c:pt>
                <c:pt idx="44">
                  <c:v>201210</c:v>
                </c:pt>
                <c:pt idx="45">
                  <c:v>201211</c:v>
                </c:pt>
                <c:pt idx="46">
                  <c:v>201212</c:v>
                </c:pt>
                <c:pt idx="47">
                  <c:v>201301</c:v>
                </c:pt>
                <c:pt idx="48">
                  <c:v>201302</c:v>
                </c:pt>
                <c:pt idx="49">
                  <c:v>201303</c:v>
                </c:pt>
                <c:pt idx="50">
                  <c:v>201304</c:v>
                </c:pt>
                <c:pt idx="51">
                  <c:v>201305</c:v>
                </c:pt>
                <c:pt idx="52">
                  <c:v>201306</c:v>
                </c:pt>
                <c:pt idx="53">
                  <c:v>201307</c:v>
                </c:pt>
                <c:pt idx="54">
                  <c:v>201308</c:v>
                </c:pt>
                <c:pt idx="55">
                  <c:v>201309</c:v>
                </c:pt>
                <c:pt idx="56">
                  <c:v>201310</c:v>
                </c:pt>
                <c:pt idx="57">
                  <c:v>201311</c:v>
                </c:pt>
                <c:pt idx="58">
                  <c:v>201312</c:v>
                </c:pt>
                <c:pt idx="59">
                  <c:v>201401</c:v>
                </c:pt>
                <c:pt idx="60">
                  <c:v>201402</c:v>
                </c:pt>
                <c:pt idx="61">
                  <c:v>201403</c:v>
                </c:pt>
                <c:pt idx="62">
                  <c:v>201404</c:v>
                </c:pt>
                <c:pt idx="63">
                  <c:v>201405</c:v>
                </c:pt>
                <c:pt idx="64">
                  <c:v>201406</c:v>
                </c:pt>
                <c:pt idx="65">
                  <c:v>201407</c:v>
                </c:pt>
                <c:pt idx="66">
                  <c:v>201408</c:v>
                </c:pt>
                <c:pt idx="67">
                  <c:v>201409</c:v>
                </c:pt>
                <c:pt idx="68">
                  <c:v>201410</c:v>
                </c:pt>
                <c:pt idx="69">
                  <c:v>201411</c:v>
                </c:pt>
                <c:pt idx="70">
                  <c:v>201412</c:v>
                </c:pt>
                <c:pt idx="71">
                  <c:v>201501</c:v>
                </c:pt>
                <c:pt idx="72">
                  <c:v>201502</c:v>
                </c:pt>
                <c:pt idx="73">
                  <c:v>201503</c:v>
                </c:pt>
                <c:pt idx="74">
                  <c:v>201504</c:v>
                </c:pt>
                <c:pt idx="75">
                  <c:v>201505</c:v>
                </c:pt>
                <c:pt idx="76">
                  <c:v>201506</c:v>
                </c:pt>
                <c:pt idx="77">
                  <c:v>201507</c:v>
                </c:pt>
              </c:strCache>
            </c:strRef>
          </c:cat>
          <c:val>
            <c:numRef>
              <c:f>Sheet3!$E$5:$E$83</c:f>
              <c:numCache>
                <c:formatCode>General</c:formatCode>
                <c:ptCount val="78"/>
                <c:pt idx="42">
                  <c:v>495</c:v>
                </c:pt>
                <c:pt idx="43">
                  <c:v>927</c:v>
                </c:pt>
                <c:pt idx="44">
                  <c:v>1539</c:v>
                </c:pt>
                <c:pt idx="45">
                  <c:v>1841</c:v>
                </c:pt>
                <c:pt idx="46">
                  <c:v>2275</c:v>
                </c:pt>
                <c:pt idx="47">
                  <c:v>2302</c:v>
                </c:pt>
                <c:pt idx="48">
                  <c:v>2503</c:v>
                </c:pt>
                <c:pt idx="49">
                  <c:v>3111</c:v>
                </c:pt>
                <c:pt idx="50">
                  <c:v>3553</c:v>
                </c:pt>
                <c:pt idx="51">
                  <c:v>4122</c:v>
                </c:pt>
                <c:pt idx="52">
                  <c:v>4402</c:v>
                </c:pt>
                <c:pt idx="53">
                  <c:v>5248</c:v>
                </c:pt>
                <c:pt idx="54">
                  <c:v>5801</c:v>
                </c:pt>
                <c:pt idx="55">
                  <c:v>6037</c:v>
                </c:pt>
                <c:pt idx="56">
                  <c:v>6854</c:v>
                </c:pt>
                <c:pt idx="57">
                  <c:v>7246</c:v>
                </c:pt>
                <c:pt idx="58">
                  <c:v>8304</c:v>
                </c:pt>
                <c:pt idx="59">
                  <c:v>7705</c:v>
                </c:pt>
                <c:pt idx="60">
                  <c:v>7663</c:v>
                </c:pt>
                <c:pt idx="61">
                  <c:v>8833</c:v>
                </c:pt>
                <c:pt idx="62">
                  <c:v>9105</c:v>
                </c:pt>
                <c:pt idx="63">
                  <c:v>9904</c:v>
                </c:pt>
                <c:pt idx="64">
                  <c:v>9726</c:v>
                </c:pt>
                <c:pt idx="65">
                  <c:v>10849</c:v>
                </c:pt>
                <c:pt idx="66">
                  <c:v>10877</c:v>
                </c:pt>
                <c:pt idx="67">
                  <c:v>11171</c:v>
                </c:pt>
                <c:pt idx="68">
                  <c:v>12053</c:v>
                </c:pt>
                <c:pt idx="69">
                  <c:v>11526</c:v>
                </c:pt>
                <c:pt idx="70">
                  <c:v>13618</c:v>
                </c:pt>
                <c:pt idx="71">
                  <c:v>11713</c:v>
                </c:pt>
                <c:pt idx="72">
                  <c:v>11507</c:v>
                </c:pt>
                <c:pt idx="73">
                  <c:v>13314</c:v>
                </c:pt>
                <c:pt idx="74">
                  <c:v>12959</c:v>
                </c:pt>
                <c:pt idx="75">
                  <c:v>13614</c:v>
                </c:pt>
                <c:pt idx="76">
                  <c:v>14010</c:v>
                </c:pt>
                <c:pt idx="77">
                  <c:v>14649</c:v>
                </c:pt>
              </c:numCache>
            </c:numRef>
          </c:val>
          <c:smooth val="0"/>
        </c:ser>
        <c:ser>
          <c:idx val="4"/>
          <c:order val="4"/>
          <c:tx>
            <c:strRef>
              <c:f>Sheet3!$F$3:$F$4</c:f>
              <c:strCache>
                <c:ptCount val="1"/>
                <c:pt idx="0">
                  <c:v>TOTAL</c:v>
                </c:pt>
              </c:strCache>
            </c:strRef>
          </c:tx>
          <c:marker>
            <c:symbol val="none"/>
          </c:marker>
          <c:cat>
            <c:strRef>
              <c:f>Sheet3!$A$5:$A$83</c:f>
              <c:strCache>
                <c:ptCount val="78"/>
                <c:pt idx="0">
                  <c:v>200902</c:v>
                </c:pt>
                <c:pt idx="1">
                  <c:v>200903</c:v>
                </c:pt>
                <c:pt idx="2">
                  <c:v>200904</c:v>
                </c:pt>
                <c:pt idx="3">
                  <c:v>200905</c:v>
                </c:pt>
                <c:pt idx="4">
                  <c:v>200906</c:v>
                </c:pt>
                <c:pt idx="5">
                  <c:v>200907</c:v>
                </c:pt>
                <c:pt idx="6">
                  <c:v>200908</c:v>
                </c:pt>
                <c:pt idx="7">
                  <c:v>200909</c:v>
                </c:pt>
                <c:pt idx="8">
                  <c:v>200910</c:v>
                </c:pt>
                <c:pt idx="9">
                  <c:v>200911</c:v>
                </c:pt>
                <c:pt idx="10">
                  <c:v>200912</c:v>
                </c:pt>
                <c:pt idx="11">
                  <c:v>201001</c:v>
                </c:pt>
                <c:pt idx="12">
                  <c:v>201002</c:v>
                </c:pt>
                <c:pt idx="13">
                  <c:v>201003</c:v>
                </c:pt>
                <c:pt idx="14">
                  <c:v>201004</c:v>
                </c:pt>
                <c:pt idx="15">
                  <c:v>201005</c:v>
                </c:pt>
                <c:pt idx="16">
                  <c:v>201006</c:v>
                </c:pt>
                <c:pt idx="17">
                  <c:v>201007</c:v>
                </c:pt>
                <c:pt idx="18">
                  <c:v>201008</c:v>
                </c:pt>
                <c:pt idx="19">
                  <c:v>201009</c:v>
                </c:pt>
                <c:pt idx="20">
                  <c:v>201010</c:v>
                </c:pt>
                <c:pt idx="21">
                  <c:v>201011</c:v>
                </c:pt>
                <c:pt idx="22">
                  <c:v>201012</c:v>
                </c:pt>
                <c:pt idx="23">
                  <c:v>201101</c:v>
                </c:pt>
                <c:pt idx="24">
                  <c:v>201102</c:v>
                </c:pt>
                <c:pt idx="25">
                  <c:v>201103</c:v>
                </c:pt>
                <c:pt idx="26">
                  <c:v>201104</c:v>
                </c:pt>
                <c:pt idx="27">
                  <c:v>201105</c:v>
                </c:pt>
                <c:pt idx="28">
                  <c:v>201106</c:v>
                </c:pt>
                <c:pt idx="29">
                  <c:v>201107</c:v>
                </c:pt>
                <c:pt idx="30">
                  <c:v>201108</c:v>
                </c:pt>
                <c:pt idx="31">
                  <c:v>201109</c:v>
                </c:pt>
                <c:pt idx="32">
                  <c:v>201110</c:v>
                </c:pt>
                <c:pt idx="33">
                  <c:v>201111</c:v>
                </c:pt>
                <c:pt idx="34">
                  <c:v>201112</c:v>
                </c:pt>
                <c:pt idx="35">
                  <c:v>201201</c:v>
                </c:pt>
                <c:pt idx="36">
                  <c:v>201202</c:v>
                </c:pt>
                <c:pt idx="37">
                  <c:v>201203</c:v>
                </c:pt>
                <c:pt idx="38">
                  <c:v>201204</c:v>
                </c:pt>
                <c:pt idx="39">
                  <c:v>201205</c:v>
                </c:pt>
                <c:pt idx="40">
                  <c:v>201206</c:v>
                </c:pt>
                <c:pt idx="41">
                  <c:v>201207</c:v>
                </c:pt>
                <c:pt idx="42">
                  <c:v>201208</c:v>
                </c:pt>
                <c:pt idx="43">
                  <c:v>201209</c:v>
                </c:pt>
                <c:pt idx="44">
                  <c:v>201210</c:v>
                </c:pt>
                <c:pt idx="45">
                  <c:v>201211</c:v>
                </c:pt>
                <c:pt idx="46">
                  <c:v>201212</c:v>
                </c:pt>
                <c:pt idx="47">
                  <c:v>201301</c:v>
                </c:pt>
                <c:pt idx="48">
                  <c:v>201302</c:v>
                </c:pt>
                <c:pt idx="49">
                  <c:v>201303</c:v>
                </c:pt>
                <c:pt idx="50">
                  <c:v>201304</c:v>
                </c:pt>
                <c:pt idx="51">
                  <c:v>201305</c:v>
                </c:pt>
                <c:pt idx="52">
                  <c:v>201306</c:v>
                </c:pt>
                <c:pt idx="53">
                  <c:v>201307</c:v>
                </c:pt>
                <c:pt idx="54">
                  <c:v>201308</c:v>
                </c:pt>
                <c:pt idx="55">
                  <c:v>201309</c:v>
                </c:pt>
                <c:pt idx="56">
                  <c:v>201310</c:v>
                </c:pt>
                <c:pt idx="57">
                  <c:v>201311</c:v>
                </c:pt>
                <c:pt idx="58">
                  <c:v>201312</c:v>
                </c:pt>
                <c:pt idx="59">
                  <c:v>201401</c:v>
                </c:pt>
                <c:pt idx="60">
                  <c:v>201402</c:v>
                </c:pt>
                <c:pt idx="61">
                  <c:v>201403</c:v>
                </c:pt>
                <c:pt idx="62">
                  <c:v>201404</c:v>
                </c:pt>
                <c:pt idx="63">
                  <c:v>201405</c:v>
                </c:pt>
                <c:pt idx="64">
                  <c:v>201406</c:v>
                </c:pt>
                <c:pt idx="65">
                  <c:v>201407</c:v>
                </c:pt>
                <c:pt idx="66">
                  <c:v>201408</c:v>
                </c:pt>
                <c:pt idx="67">
                  <c:v>201409</c:v>
                </c:pt>
                <c:pt idx="68">
                  <c:v>201410</c:v>
                </c:pt>
                <c:pt idx="69">
                  <c:v>201411</c:v>
                </c:pt>
                <c:pt idx="70">
                  <c:v>201412</c:v>
                </c:pt>
                <c:pt idx="71">
                  <c:v>201501</c:v>
                </c:pt>
                <c:pt idx="72">
                  <c:v>201502</c:v>
                </c:pt>
                <c:pt idx="73">
                  <c:v>201503</c:v>
                </c:pt>
                <c:pt idx="74">
                  <c:v>201504</c:v>
                </c:pt>
                <c:pt idx="75">
                  <c:v>201505</c:v>
                </c:pt>
                <c:pt idx="76">
                  <c:v>201506</c:v>
                </c:pt>
                <c:pt idx="77">
                  <c:v>201507</c:v>
                </c:pt>
              </c:strCache>
            </c:strRef>
          </c:cat>
          <c:val>
            <c:numRef>
              <c:f>Sheet3!$F$5:$F$83</c:f>
              <c:numCache>
                <c:formatCode>General</c:formatCode>
                <c:ptCount val="78"/>
                <c:pt idx="0">
                  <c:v>218591</c:v>
                </c:pt>
                <c:pt idx="1">
                  <c:v>244526</c:v>
                </c:pt>
                <c:pt idx="2">
                  <c:v>245391</c:v>
                </c:pt>
                <c:pt idx="3">
                  <c:v>245203</c:v>
                </c:pt>
                <c:pt idx="4">
                  <c:v>247577</c:v>
                </c:pt>
                <c:pt idx="5">
                  <c:v>257360</c:v>
                </c:pt>
                <c:pt idx="6">
                  <c:v>248243</c:v>
                </c:pt>
                <c:pt idx="7">
                  <c:v>251471</c:v>
                </c:pt>
                <c:pt idx="8">
                  <c:v>262602</c:v>
                </c:pt>
                <c:pt idx="9">
                  <c:v>253449</c:v>
                </c:pt>
                <c:pt idx="10">
                  <c:v>297226</c:v>
                </c:pt>
                <c:pt idx="11">
                  <c:v>220031</c:v>
                </c:pt>
                <c:pt idx="12">
                  <c:v>235356</c:v>
                </c:pt>
                <c:pt idx="13">
                  <c:v>275980</c:v>
                </c:pt>
                <c:pt idx="14">
                  <c:v>254984</c:v>
                </c:pt>
                <c:pt idx="15">
                  <c:v>262601</c:v>
                </c:pt>
                <c:pt idx="16">
                  <c:v>255645</c:v>
                </c:pt>
                <c:pt idx="17">
                  <c:v>258798</c:v>
                </c:pt>
                <c:pt idx="18">
                  <c:v>255194</c:v>
                </c:pt>
                <c:pt idx="19">
                  <c:v>255353</c:v>
                </c:pt>
                <c:pt idx="20">
                  <c:v>254141</c:v>
                </c:pt>
                <c:pt idx="21">
                  <c:v>260574</c:v>
                </c:pt>
                <c:pt idx="22">
                  <c:v>292123</c:v>
                </c:pt>
                <c:pt idx="23">
                  <c:v>210868</c:v>
                </c:pt>
                <c:pt idx="24">
                  <c:v>223948</c:v>
                </c:pt>
                <c:pt idx="25">
                  <c:v>257018</c:v>
                </c:pt>
                <c:pt idx="26">
                  <c:v>241818</c:v>
                </c:pt>
                <c:pt idx="27">
                  <c:v>253644</c:v>
                </c:pt>
                <c:pt idx="28">
                  <c:v>247650</c:v>
                </c:pt>
                <c:pt idx="29">
                  <c:v>245131</c:v>
                </c:pt>
                <c:pt idx="30">
                  <c:v>258964</c:v>
                </c:pt>
                <c:pt idx="31">
                  <c:v>250611</c:v>
                </c:pt>
                <c:pt idx="32">
                  <c:v>249223</c:v>
                </c:pt>
                <c:pt idx="33">
                  <c:v>256551</c:v>
                </c:pt>
                <c:pt idx="34">
                  <c:v>284514</c:v>
                </c:pt>
                <c:pt idx="35">
                  <c:v>214332</c:v>
                </c:pt>
                <c:pt idx="36">
                  <c:v>233874</c:v>
                </c:pt>
                <c:pt idx="37">
                  <c:v>257736</c:v>
                </c:pt>
                <c:pt idx="38">
                  <c:v>235073</c:v>
                </c:pt>
                <c:pt idx="39">
                  <c:v>257784</c:v>
                </c:pt>
                <c:pt idx="40">
                  <c:v>241442</c:v>
                </c:pt>
                <c:pt idx="41">
                  <c:v>247069</c:v>
                </c:pt>
                <c:pt idx="42">
                  <c:v>256916</c:v>
                </c:pt>
                <c:pt idx="43">
                  <c:v>236093</c:v>
                </c:pt>
                <c:pt idx="44">
                  <c:v>256641</c:v>
                </c:pt>
                <c:pt idx="45">
                  <c:v>253215</c:v>
                </c:pt>
                <c:pt idx="46">
                  <c:v>274438</c:v>
                </c:pt>
                <c:pt idx="47">
                  <c:v>216220</c:v>
                </c:pt>
                <c:pt idx="48">
                  <c:v>221761</c:v>
                </c:pt>
                <c:pt idx="49">
                  <c:v>239478</c:v>
                </c:pt>
                <c:pt idx="50">
                  <c:v>244256</c:v>
                </c:pt>
                <c:pt idx="51">
                  <c:v>255889</c:v>
                </c:pt>
                <c:pt idx="52">
                  <c:v>233149</c:v>
                </c:pt>
                <c:pt idx="53">
                  <c:v>256125</c:v>
                </c:pt>
                <c:pt idx="54">
                  <c:v>253915</c:v>
                </c:pt>
                <c:pt idx="55">
                  <c:v>241131</c:v>
                </c:pt>
                <c:pt idx="56">
                  <c:v>260231</c:v>
                </c:pt>
                <c:pt idx="57">
                  <c:v>251292</c:v>
                </c:pt>
                <c:pt idx="58">
                  <c:v>281627</c:v>
                </c:pt>
                <c:pt idx="59">
                  <c:v>220902</c:v>
                </c:pt>
                <c:pt idx="60">
                  <c:v>224143</c:v>
                </c:pt>
                <c:pt idx="61">
                  <c:v>247403</c:v>
                </c:pt>
                <c:pt idx="62">
                  <c:v>243323</c:v>
                </c:pt>
                <c:pt idx="63">
                  <c:v>255981</c:v>
                </c:pt>
                <c:pt idx="64">
                  <c:v>240458</c:v>
                </c:pt>
                <c:pt idx="65">
                  <c:v>255721</c:v>
                </c:pt>
                <c:pt idx="66">
                  <c:v>245471</c:v>
                </c:pt>
                <c:pt idx="67">
                  <c:v>247691</c:v>
                </c:pt>
                <c:pt idx="68">
                  <c:v>256570</c:v>
                </c:pt>
                <c:pt idx="69">
                  <c:v>241718</c:v>
                </c:pt>
                <c:pt idx="70">
                  <c:v>287466</c:v>
                </c:pt>
                <c:pt idx="71">
                  <c:v>215375</c:v>
                </c:pt>
                <c:pt idx="72">
                  <c:v>220850</c:v>
                </c:pt>
                <c:pt idx="73">
                  <c:v>250092</c:v>
                </c:pt>
                <c:pt idx="74">
                  <c:v>235853</c:v>
                </c:pt>
                <c:pt idx="75">
                  <c:v>244015</c:v>
                </c:pt>
                <c:pt idx="76">
                  <c:v>243778</c:v>
                </c:pt>
                <c:pt idx="77">
                  <c:v>252461</c:v>
                </c:pt>
              </c:numCache>
            </c:numRef>
          </c:val>
          <c:smooth val="0"/>
        </c:ser>
        <c:dLbls>
          <c:showLegendKey val="0"/>
          <c:showVal val="0"/>
          <c:showCatName val="0"/>
          <c:showSerName val="0"/>
          <c:showPercent val="0"/>
          <c:showBubbleSize val="0"/>
        </c:dLbls>
        <c:marker val="1"/>
        <c:smooth val="0"/>
        <c:axId val="227672448"/>
        <c:axId val="227673984"/>
      </c:lineChart>
      <c:catAx>
        <c:axId val="227672448"/>
        <c:scaling>
          <c:orientation val="minMax"/>
        </c:scaling>
        <c:delete val="0"/>
        <c:axPos val="b"/>
        <c:majorTickMark val="out"/>
        <c:minorTickMark val="none"/>
        <c:tickLblPos val="nextTo"/>
        <c:crossAx val="227673984"/>
        <c:crosses val="autoZero"/>
        <c:auto val="1"/>
        <c:lblAlgn val="ctr"/>
        <c:lblOffset val="100"/>
        <c:noMultiLvlLbl val="0"/>
      </c:catAx>
      <c:valAx>
        <c:axId val="227673984"/>
        <c:scaling>
          <c:orientation val="minMax"/>
        </c:scaling>
        <c:delete val="0"/>
        <c:axPos val="l"/>
        <c:majorGridlines/>
        <c:numFmt formatCode="#,##0" sourceLinked="0"/>
        <c:majorTickMark val="out"/>
        <c:minorTickMark val="none"/>
        <c:tickLblPos val="nextTo"/>
        <c:crossAx val="227672448"/>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[D897_SCRIPT_COUNT_STRM_CD C P T.xlsx]Sheet5!PivotTable2</c:name>
    <c:fmtId val="1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s>
    <c:plotArea>
      <c:layout/>
      <c:lineChart>
        <c:grouping val="standard"/>
        <c:varyColors val="0"/>
        <c:ser>
          <c:idx val="0"/>
          <c:order val="0"/>
          <c:tx>
            <c:strRef>
              <c:f>Sheet5!$B$3:$B$4</c:f>
              <c:strCache>
                <c:ptCount val="1"/>
                <c:pt idx="0">
                  <c:v>Prevention of recurrence of myocardial infarction or unstable angina</c:v>
                </c:pt>
              </c:strCache>
            </c:strRef>
          </c:tx>
          <c:marker>
            <c:symbol val="none"/>
          </c:marker>
          <c:cat>
            <c:strRef>
              <c:f>Sheet5!$A$5:$A$49</c:f>
              <c:strCache>
                <c:ptCount val="44"/>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pt idx="29">
                  <c:v>201405</c:v>
                </c:pt>
                <c:pt idx="30">
                  <c:v>201406</c:v>
                </c:pt>
                <c:pt idx="31">
                  <c:v>201407</c:v>
                </c:pt>
                <c:pt idx="32">
                  <c:v>201408</c:v>
                </c:pt>
                <c:pt idx="33">
                  <c:v>201409</c:v>
                </c:pt>
                <c:pt idx="34">
                  <c:v>201410</c:v>
                </c:pt>
                <c:pt idx="35">
                  <c:v>201411</c:v>
                </c:pt>
                <c:pt idx="36">
                  <c:v>201412</c:v>
                </c:pt>
                <c:pt idx="37">
                  <c:v>201501</c:v>
                </c:pt>
                <c:pt idx="38">
                  <c:v>201502</c:v>
                </c:pt>
                <c:pt idx="39">
                  <c:v>201503</c:v>
                </c:pt>
                <c:pt idx="40">
                  <c:v>201504</c:v>
                </c:pt>
                <c:pt idx="41">
                  <c:v>201505</c:v>
                </c:pt>
                <c:pt idx="42">
                  <c:v>201506</c:v>
                </c:pt>
                <c:pt idx="43">
                  <c:v>201507</c:v>
                </c:pt>
              </c:strCache>
            </c:strRef>
          </c:cat>
          <c:val>
            <c:numRef>
              <c:f>Sheet5!$B$5:$B$49</c:f>
              <c:numCache>
                <c:formatCode>General</c:formatCode>
                <c:ptCount val="44"/>
                <c:pt idx="0">
                  <c:v>109731</c:v>
                </c:pt>
                <c:pt idx="1">
                  <c:v>91735</c:v>
                </c:pt>
                <c:pt idx="2">
                  <c:v>104977</c:v>
                </c:pt>
                <c:pt idx="3">
                  <c:v>120015</c:v>
                </c:pt>
                <c:pt idx="4">
                  <c:v>114661</c:v>
                </c:pt>
                <c:pt idx="5">
                  <c:v>126240</c:v>
                </c:pt>
                <c:pt idx="6">
                  <c:v>118886</c:v>
                </c:pt>
                <c:pt idx="7">
                  <c:v>123934</c:v>
                </c:pt>
                <c:pt idx="8">
                  <c:v>128294</c:v>
                </c:pt>
                <c:pt idx="9">
                  <c:v>117536</c:v>
                </c:pt>
                <c:pt idx="10">
                  <c:v>127526</c:v>
                </c:pt>
                <c:pt idx="11">
                  <c:v>124675</c:v>
                </c:pt>
                <c:pt idx="12">
                  <c:v>135958</c:v>
                </c:pt>
                <c:pt idx="13">
                  <c:v>103894</c:v>
                </c:pt>
                <c:pt idx="14">
                  <c:v>107372</c:v>
                </c:pt>
                <c:pt idx="15">
                  <c:v>115469</c:v>
                </c:pt>
                <c:pt idx="16">
                  <c:v>117697</c:v>
                </c:pt>
                <c:pt idx="17">
                  <c:v>122523</c:v>
                </c:pt>
                <c:pt idx="18">
                  <c:v>111216</c:v>
                </c:pt>
                <c:pt idx="19">
                  <c:v>121568</c:v>
                </c:pt>
                <c:pt idx="20">
                  <c:v>120087</c:v>
                </c:pt>
                <c:pt idx="21">
                  <c:v>113377</c:v>
                </c:pt>
                <c:pt idx="22">
                  <c:v>121797</c:v>
                </c:pt>
                <c:pt idx="23">
                  <c:v>117036</c:v>
                </c:pt>
                <c:pt idx="24">
                  <c:v>131479</c:v>
                </c:pt>
                <c:pt idx="25">
                  <c:v>100181</c:v>
                </c:pt>
                <c:pt idx="26">
                  <c:v>102388</c:v>
                </c:pt>
                <c:pt idx="27">
                  <c:v>112597</c:v>
                </c:pt>
                <c:pt idx="28">
                  <c:v>110642</c:v>
                </c:pt>
                <c:pt idx="29">
                  <c:v>115476</c:v>
                </c:pt>
                <c:pt idx="30">
                  <c:v>107743</c:v>
                </c:pt>
                <c:pt idx="31">
                  <c:v>114011</c:v>
                </c:pt>
                <c:pt idx="32">
                  <c:v>108902</c:v>
                </c:pt>
                <c:pt idx="33">
                  <c:v>109539</c:v>
                </c:pt>
                <c:pt idx="34">
                  <c:v>112766</c:v>
                </c:pt>
                <c:pt idx="35">
                  <c:v>105980</c:v>
                </c:pt>
                <c:pt idx="36">
                  <c:v>126556</c:v>
                </c:pt>
                <c:pt idx="37">
                  <c:v>91667</c:v>
                </c:pt>
                <c:pt idx="38">
                  <c:v>94727</c:v>
                </c:pt>
                <c:pt idx="39">
                  <c:v>107111</c:v>
                </c:pt>
                <c:pt idx="40">
                  <c:v>100970</c:v>
                </c:pt>
                <c:pt idx="41">
                  <c:v>103703</c:v>
                </c:pt>
                <c:pt idx="42">
                  <c:v>103177</c:v>
                </c:pt>
                <c:pt idx="43">
                  <c:v>106597</c:v>
                </c:pt>
              </c:numCache>
            </c:numRef>
          </c:val>
          <c:smooth val="0"/>
        </c:ser>
        <c:ser>
          <c:idx val="1"/>
          <c:order val="1"/>
          <c:tx>
            <c:strRef>
              <c:f>Sheet5!$C$3:$C$4</c:f>
              <c:strCache>
                <c:ptCount val="1"/>
                <c:pt idx="0">
                  <c:v>Prevention of recurrence of ischaemic stroke or transient cerebral ischaemic events</c:v>
                </c:pt>
              </c:strCache>
            </c:strRef>
          </c:tx>
          <c:marker>
            <c:symbol val="none"/>
          </c:marker>
          <c:cat>
            <c:strRef>
              <c:f>Sheet5!$A$5:$A$49</c:f>
              <c:strCache>
                <c:ptCount val="44"/>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pt idx="29">
                  <c:v>201405</c:v>
                </c:pt>
                <c:pt idx="30">
                  <c:v>201406</c:v>
                </c:pt>
                <c:pt idx="31">
                  <c:v>201407</c:v>
                </c:pt>
                <c:pt idx="32">
                  <c:v>201408</c:v>
                </c:pt>
                <c:pt idx="33">
                  <c:v>201409</c:v>
                </c:pt>
                <c:pt idx="34">
                  <c:v>201410</c:v>
                </c:pt>
                <c:pt idx="35">
                  <c:v>201411</c:v>
                </c:pt>
                <c:pt idx="36">
                  <c:v>201412</c:v>
                </c:pt>
                <c:pt idx="37">
                  <c:v>201501</c:v>
                </c:pt>
                <c:pt idx="38">
                  <c:v>201502</c:v>
                </c:pt>
                <c:pt idx="39">
                  <c:v>201503</c:v>
                </c:pt>
                <c:pt idx="40">
                  <c:v>201504</c:v>
                </c:pt>
                <c:pt idx="41">
                  <c:v>201505</c:v>
                </c:pt>
                <c:pt idx="42">
                  <c:v>201506</c:v>
                </c:pt>
                <c:pt idx="43">
                  <c:v>201507</c:v>
                </c:pt>
              </c:strCache>
            </c:strRef>
          </c:cat>
          <c:val>
            <c:numRef>
              <c:f>Sheet5!$C$5:$C$49</c:f>
              <c:numCache>
                <c:formatCode>General</c:formatCode>
                <c:ptCount val="44"/>
                <c:pt idx="0">
                  <c:v>72693</c:v>
                </c:pt>
                <c:pt idx="1">
                  <c:v>62806</c:v>
                </c:pt>
                <c:pt idx="2">
                  <c:v>70224</c:v>
                </c:pt>
                <c:pt idx="3">
                  <c:v>79967</c:v>
                </c:pt>
                <c:pt idx="4">
                  <c:v>74681</c:v>
                </c:pt>
                <c:pt idx="5">
                  <c:v>82524</c:v>
                </c:pt>
                <c:pt idx="6">
                  <c:v>76832</c:v>
                </c:pt>
                <c:pt idx="7">
                  <c:v>80123</c:v>
                </c:pt>
                <c:pt idx="8">
                  <c:v>83045</c:v>
                </c:pt>
                <c:pt idx="9">
                  <c:v>75509</c:v>
                </c:pt>
                <c:pt idx="10">
                  <c:v>81174</c:v>
                </c:pt>
                <c:pt idx="11">
                  <c:v>80065</c:v>
                </c:pt>
                <c:pt idx="12">
                  <c:v>85657</c:v>
                </c:pt>
                <c:pt idx="13">
                  <c:v>69578</c:v>
                </c:pt>
                <c:pt idx="14">
                  <c:v>70215</c:v>
                </c:pt>
                <c:pt idx="15">
                  <c:v>75557</c:v>
                </c:pt>
                <c:pt idx="16">
                  <c:v>77108</c:v>
                </c:pt>
                <c:pt idx="17">
                  <c:v>80928</c:v>
                </c:pt>
                <c:pt idx="18">
                  <c:v>73130</c:v>
                </c:pt>
                <c:pt idx="19">
                  <c:v>80987</c:v>
                </c:pt>
                <c:pt idx="20">
                  <c:v>79853</c:v>
                </c:pt>
                <c:pt idx="21">
                  <c:v>75862</c:v>
                </c:pt>
                <c:pt idx="22">
                  <c:v>81919</c:v>
                </c:pt>
                <c:pt idx="23">
                  <c:v>78546</c:v>
                </c:pt>
                <c:pt idx="24">
                  <c:v>87964</c:v>
                </c:pt>
                <c:pt idx="25">
                  <c:v>70385</c:v>
                </c:pt>
                <c:pt idx="26">
                  <c:v>70587</c:v>
                </c:pt>
                <c:pt idx="27">
                  <c:v>77669</c:v>
                </c:pt>
                <c:pt idx="28">
                  <c:v>76030</c:v>
                </c:pt>
                <c:pt idx="29">
                  <c:v>80244</c:v>
                </c:pt>
                <c:pt idx="30">
                  <c:v>75170</c:v>
                </c:pt>
                <c:pt idx="31">
                  <c:v>80069</c:v>
                </c:pt>
                <c:pt idx="32">
                  <c:v>76796</c:v>
                </c:pt>
                <c:pt idx="33">
                  <c:v>77703</c:v>
                </c:pt>
                <c:pt idx="34">
                  <c:v>80546</c:v>
                </c:pt>
                <c:pt idx="35">
                  <c:v>75686</c:v>
                </c:pt>
                <c:pt idx="36">
                  <c:v>89823</c:v>
                </c:pt>
                <c:pt idx="37">
                  <c:v>68505</c:v>
                </c:pt>
                <c:pt idx="38">
                  <c:v>69716</c:v>
                </c:pt>
                <c:pt idx="39">
                  <c:v>78830</c:v>
                </c:pt>
                <c:pt idx="40">
                  <c:v>74203</c:v>
                </c:pt>
                <c:pt idx="41">
                  <c:v>76991</c:v>
                </c:pt>
                <c:pt idx="42">
                  <c:v>76902</c:v>
                </c:pt>
                <c:pt idx="43">
                  <c:v>80203</c:v>
                </c:pt>
              </c:numCache>
            </c:numRef>
          </c:val>
          <c:smooth val="0"/>
        </c:ser>
        <c:ser>
          <c:idx val="2"/>
          <c:order val="2"/>
          <c:tx>
            <c:strRef>
              <c:f>Sheet5!$D$3:$D$4</c:f>
              <c:strCache>
                <c:ptCount val="1"/>
                <c:pt idx="0">
                  <c:v>Cardiac stent insertion</c:v>
                </c:pt>
              </c:strCache>
            </c:strRef>
          </c:tx>
          <c:marker>
            <c:symbol val="none"/>
          </c:marker>
          <c:cat>
            <c:strRef>
              <c:f>Sheet5!$A$5:$A$49</c:f>
              <c:strCache>
                <c:ptCount val="44"/>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pt idx="29">
                  <c:v>201405</c:v>
                </c:pt>
                <c:pt idx="30">
                  <c:v>201406</c:v>
                </c:pt>
                <c:pt idx="31">
                  <c:v>201407</c:v>
                </c:pt>
                <c:pt idx="32">
                  <c:v>201408</c:v>
                </c:pt>
                <c:pt idx="33">
                  <c:v>201409</c:v>
                </c:pt>
                <c:pt idx="34">
                  <c:v>201410</c:v>
                </c:pt>
                <c:pt idx="35">
                  <c:v>201411</c:v>
                </c:pt>
                <c:pt idx="36">
                  <c:v>201412</c:v>
                </c:pt>
                <c:pt idx="37">
                  <c:v>201501</c:v>
                </c:pt>
                <c:pt idx="38">
                  <c:v>201502</c:v>
                </c:pt>
                <c:pt idx="39">
                  <c:v>201503</c:v>
                </c:pt>
                <c:pt idx="40">
                  <c:v>201504</c:v>
                </c:pt>
                <c:pt idx="41">
                  <c:v>201505</c:v>
                </c:pt>
                <c:pt idx="42">
                  <c:v>201506</c:v>
                </c:pt>
                <c:pt idx="43">
                  <c:v>201507</c:v>
                </c:pt>
              </c:strCache>
            </c:strRef>
          </c:cat>
          <c:val>
            <c:numRef>
              <c:f>Sheet5!$D$5:$D$49</c:f>
              <c:numCache>
                <c:formatCode>General</c:formatCode>
                <c:ptCount val="44"/>
                <c:pt idx="0">
                  <c:v>21486</c:v>
                </c:pt>
                <c:pt idx="1">
                  <c:v>18554</c:v>
                </c:pt>
                <c:pt idx="2">
                  <c:v>21699</c:v>
                </c:pt>
                <c:pt idx="3">
                  <c:v>25383</c:v>
                </c:pt>
                <c:pt idx="4">
                  <c:v>25402</c:v>
                </c:pt>
                <c:pt idx="5">
                  <c:v>28284</c:v>
                </c:pt>
                <c:pt idx="6">
                  <c:v>27286</c:v>
                </c:pt>
                <c:pt idx="7">
                  <c:v>28877</c:v>
                </c:pt>
                <c:pt idx="8">
                  <c:v>30167</c:v>
                </c:pt>
                <c:pt idx="9">
                  <c:v>28128</c:v>
                </c:pt>
                <c:pt idx="10">
                  <c:v>30921</c:v>
                </c:pt>
                <c:pt idx="11">
                  <c:v>31061</c:v>
                </c:pt>
                <c:pt idx="12">
                  <c:v>33668</c:v>
                </c:pt>
                <c:pt idx="13">
                  <c:v>26064</c:v>
                </c:pt>
                <c:pt idx="14">
                  <c:v>26772</c:v>
                </c:pt>
                <c:pt idx="15">
                  <c:v>28815</c:v>
                </c:pt>
                <c:pt idx="16">
                  <c:v>28584</c:v>
                </c:pt>
                <c:pt idx="17">
                  <c:v>29830</c:v>
                </c:pt>
                <c:pt idx="18">
                  <c:v>27005</c:v>
                </c:pt>
                <c:pt idx="19">
                  <c:v>29219</c:v>
                </c:pt>
                <c:pt idx="20">
                  <c:v>28897</c:v>
                </c:pt>
                <c:pt idx="21">
                  <c:v>27174</c:v>
                </c:pt>
                <c:pt idx="22">
                  <c:v>29505</c:v>
                </c:pt>
                <c:pt idx="23">
                  <c:v>28782</c:v>
                </c:pt>
                <c:pt idx="24">
                  <c:v>32164</c:v>
                </c:pt>
                <c:pt idx="25">
                  <c:v>24965</c:v>
                </c:pt>
                <c:pt idx="26">
                  <c:v>25725</c:v>
                </c:pt>
                <c:pt idx="27">
                  <c:v>28534</c:v>
                </c:pt>
                <c:pt idx="28">
                  <c:v>28129</c:v>
                </c:pt>
                <c:pt idx="29">
                  <c:v>29732</c:v>
                </c:pt>
                <c:pt idx="30">
                  <c:v>28311</c:v>
                </c:pt>
                <c:pt idx="31">
                  <c:v>29952</c:v>
                </c:pt>
                <c:pt idx="32">
                  <c:v>29046</c:v>
                </c:pt>
                <c:pt idx="33">
                  <c:v>29202</c:v>
                </c:pt>
                <c:pt idx="34">
                  <c:v>30549</c:v>
                </c:pt>
                <c:pt idx="35">
                  <c:v>28932</c:v>
                </c:pt>
                <c:pt idx="36">
                  <c:v>34348</c:v>
                </c:pt>
                <c:pt idx="37">
                  <c:v>25839</c:v>
                </c:pt>
                <c:pt idx="38">
                  <c:v>26700</c:v>
                </c:pt>
                <c:pt idx="39">
                  <c:v>30304</c:v>
                </c:pt>
                <c:pt idx="40">
                  <c:v>28547</c:v>
                </c:pt>
                <c:pt idx="41">
                  <c:v>29219</c:v>
                </c:pt>
                <c:pt idx="42">
                  <c:v>29109</c:v>
                </c:pt>
                <c:pt idx="43">
                  <c:v>29928</c:v>
                </c:pt>
              </c:numCache>
            </c:numRef>
          </c:val>
          <c:smooth val="0"/>
        </c:ser>
        <c:ser>
          <c:idx val="3"/>
          <c:order val="3"/>
          <c:tx>
            <c:strRef>
              <c:f>Sheet5!$E$3:$E$4</c:f>
              <c:strCache>
                <c:ptCount val="1"/>
                <c:pt idx="0">
                  <c:v>Acute coronary syndrome</c:v>
                </c:pt>
              </c:strCache>
            </c:strRef>
          </c:tx>
          <c:marker>
            <c:symbol val="none"/>
          </c:marker>
          <c:cat>
            <c:strRef>
              <c:f>Sheet5!$A$5:$A$49</c:f>
              <c:strCache>
                <c:ptCount val="44"/>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pt idx="29">
                  <c:v>201405</c:v>
                </c:pt>
                <c:pt idx="30">
                  <c:v>201406</c:v>
                </c:pt>
                <c:pt idx="31">
                  <c:v>201407</c:v>
                </c:pt>
                <c:pt idx="32">
                  <c:v>201408</c:v>
                </c:pt>
                <c:pt idx="33">
                  <c:v>201409</c:v>
                </c:pt>
                <c:pt idx="34">
                  <c:v>201410</c:v>
                </c:pt>
                <c:pt idx="35">
                  <c:v>201411</c:v>
                </c:pt>
                <c:pt idx="36">
                  <c:v>201412</c:v>
                </c:pt>
                <c:pt idx="37">
                  <c:v>201501</c:v>
                </c:pt>
                <c:pt idx="38">
                  <c:v>201502</c:v>
                </c:pt>
                <c:pt idx="39">
                  <c:v>201503</c:v>
                </c:pt>
                <c:pt idx="40">
                  <c:v>201504</c:v>
                </c:pt>
                <c:pt idx="41">
                  <c:v>201505</c:v>
                </c:pt>
                <c:pt idx="42">
                  <c:v>201506</c:v>
                </c:pt>
                <c:pt idx="43">
                  <c:v>201507</c:v>
                </c:pt>
              </c:strCache>
            </c:strRef>
          </c:cat>
          <c:val>
            <c:numRef>
              <c:f>Sheet5!$E$5:$E$49</c:f>
              <c:numCache>
                <c:formatCode>General</c:formatCode>
                <c:ptCount val="44"/>
                <c:pt idx="0">
                  <c:v>10695</c:v>
                </c:pt>
                <c:pt idx="1">
                  <c:v>8436</c:v>
                </c:pt>
                <c:pt idx="2">
                  <c:v>9127</c:v>
                </c:pt>
                <c:pt idx="3">
                  <c:v>9981</c:v>
                </c:pt>
                <c:pt idx="4">
                  <c:v>9531</c:v>
                </c:pt>
                <c:pt idx="5">
                  <c:v>10459</c:v>
                </c:pt>
                <c:pt idx="6">
                  <c:v>10174</c:v>
                </c:pt>
                <c:pt idx="7">
                  <c:v>11014</c:v>
                </c:pt>
                <c:pt idx="8">
                  <c:v>12222</c:v>
                </c:pt>
                <c:pt idx="9">
                  <c:v>12008</c:v>
                </c:pt>
                <c:pt idx="10">
                  <c:v>13951</c:v>
                </c:pt>
                <c:pt idx="11">
                  <c:v>14454</c:v>
                </c:pt>
                <c:pt idx="12">
                  <c:v>16146</c:v>
                </c:pt>
                <c:pt idx="13">
                  <c:v>14196</c:v>
                </c:pt>
                <c:pt idx="14">
                  <c:v>14975</c:v>
                </c:pt>
                <c:pt idx="15">
                  <c:v>17124</c:v>
                </c:pt>
                <c:pt idx="16">
                  <c:v>18314</c:v>
                </c:pt>
                <c:pt idx="17">
                  <c:v>19891</c:v>
                </c:pt>
                <c:pt idx="18">
                  <c:v>19456</c:v>
                </c:pt>
                <c:pt idx="19">
                  <c:v>21762</c:v>
                </c:pt>
                <c:pt idx="20">
                  <c:v>22416</c:v>
                </c:pt>
                <c:pt idx="21">
                  <c:v>22205</c:v>
                </c:pt>
                <c:pt idx="22">
                  <c:v>24419</c:v>
                </c:pt>
                <c:pt idx="23">
                  <c:v>24603</c:v>
                </c:pt>
                <c:pt idx="24">
                  <c:v>27539</c:v>
                </c:pt>
                <c:pt idx="25">
                  <c:v>23344</c:v>
                </c:pt>
                <c:pt idx="26">
                  <c:v>23544</c:v>
                </c:pt>
                <c:pt idx="27">
                  <c:v>26635</c:v>
                </c:pt>
                <c:pt idx="28">
                  <c:v>26631</c:v>
                </c:pt>
                <c:pt idx="29">
                  <c:v>28592</c:v>
                </c:pt>
                <c:pt idx="30">
                  <c:v>27469</c:v>
                </c:pt>
                <c:pt idx="31">
                  <c:v>29872</c:v>
                </c:pt>
                <c:pt idx="32">
                  <c:v>28993</c:v>
                </c:pt>
                <c:pt idx="33">
                  <c:v>29564</c:v>
                </c:pt>
                <c:pt idx="34">
                  <c:v>30984</c:v>
                </c:pt>
                <c:pt idx="35">
                  <c:v>29562</c:v>
                </c:pt>
                <c:pt idx="36">
                  <c:v>35008</c:v>
                </c:pt>
                <c:pt idx="37">
                  <c:v>27885</c:v>
                </c:pt>
                <c:pt idx="38">
                  <c:v>28240</c:v>
                </c:pt>
                <c:pt idx="39">
                  <c:v>32165</c:v>
                </c:pt>
                <c:pt idx="40">
                  <c:v>30537</c:v>
                </c:pt>
                <c:pt idx="41">
                  <c:v>31858</c:v>
                </c:pt>
                <c:pt idx="42">
                  <c:v>32095</c:v>
                </c:pt>
                <c:pt idx="43">
                  <c:v>33155</c:v>
                </c:pt>
              </c:numCache>
            </c:numRef>
          </c:val>
          <c:smooth val="0"/>
        </c:ser>
        <c:ser>
          <c:idx val="4"/>
          <c:order val="4"/>
          <c:tx>
            <c:strRef>
              <c:f>Sheet5!$F$3:$F$4</c:f>
              <c:strCache>
                <c:ptCount val="1"/>
                <c:pt idx="0">
                  <c:v>Nil</c:v>
                </c:pt>
              </c:strCache>
            </c:strRef>
          </c:tx>
          <c:marker>
            <c:symbol val="none"/>
          </c:marker>
          <c:cat>
            <c:strRef>
              <c:f>Sheet5!$A$5:$A$49</c:f>
              <c:strCache>
                <c:ptCount val="44"/>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pt idx="29">
                  <c:v>201405</c:v>
                </c:pt>
                <c:pt idx="30">
                  <c:v>201406</c:v>
                </c:pt>
                <c:pt idx="31">
                  <c:v>201407</c:v>
                </c:pt>
                <c:pt idx="32">
                  <c:v>201408</c:v>
                </c:pt>
                <c:pt idx="33">
                  <c:v>201409</c:v>
                </c:pt>
                <c:pt idx="34">
                  <c:v>201410</c:v>
                </c:pt>
                <c:pt idx="35">
                  <c:v>201411</c:v>
                </c:pt>
                <c:pt idx="36">
                  <c:v>201412</c:v>
                </c:pt>
                <c:pt idx="37">
                  <c:v>201501</c:v>
                </c:pt>
                <c:pt idx="38">
                  <c:v>201502</c:v>
                </c:pt>
                <c:pt idx="39">
                  <c:v>201503</c:v>
                </c:pt>
                <c:pt idx="40">
                  <c:v>201504</c:v>
                </c:pt>
                <c:pt idx="41">
                  <c:v>201505</c:v>
                </c:pt>
                <c:pt idx="42">
                  <c:v>201506</c:v>
                </c:pt>
                <c:pt idx="43">
                  <c:v>201507</c:v>
                </c:pt>
              </c:strCache>
            </c:strRef>
          </c:cat>
          <c:val>
            <c:numRef>
              <c:f>Sheet5!$F$5:$F$49</c:f>
              <c:numCache>
                <c:formatCode>General</c:formatCode>
                <c:ptCount val="44"/>
                <c:pt idx="0">
                  <c:v>69504</c:v>
                </c:pt>
                <c:pt idx="1">
                  <c:v>32523</c:v>
                </c:pt>
                <c:pt idx="2">
                  <c:v>27596</c:v>
                </c:pt>
                <c:pt idx="3">
                  <c:v>22163</c:v>
                </c:pt>
                <c:pt idx="4">
                  <c:v>10656</c:v>
                </c:pt>
                <c:pt idx="5">
                  <c:v>10125</c:v>
                </c:pt>
                <c:pt idx="6">
                  <c:v>8143</c:v>
                </c:pt>
                <c:pt idx="7">
                  <c:v>3090</c:v>
                </c:pt>
                <c:pt idx="8">
                  <c:v>3141</c:v>
                </c:pt>
                <c:pt idx="9">
                  <c:v>2879</c:v>
                </c:pt>
                <c:pt idx="10">
                  <c:v>3033</c:v>
                </c:pt>
                <c:pt idx="11">
                  <c:v>2924</c:v>
                </c:pt>
                <c:pt idx="12">
                  <c:v>2967</c:v>
                </c:pt>
                <c:pt idx="13">
                  <c:v>2455</c:v>
                </c:pt>
                <c:pt idx="14">
                  <c:v>2404</c:v>
                </c:pt>
                <c:pt idx="15">
                  <c:v>2492</c:v>
                </c:pt>
                <c:pt idx="16">
                  <c:v>2526</c:v>
                </c:pt>
                <c:pt idx="17">
                  <c:v>2694</c:v>
                </c:pt>
                <c:pt idx="18">
                  <c:v>2322</c:v>
                </c:pt>
                <c:pt idx="19">
                  <c:v>2563</c:v>
                </c:pt>
                <c:pt idx="20">
                  <c:v>2578</c:v>
                </c:pt>
                <c:pt idx="21">
                  <c:v>2423</c:v>
                </c:pt>
                <c:pt idx="22">
                  <c:v>2478</c:v>
                </c:pt>
                <c:pt idx="23">
                  <c:v>2200</c:v>
                </c:pt>
                <c:pt idx="24">
                  <c:v>2349</c:v>
                </c:pt>
                <c:pt idx="25">
                  <c:v>1891</c:v>
                </c:pt>
                <c:pt idx="26">
                  <c:v>1783</c:v>
                </c:pt>
                <c:pt idx="27">
                  <c:v>1829</c:v>
                </c:pt>
                <c:pt idx="28">
                  <c:v>1739</c:v>
                </c:pt>
                <c:pt idx="29">
                  <c:v>1779</c:v>
                </c:pt>
                <c:pt idx="30">
                  <c:v>1628</c:v>
                </c:pt>
                <c:pt idx="31">
                  <c:v>1677</c:v>
                </c:pt>
                <c:pt idx="32">
                  <c:v>1602</c:v>
                </c:pt>
                <c:pt idx="33">
                  <c:v>1569</c:v>
                </c:pt>
                <c:pt idx="34">
                  <c:v>1604</c:v>
                </c:pt>
                <c:pt idx="35">
                  <c:v>1451</c:v>
                </c:pt>
                <c:pt idx="36">
                  <c:v>1600</c:v>
                </c:pt>
                <c:pt idx="37">
                  <c:v>1365</c:v>
                </c:pt>
                <c:pt idx="38">
                  <c:v>1376</c:v>
                </c:pt>
                <c:pt idx="39">
                  <c:v>1571</c:v>
                </c:pt>
                <c:pt idx="40">
                  <c:v>1487</c:v>
                </c:pt>
                <c:pt idx="41">
                  <c:v>2138</c:v>
                </c:pt>
                <c:pt idx="42">
                  <c:v>2384</c:v>
                </c:pt>
                <c:pt idx="43">
                  <c:v>2458</c:v>
                </c:pt>
              </c:numCache>
            </c:numRef>
          </c:val>
          <c:smooth val="0"/>
        </c:ser>
        <c:ser>
          <c:idx val="5"/>
          <c:order val="5"/>
          <c:tx>
            <c:strRef>
              <c:f>Sheet5!$G$3:$G$4</c:f>
              <c:strCache>
                <c:ptCount val="1"/>
                <c:pt idx="0">
                  <c:v>Invalid code</c:v>
                </c:pt>
              </c:strCache>
            </c:strRef>
          </c:tx>
          <c:marker>
            <c:symbol val="none"/>
          </c:marker>
          <c:cat>
            <c:strRef>
              <c:f>Sheet5!$A$5:$A$49</c:f>
              <c:strCache>
                <c:ptCount val="44"/>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pt idx="29">
                  <c:v>201405</c:v>
                </c:pt>
                <c:pt idx="30">
                  <c:v>201406</c:v>
                </c:pt>
                <c:pt idx="31">
                  <c:v>201407</c:v>
                </c:pt>
                <c:pt idx="32">
                  <c:v>201408</c:v>
                </c:pt>
                <c:pt idx="33">
                  <c:v>201409</c:v>
                </c:pt>
                <c:pt idx="34">
                  <c:v>201410</c:v>
                </c:pt>
                <c:pt idx="35">
                  <c:v>201411</c:v>
                </c:pt>
                <c:pt idx="36">
                  <c:v>201412</c:v>
                </c:pt>
                <c:pt idx="37">
                  <c:v>201501</c:v>
                </c:pt>
                <c:pt idx="38">
                  <c:v>201502</c:v>
                </c:pt>
                <c:pt idx="39">
                  <c:v>201503</c:v>
                </c:pt>
                <c:pt idx="40">
                  <c:v>201504</c:v>
                </c:pt>
                <c:pt idx="41">
                  <c:v>201505</c:v>
                </c:pt>
                <c:pt idx="42">
                  <c:v>201506</c:v>
                </c:pt>
                <c:pt idx="43">
                  <c:v>201507</c:v>
                </c:pt>
              </c:strCache>
            </c:strRef>
          </c:cat>
          <c:val>
            <c:numRef>
              <c:f>Sheet5!$G$5:$G$49</c:f>
              <c:numCache>
                <c:formatCode>General</c:formatCode>
                <c:ptCount val="44"/>
                <c:pt idx="0">
                  <c:v>405</c:v>
                </c:pt>
                <c:pt idx="1">
                  <c:v>278</c:v>
                </c:pt>
                <c:pt idx="2">
                  <c:v>251</c:v>
                </c:pt>
                <c:pt idx="3">
                  <c:v>227</c:v>
                </c:pt>
                <c:pt idx="4">
                  <c:v>142</c:v>
                </c:pt>
                <c:pt idx="5">
                  <c:v>152</c:v>
                </c:pt>
                <c:pt idx="6">
                  <c:v>121</c:v>
                </c:pt>
                <c:pt idx="7">
                  <c:v>31</c:v>
                </c:pt>
                <c:pt idx="8">
                  <c:v>47</c:v>
                </c:pt>
                <c:pt idx="9">
                  <c:v>33</c:v>
                </c:pt>
                <c:pt idx="10">
                  <c:v>36</c:v>
                </c:pt>
                <c:pt idx="11">
                  <c:v>36</c:v>
                </c:pt>
                <c:pt idx="12">
                  <c:v>42</c:v>
                </c:pt>
                <c:pt idx="13">
                  <c:v>33</c:v>
                </c:pt>
                <c:pt idx="14">
                  <c:v>23</c:v>
                </c:pt>
                <c:pt idx="15">
                  <c:v>21</c:v>
                </c:pt>
                <c:pt idx="16">
                  <c:v>27</c:v>
                </c:pt>
                <c:pt idx="17">
                  <c:v>23</c:v>
                </c:pt>
                <c:pt idx="18">
                  <c:v>20</c:v>
                </c:pt>
                <c:pt idx="19">
                  <c:v>26</c:v>
                </c:pt>
                <c:pt idx="20">
                  <c:v>84</c:v>
                </c:pt>
                <c:pt idx="21">
                  <c:v>90</c:v>
                </c:pt>
                <c:pt idx="22">
                  <c:v>113</c:v>
                </c:pt>
                <c:pt idx="23">
                  <c:v>125</c:v>
                </c:pt>
                <c:pt idx="24">
                  <c:v>132</c:v>
                </c:pt>
                <c:pt idx="25">
                  <c:v>136</c:v>
                </c:pt>
                <c:pt idx="26">
                  <c:v>116</c:v>
                </c:pt>
                <c:pt idx="27">
                  <c:v>139</c:v>
                </c:pt>
                <c:pt idx="28">
                  <c:v>152</c:v>
                </c:pt>
                <c:pt idx="29">
                  <c:v>158</c:v>
                </c:pt>
                <c:pt idx="30">
                  <c:v>137</c:v>
                </c:pt>
                <c:pt idx="31">
                  <c:v>140</c:v>
                </c:pt>
                <c:pt idx="32">
                  <c:v>132</c:v>
                </c:pt>
                <c:pt idx="33">
                  <c:v>114</c:v>
                </c:pt>
                <c:pt idx="34">
                  <c:v>121</c:v>
                </c:pt>
                <c:pt idx="35">
                  <c:v>107</c:v>
                </c:pt>
                <c:pt idx="36">
                  <c:v>131</c:v>
                </c:pt>
                <c:pt idx="37">
                  <c:v>114</c:v>
                </c:pt>
                <c:pt idx="38">
                  <c:v>91</c:v>
                </c:pt>
                <c:pt idx="39">
                  <c:v>111</c:v>
                </c:pt>
                <c:pt idx="40">
                  <c:v>109</c:v>
                </c:pt>
                <c:pt idx="41">
                  <c:v>106</c:v>
                </c:pt>
                <c:pt idx="42">
                  <c:v>111</c:v>
                </c:pt>
                <c:pt idx="43">
                  <c:v>120</c:v>
                </c:pt>
              </c:numCache>
            </c:numRef>
          </c:val>
          <c:smooth val="0"/>
        </c:ser>
        <c:dLbls>
          <c:showLegendKey val="0"/>
          <c:showVal val="0"/>
          <c:showCatName val="0"/>
          <c:showSerName val="0"/>
          <c:showPercent val="0"/>
          <c:showBubbleSize val="0"/>
        </c:dLbls>
        <c:marker val="1"/>
        <c:smooth val="0"/>
        <c:axId val="227893632"/>
        <c:axId val="227895168"/>
      </c:lineChart>
      <c:catAx>
        <c:axId val="227893632"/>
        <c:scaling>
          <c:orientation val="minMax"/>
        </c:scaling>
        <c:delete val="0"/>
        <c:axPos val="b"/>
        <c:majorTickMark val="out"/>
        <c:minorTickMark val="none"/>
        <c:tickLblPos val="nextTo"/>
        <c:crossAx val="227895168"/>
        <c:crosses val="autoZero"/>
        <c:auto val="1"/>
        <c:lblAlgn val="ctr"/>
        <c:lblOffset val="100"/>
        <c:noMultiLvlLbl val="0"/>
      </c:catAx>
      <c:valAx>
        <c:axId val="227895168"/>
        <c:scaling>
          <c:orientation val="minMax"/>
        </c:scaling>
        <c:delete val="0"/>
        <c:axPos val="l"/>
        <c:majorGridlines/>
        <c:title>
          <c:tx>
            <c:rich>
              <a:bodyPr rot="-5400000" vert="horz"/>
              <a:lstStyle/>
              <a:p>
                <a:pPr>
                  <a:defRPr/>
                </a:pPr>
                <a:r>
                  <a:rPr lang="en-AU" b="0"/>
                  <a:t>Number of prescriptions</a:t>
                </a:r>
              </a:p>
            </c:rich>
          </c:tx>
          <c:layout/>
          <c:overlay val="0"/>
        </c:title>
        <c:numFmt formatCode="#,##0" sourceLinked="0"/>
        <c:majorTickMark val="out"/>
        <c:minorTickMark val="none"/>
        <c:tickLblPos val="nextTo"/>
        <c:crossAx val="227893632"/>
        <c:crosses val="autoZero"/>
        <c:crossBetween val="between"/>
      </c:valAx>
    </c:plotArea>
    <c:legend>
      <c:legendPos val="b"/>
      <c:layout>
        <c:manualLayout>
          <c:xMode val="edge"/>
          <c:yMode val="edge"/>
          <c:x val="3.8312823962331335E-2"/>
          <c:y val="0.67412601726670962"/>
          <c:w val="0.93007416786469532"/>
          <c:h val="0.30898804316127149"/>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[D897_SCRIPT_COUNT_STRM_CD C P T.xlsx]Sheet1!PivotTable1</c:name>
    <c:fmtId val="6"/>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s>
    <c:plotArea>
      <c:layout/>
      <c:lineChart>
        <c:grouping val="standard"/>
        <c:varyColors val="0"/>
        <c:ser>
          <c:idx val="0"/>
          <c:order val="0"/>
          <c:tx>
            <c:strRef>
              <c:f>Sheet1!$B$3:$B$4</c:f>
              <c:strCache>
                <c:ptCount val="1"/>
                <c:pt idx="0">
                  <c:v>CLOPIDOGREL</c:v>
                </c:pt>
              </c:strCache>
            </c:strRef>
          </c:tx>
          <c:marker>
            <c:symbol val="none"/>
          </c:marker>
          <c:cat>
            <c:strRef>
              <c:f>Sheet1!$A$5:$A$49</c:f>
              <c:strCache>
                <c:ptCount val="44"/>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pt idx="29">
                  <c:v>201405</c:v>
                </c:pt>
                <c:pt idx="30">
                  <c:v>201406</c:v>
                </c:pt>
                <c:pt idx="31">
                  <c:v>201407</c:v>
                </c:pt>
                <c:pt idx="32">
                  <c:v>201408</c:v>
                </c:pt>
                <c:pt idx="33">
                  <c:v>201409</c:v>
                </c:pt>
                <c:pt idx="34">
                  <c:v>201410</c:v>
                </c:pt>
                <c:pt idx="35">
                  <c:v>201411</c:v>
                </c:pt>
                <c:pt idx="36">
                  <c:v>201412</c:v>
                </c:pt>
                <c:pt idx="37">
                  <c:v>201501</c:v>
                </c:pt>
                <c:pt idx="38">
                  <c:v>201502</c:v>
                </c:pt>
                <c:pt idx="39">
                  <c:v>201503</c:v>
                </c:pt>
                <c:pt idx="40">
                  <c:v>201504</c:v>
                </c:pt>
                <c:pt idx="41">
                  <c:v>201505</c:v>
                </c:pt>
                <c:pt idx="42">
                  <c:v>201506</c:v>
                </c:pt>
                <c:pt idx="43">
                  <c:v>201507</c:v>
                </c:pt>
              </c:strCache>
            </c:strRef>
          </c:cat>
          <c:val>
            <c:numRef>
              <c:f>Sheet1!$B$5:$B$49</c:f>
              <c:numCache>
                <c:formatCode>General</c:formatCode>
                <c:ptCount val="44"/>
                <c:pt idx="0">
                  <c:v>3078</c:v>
                </c:pt>
                <c:pt idx="1">
                  <c:v>2307</c:v>
                </c:pt>
                <c:pt idx="2">
                  <c:v>2349</c:v>
                </c:pt>
                <c:pt idx="3">
                  <c:v>2493</c:v>
                </c:pt>
                <c:pt idx="4">
                  <c:v>2283</c:v>
                </c:pt>
                <c:pt idx="5">
                  <c:v>2461</c:v>
                </c:pt>
                <c:pt idx="6">
                  <c:v>2415</c:v>
                </c:pt>
                <c:pt idx="7">
                  <c:v>2677</c:v>
                </c:pt>
                <c:pt idx="8">
                  <c:v>2880</c:v>
                </c:pt>
                <c:pt idx="9">
                  <c:v>2638</c:v>
                </c:pt>
                <c:pt idx="10">
                  <c:v>3224</c:v>
                </c:pt>
                <c:pt idx="11">
                  <c:v>3364</c:v>
                </c:pt>
                <c:pt idx="12">
                  <c:v>3698</c:v>
                </c:pt>
                <c:pt idx="13">
                  <c:v>3251</c:v>
                </c:pt>
                <c:pt idx="14">
                  <c:v>3669</c:v>
                </c:pt>
                <c:pt idx="15">
                  <c:v>4259</c:v>
                </c:pt>
                <c:pt idx="16">
                  <c:v>4699</c:v>
                </c:pt>
                <c:pt idx="17">
                  <c:v>5263</c:v>
                </c:pt>
                <c:pt idx="18">
                  <c:v>5109</c:v>
                </c:pt>
                <c:pt idx="19">
                  <c:v>5707</c:v>
                </c:pt>
                <c:pt idx="20">
                  <c:v>5938</c:v>
                </c:pt>
                <c:pt idx="21">
                  <c:v>5759</c:v>
                </c:pt>
                <c:pt idx="22">
                  <c:v>6488</c:v>
                </c:pt>
                <c:pt idx="23">
                  <c:v>6564</c:v>
                </c:pt>
                <c:pt idx="24">
                  <c:v>7424</c:v>
                </c:pt>
                <c:pt idx="25">
                  <c:v>6120</c:v>
                </c:pt>
                <c:pt idx="26">
                  <c:v>6455</c:v>
                </c:pt>
                <c:pt idx="27">
                  <c:v>7327</c:v>
                </c:pt>
                <c:pt idx="28">
                  <c:v>7288</c:v>
                </c:pt>
                <c:pt idx="29">
                  <c:v>7924</c:v>
                </c:pt>
                <c:pt idx="30">
                  <c:v>7636</c:v>
                </c:pt>
                <c:pt idx="31">
                  <c:v>8342</c:v>
                </c:pt>
                <c:pt idx="32">
                  <c:v>7842</c:v>
                </c:pt>
                <c:pt idx="33">
                  <c:v>8167</c:v>
                </c:pt>
                <c:pt idx="34">
                  <c:v>8416</c:v>
                </c:pt>
                <c:pt idx="35">
                  <c:v>7984</c:v>
                </c:pt>
                <c:pt idx="36">
                  <c:v>9540</c:v>
                </c:pt>
                <c:pt idx="37">
                  <c:v>7282</c:v>
                </c:pt>
                <c:pt idx="38">
                  <c:v>7654</c:v>
                </c:pt>
                <c:pt idx="39">
                  <c:v>8611</c:v>
                </c:pt>
                <c:pt idx="40">
                  <c:v>8046</c:v>
                </c:pt>
                <c:pt idx="41">
                  <c:v>8482</c:v>
                </c:pt>
                <c:pt idx="42">
                  <c:v>8299</c:v>
                </c:pt>
                <c:pt idx="43">
                  <c:v>8619</c:v>
                </c:pt>
              </c:numCache>
            </c:numRef>
          </c:val>
          <c:smooth val="0"/>
        </c:ser>
        <c:ser>
          <c:idx val="1"/>
          <c:order val="1"/>
          <c:tx>
            <c:strRef>
              <c:f>Sheet1!$C$3:$C$4</c:f>
              <c:strCache>
                <c:ptCount val="1"/>
                <c:pt idx="0">
                  <c:v>CLOPIDOGREL + ASPIRIN</c:v>
                </c:pt>
              </c:strCache>
            </c:strRef>
          </c:tx>
          <c:marker>
            <c:symbol val="none"/>
          </c:marker>
          <c:cat>
            <c:strRef>
              <c:f>Sheet1!$A$5:$A$49</c:f>
              <c:strCache>
                <c:ptCount val="44"/>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pt idx="29">
                  <c:v>201405</c:v>
                </c:pt>
                <c:pt idx="30">
                  <c:v>201406</c:v>
                </c:pt>
                <c:pt idx="31">
                  <c:v>201407</c:v>
                </c:pt>
                <c:pt idx="32">
                  <c:v>201408</c:v>
                </c:pt>
                <c:pt idx="33">
                  <c:v>201409</c:v>
                </c:pt>
                <c:pt idx="34">
                  <c:v>201410</c:v>
                </c:pt>
                <c:pt idx="35">
                  <c:v>201411</c:v>
                </c:pt>
                <c:pt idx="36">
                  <c:v>201412</c:v>
                </c:pt>
                <c:pt idx="37">
                  <c:v>201501</c:v>
                </c:pt>
                <c:pt idx="38">
                  <c:v>201502</c:v>
                </c:pt>
                <c:pt idx="39">
                  <c:v>201503</c:v>
                </c:pt>
                <c:pt idx="40">
                  <c:v>201504</c:v>
                </c:pt>
                <c:pt idx="41">
                  <c:v>201505</c:v>
                </c:pt>
                <c:pt idx="42">
                  <c:v>201506</c:v>
                </c:pt>
                <c:pt idx="43">
                  <c:v>201507</c:v>
                </c:pt>
              </c:strCache>
            </c:strRef>
          </c:cat>
          <c:val>
            <c:numRef>
              <c:f>Sheet1!$C$5:$C$49</c:f>
              <c:numCache>
                <c:formatCode>General</c:formatCode>
                <c:ptCount val="44"/>
                <c:pt idx="0">
                  <c:v>4446</c:v>
                </c:pt>
                <c:pt idx="1">
                  <c:v>3170</c:v>
                </c:pt>
                <c:pt idx="2">
                  <c:v>3426</c:v>
                </c:pt>
                <c:pt idx="3">
                  <c:v>3668</c:v>
                </c:pt>
                <c:pt idx="4">
                  <c:v>3292</c:v>
                </c:pt>
                <c:pt idx="5">
                  <c:v>3638</c:v>
                </c:pt>
                <c:pt idx="6">
                  <c:v>3536</c:v>
                </c:pt>
                <c:pt idx="7">
                  <c:v>3796</c:v>
                </c:pt>
                <c:pt idx="8">
                  <c:v>4062</c:v>
                </c:pt>
                <c:pt idx="9">
                  <c:v>3867</c:v>
                </c:pt>
                <c:pt idx="10">
                  <c:v>4163</c:v>
                </c:pt>
                <c:pt idx="11">
                  <c:v>4146</c:v>
                </c:pt>
                <c:pt idx="12">
                  <c:v>4753</c:v>
                </c:pt>
                <c:pt idx="13">
                  <c:v>3855</c:v>
                </c:pt>
                <c:pt idx="14">
                  <c:v>3998</c:v>
                </c:pt>
                <c:pt idx="15">
                  <c:v>4431</c:v>
                </c:pt>
                <c:pt idx="16">
                  <c:v>4722</c:v>
                </c:pt>
                <c:pt idx="17">
                  <c:v>4911</c:v>
                </c:pt>
                <c:pt idx="18">
                  <c:v>4744</c:v>
                </c:pt>
                <c:pt idx="19">
                  <c:v>5162</c:v>
                </c:pt>
                <c:pt idx="20">
                  <c:v>5193</c:v>
                </c:pt>
                <c:pt idx="21">
                  <c:v>5099</c:v>
                </c:pt>
                <c:pt idx="22">
                  <c:v>5462</c:v>
                </c:pt>
                <c:pt idx="23">
                  <c:v>5388</c:v>
                </c:pt>
                <c:pt idx="24">
                  <c:v>5934</c:v>
                </c:pt>
                <c:pt idx="25">
                  <c:v>4717</c:v>
                </c:pt>
                <c:pt idx="26">
                  <c:v>4594</c:v>
                </c:pt>
                <c:pt idx="27">
                  <c:v>5387</c:v>
                </c:pt>
                <c:pt idx="28">
                  <c:v>5200</c:v>
                </c:pt>
                <c:pt idx="29">
                  <c:v>5536</c:v>
                </c:pt>
                <c:pt idx="30">
                  <c:v>5200</c:v>
                </c:pt>
                <c:pt idx="31">
                  <c:v>5595</c:v>
                </c:pt>
                <c:pt idx="32">
                  <c:v>5401</c:v>
                </c:pt>
                <c:pt idx="33">
                  <c:v>5428</c:v>
                </c:pt>
                <c:pt idx="34">
                  <c:v>5545</c:v>
                </c:pt>
                <c:pt idx="35">
                  <c:v>5346</c:v>
                </c:pt>
                <c:pt idx="36">
                  <c:v>6436</c:v>
                </c:pt>
                <c:pt idx="37">
                  <c:v>4684</c:v>
                </c:pt>
                <c:pt idx="38">
                  <c:v>4788</c:v>
                </c:pt>
                <c:pt idx="39">
                  <c:v>5622</c:v>
                </c:pt>
                <c:pt idx="40">
                  <c:v>5176</c:v>
                </c:pt>
                <c:pt idx="41">
                  <c:v>5244</c:v>
                </c:pt>
                <c:pt idx="42">
                  <c:v>5282</c:v>
                </c:pt>
                <c:pt idx="43">
                  <c:v>5329</c:v>
                </c:pt>
              </c:numCache>
            </c:numRef>
          </c:val>
          <c:smooth val="0"/>
        </c:ser>
        <c:ser>
          <c:idx val="2"/>
          <c:order val="2"/>
          <c:tx>
            <c:strRef>
              <c:f>Sheet1!$D$3:$D$4</c:f>
              <c:strCache>
                <c:ptCount val="1"/>
                <c:pt idx="0">
                  <c:v>PRASUGREL</c:v>
                </c:pt>
              </c:strCache>
            </c:strRef>
          </c:tx>
          <c:marker>
            <c:symbol val="none"/>
          </c:marker>
          <c:cat>
            <c:strRef>
              <c:f>Sheet1!$A$5:$A$49</c:f>
              <c:strCache>
                <c:ptCount val="44"/>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pt idx="29">
                  <c:v>201405</c:v>
                </c:pt>
                <c:pt idx="30">
                  <c:v>201406</c:v>
                </c:pt>
                <c:pt idx="31">
                  <c:v>201407</c:v>
                </c:pt>
                <c:pt idx="32">
                  <c:v>201408</c:v>
                </c:pt>
                <c:pt idx="33">
                  <c:v>201409</c:v>
                </c:pt>
                <c:pt idx="34">
                  <c:v>201410</c:v>
                </c:pt>
                <c:pt idx="35">
                  <c:v>201411</c:v>
                </c:pt>
                <c:pt idx="36">
                  <c:v>201412</c:v>
                </c:pt>
                <c:pt idx="37">
                  <c:v>201501</c:v>
                </c:pt>
                <c:pt idx="38">
                  <c:v>201502</c:v>
                </c:pt>
                <c:pt idx="39">
                  <c:v>201503</c:v>
                </c:pt>
                <c:pt idx="40">
                  <c:v>201504</c:v>
                </c:pt>
                <c:pt idx="41">
                  <c:v>201505</c:v>
                </c:pt>
                <c:pt idx="42">
                  <c:v>201506</c:v>
                </c:pt>
                <c:pt idx="43">
                  <c:v>201507</c:v>
                </c:pt>
              </c:strCache>
            </c:strRef>
          </c:cat>
          <c:val>
            <c:numRef>
              <c:f>Sheet1!$D$5:$D$49</c:f>
              <c:numCache>
                <c:formatCode>General</c:formatCode>
                <c:ptCount val="44"/>
                <c:pt idx="0">
                  <c:v>3171</c:v>
                </c:pt>
                <c:pt idx="1">
                  <c:v>2959</c:v>
                </c:pt>
                <c:pt idx="2">
                  <c:v>3352</c:v>
                </c:pt>
                <c:pt idx="3">
                  <c:v>3820</c:v>
                </c:pt>
                <c:pt idx="4">
                  <c:v>3956</c:v>
                </c:pt>
                <c:pt idx="5">
                  <c:v>4360</c:v>
                </c:pt>
                <c:pt idx="6">
                  <c:v>4223</c:v>
                </c:pt>
                <c:pt idx="7">
                  <c:v>4541</c:v>
                </c:pt>
                <c:pt idx="8">
                  <c:v>4810</c:v>
                </c:pt>
                <c:pt idx="9">
                  <c:v>4618</c:v>
                </c:pt>
                <c:pt idx="10">
                  <c:v>5088</c:v>
                </c:pt>
                <c:pt idx="11">
                  <c:v>5150</c:v>
                </c:pt>
                <c:pt idx="12">
                  <c:v>5470</c:v>
                </c:pt>
                <c:pt idx="13">
                  <c:v>4837</c:v>
                </c:pt>
                <c:pt idx="14">
                  <c:v>4855</c:v>
                </c:pt>
                <c:pt idx="15">
                  <c:v>5380</c:v>
                </c:pt>
                <c:pt idx="16">
                  <c:v>5402</c:v>
                </c:pt>
                <c:pt idx="17">
                  <c:v>5681</c:v>
                </c:pt>
                <c:pt idx="18">
                  <c:v>5283</c:v>
                </c:pt>
                <c:pt idx="19">
                  <c:v>5738</c:v>
                </c:pt>
                <c:pt idx="20">
                  <c:v>5578</c:v>
                </c:pt>
                <c:pt idx="21">
                  <c:v>5401</c:v>
                </c:pt>
                <c:pt idx="22">
                  <c:v>5702</c:v>
                </c:pt>
                <c:pt idx="23">
                  <c:v>5472</c:v>
                </c:pt>
                <c:pt idx="24">
                  <c:v>5950</c:v>
                </c:pt>
                <c:pt idx="25">
                  <c:v>4866</c:v>
                </c:pt>
                <c:pt idx="26">
                  <c:v>4892</c:v>
                </c:pt>
                <c:pt idx="27">
                  <c:v>5166</c:v>
                </c:pt>
                <c:pt idx="28">
                  <c:v>5101</c:v>
                </c:pt>
                <c:pt idx="29">
                  <c:v>5295</c:v>
                </c:pt>
                <c:pt idx="30">
                  <c:v>4971</c:v>
                </c:pt>
                <c:pt idx="31">
                  <c:v>5157</c:v>
                </c:pt>
                <c:pt idx="32">
                  <c:v>4940</c:v>
                </c:pt>
                <c:pt idx="33">
                  <c:v>4865</c:v>
                </c:pt>
                <c:pt idx="34">
                  <c:v>5047</c:v>
                </c:pt>
                <c:pt idx="35">
                  <c:v>4778</c:v>
                </c:pt>
                <c:pt idx="36">
                  <c:v>5492</c:v>
                </c:pt>
                <c:pt idx="37">
                  <c:v>4289</c:v>
                </c:pt>
                <c:pt idx="38">
                  <c:v>4375</c:v>
                </c:pt>
                <c:pt idx="39">
                  <c:v>4715</c:v>
                </c:pt>
                <c:pt idx="40">
                  <c:v>4437</c:v>
                </c:pt>
                <c:pt idx="41">
                  <c:v>4617</c:v>
                </c:pt>
                <c:pt idx="42">
                  <c:v>4602</c:v>
                </c:pt>
                <c:pt idx="43">
                  <c:v>4643</c:v>
                </c:pt>
              </c:numCache>
            </c:numRef>
          </c:val>
          <c:smooth val="0"/>
        </c:ser>
        <c:ser>
          <c:idx val="3"/>
          <c:order val="3"/>
          <c:tx>
            <c:strRef>
              <c:f>Sheet1!$E$3:$E$4</c:f>
              <c:strCache>
                <c:ptCount val="1"/>
                <c:pt idx="0">
                  <c:v>TICAGRELOR</c:v>
                </c:pt>
              </c:strCache>
            </c:strRef>
          </c:tx>
          <c:marker>
            <c:symbol val="none"/>
          </c:marker>
          <c:cat>
            <c:strRef>
              <c:f>Sheet1!$A$5:$A$49</c:f>
              <c:strCache>
                <c:ptCount val="44"/>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pt idx="29">
                  <c:v>201405</c:v>
                </c:pt>
                <c:pt idx="30">
                  <c:v>201406</c:v>
                </c:pt>
                <c:pt idx="31">
                  <c:v>201407</c:v>
                </c:pt>
                <c:pt idx="32">
                  <c:v>201408</c:v>
                </c:pt>
                <c:pt idx="33">
                  <c:v>201409</c:v>
                </c:pt>
                <c:pt idx="34">
                  <c:v>201410</c:v>
                </c:pt>
                <c:pt idx="35">
                  <c:v>201411</c:v>
                </c:pt>
                <c:pt idx="36">
                  <c:v>201412</c:v>
                </c:pt>
                <c:pt idx="37">
                  <c:v>201501</c:v>
                </c:pt>
                <c:pt idx="38">
                  <c:v>201502</c:v>
                </c:pt>
                <c:pt idx="39">
                  <c:v>201503</c:v>
                </c:pt>
                <c:pt idx="40">
                  <c:v>201504</c:v>
                </c:pt>
                <c:pt idx="41">
                  <c:v>201505</c:v>
                </c:pt>
                <c:pt idx="42">
                  <c:v>201506</c:v>
                </c:pt>
                <c:pt idx="43">
                  <c:v>201507</c:v>
                </c:pt>
              </c:strCache>
            </c:strRef>
          </c:cat>
          <c:val>
            <c:numRef>
              <c:f>Sheet1!$E$5:$E$49</c:f>
              <c:numCache>
                <c:formatCode>General</c:formatCode>
                <c:ptCount val="44"/>
                <c:pt idx="8">
                  <c:v>470</c:v>
                </c:pt>
                <c:pt idx="9">
                  <c:v>885</c:v>
                </c:pt>
                <c:pt idx="10">
                  <c:v>1476</c:v>
                </c:pt>
                <c:pt idx="11">
                  <c:v>1794</c:v>
                </c:pt>
                <c:pt idx="12">
                  <c:v>2225</c:v>
                </c:pt>
                <c:pt idx="13">
                  <c:v>2253</c:v>
                </c:pt>
                <c:pt idx="14">
                  <c:v>2453</c:v>
                </c:pt>
                <c:pt idx="15">
                  <c:v>3054</c:v>
                </c:pt>
                <c:pt idx="16">
                  <c:v>3491</c:v>
                </c:pt>
                <c:pt idx="17">
                  <c:v>4036</c:v>
                </c:pt>
                <c:pt idx="18">
                  <c:v>4320</c:v>
                </c:pt>
                <c:pt idx="19">
                  <c:v>5155</c:v>
                </c:pt>
                <c:pt idx="20">
                  <c:v>5707</c:v>
                </c:pt>
                <c:pt idx="21">
                  <c:v>5946</c:v>
                </c:pt>
                <c:pt idx="22">
                  <c:v>6767</c:v>
                </c:pt>
                <c:pt idx="23">
                  <c:v>7179</c:v>
                </c:pt>
                <c:pt idx="24">
                  <c:v>8231</c:v>
                </c:pt>
                <c:pt idx="25">
                  <c:v>7641</c:v>
                </c:pt>
                <c:pt idx="26">
                  <c:v>7603</c:v>
                </c:pt>
                <c:pt idx="27">
                  <c:v>8755</c:v>
                </c:pt>
                <c:pt idx="28">
                  <c:v>9042</c:v>
                </c:pt>
                <c:pt idx="29">
                  <c:v>9837</c:v>
                </c:pt>
                <c:pt idx="30">
                  <c:v>9662</c:v>
                </c:pt>
                <c:pt idx="31">
                  <c:v>10778</c:v>
                </c:pt>
                <c:pt idx="32">
                  <c:v>10810</c:v>
                </c:pt>
                <c:pt idx="33">
                  <c:v>11104</c:v>
                </c:pt>
                <c:pt idx="34">
                  <c:v>11976</c:v>
                </c:pt>
                <c:pt idx="35">
                  <c:v>11454</c:v>
                </c:pt>
                <c:pt idx="36">
                  <c:v>13540</c:v>
                </c:pt>
                <c:pt idx="37">
                  <c:v>11630</c:v>
                </c:pt>
                <c:pt idx="38">
                  <c:v>11423</c:v>
                </c:pt>
                <c:pt idx="39">
                  <c:v>13217</c:v>
                </c:pt>
                <c:pt idx="40">
                  <c:v>12878</c:v>
                </c:pt>
                <c:pt idx="41">
                  <c:v>13515</c:v>
                </c:pt>
                <c:pt idx="42">
                  <c:v>13912</c:v>
                </c:pt>
                <c:pt idx="43">
                  <c:v>14564</c:v>
                </c:pt>
              </c:numCache>
            </c:numRef>
          </c:val>
          <c:smooth val="0"/>
        </c:ser>
        <c:ser>
          <c:idx val="4"/>
          <c:order val="4"/>
          <c:tx>
            <c:strRef>
              <c:f>Sheet1!$F$3:$F$4</c:f>
              <c:strCache>
                <c:ptCount val="1"/>
                <c:pt idx="0">
                  <c:v>TOTAL</c:v>
                </c:pt>
              </c:strCache>
            </c:strRef>
          </c:tx>
          <c:marker>
            <c:symbol val="none"/>
          </c:marker>
          <c:cat>
            <c:strRef>
              <c:f>Sheet1!$A$5:$A$49</c:f>
              <c:strCache>
                <c:ptCount val="44"/>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pt idx="29">
                  <c:v>201405</c:v>
                </c:pt>
                <c:pt idx="30">
                  <c:v>201406</c:v>
                </c:pt>
                <c:pt idx="31">
                  <c:v>201407</c:v>
                </c:pt>
                <c:pt idx="32">
                  <c:v>201408</c:v>
                </c:pt>
                <c:pt idx="33">
                  <c:v>201409</c:v>
                </c:pt>
                <c:pt idx="34">
                  <c:v>201410</c:v>
                </c:pt>
                <c:pt idx="35">
                  <c:v>201411</c:v>
                </c:pt>
                <c:pt idx="36">
                  <c:v>201412</c:v>
                </c:pt>
                <c:pt idx="37">
                  <c:v>201501</c:v>
                </c:pt>
                <c:pt idx="38">
                  <c:v>201502</c:v>
                </c:pt>
                <c:pt idx="39">
                  <c:v>201503</c:v>
                </c:pt>
                <c:pt idx="40">
                  <c:v>201504</c:v>
                </c:pt>
                <c:pt idx="41">
                  <c:v>201505</c:v>
                </c:pt>
                <c:pt idx="42">
                  <c:v>201506</c:v>
                </c:pt>
                <c:pt idx="43">
                  <c:v>201507</c:v>
                </c:pt>
              </c:strCache>
            </c:strRef>
          </c:cat>
          <c:val>
            <c:numRef>
              <c:f>Sheet1!$F$5:$F$49</c:f>
              <c:numCache>
                <c:formatCode>General</c:formatCode>
                <c:ptCount val="44"/>
                <c:pt idx="0">
                  <c:v>10695</c:v>
                </c:pt>
                <c:pt idx="1">
                  <c:v>8436</c:v>
                </c:pt>
                <c:pt idx="2">
                  <c:v>9127</c:v>
                </c:pt>
                <c:pt idx="3">
                  <c:v>9981</c:v>
                </c:pt>
                <c:pt idx="4">
                  <c:v>9531</c:v>
                </c:pt>
                <c:pt idx="5">
                  <c:v>10459</c:v>
                </c:pt>
                <c:pt idx="6">
                  <c:v>10174</c:v>
                </c:pt>
                <c:pt idx="7">
                  <c:v>11014</c:v>
                </c:pt>
                <c:pt idx="8">
                  <c:v>12222</c:v>
                </c:pt>
                <c:pt idx="9">
                  <c:v>12008</c:v>
                </c:pt>
                <c:pt idx="10">
                  <c:v>13951</c:v>
                </c:pt>
                <c:pt idx="11">
                  <c:v>14454</c:v>
                </c:pt>
                <c:pt idx="12">
                  <c:v>16146</c:v>
                </c:pt>
                <c:pt idx="13">
                  <c:v>14196</c:v>
                </c:pt>
                <c:pt idx="14">
                  <c:v>14975</c:v>
                </c:pt>
                <c:pt idx="15">
                  <c:v>17124</c:v>
                </c:pt>
                <c:pt idx="16">
                  <c:v>18314</c:v>
                </c:pt>
                <c:pt idx="17">
                  <c:v>19891</c:v>
                </c:pt>
                <c:pt idx="18">
                  <c:v>19456</c:v>
                </c:pt>
                <c:pt idx="19">
                  <c:v>21762</c:v>
                </c:pt>
                <c:pt idx="20">
                  <c:v>22416</c:v>
                </c:pt>
                <c:pt idx="21">
                  <c:v>22205</c:v>
                </c:pt>
                <c:pt idx="22">
                  <c:v>24419</c:v>
                </c:pt>
                <c:pt idx="23">
                  <c:v>24603</c:v>
                </c:pt>
                <c:pt idx="24">
                  <c:v>27539</c:v>
                </c:pt>
                <c:pt idx="25">
                  <c:v>23344</c:v>
                </c:pt>
                <c:pt idx="26">
                  <c:v>23544</c:v>
                </c:pt>
                <c:pt idx="27">
                  <c:v>26635</c:v>
                </c:pt>
                <c:pt idx="28">
                  <c:v>26631</c:v>
                </c:pt>
                <c:pt idx="29">
                  <c:v>28592</c:v>
                </c:pt>
                <c:pt idx="30">
                  <c:v>27469</c:v>
                </c:pt>
                <c:pt idx="31">
                  <c:v>29872</c:v>
                </c:pt>
                <c:pt idx="32">
                  <c:v>28993</c:v>
                </c:pt>
                <c:pt idx="33">
                  <c:v>29564</c:v>
                </c:pt>
                <c:pt idx="34">
                  <c:v>30984</c:v>
                </c:pt>
                <c:pt idx="35">
                  <c:v>29562</c:v>
                </c:pt>
                <c:pt idx="36">
                  <c:v>35008</c:v>
                </c:pt>
                <c:pt idx="37">
                  <c:v>27885</c:v>
                </c:pt>
                <c:pt idx="38">
                  <c:v>28240</c:v>
                </c:pt>
                <c:pt idx="39">
                  <c:v>32165</c:v>
                </c:pt>
                <c:pt idx="40">
                  <c:v>30537</c:v>
                </c:pt>
                <c:pt idx="41">
                  <c:v>31858</c:v>
                </c:pt>
                <c:pt idx="42">
                  <c:v>32095</c:v>
                </c:pt>
                <c:pt idx="43">
                  <c:v>33155</c:v>
                </c:pt>
              </c:numCache>
            </c:numRef>
          </c:val>
          <c:smooth val="0"/>
        </c:ser>
        <c:dLbls>
          <c:showLegendKey val="0"/>
          <c:showVal val="0"/>
          <c:showCatName val="0"/>
          <c:showSerName val="0"/>
          <c:showPercent val="0"/>
          <c:showBubbleSize val="0"/>
        </c:dLbls>
        <c:marker val="1"/>
        <c:smooth val="0"/>
        <c:axId val="228470144"/>
        <c:axId val="228521088"/>
      </c:lineChart>
      <c:catAx>
        <c:axId val="228470144"/>
        <c:scaling>
          <c:orientation val="minMax"/>
        </c:scaling>
        <c:delete val="0"/>
        <c:axPos val="b"/>
        <c:majorTickMark val="out"/>
        <c:minorTickMark val="none"/>
        <c:tickLblPos val="nextTo"/>
        <c:crossAx val="228521088"/>
        <c:crosses val="autoZero"/>
        <c:auto val="1"/>
        <c:lblAlgn val="ctr"/>
        <c:lblOffset val="100"/>
        <c:noMultiLvlLbl val="0"/>
      </c:catAx>
      <c:valAx>
        <c:axId val="228521088"/>
        <c:scaling>
          <c:orientation val="minMax"/>
        </c:scaling>
        <c:delete val="0"/>
        <c:axPos val="l"/>
        <c:majorGridlines/>
        <c:title>
          <c:tx>
            <c:rich>
              <a:bodyPr rot="-5400000" vert="horz"/>
              <a:lstStyle/>
              <a:p>
                <a:pPr>
                  <a:defRPr/>
                </a:pPr>
                <a:r>
                  <a:rPr lang="en-AU" b="0"/>
                  <a:t>Number</a:t>
                </a:r>
                <a:r>
                  <a:rPr lang="en-AU" b="0" baseline="0"/>
                  <a:t> of prescriptions</a:t>
                </a:r>
                <a:endParaRPr lang="en-AU" b="0"/>
              </a:p>
            </c:rich>
          </c:tx>
          <c:layout/>
          <c:overlay val="0"/>
        </c:title>
        <c:numFmt formatCode="#,##0" sourceLinked="0"/>
        <c:majorTickMark val="out"/>
        <c:minorTickMark val="none"/>
        <c:tickLblPos val="nextTo"/>
        <c:crossAx val="228470144"/>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02E75-14FD-49B4-9EDF-9812721F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4084</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2016-06-23T04:09:00Z</dcterms:created>
  <dcterms:modified xsi:type="dcterms:W3CDTF">2016-06-23T04:33:00Z</dcterms:modified>
</cp:coreProperties>
</file>