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70570D" w:rsidP="00F73113">
      <w:pPr>
        <w:pStyle w:val="Title"/>
      </w:pPr>
      <w:r>
        <w:t>Novel Oral Anticoagulants</w:t>
      </w:r>
      <w:r w:rsidR="001C4016">
        <w:t xml:space="preserve">: </w:t>
      </w:r>
      <w:r>
        <w:t>Predicted vs actual analysis</w:t>
      </w:r>
      <w:r w:rsidR="001C4016">
        <w:t xml:space="preserve"> </w:t>
      </w:r>
    </w:p>
    <w:p w:rsidR="00736041" w:rsidRDefault="009053D3" w:rsidP="00F73113">
      <w:pPr>
        <w:pStyle w:val="Title2"/>
      </w:pPr>
      <w:r>
        <w:t>D</w:t>
      </w:r>
      <w:r w:rsidR="00832324" w:rsidRPr="0063631C">
        <w:t xml:space="preserve">rug utilisation sub-committee </w:t>
      </w:r>
      <w:r w:rsidR="00832324">
        <w:t>(DUSC)</w:t>
      </w:r>
    </w:p>
    <w:p w:rsidR="009053D3" w:rsidRPr="00F73113" w:rsidRDefault="0070570D" w:rsidP="00F73113">
      <w:pPr>
        <w:pStyle w:val="Meetingdate"/>
      </w:pPr>
      <w:r>
        <w:t>June</w:t>
      </w:r>
      <w:r w:rsidR="00D151EB" w:rsidRPr="00F73113">
        <w:t xml:space="preserve"> 20</w:t>
      </w:r>
      <w:r>
        <w:t>16</w:t>
      </w:r>
    </w:p>
    <w:p w:rsidR="005C6661" w:rsidRPr="00CF5E22" w:rsidRDefault="005C6661" w:rsidP="00CF5E22">
      <w:pPr>
        <w:pStyle w:val="Heading2"/>
      </w:pPr>
      <w:r w:rsidRPr="00CF5E22">
        <w:t>Abstract</w:t>
      </w:r>
    </w:p>
    <w:p w:rsidR="005C6661" w:rsidRDefault="005C6661" w:rsidP="00CF5E22">
      <w:pPr>
        <w:pStyle w:val="Heading3"/>
      </w:pPr>
      <w:r w:rsidRPr="00CF5E22">
        <w:t>Purpose</w:t>
      </w:r>
    </w:p>
    <w:p w:rsidR="00FD1086" w:rsidRPr="00FD1086" w:rsidRDefault="00CB003C" w:rsidP="00FD1086">
      <w:pPr>
        <w:autoSpaceDE w:val="0"/>
        <w:autoSpaceDN w:val="0"/>
        <w:spacing w:before="40" w:after="40"/>
        <w:rPr>
          <w:rFonts w:ascii="Calibri" w:eastAsia="Times New Roman" w:hAnsi="Calibri" w:cs="Times New Roman"/>
          <w:sz w:val="22"/>
          <w:szCs w:val="22"/>
        </w:rPr>
      </w:pPr>
      <w:r>
        <w:t>To review the predicted versus actual use of the novel oral anticoagulants (NOACs), including apixaban, dabigatran and rivaroxaban, for prevention of stroke or systemic embolism in non-valv</w:t>
      </w:r>
      <w:r w:rsidR="00FD1086">
        <w:t xml:space="preserve">ular atrial fibrillation (NVAF). </w:t>
      </w:r>
    </w:p>
    <w:p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rsidR="0070570D" w:rsidRDefault="0070570D" w:rsidP="0070570D">
      <w:pPr>
        <w:spacing w:after="0"/>
      </w:pPr>
      <w:r>
        <w:t>Rivaroxaban: 1 August 2013</w:t>
      </w:r>
    </w:p>
    <w:p w:rsidR="00E91105" w:rsidRDefault="0070570D" w:rsidP="00E91105">
      <w:pPr>
        <w:spacing w:after="0"/>
      </w:pPr>
      <w:r>
        <w:t>Apixaban: 1 September 2013</w:t>
      </w:r>
      <w:r w:rsidR="00E91105" w:rsidRPr="00E91105">
        <w:t xml:space="preserve"> </w:t>
      </w:r>
    </w:p>
    <w:p w:rsidR="0070570D" w:rsidRPr="0070570D" w:rsidRDefault="00E91105" w:rsidP="0070570D">
      <w:pPr>
        <w:spacing w:after="0"/>
      </w:pPr>
      <w:r>
        <w:t>Dabigatran: 1 September 2013</w:t>
      </w:r>
    </w:p>
    <w:p w:rsidR="005C6661" w:rsidRDefault="005C6661" w:rsidP="00CF5E22">
      <w:pPr>
        <w:pStyle w:val="Heading3"/>
      </w:pPr>
      <w:bookmarkStart w:id="0" w:name="_Ref450032043"/>
      <w:r>
        <w:t>Data Source / methodology</w:t>
      </w:r>
      <w:bookmarkEnd w:id="0"/>
    </w:p>
    <w:p w:rsidR="00B45481" w:rsidRPr="00B45481" w:rsidRDefault="00B45481" w:rsidP="00CF5E22">
      <w:pPr>
        <w:pStyle w:val="Heading3"/>
        <w:rPr>
          <w:b w:val="0"/>
          <w:i w:val="0"/>
        </w:rPr>
      </w:pPr>
      <w:r w:rsidRPr="00B951F4">
        <w:rPr>
          <w:b w:val="0"/>
          <w:i w:val="0"/>
        </w:rPr>
        <w:t xml:space="preserve">Data </w:t>
      </w:r>
      <w:r w:rsidR="006E5C55">
        <w:rPr>
          <w:b w:val="0"/>
          <w:i w:val="0"/>
        </w:rPr>
        <w:t>were</w:t>
      </w:r>
      <w:r w:rsidR="006E5C55" w:rsidRPr="00B951F4">
        <w:rPr>
          <w:b w:val="0"/>
          <w:i w:val="0"/>
        </w:rPr>
        <w:t xml:space="preserve"> </w:t>
      </w:r>
      <w:r w:rsidRPr="00B951F4">
        <w:rPr>
          <w:b w:val="0"/>
          <w:i w:val="0"/>
        </w:rPr>
        <w:t xml:space="preserve">extracted from the DUSC and Department of Human Services (DHS) prescription databases from the earliest available data and continuing to </w:t>
      </w:r>
      <w:r>
        <w:rPr>
          <w:b w:val="0"/>
          <w:i w:val="0"/>
        </w:rPr>
        <w:t>December</w:t>
      </w:r>
      <w:r w:rsidRPr="00B951F4">
        <w:rPr>
          <w:b w:val="0"/>
          <w:i w:val="0"/>
        </w:rPr>
        <w:t xml:space="preserve"> 2015. </w:t>
      </w:r>
      <w:r w:rsidR="008D3E95" w:rsidRPr="008D3E95">
        <w:rPr>
          <w:b w:val="0"/>
          <w:i w:val="0"/>
        </w:rPr>
        <w:t>The DHS database was used for patient level analyses, including age, location, prescriber type, prior prescription, and time to refill.</w:t>
      </w:r>
    </w:p>
    <w:p w:rsidR="005C6661" w:rsidRDefault="005C6661" w:rsidP="00CF5E22">
      <w:pPr>
        <w:pStyle w:val="Heading3"/>
      </w:pPr>
      <w:r>
        <w:t>Key Findings</w:t>
      </w:r>
    </w:p>
    <w:p w:rsidR="00AE7241" w:rsidRDefault="00AE7241" w:rsidP="00E440C5">
      <w:pPr>
        <w:pStyle w:val="NoSpacing"/>
        <w:numPr>
          <w:ilvl w:val="0"/>
          <w:numId w:val="12"/>
        </w:numPr>
      </w:pPr>
      <w:r>
        <w:t xml:space="preserve">Based on the volume of prescriptions dispensed: </w:t>
      </w:r>
    </w:p>
    <w:p w:rsidR="00AE7241" w:rsidRPr="00644864" w:rsidRDefault="00AE7241" w:rsidP="00E440C5">
      <w:pPr>
        <w:pStyle w:val="NoSpacing"/>
        <w:numPr>
          <w:ilvl w:val="1"/>
          <w:numId w:val="13"/>
        </w:numPr>
      </w:pPr>
      <w:r>
        <w:rPr>
          <w:rFonts w:cs="AGaramond-Regular"/>
        </w:rPr>
        <w:t>NOACs contributed to a growth in the anticoagulant market since their listing on the PBS for NVAF.</w:t>
      </w:r>
    </w:p>
    <w:p w:rsidR="00AE7241" w:rsidRDefault="00AE7241" w:rsidP="00E440C5">
      <w:pPr>
        <w:pStyle w:val="NoSpacing"/>
        <w:numPr>
          <w:ilvl w:val="1"/>
          <w:numId w:val="13"/>
        </w:numPr>
      </w:pPr>
      <w:r>
        <w:t>The use of warfarin has declined since the listing of NOACs on the PBS for NVAF.</w:t>
      </w:r>
    </w:p>
    <w:p w:rsidR="00D35C8F" w:rsidRDefault="00D35C8F" w:rsidP="00E440C5">
      <w:pPr>
        <w:pStyle w:val="NoSpacing"/>
        <w:numPr>
          <w:ilvl w:val="0"/>
          <w:numId w:val="13"/>
        </w:numPr>
      </w:pPr>
      <w:r>
        <w:t xml:space="preserve">In calendar year 2015 for </w:t>
      </w:r>
      <w:r w:rsidRPr="0005233C">
        <w:t>NOAC use in</w:t>
      </w:r>
      <w:r>
        <w:t xml:space="preserve"> NVAF:</w:t>
      </w:r>
    </w:p>
    <w:p w:rsidR="00D35C8F" w:rsidRPr="00FB1D9D" w:rsidRDefault="00D35C8F" w:rsidP="00E440C5">
      <w:pPr>
        <w:pStyle w:val="NoSpacing"/>
        <w:numPr>
          <w:ilvl w:val="1"/>
          <w:numId w:val="14"/>
        </w:numPr>
      </w:pPr>
      <w:r w:rsidRPr="00FB1D9D">
        <w:rPr>
          <w:rFonts w:ascii="Calibri" w:hAnsi="Calibri"/>
        </w:rPr>
        <w:t xml:space="preserve">There were 1,604,242 </w:t>
      </w:r>
      <w:r w:rsidR="006D3ABD">
        <w:rPr>
          <w:rFonts w:ascii="Calibri" w:hAnsi="Calibri"/>
        </w:rPr>
        <w:t>PBS-</w:t>
      </w:r>
      <w:r>
        <w:rPr>
          <w:rFonts w:ascii="Calibri" w:hAnsi="Calibri"/>
        </w:rPr>
        <w:t xml:space="preserve">subsidised </w:t>
      </w:r>
      <w:r w:rsidRPr="00FB1D9D">
        <w:rPr>
          <w:rFonts w:ascii="Calibri" w:hAnsi="Calibri"/>
        </w:rPr>
        <w:t>prescriptions</w:t>
      </w:r>
      <w:r>
        <w:rPr>
          <w:rFonts w:ascii="Calibri" w:hAnsi="Calibri"/>
        </w:rPr>
        <w:t xml:space="preserve"> supplied for </w:t>
      </w:r>
      <w:r w:rsidR="0005233C">
        <w:rPr>
          <w:rFonts w:ascii="Calibri" w:hAnsi="Calibri"/>
        </w:rPr>
        <w:t>188,130</w:t>
      </w:r>
      <w:r w:rsidR="006F6382">
        <w:rPr>
          <w:rFonts w:ascii="Calibri" w:hAnsi="Calibri"/>
        </w:rPr>
        <w:t> </w:t>
      </w:r>
      <w:r>
        <w:rPr>
          <w:rFonts w:ascii="Calibri" w:hAnsi="Calibri"/>
        </w:rPr>
        <w:t>patients.</w:t>
      </w:r>
    </w:p>
    <w:p w:rsidR="00D35C8F" w:rsidRPr="00BF4FE6" w:rsidRDefault="00BF4FE6" w:rsidP="00E440C5">
      <w:pPr>
        <w:pStyle w:val="NoSpacing"/>
        <w:numPr>
          <w:ilvl w:val="1"/>
          <w:numId w:val="14"/>
        </w:numPr>
      </w:pPr>
      <w:r w:rsidRPr="00BF4FE6">
        <w:t>For</w:t>
      </w:r>
      <w:r w:rsidR="0053470B" w:rsidRPr="00BF4FE6">
        <w:t xml:space="preserve"> 72,484 </w:t>
      </w:r>
      <w:r w:rsidRPr="00BF4FE6">
        <w:t xml:space="preserve">patients, this was their first </w:t>
      </w:r>
      <w:r w:rsidR="00DF5814" w:rsidRPr="00BF4FE6">
        <w:t>NOAC</w:t>
      </w:r>
      <w:r w:rsidR="0053470B" w:rsidRPr="00BF4FE6">
        <w:t xml:space="preserve"> prescription.</w:t>
      </w:r>
      <w:r w:rsidR="00DF5814" w:rsidRPr="00BF4FE6">
        <w:t xml:space="preserve"> </w:t>
      </w:r>
    </w:p>
    <w:p w:rsidR="00D35C8F" w:rsidRDefault="000A2899" w:rsidP="00D35C8F">
      <w:pPr>
        <w:pStyle w:val="NoSpacing"/>
        <w:numPr>
          <w:ilvl w:val="0"/>
          <w:numId w:val="12"/>
        </w:numPr>
      </w:pPr>
      <w:r w:rsidRPr="00BF4FE6">
        <w:t>People</w:t>
      </w:r>
      <w:r w:rsidR="00BF4FE6" w:rsidRPr="00BF4FE6">
        <w:t xml:space="preserve"> starting </w:t>
      </w:r>
      <w:r w:rsidRPr="00BF4FE6">
        <w:t xml:space="preserve">anticoagulant </w:t>
      </w:r>
      <w:r w:rsidR="00BF4FE6" w:rsidRPr="00BF4FE6">
        <w:t xml:space="preserve">therapy </w:t>
      </w:r>
      <w:r w:rsidRPr="00BF4FE6">
        <w:t xml:space="preserve">for the first time in 2014 and 2015 were more likely to commence on a NOAC than on warfarin. </w:t>
      </w:r>
    </w:p>
    <w:p w:rsidR="00606091" w:rsidRPr="00206EED" w:rsidRDefault="00206EED" w:rsidP="00D35C8F">
      <w:pPr>
        <w:pStyle w:val="NoSpacing"/>
        <w:numPr>
          <w:ilvl w:val="0"/>
          <w:numId w:val="12"/>
        </w:numPr>
      </w:pPr>
      <w:r w:rsidRPr="00206EED">
        <w:t xml:space="preserve">In 2015, the proportion of people initiating anticoagulant therapy with warfarin was greater </w:t>
      </w:r>
      <w:r w:rsidR="00606091" w:rsidRPr="00206EED">
        <w:t xml:space="preserve">in remote areas compared </w:t>
      </w:r>
      <w:r w:rsidRPr="00206EED">
        <w:t>with</w:t>
      </w:r>
      <w:r w:rsidR="00606091" w:rsidRPr="00206EED">
        <w:t xml:space="preserve"> metropolitan areas.</w:t>
      </w:r>
    </w:p>
    <w:p w:rsidR="00606091" w:rsidRPr="00206EED" w:rsidRDefault="00606091" w:rsidP="00606091">
      <w:pPr>
        <w:pStyle w:val="ListParagraph"/>
        <w:numPr>
          <w:ilvl w:val="0"/>
          <w:numId w:val="12"/>
        </w:numPr>
        <w:spacing w:after="0"/>
        <w:rPr>
          <w:b/>
        </w:rPr>
      </w:pPr>
      <w:r w:rsidRPr="00206EED">
        <w:t xml:space="preserve">In 2015, approximately 40% of </w:t>
      </w:r>
      <w:r w:rsidR="00206EED" w:rsidRPr="00206EED">
        <w:t xml:space="preserve">prescriptions </w:t>
      </w:r>
      <w:r w:rsidRPr="00206EED">
        <w:t>initiating anticoagulant therapy written by GPs were for warfarin compared to approximately 5% by cardiologists.</w:t>
      </w:r>
    </w:p>
    <w:p w:rsidR="00E677DD" w:rsidRDefault="00DF5814" w:rsidP="00CF5E22">
      <w:pPr>
        <w:pStyle w:val="Heading1"/>
      </w:pPr>
      <w:r>
        <w:lastRenderedPageBreak/>
        <w:t>P</w:t>
      </w:r>
      <w:r w:rsidR="00E677DD" w:rsidRPr="00CF5E22">
        <w:t xml:space="preserve">urpose of </w:t>
      </w:r>
      <w:r w:rsidR="00D151EB" w:rsidRPr="00CF5E22">
        <w:t>analysis</w:t>
      </w:r>
    </w:p>
    <w:p w:rsidR="00FD1086" w:rsidRDefault="00FD1086" w:rsidP="00FD1086">
      <w:pPr>
        <w:autoSpaceDE w:val="0"/>
        <w:autoSpaceDN w:val="0"/>
        <w:spacing w:before="40" w:after="40"/>
        <w:rPr>
          <w:rFonts w:eastAsia="Times New Roman" w:cs="Times New Roman"/>
        </w:rPr>
      </w:pPr>
      <w:r>
        <w:t xml:space="preserve">To review the predicted versus actual use of the novel oral anticoagulants (NOACs), including apixaban, dabigatran and rivaroxaban, for prevention of stroke or systemic embolism in non-valvular atrial fibrillation (NVAF). </w:t>
      </w:r>
      <w:r w:rsidRPr="00FD1086">
        <w:rPr>
          <w:rFonts w:eastAsia="Times New Roman" w:cs="Times New Roman"/>
        </w:rPr>
        <w:t xml:space="preserve">DUSC requested that the NOACs be reviewed after 24 months of data are available. DUSC considered location, age and dose should be analysed. DUSC considered coadministration with aspirin would not be informative because data on </w:t>
      </w:r>
      <w:r w:rsidR="008D5026">
        <w:rPr>
          <w:rFonts w:eastAsia="Times New Roman" w:cs="Times New Roman"/>
        </w:rPr>
        <w:t>over the counter</w:t>
      </w:r>
      <w:r w:rsidRPr="00FD1086">
        <w:rPr>
          <w:rFonts w:eastAsia="Times New Roman" w:cs="Times New Roman"/>
        </w:rPr>
        <w:t xml:space="preserve"> purchase of these items </w:t>
      </w:r>
      <w:r w:rsidR="008D5026">
        <w:rPr>
          <w:rFonts w:eastAsia="Times New Roman" w:cs="Times New Roman"/>
        </w:rPr>
        <w:t xml:space="preserve">is </w:t>
      </w:r>
      <w:r w:rsidRPr="00FD1086">
        <w:rPr>
          <w:rFonts w:eastAsia="Times New Roman" w:cs="Times New Roman"/>
        </w:rPr>
        <w:t>not available.</w:t>
      </w:r>
    </w:p>
    <w:p w:rsidR="005A6118" w:rsidRPr="00FD1086" w:rsidRDefault="005A6118" w:rsidP="00FD1086">
      <w:pPr>
        <w:autoSpaceDE w:val="0"/>
        <w:autoSpaceDN w:val="0"/>
        <w:spacing w:before="40" w:after="40"/>
        <w:rPr>
          <w:rFonts w:ascii="Calibri" w:eastAsia="Times New Roman" w:hAnsi="Calibri" w:cs="Times New Roman"/>
          <w:sz w:val="22"/>
          <w:szCs w:val="22"/>
        </w:rPr>
      </w:pPr>
    </w:p>
    <w:p w:rsidR="006537D9" w:rsidRPr="005E22C2" w:rsidRDefault="00736041" w:rsidP="005A6118">
      <w:pPr>
        <w:pStyle w:val="Heading1"/>
        <w:spacing w:before="0"/>
      </w:pPr>
      <w:r w:rsidRPr="005E22C2">
        <w:t>Background</w:t>
      </w:r>
    </w:p>
    <w:p w:rsidR="007247B9" w:rsidRDefault="007247B9" w:rsidP="00CF5E22">
      <w:pPr>
        <w:pStyle w:val="Heading2"/>
      </w:pPr>
      <w:r>
        <w:t>Pharmacology</w:t>
      </w:r>
    </w:p>
    <w:p w:rsidR="009D4DCD" w:rsidRPr="00613025" w:rsidRDefault="009D4DCD" w:rsidP="009D4DCD">
      <w:r>
        <w:t>Rivaroxaban and apixaban are selective inhibitors of the coagulation Factor Xa.</w:t>
      </w:r>
      <w:r>
        <w:rPr>
          <w:rStyle w:val="FootnoteReference"/>
        </w:rPr>
        <w:footnoteReference w:id="1"/>
      </w:r>
      <w:r>
        <w:rPr>
          <w:vertAlign w:val="superscript"/>
        </w:rPr>
        <w:t>,</w:t>
      </w:r>
      <w:r>
        <w:rPr>
          <w:rStyle w:val="FootnoteReference"/>
        </w:rPr>
        <w:footnoteReference w:id="2"/>
      </w:r>
    </w:p>
    <w:p w:rsidR="009D4DCD" w:rsidRPr="007D2AB5" w:rsidRDefault="009D4DCD" w:rsidP="009D4DCD">
      <w:r>
        <w:t>Dabigatran is a competitive and reversible direct thrombin inhibitor. Since thrombin (serine protease) enables the conversion of fibrinogen into fibrin during the coagulation cascade, its inhibition prevents the development of thrombus. Dabigatran also inhibits free thrombin, fibrin-bound thrombin and thrombin-induced platelet aggregation.</w:t>
      </w:r>
      <w:r>
        <w:rPr>
          <w:rStyle w:val="FootnoteReference"/>
        </w:rPr>
        <w:footnoteReference w:id="3"/>
      </w:r>
    </w:p>
    <w:p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092958" w:rsidRDefault="009D4DCD" w:rsidP="00092958">
      <w:r>
        <w:t>Rivaroxaban</w:t>
      </w:r>
      <w:r w:rsidR="00AF3457">
        <w:t>, dabigatran and apixaban are</w:t>
      </w:r>
      <w:r>
        <w:t xml:space="preserve"> TGA approved for the prevention of stroke and systemic embolism in patients with non-valvular atrial fibrillation and at least one additional risk factor for stroke.</w:t>
      </w:r>
      <w:r w:rsidR="00092958">
        <w:t xml:space="preserve"> Additionally, these NOACs are indicated for the prevention of venous thromboembolic events </w:t>
      </w:r>
      <w:r w:rsidR="00BE24B5">
        <w:t xml:space="preserve">(VTE) </w:t>
      </w:r>
      <w:r w:rsidR="00092958">
        <w:t>in adult patients who have undergone major orthopaedic surgery of the lower limb (elective total hip or knee replacement); the treatment of deep vein thrombosis (DVT) and pulmonary embolism (PE), and for the prevention of recurrent DVT and PE in adults.</w:t>
      </w:r>
    </w:p>
    <w:p w:rsidR="00DC480B" w:rsidRPr="00DC480B" w:rsidRDefault="00092958" w:rsidP="00DC480B">
      <w:pPr>
        <w:pStyle w:val="NormalWeb"/>
        <w:spacing w:before="240" w:beforeAutospacing="0" w:after="240" w:afterAutospacing="0" w:line="294" w:lineRule="atLeast"/>
        <w:rPr>
          <w:rFonts w:asciiTheme="minorHAnsi" w:hAnsiTheme="minorHAnsi"/>
          <w:color w:val="000000"/>
        </w:rPr>
      </w:pPr>
      <w:r>
        <w:rPr>
          <w:rFonts w:asciiTheme="minorHAnsi" w:hAnsiTheme="minorHAnsi"/>
          <w:color w:val="000000"/>
        </w:rPr>
        <w:t>I</w:t>
      </w:r>
      <w:r w:rsidR="00DC480B" w:rsidRPr="00DC480B">
        <w:rPr>
          <w:rFonts w:asciiTheme="minorHAnsi" w:hAnsiTheme="minorHAnsi"/>
          <w:color w:val="000000"/>
        </w:rPr>
        <w:t xml:space="preserve">n February 2013, the TGA published information for health professionals regarding dabigatran and the </w:t>
      </w:r>
      <w:r w:rsidR="00C3361B">
        <w:rPr>
          <w:rFonts w:asciiTheme="minorHAnsi" w:hAnsiTheme="minorHAnsi"/>
          <w:color w:val="000000"/>
        </w:rPr>
        <w:t xml:space="preserve">increased </w:t>
      </w:r>
      <w:r w:rsidR="00DC480B" w:rsidRPr="00DC480B">
        <w:rPr>
          <w:rFonts w:asciiTheme="minorHAnsi" w:hAnsiTheme="minorHAnsi"/>
          <w:color w:val="000000"/>
        </w:rPr>
        <w:t>risk of bleeding. In May 2013, it was updated to include details of:</w:t>
      </w:r>
    </w:p>
    <w:p w:rsidR="00DC480B" w:rsidRPr="006F6382" w:rsidRDefault="00DC480B" w:rsidP="00EA7934">
      <w:pPr>
        <w:pStyle w:val="ListParagraph"/>
        <w:numPr>
          <w:ilvl w:val="0"/>
          <w:numId w:val="6"/>
        </w:numPr>
        <w:spacing w:before="100" w:beforeAutospacing="1" w:after="100" w:afterAutospacing="1" w:line="294" w:lineRule="atLeast"/>
        <w:rPr>
          <w:color w:val="000000"/>
        </w:rPr>
      </w:pPr>
      <w:r w:rsidRPr="006F6382">
        <w:rPr>
          <w:rFonts w:eastAsia="Times New Roman" w:cs="Times New Roman"/>
          <w:color w:val="000000"/>
        </w:rPr>
        <w:t>two safety reviews that were completed</w:t>
      </w:r>
    </w:p>
    <w:p w:rsidR="00DC480B" w:rsidRPr="006F6382" w:rsidRDefault="00DC480B" w:rsidP="00EA7934">
      <w:pPr>
        <w:pStyle w:val="ListParagraph"/>
        <w:numPr>
          <w:ilvl w:val="0"/>
          <w:numId w:val="6"/>
        </w:numPr>
        <w:spacing w:before="100" w:beforeAutospacing="1" w:after="100" w:afterAutospacing="1" w:line="294" w:lineRule="atLeast"/>
        <w:rPr>
          <w:color w:val="000000"/>
        </w:rPr>
      </w:pPr>
      <w:r w:rsidRPr="006F6382">
        <w:rPr>
          <w:rFonts w:eastAsia="Times New Roman" w:cs="Times New Roman"/>
          <w:color w:val="000000"/>
        </w:rPr>
        <w:t>a new contraindication for concomitant use of dronedarone and dabigatran</w:t>
      </w:r>
    </w:p>
    <w:p w:rsidR="00DC480B" w:rsidRPr="006F6382" w:rsidRDefault="00DC480B" w:rsidP="00EA7934">
      <w:pPr>
        <w:pStyle w:val="ListParagraph"/>
        <w:numPr>
          <w:ilvl w:val="0"/>
          <w:numId w:val="6"/>
        </w:numPr>
        <w:spacing w:before="100" w:beforeAutospacing="1" w:after="100" w:afterAutospacing="1" w:line="294" w:lineRule="atLeast"/>
        <w:rPr>
          <w:color w:val="000000"/>
        </w:rPr>
      </w:pPr>
      <w:r w:rsidRPr="006F6382">
        <w:rPr>
          <w:rFonts w:eastAsia="Times New Roman" w:cs="Times New Roman"/>
          <w:color w:val="000000"/>
        </w:rPr>
        <w:t>advice regarding repackaging dabigatran capsules</w:t>
      </w:r>
    </w:p>
    <w:p w:rsidR="00DC480B" w:rsidRPr="006F6382" w:rsidRDefault="00DC480B" w:rsidP="00EA7934">
      <w:pPr>
        <w:pStyle w:val="ListParagraph"/>
        <w:numPr>
          <w:ilvl w:val="0"/>
          <w:numId w:val="6"/>
        </w:numPr>
        <w:spacing w:before="100" w:beforeAutospacing="1" w:after="100" w:afterAutospacing="1" w:line="294" w:lineRule="atLeast"/>
        <w:rPr>
          <w:color w:val="000000"/>
        </w:rPr>
      </w:pPr>
      <w:r w:rsidRPr="006F6382">
        <w:rPr>
          <w:rFonts w:eastAsia="Times New Roman" w:cs="Times New Roman"/>
          <w:color w:val="000000"/>
        </w:rPr>
        <w:t>advice that dabigatran may have an effect on some pathology tests</w:t>
      </w:r>
    </w:p>
    <w:p w:rsidR="00DC480B" w:rsidRPr="00DC480B" w:rsidRDefault="00DC480B" w:rsidP="00EA7934">
      <w:pPr>
        <w:pStyle w:val="ListParagraph"/>
        <w:numPr>
          <w:ilvl w:val="0"/>
          <w:numId w:val="6"/>
        </w:numPr>
        <w:spacing w:before="100" w:beforeAutospacing="1" w:after="100" w:afterAutospacing="1" w:line="294" w:lineRule="atLeast"/>
        <w:rPr>
          <w:rFonts w:eastAsia="Times New Roman" w:cs="Times New Roman"/>
          <w:color w:val="000000"/>
        </w:rPr>
      </w:pPr>
      <w:r w:rsidRPr="00DC480B">
        <w:rPr>
          <w:rFonts w:eastAsia="Times New Roman" w:cs="Times New Roman"/>
          <w:color w:val="000000"/>
        </w:rPr>
        <w:lastRenderedPageBreak/>
        <w:t>updated adverse event report numbers.</w:t>
      </w:r>
      <w:bookmarkStart w:id="1" w:name="_Ref449628676"/>
      <w:r w:rsidR="00C3361B">
        <w:rPr>
          <w:rStyle w:val="FootnoteReference"/>
          <w:rFonts w:eastAsia="Times New Roman" w:cs="Times New Roman"/>
          <w:color w:val="000000"/>
        </w:rPr>
        <w:footnoteReference w:id="4"/>
      </w:r>
      <w:bookmarkEnd w:id="1"/>
    </w:p>
    <w:p w:rsidR="009D4DCD" w:rsidRPr="009D4DCD" w:rsidRDefault="00F925BF" w:rsidP="00DC480B">
      <w:pPr>
        <w:spacing w:after="0" w:line="294" w:lineRule="atLeast"/>
        <w:rPr>
          <w:rFonts w:eastAsia="Times New Roman" w:cs="Times New Roman"/>
          <w:color w:val="000000"/>
        </w:rPr>
      </w:pPr>
      <w:r>
        <w:rPr>
          <w:rFonts w:eastAsia="Times New Roman" w:cs="Times New Roman"/>
          <w:color w:val="000000"/>
        </w:rPr>
        <w:t xml:space="preserve">In </w:t>
      </w:r>
      <w:r w:rsidR="00013D04">
        <w:rPr>
          <w:rFonts w:eastAsia="Times New Roman" w:cs="Times New Roman"/>
          <w:color w:val="000000"/>
        </w:rPr>
        <w:t>September 2013</w:t>
      </w:r>
      <w:r>
        <w:rPr>
          <w:rFonts w:eastAsia="Times New Roman" w:cs="Times New Roman"/>
          <w:color w:val="000000"/>
        </w:rPr>
        <w:t>, the TGA released a warning to consumers</w:t>
      </w:r>
      <w:r w:rsidR="00C3361B">
        <w:rPr>
          <w:rFonts w:eastAsia="Times New Roman" w:cs="Times New Roman"/>
          <w:color w:val="000000"/>
        </w:rPr>
        <w:t xml:space="preserve"> that if they</w:t>
      </w:r>
      <w:r w:rsidR="009D4DCD" w:rsidRPr="009D4DCD">
        <w:rPr>
          <w:rFonts w:eastAsia="Times New Roman" w:cs="Times New Roman"/>
          <w:color w:val="000000"/>
        </w:rPr>
        <w:t xml:space="preserve"> are taking apixaban, dabigatran or rivaroxaban:</w:t>
      </w:r>
    </w:p>
    <w:p w:rsidR="009D4DCD" w:rsidRPr="009D4DCD" w:rsidRDefault="00F925BF" w:rsidP="009D4DCD">
      <w:pPr>
        <w:pStyle w:val="ListParagraph"/>
        <w:numPr>
          <w:ilvl w:val="0"/>
          <w:numId w:val="6"/>
        </w:numPr>
        <w:spacing w:before="100" w:beforeAutospacing="1" w:after="100" w:afterAutospacing="1" w:line="294" w:lineRule="atLeast"/>
        <w:rPr>
          <w:rFonts w:eastAsia="Times New Roman" w:cs="Times New Roman"/>
          <w:color w:val="000000"/>
        </w:rPr>
      </w:pPr>
      <w:r>
        <w:rPr>
          <w:rFonts w:eastAsia="Times New Roman" w:cs="Times New Roman"/>
          <w:color w:val="000000"/>
        </w:rPr>
        <w:t>D</w:t>
      </w:r>
      <w:r w:rsidR="009D4DCD" w:rsidRPr="009D4DCD">
        <w:rPr>
          <w:rFonts w:eastAsia="Times New Roman" w:cs="Times New Roman"/>
          <w:color w:val="000000"/>
        </w:rPr>
        <w:t>o not stop taking it suddenly or change the dose without consulting your doctor. Stopping these medicines suddenly can increase your risk of stroke or may increase the risk of developing a blood clot.</w:t>
      </w:r>
    </w:p>
    <w:p w:rsidR="009D4DCD" w:rsidRPr="009D4DCD" w:rsidRDefault="009D4DCD" w:rsidP="009D4DCD">
      <w:pPr>
        <w:pStyle w:val="ListParagraph"/>
        <w:numPr>
          <w:ilvl w:val="0"/>
          <w:numId w:val="6"/>
        </w:numPr>
        <w:spacing w:before="100" w:beforeAutospacing="1" w:after="100" w:afterAutospacing="1" w:line="294" w:lineRule="atLeast"/>
        <w:rPr>
          <w:rFonts w:eastAsia="Times New Roman" w:cs="Times New Roman"/>
          <w:color w:val="000000"/>
        </w:rPr>
      </w:pPr>
      <w:r w:rsidRPr="009D4DCD">
        <w:rPr>
          <w:rFonts w:eastAsia="Times New Roman" w:cs="Times New Roman"/>
          <w:color w:val="000000"/>
        </w:rPr>
        <w:t>See your doctor immediately if you notice bleeding, red or brown urine, or red or black bowel motions.</w:t>
      </w:r>
    </w:p>
    <w:p w:rsidR="009D4DCD" w:rsidRDefault="009D4DCD" w:rsidP="00340ECB">
      <w:pPr>
        <w:pStyle w:val="ListParagraph"/>
        <w:numPr>
          <w:ilvl w:val="0"/>
          <w:numId w:val="6"/>
        </w:numPr>
        <w:spacing w:before="100" w:beforeAutospacing="1" w:after="100" w:afterAutospacing="1" w:line="294" w:lineRule="atLeast"/>
        <w:rPr>
          <w:rFonts w:eastAsia="Times New Roman" w:cs="Times New Roman"/>
          <w:color w:val="000000"/>
        </w:rPr>
      </w:pPr>
      <w:r w:rsidRPr="009D4DCD">
        <w:rPr>
          <w:rFonts w:eastAsia="Times New Roman" w:cs="Times New Roman"/>
          <w:color w:val="000000"/>
        </w:rPr>
        <w:t>Remember to tell all doctors, dentists and pharmacists who are treating you that you are taking apixaban, dabigatran or rivaroxaban. Similarly, tell them what other medicines you are taking - especially aspirin, anti-inflammatory medicines and other medicines used to prevent blood clots, such as clopidogrel and warfarin - including any that you get without a prescription from a pharmacy, supermarket or health food store.</w:t>
      </w:r>
      <w:r w:rsidR="00340ECB">
        <w:rPr>
          <w:rStyle w:val="FootnoteReference"/>
          <w:rFonts w:eastAsia="Times New Roman" w:cs="Times New Roman"/>
          <w:color w:val="000000"/>
        </w:rPr>
        <w:footnoteReference w:id="5"/>
      </w:r>
    </w:p>
    <w:p w:rsidR="00276BDD" w:rsidRDefault="00276BDD" w:rsidP="00276BDD">
      <w:pPr>
        <w:spacing w:before="100" w:beforeAutospacing="1" w:after="100" w:afterAutospacing="1" w:line="294" w:lineRule="atLeast"/>
        <w:rPr>
          <w:rFonts w:eastAsia="Times New Roman" w:cs="Times New Roman"/>
          <w:color w:val="000000"/>
        </w:rPr>
      </w:pPr>
      <w:r>
        <w:rPr>
          <w:rFonts w:eastAsia="Times New Roman" w:cs="Times New Roman"/>
          <w:color w:val="000000"/>
        </w:rPr>
        <w:t>Also in September 2013 the TGA released this warning for health professionals:</w:t>
      </w:r>
    </w:p>
    <w:p w:rsidR="00276BDD" w:rsidRPr="00276BDD" w:rsidRDefault="00276BDD" w:rsidP="00276BDD">
      <w:pPr>
        <w:spacing w:before="100" w:beforeAutospacing="1" w:after="100" w:afterAutospacing="1" w:line="294" w:lineRule="atLeast"/>
        <w:rPr>
          <w:rFonts w:eastAsia="Times New Roman" w:cs="Times New Roman"/>
          <w:color w:val="000000"/>
        </w:rPr>
      </w:pPr>
      <w:r w:rsidRPr="00276BDD">
        <w:rPr>
          <w:color w:val="000000"/>
        </w:rPr>
        <w:t>Clinical trials and post-marketing experience have shown that major bleeding events, including those leading to death, have occurred with all of these products and with other anticoagulants. At this time, there is no specific antidote available for these medicines, and there are no current recommendations for the routine monitoring of anticoagulant activity once they are administered.</w:t>
      </w:r>
      <w:r>
        <w:rPr>
          <w:color w:val="000000"/>
        </w:rPr>
        <w:t xml:space="preserve"> The TGA recommends referring to Product Information for these products when prescribing these agents.</w:t>
      </w:r>
      <w:r>
        <w:rPr>
          <w:rStyle w:val="FootnoteReference"/>
          <w:color w:val="000000"/>
        </w:rPr>
        <w:footnoteReference w:id="6"/>
      </w:r>
    </w:p>
    <w:p w:rsidR="00013D04" w:rsidRDefault="00F925BF" w:rsidP="00013D04">
      <w:pPr>
        <w:pStyle w:val="NormalWeb"/>
        <w:spacing w:before="240" w:beforeAutospacing="0" w:after="240" w:afterAutospacing="0" w:line="294" w:lineRule="atLeast"/>
        <w:rPr>
          <w:rFonts w:asciiTheme="minorHAnsi" w:hAnsiTheme="minorHAnsi"/>
          <w:color w:val="000000"/>
        </w:rPr>
      </w:pPr>
      <w:r>
        <w:rPr>
          <w:rFonts w:asciiTheme="minorHAnsi" w:hAnsiTheme="minorHAnsi"/>
          <w:color w:val="000000"/>
        </w:rPr>
        <w:t xml:space="preserve">In </w:t>
      </w:r>
      <w:r w:rsidR="00013D04">
        <w:rPr>
          <w:rFonts w:asciiTheme="minorHAnsi" w:hAnsiTheme="minorHAnsi"/>
          <w:color w:val="000000"/>
        </w:rPr>
        <w:t>June 2015</w:t>
      </w:r>
      <w:r>
        <w:rPr>
          <w:rFonts w:asciiTheme="minorHAnsi" w:hAnsiTheme="minorHAnsi"/>
          <w:color w:val="000000"/>
        </w:rPr>
        <w:t>, the TGA released this statement</w:t>
      </w:r>
      <w:r w:rsidR="00013D04">
        <w:rPr>
          <w:rFonts w:asciiTheme="minorHAnsi" w:hAnsiTheme="minorHAnsi"/>
          <w:color w:val="000000"/>
        </w:rPr>
        <w:t>:</w:t>
      </w:r>
    </w:p>
    <w:p w:rsidR="00013D04" w:rsidRDefault="00013D04" w:rsidP="00013D04">
      <w:pPr>
        <w:pStyle w:val="NormalWeb"/>
        <w:spacing w:before="240" w:beforeAutospacing="0" w:after="240" w:afterAutospacing="0" w:line="294" w:lineRule="atLeast"/>
        <w:rPr>
          <w:rFonts w:asciiTheme="minorHAnsi" w:hAnsiTheme="minorHAnsi"/>
          <w:color w:val="000000"/>
        </w:rPr>
      </w:pPr>
      <w:r w:rsidRPr="00013D04">
        <w:rPr>
          <w:rFonts w:asciiTheme="minorHAnsi" w:hAnsiTheme="minorHAnsi"/>
          <w:color w:val="000000"/>
        </w:rPr>
        <w:t>Consumers and health professionals are advised that a recently completed TGA review has found that based on the current information there is no evidence to support a recommendation for routine blood monitoring to improve the safety of the NOACs. The TGA undertook the review following recent publication of articles in the medical literature which suggested that the safety of these medicines could be improved if routine blood monitoring was undertaken.</w:t>
      </w:r>
      <w:r>
        <w:rPr>
          <w:rStyle w:val="FootnoteReference"/>
          <w:rFonts w:asciiTheme="minorHAnsi" w:hAnsiTheme="minorHAnsi"/>
          <w:color w:val="000000"/>
        </w:rPr>
        <w:footnoteReference w:id="7"/>
      </w:r>
    </w:p>
    <w:p w:rsidR="006F6382" w:rsidRDefault="006F6382">
      <w:pPr>
        <w:spacing w:line="276" w:lineRule="auto"/>
        <w:rPr>
          <w:b/>
          <w:sz w:val="28"/>
        </w:rPr>
      </w:pPr>
      <w:r>
        <w:br w:type="page"/>
      </w:r>
    </w:p>
    <w:p w:rsidR="006B709B" w:rsidRDefault="006B709B" w:rsidP="00CF5E22">
      <w:pPr>
        <w:pStyle w:val="Heading2"/>
      </w:pPr>
      <w:r>
        <w:lastRenderedPageBreak/>
        <w:t>Dosage and administration</w:t>
      </w:r>
    </w:p>
    <w:p w:rsidR="003370D0" w:rsidRPr="00F44A06" w:rsidRDefault="003370D0" w:rsidP="00CF5E22">
      <w:pPr>
        <w:pStyle w:val="Tabletitle"/>
      </w:pPr>
      <w:r w:rsidRPr="00F44A06">
        <w:t xml:space="preserve">Table </w:t>
      </w:r>
      <w:r w:rsidR="005A6118">
        <w:t>1</w:t>
      </w:r>
      <w:r w:rsidRPr="00F44A06">
        <w:t xml:space="preserve">: </w:t>
      </w:r>
      <w:r w:rsidR="00F44A06">
        <w:t>Dosage and administration of NOACs</w:t>
      </w:r>
      <w:r w:rsidR="00A11B4D">
        <w:t xml:space="preserve"> for </w:t>
      </w:r>
      <w:r w:rsidR="00EF230C">
        <w:t>use</w:t>
      </w:r>
      <w:r w:rsidR="00A11B4D">
        <w:t xml:space="preserve"> in NVAF</w:t>
      </w:r>
    </w:p>
    <w:tbl>
      <w:tblPr>
        <w:tblStyle w:val="TableGrid"/>
        <w:tblW w:w="9180" w:type="dxa"/>
        <w:tblLook w:val="04A0" w:firstRow="1" w:lastRow="0" w:firstColumn="1" w:lastColumn="0" w:noHBand="0" w:noVBand="1"/>
        <w:tblCaption w:val="Dosage and administration of NOACs for use in NVAF"/>
        <w:tblDescription w:val="A table of Dosage and administration of NOACs for use in NVAF"/>
      </w:tblPr>
      <w:tblGrid>
        <w:gridCol w:w="2660"/>
        <w:gridCol w:w="1559"/>
        <w:gridCol w:w="4961"/>
      </w:tblGrid>
      <w:tr w:rsidR="00AB3733" w:rsidRPr="00A35800" w:rsidTr="00975C02">
        <w:trPr>
          <w:tblHeader/>
        </w:trPr>
        <w:tc>
          <w:tcPr>
            <w:tcW w:w="2660" w:type="dxa"/>
            <w:shd w:val="clear" w:color="auto" w:fill="BFBFBF" w:themeFill="background1" w:themeFillShade="BF"/>
          </w:tcPr>
          <w:p w:rsidR="00AB3733" w:rsidRPr="00A35800" w:rsidRDefault="00AB3733" w:rsidP="00A35800">
            <w:pPr>
              <w:pStyle w:val="Tableheading"/>
              <w:rPr>
                <w:sz w:val="20"/>
                <w:szCs w:val="20"/>
              </w:rPr>
            </w:pPr>
            <w:r w:rsidRPr="00A35800">
              <w:rPr>
                <w:sz w:val="20"/>
                <w:szCs w:val="20"/>
              </w:rPr>
              <w:t>Brand name and sponsor</w:t>
            </w:r>
          </w:p>
        </w:tc>
        <w:tc>
          <w:tcPr>
            <w:tcW w:w="1559" w:type="dxa"/>
            <w:shd w:val="clear" w:color="auto" w:fill="BFBFBF" w:themeFill="background1" w:themeFillShade="BF"/>
          </w:tcPr>
          <w:p w:rsidR="00AB3733" w:rsidRPr="00A35800" w:rsidRDefault="00AB3733" w:rsidP="00A35800">
            <w:pPr>
              <w:pStyle w:val="Tableheading"/>
              <w:rPr>
                <w:sz w:val="20"/>
                <w:szCs w:val="20"/>
              </w:rPr>
            </w:pPr>
            <w:r w:rsidRPr="00A35800">
              <w:rPr>
                <w:sz w:val="20"/>
                <w:szCs w:val="20"/>
              </w:rPr>
              <w:t>Product</w:t>
            </w:r>
          </w:p>
        </w:tc>
        <w:tc>
          <w:tcPr>
            <w:tcW w:w="4961" w:type="dxa"/>
            <w:shd w:val="clear" w:color="auto" w:fill="BFBFBF" w:themeFill="background1" w:themeFillShade="BF"/>
          </w:tcPr>
          <w:p w:rsidR="00AB3733" w:rsidRPr="00A35800" w:rsidRDefault="00AB3733" w:rsidP="00A35800">
            <w:pPr>
              <w:pStyle w:val="Tableheading"/>
              <w:rPr>
                <w:sz w:val="20"/>
                <w:szCs w:val="20"/>
              </w:rPr>
            </w:pPr>
            <w:r w:rsidRPr="00A35800">
              <w:rPr>
                <w:sz w:val="20"/>
                <w:szCs w:val="20"/>
              </w:rPr>
              <w:t xml:space="preserve">Dose and frequency of administration </w:t>
            </w:r>
          </w:p>
        </w:tc>
      </w:tr>
      <w:tr w:rsidR="00AB3733" w:rsidRPr="00A35800" w:rsidTr="00975C02">
        <w:tc>
          <w:tcPr>
            <w:tcW w:w="2660" w:type="dxa"/>
          </w:tcPr>
          <w:p w:rsidR="00AB3733" w:rsidRPr="00A35800" w:rsidRDefault="008A04BB" w:rsidP="00A35800">
            <w:pPr>
              <w:pStyle w:val="Tablewriting"/>
            </w:pPr>
            <w:r>
              <w:t>Xarelto</w:t>
            </w:r>
            <w:r w:rsidRPr="00E16A8D">
              <w:rPr>
                <w:color w:val="auto"/>
              </w:rPr>
              <w:t>®</w:t>
            </w:r>
            <w:r>
              <w:rPr>
                <w:color w:val="auto"/>
              </w:rPr>
              <w:t xml:space="preserve"> </w:t>
            </w:r>
            <w:r w:rsidR="00142CF2">
              <w:rPr>
                <w:color w:val="auto"/>
              </w:rPr>
              <w:t>Bayer Australia Ltd</w:t>
            </w:r>
          </w:p>
        </w:tc>
        <w:tc>
          <w:tcPr>
            <w:tcW w:w="1559" w:type="dxa"/>
          </w:tcPr>
          <w:p w:rsidR="00AB3733" w:rsidRPr="00A35800" w:rsidRDefault="00142CF2" w:rsidP="00A35800">
            <w:pPr>
              <w:pStyle w:val="Tablewriting"/>
            </w:pPr>
            <w:r>
              <w:t>Rivaroxaban</w:t>
            </w:r>
          </w:p>
        </w:tc>
        <w:tc>
          <w:tcPr>
            <w:tcW w:w="4961" w:type="dxa"/>
          </w:tcPr>
          <w:p w:rsidR="00AB3733" w:rsidRPr="00A35800" w:rsidRDefault="00142CF2" w:rsidP="00142CF2">
            <w:pPr>
              <w:pStyle w:val="Tablewriting"/>
            </w:pPr>
            <w:r>
              <w:t>The recommended dose is 20 mg once daily. For patients with moderate renal impairment (Creatinine clearance: 30 – 49 mL/min), one 15 mg tablet of Xarelto</w:t>
            </w:r>
            <w:r w:rsidR="008D5026" w:rsidRPr="00E16A8D">
              <w:rPr>
                <w:color w:val="auto"/>
              </w:rPr>
              <w:t>®</w:t>
            </w:r>
            <w:r>
              <w:t xml:space="preserve"> should be taken once daily. Therapy with Xarelto</w:t>
            </w:r>
            <w:r w:rsidR="008D5026" w:rsidRPr="00E16A8D">
              <w:rPr>
                <w:color w:val="auto"/>
              </w:rPr>
              <w:t>®</w:t>
            </w:r>
            <w:r>
              <w:t xml:space="preserve"> should be continued long term provided the benefit of prevention of stroke and systemic embolism outweighs the risk of bleeding.</w:t>
            </w:r>
          </w:p>
        </w:tc>
      </w:tr>
      <w:tr w:rsidR="00142CF2" w:rsidRPr="00A35800" w:rsidTr="00975C02">
        <w:tc>
          <w:tcPr>
            <w:tcW w:w="2660" w:type="dxa"/>
          </w:tcPr>
          <w:p w:rsidR="00142CF2" w:rsidRDefault="00142CF2" w:rsidP="00A35800">
            <w:pPr>
              <w:pStyle w:val="Tablewriting"/>
            </w:pPr>
            <w:r>
              <w:t>Pradaxa</w:t>
            </w:r>
            <w:r w:rsidRPr="00E16A8D">
              <w:rPr>
                <w:color w:val="auto"/>
              </w:rPr>
              <w:t>®</w:t>
            </w:r>
            <w:r>
              <w:rPr>
                <w:color w:val="auto"/>
              </w:rPr>
              <w:t xml:space="preserve"> Boehringer Ingelheim Pty Ltd</w:t>
            </w:r>
          </w:p>
        </w:tc>
        <w:tc>
          <w:tcPr>
            <w:tcW w:w="1559" w:type="dxa"/>
          </w:tcPr>
          <w:p w:rsidR="00142CF2" w:rsidRDefault="00142CF2" w:rsidP="00A35800">
            <w:pPr>
              <w:pStyle w:val="Tablewriting"/>
            </w:pPr>
            <w:r>
              <w:t xml:space="preserve">Dabigatran </w:t>
            </w:r>
          </w:p>
        </w:tc>
        <w:tc>
          <w:tcPr>
            <w:tcW w:w="4961" w:type="dxa"/>
          </w:tcPr>
          <w:p w:rsidR="00142CF2" w:rsidRDefault="003D3436" w:rsidP="003D3436">
            <w:pPr>
              <w:pStyle w:val="Tablewriting"/>
            </w:pPr>
            <w:r>
              <w:t>The recommended daily</w:t>
            </w:r>
            <w:r w:rsidR="00C339FB">
              <w:t xml:space="preserve"> dose</w:t>
            </w:r>
            <w:r>
              <w:t xml:space="preserve"> is 300 mg taken orally as one 150</w:t>
            </w:r>
            <w:r w:rsidR="00975C02">
              <w:t> </w:t>
            </w:r>
            <w:r>
              <w:t>mg capsule twice daily. In patients with moderate renal impairment (30–50 mL/min CrCL) a reduced dose of 220 mg given as one 110 mg capsule twice daily may be considered. Patients aged 75 years and above should be treated with a daily dose of 220 mg taken orally as one 110 mg capsule twice daily. For patients with a potentially higher risk of major bleeding, a reduced dose of 220 mg given as 110 mg twice daily may be considered. Treatment should be continued life-long.</w:t>
            </w:r>
          </w:p>
        </w:tc>
      </w:tr>
      <w:tr w:rsidR="00142CF2" w:rsidRPr="00A35800" w:rsidTr="00975C02">
        <w:tc>
          <w:tcPr>
            <w:tcW w:w="2660" w:type="dxa"/>
          </w:tcPr>
          <w:p w:rsidR="00142CF2" w:rsidRDefault="00A21385" w:rsidP="00A35800">
            <w:pPr>
              <w:pStyle w:val="Tablewriting"/>
            </w:pPr>
            <w:r>
              <w:t>Eliquis</w:t>
            </w:r>
            <w:r w:rsidRPr="00E16A8D">
              <w:rPr>
                <w:color w:val="auto"/>
              </w:rPr>
              <w:t>®</w:t>
            </w:r>
            <w:r>
              <w:rPr>
                <w:color w:val="auto"/>
              </w:rPr>
              <w:t xml:space="preserve"> Bristol-Myers Squibb Australia Pty Ltd</w:t>
            </w:r>
          </w:p>
        </w:tc>
        <w:tc>
          <w:tcPr>
            <w:tcW w:w="1559" w:type="dxa"/>
          </w:tcPr>
          <w:p w:rsidR="00142CF2" w:rsidRDefault="00142CF2" w:rsidP="00A35800">
            <w:pPr>
              <w:pStyle w:val="Tablewriting"/>
            </w:pPr>
            <w:r>
              <w:t>Apixaban</w:t>
            </w:r>
          </w:p>
        </w:tc>
        <w:tc>
          <w:tcPr>
            <w:tcW w:w="4961" w:type="dxa"/>
          </w:tcPr>
          <w:p w:rsidR="00142CF2" w:rsidRDefault="00A21385" w:rsidP="00A21385">
            <w:pPr>
              <w:pStyle w:val="Tablewriting"/>
            </w:pPr>
            <w:r>
              <w:t>The recommended dose is 5 mg taken twice daily. The recommended dose is 2.5 mg taken twice daily in patients with at least two of the following characteristics: ≥80</w:t>
            </w:r>
            <w:r w:rsidR="00975C02">
              <w:t> </w:t>
            </w:r>
            <w:r>
              <w:t xml:space="preserve"> years; body weight ≤60 kg; serum creatinine ≥133</w:t>
            </w:r>
            <w:r w:rsidR="00975C02">
              <w:t> </w:t>
            </w:r>
            <w:r>
              <w:t xml:space="preserve"> µmol/L.</w:t>
            </w:r>
          </w:p>
        </w:tc>
      </w:tr>
    </w:tbl>
    <w:p w:rsidR="00142CF2" w:rsidRDefault="003370D0" w:rsidP="00142CF2">
      <w:pPr>
        <w:pStyle w:val="Notes"/>
        <w:rPr>
          <w:highlight w:val="yellow"/>
        </w:rPr>
      </w:pPr>
      <w:r w:rsidRPr="00F93CFA">
        <w:t>Source:</w:t>
      </w:r>
      <w:r w:rsidR="00142CF2" w:rsidRPr="00142CF2">
        <w:t xml:space="preserve"> </w:t>
      </w:r>
      <w:r w:rsidR="00142CF2">
        <w:t>Product Information accessed on TGA website</w:t>
      </w:r>
      <w:bookmarkStart w:id="2" w:name="_Ref449628841"/>
      <w:r w:rsidR="00142CF2">
        <w:rPr>
          <w:rStyle w:val="FootnoteReference"/>
        </w:rPr>
        <w:footnoteReference w:id="8"/>
      </w:r>
      <w:bookmarkEnd w:id="2"/>
    </w:p>
    <w:p w:rsidR="00F17D4B" w:rsidRPr="002F61CA" w:rsidRDefault="00F17D4B" w:rsidP="00F17D4B">
      <w:r w:rsidRPr="002F61CA">
        <w:t xml:space="preserve">The current Product Information (PI) and Consumer Medicine Information (CMI) are available from </w:t>
      </w:r>
      <w:r w:rsidRPr="005D334A">
        <w:t xml:space="preserve">the </w:t>
      </w:r>
      <w:hyperlink r:id="rId9" w:history="1">
        <w:r w:rsidRPr="006D3ABD">
          <w:rPr>
            <w:rStyle w:val="Hyperlink"/>
          </w:rPr>
          <w:t>TGA</w:t>
        </w:r>
      </w:hyperlink>
      <w:r w:rsidR="006D3ABD">
        <w:t>.</w:t>
      </w:r>
    </w:p>
    <w:p w:rsidR="001420B3" w:rsidRPr="007247B9" w:rsidRDefault="001420B3" w:rsidP="00CF5E22">
      <w:pPr>
        <w:pStyle w:val="Heading2"/>
      </w:pPr>
      <w:r w:rsidRPr="007247B9">
        <w:t>Clinical situation</w:t>
      </w:r>
    </w:p>
    <w:p w:rsidR="00E85318" w:rsidRDefault="00FC3DD6" w:rsidP="00E85318">
      <w:pPr>
        <w:autoSpaceDE w:val="0"/>
        <w:autoSpaceDN w:val="0"/>
        <w:adjustRightInd w:val="0"/>
        <w:spacing w:after="0"/>
      </w:pPr>
      <w:r w:rsidRPr="00FC3DD6">
        <w:rPr>
          <w:rFonts w:cs="AGaramond-Regular"/>
        </w:rPr>
        <w:t>Atrial fibrillation (AF) is the most common type of arrhythmia in adults and becomes more common with increased age. Individuals with AF have an increased risk of thromboembolic events (e.g. stroke, deep venous thrombosis, pulmonary embolism). The risk of stroke is about four to five times greater than for people of the same age who are in sinus rhythm, and it is estimated that about 15% to 20% of all strokes are caused by AF.</w:t>
      </w:r>
      <w:r w:rsidR="00A74E7D">
        <w:rPr>
          <w:rFonts w:cs="AGaramond-Regular"/>
          <w:vertAlign w:val="superscript"/>
        </w:rPr>
        <w:t>9</w:t>
      </w:r>
      <w:r w:rsidRPr="00FC3DD6">
        <w:rPr>
          <w:rFonts w:cs="AGaramond-Regular"/>
        </w:rPr>
        <w:t xml:space="preserve"> Management of people with AF is aimed at reducing symptoms and preventing severe thromboembolic complications. Prevention of the latter relies on adequate antithrombotic therapy</w:t>
      </w:r>
      <w:r>
        <w:rPr>
          <w:rFonts w:cs="AGaramond-Regular"/>
        </w:rPr>
        <w:t xml:space="preserve"> such as with </w:t>
      </w:r>
      <w:r w:rsidR="00221705">
        <w:rPr>
          <w:rFonts w:cs="AGaramond-Regular"/>
        </w:rPr>
        <w:t xml:space="preserve">warfarin or </w:t>
      </w:r>
      <w:r>
        <w:rPr>
          <w:rFonts w:cs="AGaramond-Regular"/>
        </w:rPr>
        <w:t>a N</w:t>
      </w:r>
      <w:r w:rsidR="00C339FB">
        <w:rPr>
          <w:rFonts w:cs="AGaramond-Regular"/>
        </w:rPr>
        <w:t xml:space="preserve">OAC. Both therapies carry </w:t>
      </w:r>
      <w:r>
        <w:rPr>
          <w:rFonts w:cs="AGaramond-Regular"/>
        </w:rPr>
        <w:t xml:space="preserve">risks, such as an increased risk of </w:t>
      </w:r>
      <w:r w:rsidR="00221705">
        <w:rPr>
          <w:rFonts w:cs="AGaramond-Regular"/>
        </w:rPr>
        <w:t xml:space="preserve">major </w:t>
      </w:r>
      <w:r>
        <w:rPr>
          <w:rFonts w:cs="AGaramond-Regular"/>
        </w:rPr>
        <w:t>bleedin</w:t>
      </w:r>
      <w:r w:rsidR="00C339FB">
        <w:rPr>
          <w:rFonts w:cs="AGaramond-Regular"/>
        </w:rPr>
        <w:t>g</w:t>
      </w:r>
      <w:r>
        <w:rPr>
          <w:rFonts w:cs="AGaramond-Regular"/>
        </w:rPr>
        <w:t>.</w:t>
      </w:r>
      <w:bookmarkStart w:id="3" w:name="_Ref450035234"/>
      <w:r w:rsidR="00C339FB">
        <w:rPr>
          <w:rStyle w:val="FootnoteReference"/>
          <w:rFonts w:cs="AGaramond-Regular"/>
        </w:rPr>
        <w:footnoteReference w:id="9"/>
      </w:r>
      <w:bookmarkEnd w:id="3"/>
      <w:r>
        <w:rPr>
          <w:rFonts w:cs="AGaramond-Regular"/>
        </w:rPr>
        <w:t xml:space="preserve"> </w:t>
      </w:r>
    </w:p>
    <w:p w:rsidR="006F11AC" w:rsidRDefault="006F11AC" w:rsidP="006F11AC">
      <w:pPr>
        <w:autoSpaceDE w:val="0"/>
        <w:autoSpaceDN w:val="0"/>
        <w:adjustRightInd w:val="0"/>
        <w:spacing w:after="0"/>
        <w:rPr>
          <w:rFonts w:cs="AGaramond-Regular"/>
        </w:rPr>
      </w:pPr>
    </w:p>
    <w:p w:rsidR="006F11AC" w:rsidRDefault="006F11AC" w:rsidP="006F11AC">
      <w:pPr>
        <w:autoSpaceDE w:val="0"/>
        <w:autoSpaceDN w:val="0"/>
        <w:adjustRightInd w:val="0"/>
        <w:spacing w:after="0"/>
        <w:rPr>
          <w:rFonts w:cs="AGaramond-Regular"/>
        </w:rPr>
      </w:pPr>
    </w:p>
    <w:p w:rsidR="00F27437" w:rsidRDefault="00FC3DD6" w:rsidP="006F11AC">
      <w:pPr>
        <w:autoSpaceDE w:val="0"/>
        <w:autoSpaceDN w:val="0"/>
        <w:adjustRightInd w:val="0"/>
        <w:spacing w:after="0"/>
      </w:pPr>
      <w:r>
        <w:lastRenderedPageBreak/>
        <w:t xml:space="preserve">Warfarin has a narrow therapeutic window, variable dose response </w:t>
      </w:r>
      <w:r w:rsidR="006F11AC">
        <w:t xml:space="preserve">between patients </w:t>
      </w:r>
      <w:r>
        <w:t>and multiple in</w:t>
      </w:r>
      <w:r w:rsidR="006F11AC">
        <w:t xml:space="preserve">teractions with other drugs, some foods and </w:t>
      </w:r>
      <w:r>
        <w:t>concurrent illnesses</w:t>
      </w:r>
      <w:r w:rsidR="00AC2C20">
        <w:t xml:space="preserve">. </w:t>
      </w:r>
      <w:r w:rsidR="002F3C83">
        <w:t>Contraindications to warfarin are</w:t>
      </w:r>
      <w:r w:rsidR="00E00EDF">
        <w:t xml:space="preserve"> </w:t>
      </w:r>
      <w:r w:rsidR="002F3C83">
        <w:t>disease states where bleeding is active or a high risk</w:t>
      </w:r>
      <w:r w:rsidR="004B0198">
        <w:t>,</w:t>
      </w:r>
      <w:r w:rsidR="004B0198" w:rsidRPr="004B0198">
        <w:t xml:space="preserve"> </w:t>
      </w:r>
      <w:r w:rsidR="004B0198">
        <w:t>and alcoholism</w:t>
      </w:r>
      <w:r w:rsidR="002F3C83">
        <w:t xml:space="preserve">. Caution must be advised </w:t>
      </w:r>
      <w:r w:rsidR="00F27437">
        <w:t xml:space="preserve">in prescribing warfarin </w:t>
      </w:r>
      <w:r w:rsidR="002F3C83">
        <w:t>where compliance is likely to be poor or there is pr</w:t>
      </w:r>
      <w:r w:rsidR="00D8279A">
        <w:t>otein C or S deficiency</w:t>
      </w:r>
      <w:r w:rsidR="003D5F1A">
        <w:t>.</w:t>
      </w:r>
      <w:r w:rsidR="00D8279A">
        <w:rPr>
          <w:rStyle w:val="FootnoteReference"/>
        </w:rPr>
        <w:footnoteReference w:id="10"/>
      </w:r>
      <w:r w:rsidR="003D5F1A">
        <w:t xml:space="preserve"> Oral or injectable vitamin K can be administered to reverse the effects of warfarin, if necessary.</w:t>
      </w:r>
      <w:bookmarkStart w:id="4" w:name="_Ref449699880"/>
      <w:r w:rsidR="003D5F1A">
        <w:rPr>
          <w:rStyle w:val="FootnoteReference"/>
        </w:rPr>
        <w:footnoteReference w:id="11"/>
      </w:r>
      <w:bookmarkEnd w:id="4"/>
      <w:r w:rsidR="003D5F1A">
        <w:t xml:space="preserve"> </w:t>
      </w:r>
    </w:p>
    <w:p w:rsidR="006F11AC" w:rsidRPr="006F11AC" w:rsidRDefault="006F11AC" w:rsidP="006F11AC">
      <w:pPr>
        <w:autoSpaceDE w:val="0"/>
        <w:autoSpaceDN w:val="0"/>
        <w:adjustRightInd w:val="0"/>
        <w:spacing w:after="0"/>
        <w:rPr>
          <w:color w:val="00B050"/>
        </w:rPr>
      </w:pPr>
    </w:p>
    <w:p w:rsidR="00345AC7" w:rsidRDefault="00AC2C20" w:rsidP="0070570D">
      <w:r>
        <w:t>There is a need for frequent laboratory monitoring of dose–effect</w:t>
      </w:r>
      <w:r>
        <w:rPr>
          <w:rStyle w:val="FootnoteReference"/>
        </w:rPr>
        <w:footnoteReference w:id="12"/>
      </w:r>
      <w:r>
        <w:t xml:space="preserve"> via a blood test referred to as the </w:t>
      </w:r>
      <w:r w:rsidRPr="00FC3DD6">
        <w:rPr>
          <w:rFonts w:cs="AGaramond-Regular"/>
        </w:rPr>
        <w:t>International Normalised Ratio (INR)</w:t>
      </w:r>
      <w:r>
        <w:rPr>
          <w:rFonts w:cs="AGaramond-Regular"/>
        </w:rPr>
        <w:t xml:space="preserve">. Maintaining </w:t>
      </w:r>
      <w:r w:rsidR="008D5026">
        <w:rPr>
          <w:rFonts w:cs="AGaramond-Regular"/>
        </w:rPr>
        <w:t>an</w:t>
      </w:r>
      <w:r>
        <w:rPr>
          <w:rFonts w:cs="AGaramond-Regular"/>
        </w:rPr>
        <w:t xml:space="preserve"> INR in the</w:t>
      </w:r>
      <w:r w:rsidRPr="00FC3DD6">
        <w:rPr>
          <w:rFonts w:cs="AGaramond-Regular"/>
        </w:rPr>
        <w:t xml:space="preserve"> target </w:t>
      </w:r>
      <w:r>
        <w:rPr>
          <w:rFonts w:cs="AGaramond-Regular"/>
        </w:rPr>
        <w:t>range of 2.0 to 3.0</w:t>
      </w:r>
      <w:r w:rsidRPr="00FC3DD6">
        <w:rPr>
          <w:rFonts w:cs="AGaramond-Regular"/>
        </w:rPr>
        <w:t xml:space="preserve"> has been shown to reduce the risk of stroke by about two-thirds in patients with AF</w:t>
      </w:r>
      <w:r>
        <w:rPr>
          <w:rFonts w:cs="AGaramond-Regular"/>
        </w:rPr>
        <w:t>.</w:t>
      </w:r>
      <w:r w:rsidR="00A74E7D">
        <w:rPr>
          <w:rFonts w:cs="AGaramond-Regular"/>
          <w:vertAlign w:val="superscript"/>
        </w:rPr>
        <w:t>9</w:t>
      </w:r>
      <w:r>
        <w:rPr>
          <w:rFonts w:cs="AGaramond-Regular"/>
          <w:vertAlign w:val="superscript"/>
        </w:rPr>
        <w:t xml:space="preserve"> </w:t>
      </w:r>
      <w:r w:rsidR="00C903D5" w:rsidRPr="00C903D5">
        <w:t>Point-of-care testing of the INR can be done in general practice, in other locations such as pharmacies, or by the patients themselves (known as self-monitoring). These approaches are more convenient for patients than visits to an anticoagulation clinic in a pathology practice or in a hospital</w:t>
      </w:r>
      <w:r w:rsidR="00C903D5">
        <w:t>, particularly if a patient lives in a rural or remote area</w:t>
      </w:r>
      <w:r w:rsidR="00C903D5" w:rsidRPr="00C903D5">
        <w:t>.</w:t>
      </w:r>
      <w:r w:rsidR="00C903D5">
        <w:t xml:space="preserve"> </w:t>
      </w:r>
      <w:r w:rsidR="00C903D5" w:rsidRPr="00C903D5">
        <w:t>The convenience of self-monitoring can be extended further to a model of self-management. Patients use algorithms to determine any necessary dose adjustments following INR me</w:t>
      </w:r>
      <w:r w:rsidR="00C903D5">
        <w:t xml:space="preserve">asurement. </w:t>
      </w:r>
      <w:r w:rsidR="00C903D5" w:rsidRPr="00C903D5">
        <w:t xml:space="preserve">Evidence supports the practice of self-monitoring, with or without self-management, but an essential prerequisite is the ability of the patient to correctly, </w:t>
      </w:r>
      <w:r w:rsidR="00C903D5">
        <w:t>competently and safely use the testing devices</w:t>
      </w:r>
      <w:bookmarkStart w:id="5" w:name="_Ref448826007"/>
      <w:r w:rsidR="00C903D5">
        <w:rPr>
          <w:rStyle w:val="FootnoteReference"/>
        </w:rPr>
        <w:footnoteReference w:id="13"/>
      </w:r>
      <w:bookmarkEnd w:id="5"/>
      <w:r w:rsidR="00C903D5">
        <w:t xml:space="preserve">. </w:t>
      </w:r>
      <w:r w:rsidR="00BD132F">
        <w:t>The starting dose</w:t>
      </w:r>
      <w:r w:rsidR="00345AC7" w:rsidRPr="00345AC7">
        <w:t xml:space="preserve"> of 5 mg represent</w:t>
      </w:r>
      <w:r>
        <w:t>s</w:t>
      </w:r>
      <w:r w:rsidR="00345AC7" w:rsidRPr="00345AC7">
        <w:t xml:space="preserve"> a large loading dose for a patient who requires a maintenance dose of only </w:t>
      </w:r>
      <w:r w:rsidR="008D5026">
        <w:t xml:space="preserve">      </w:t>
      </w:r>
      <w:r>
        <w:t>1-2</w:t>
      </w:r>
      <w:r w:rsidR="008D5026">
        <w:t> </w:t>
      </w:r>
      <w:r w:rsidR="00345AC7" w:rsidRPr="00345AC7">
        <w:t>mg, and can lead to marked over-anticoagulation in a few days if INRs are not monitored</w:t>
      </w:r>
      <w:r w:rsidR="00A74E7D">
        <w:rPr>
          <w:vertAlign w:val="superscript"/>
        </w:rPr>
        <w:t>13</w:t>
      </w:r>
      <w:r w:rsidR="00345AC7" w:rsidRPr="00345AC7">
        <w:t>.</w:t>
      </w:r>
    </w:p>
    <w:p w:rsidR="00B31DAE" w:rsidRDefault="0033429D" w:rsidP="00EB4A48">
      <w:r>
        <w:t xml:space="preserve">The NOACs differ to warfarin in that the recommended dose is universal, blood tests do not need to be conducted and there are fewer drug and food interactions. </w:t>
      </w:r>
      <w:r w:rsidR="006F11AC">
        <w:t>Conversely, b</w:t>
      </w:r>
      <w:r w:rsidR="0023506D" w:rsidRPr="0023506D">
        <w:t xml:space="preserve">leeding risk assessment is especially important in </w:t>
      </w:r>
      <w:r w:rsidR="0023506D">
        <w:t>patients taking a NOAC</w:t>
      </w:r>
      <w:r w:rsidR="0023506D" w:rsidRPr="0023506D">
        <w:t xml:space="preserve"> because there is no </w:t>
      </w:r>
      <w:r w:rsidR="006613D0">
        <w:t>universal</w:t>
      </w:r>
      <w:r w:rsidR="0023506D" w:rsidRPr="0023506D">
        <w:t xml:space="preserve"> method of measuring or reversing the activity of the </w:t>
      </w:r>
      <w:r w:rsidR="0023506D">
        <w:t>NOACs</w:t>
      </w:r>
      <w:r w:rsidR="0023506D" w:rsidRPr="0023506D">
        <w:t xml:space="preserve">. </w:t>
      </w:r>
      <w:r w:rsidR="006613D0">
        <w:t>In April 2016, the TGA approved an antidote to dabigatran, idarucizumab, for an implementation date of 1</w:t>
      </w:r>
      <w:r w:rsidR="00F73625">
        <w:t> </w:t>
      </w:r>
      <w:r w:rsidR="006613D0">
        <w:t>June 2016. This antidote has no effect on the other NOACs.</w:t>
      </w:r>
      <w:r w:rsidR="006613D0">
        <w:rPr>
          <w:rStyle w:val="FootnoteReference"/>
        </w:rPr>
        <w:footnoteReference w:id="14"/>
      </w:r>
      <w:r w:rsidR="006613D0">
        <w:t xml:space="preserve"> </w:t>
      </w:r>
      <w:r w:rsidR="00B31DAE">
        <w:t>There is an antidote for apixaban and rivaroxaban being trialled</w:t>
      </w:r>
      <w:r w:rsidR="00361C9D">
        <w:t xml:space="preserve"> </w:t>
      </w:r>
      <w:r w:rsidR="00613D3F">
        <w:t>overseas;</w:t>
      </w:r>
      <w:r w:rsidR="00B31DAE">
        <w:t xml:space="preserve"> however it is currently unavailable</w:t>
      </w:r>
      <w:r w:rsidR="00361C9D">
        <w:t xml:space="preserve"> in Australia</w:t>
      </w:r>
      <w:r w:rsidR="00B31DAE">
        <w:t>.</w:t>
      </w:r>
      <w:bookmarkStart w:id="6" w:name="_Ref450128621"/>
      <w:r w:rsidR="00B31DAE">
        <w:rPr>
          <w:rStyle w:val="FootnoteReference"/>
        </w:rPr>
        <w:footnoteReference w:id="15"/>
      </w:r>
      <w:bookmarkEnd w:id="6"/>
      <w:r w:rsidR="00B31DAE">
        <w:t xml:space="preserve"> </w:t>
      </w:r>
      <w:r w:rsidR="00F73625">
        <w:t xml:space="preserve">Recent publications have reported variable findings regarding the risk of major bleeding with NOACs. </w:t>
      </w:r>
      <w:r w:rsidR="00EB1AE6">
        <w:t xml:space="preserve">In 2015, a retrospective cohort study suggested that </w:t>
      </w:r>
      <w:r w:rsidR="00074BC9">
        <w:t xml:space="preserve">NVAF </w:t>
      </w:r>
      <w:r w:rsidR="00AC2C20">
        <w:t xml:space="preserve">patients who were newly initiated on </w:t>
      </w:r>
      <w:r w:rsidR="00EB1AE6">
        <w:t xml:space="preserve">apixaban had a reduced risk of major bleeding </w:t>
      </w:r>
      <w:r w:rsidR="00AC2C20">
        <w:t xml:space="preserve">compared to those </w:t>
      </w:r>
      <w:r w:rsidR="00EB1AE6">
        <w:t>newly initiated on warfarin, dabigatran or rivaroxaban.</w:t>
      </w:r>
      <w:bookmarkStart w:id="7" w:name="_Ref449693780"/>
      <w:r w:rsidR="00EB1AE6">
        <w:rPr>
          <w:rStyle w:val="FootnoteReference"/>
        </w:rPr>
        <w:footnoteReference w:id="16"/>
      </w:r>
      <w:bookmarkEnd w:id="7"/>
      <w:r w:rsidR="00F45CFF">
        <w:t xml:space="preserve"> Also in 2015, results were published from a</w:t>
      </w:r>
      <w:r w:rsidR="00074BC9">
        <w:t>n international</w:t>
      </w:r>
      <w:r w:rsidR="00F45CFF">
        <w:t xml:space="preserve"> </w:t>
      </w:r>
      <w:r w:rsidR="00074BC9">
        <w:t>prospective study</w:t>
      </w:r>
      <w:r w:rsidR="00F45CFF">
        <w:t xml:space="preserve"> of rivaroxaban. The data suggested that </w:t>
      </w:r>
      <w:r w:rsidR="00F45CFF">
        <w:lastRenderedPageBreak/>
        <w:t>the risk of major bleeding was low and generally consistent with that seen in the initial trials.</w:t>
      </w:r>
      <w:bookmarkStart w:id="8" w:name="_Ref450128757"/>
      <w:r w:rsidR="00074BC9">
        <w:rPr>
          <w:rStyle w:val="FootnoteReference"/>
        </w:rPr>
        <w:footnoteReference w:id="17"/>
      </w:r>
      <w:bookmarkEnd w:id="8"/>
    </w:p>
    <w:p w:rsidR="007F6B4A" w:rsidRDefault="0023506D" w:rsidP="00EB4A48">
      <w:r>
        <w:t>Medication</w:t>
      </w:r>
      <w:r w:rsidRPr="0023506D">
        <w:t xml:space="preserve"> adherence </w:t>
      </w:r>
      <w:r>
        <w:t xml:space="preserve">is important </w:t>
      </w:r>
      <w:r w:rsidR="00B31DAE">
        <w:t>with the NOACs due to the</w:t>
      </w:r>
      <w:r w:rsidRPr="0023506D">
        <w:t xml:space="preserve"> shorter half-life than warfarin</w:t>
      </w:r>
      <w:r w:rsidR="00AC2C20">
        <w:t>;</w:t>
      </w:r>
      <w:r w:rsidRPr="0023506D">
        <w:t xml:space="preserve"> the risk of stroke is greater if a dose is missed.</w:t>
      </w:r>
      <w:r>
        <w:rPr>
          <w:b/>
          <w:bCs/>
          <w:vertAlign w:val="superscript"/>
        </w:rPr>
        <w:t xml:space="preserve"> </w:t>
      </w:r>
      <w:r>
        <w:t>R</w:t>
      </w:r>
      <w:r w:rsidRPr="0023506D">
        <w:t xml:space="preserve">enal function </w:t>
      </w:r>
      <w:r>
        <w:t xml:space="preserve">should be assessed </w:t>
      </w:r>
      <w:r w:rsidRPr="0023506D">
        <w:t xml:space="preserve">before starting </w:t>
      </w:r>
      <w:r w:rsidR="00B31DAE">
        <w:t>NOAC</w:t>
      </w:r>
      <w:r w:rsidRPr="0023506D">
        <w:t xml:space="preserve"> treatment and at least annually thereafter (more frequently in people with renal impairment).</w:t>
      </w:r>
      <w:r>
        <w:rPr>
          <w:vertAlign w:val="superscript"/>
        </w:rPr>
        <w:t xml:space="preserve"> </w:t>
      </w:r>
      <w:r w:rsidR="0058340D">
        <w:t>Furthermore, h</w:t>
      </w:r>
      <w:r>
        <w:t>e</w:t>
      </w:r>
      <w:r w:rsidRPr="0023506D">
        <w:t xml:space="preserve">patic function </w:t>
      </w:r>
      <w:r>
        <w:t xml:space="preserve">must be assessed </w:t>
      </w:r>
      <w:r w:rsidRPr="0023506D">
        <w:t>before starting dabigatran</w:t>
      </w:r>
      <w:r>
        <w:rPr>
          <w:rStyle w:val="FootnoteReference"/>
        </w:rPr>
        <w:footnoteReference w:id="18"/>
      </w:r>
      <w:r w:rsidRPr="0023506D">
        <w:t>.</w:t>
      </w:r>
      <w:r w:rsidR="00B21220">
        <w:t xml:space="preserve"> </w:t>
      </w:r>
    </w:p>
    <w:p w:rsidR="00607D6B" w:rsidRPr="000C6C67" w:rsidRDefault="004730FD" w:rsidP="00607D6B">
      <w:r w:rsidRPr="00607D6B">
        <w:t>Dabi</w:t>
      </w:r>
      <w:r w:rsidR="00607D6B" w:rsidRPr="00607D6B">
        <w:t>gatran was</w:t>
      </w:r>
      <w:r w:rsidRPr="00607D6B">
        <w:t xml:space="preserve"> </w:t>
      </w:r>
      <w:r w:rsidR="00607D6B" w:rsidRPr="00607D6B">
        <w:t xml:space="preserve">the first NOAC to be </w:t>
      </w:r>
      <w:r w:rsidRPr="00607D6B">
        <w:t xml:space="preserve">TGA </w:t>
      </w:r>
      <w:r w:rsidR="00AC2C20">
        <w:t>registered</w:t>
      </w:r>
      <w:r w:rsidRPr="00607D6B">
        <w:t xml:space="preserve"> </w:t>
      </w:r>
      <w:r w:rsidR="00607D6B" w:rsidRPr="00607D6B">
        <w:t>(April 2011).</w:t>
      </w:r>
      <w:r w:rsidRPr="00607D6B">
        <w:t xml:space="preserve"> </w:t>
      </w:r>
      <w:r w:rsidR="00D04B55">
        <w:t xml:space="preserve">In June 2011, the </w:t>
      </w:r>
      <w:r w:rsidR="00607D6B">
        <w:t>sponsor of</w:t>
      </w:r>
      <w:r w:rsidR="00D04B55">
        <w:t xml:space="preserve"> dabigatran introduced a nationwide Product Familiarisation Program (PFP)</w:t>
      </w:r>
      <w:bookmarkStart w:id="9" w:name="_Ref448831601"/>
      <w:r w:rsidR="003B4213">
        <w:t xml:space="preserve"> that had approximately 25,000 patients enrolled</w:t>
      </w:r>
      <w:bookmarkStart w:id="10" w:name="_Ref450051380"/>
      <w:r w:rsidR="005C3FE6">
        <w:rPr>
          <w:rStyle w:val="FootnoteReference"/>
        </w:rPr>
        <w:footnoteReference w:id="19"/>
      </w:r>
      <w:bookmarkEnd w:id="9"/>
      <w:bookmarkEnd w:id="10"/>
      <w:r w:rsidR="00D04B55">
        <w:t xml:space="preserve">. In </w:t>
      </w:r>
      <w:r w:rsidR="005C3FE6">
        <w:t>May</w:t>
      </w:r>
      <w:r w:rsidR="00D04B55">
        <w:t xml:space="preserve"> 2012, the sponsor for rivaroxaban commenced their own PFP</w:t>
      </w:r>
      <w:r w:rsidR="00A74E7D" w:rsidRPr="00A74E7D">
        <w:rPr>
          <w:vertAlign w:val="superscript"/>
        </w:rPr>
        <w:t>19</w:t>
      </w:r>
      <w:r w:rsidR="00607D6B">
        <w:t xml:space="preserve"> </w:t>
      </w:r>
      <w:r w:rsidR="003B4213">
        <w:t>(with approximately 3,000 patients enrolled)</w:t>
      </w:r>
      <w:r w:rsidR="003B4213">
        <w:rPr>
          <w:rStyle w:val="FootnoteReference"/>
        </w:rPr>
        <w:footnoteReference w:id="20"/>
      </w:r>
      <w:r w:rsidR="003B4213">
        <w:t xml:space="preserve"> </w:t>
      </w:r>
      <w:r w:rsidR="00607D6B">
        <w:t xml:space="preserve">after becoming TGA </w:t>
      </w:r>
      <w:r w:rsidR="00AC2C20">
        <w:t>registered</w:t>
      </w:r>
      <w:r w:rsidR="00607D6B">
        <w:t xml:space="preserve"> in April 2012.</w:t>
      </w:r>
      <w:r w:rsidR="00D04B55">
        <w:t xml:space="preserve"> </w:t>
      </w:r>
      <w:r w:rsidR="00D04B55">
        <w:rPr>
          <w:snapToGrid w:val="0"/>
          <w:lang w:eastAsia="en-US"/>
        </w:rPr>
        <w:t>These</w:t>
      </w:r>
      <w:r w:rsidR="00D04B55" w:rsidRPr="00EB4A48">
        <w:rPr>
          <w:snapToGrid w:val="0"/>
          <w:lang w:eastAsia="en-US"/>
        </w:rPr>
        <w:t xml:space="preserve"> programs mean</w:t>
      </w:r>
      <w:r w:rsidR="00D04B55">
        <w:rPr>
          <w:snapToGrid w:val="0"/>
          <w:lang w:eastAsia="en-US"/>
        </w:rPr>
        <w:t>t</w:t>
      </w:r>
      <w:r w:rsidR="00D04B55" w:rsidRPr="00EB4A48">
        <w:rPr>
          <w:snapToGrid w:val="0"/>
          <w:lang w:eastAsia="en-US"/>
        </w:rPr>
        <w:t xml:space="preserve"> that there </w:t>
      </w:r>
      <w:r w:rsidR="00D04B55">
        <w:rPr>
          <w:snapToGrid w:val="0"/>
          <w:lang w:eastAsia="en-US"/>
        </w:rPr>
        <w:t>was</w:t>
      </w:r>
      <w:r w:rsidR="00D04B55" w:rsidRPr="00EB4A48">
        <w:rPr>
          <w:snapToGrid w:val="0"/>
          <w:lang w:eastAsia="en-US"/>
        </w:rPr>
        <w:t xml:space="preserve"> a population primed for </w:t>
      </w:r>
      <w:r w:rsidR="00D04B55">
        <w:rPr>
          <w:snapToGrid w:val="0"/>
          <w:lang w:eastAsia="en-US"/>
        </w:rPr>
        <w:t xml:space="preserve">the </w:t>
      </w:r>
      <w:r w:rsidR="00D04B55" w:rsidRPr="00EB4A48">
        <w:rPr>
          <w:snapToGrid w:val="0"/>
          <w:lang w:eastAsia="en-US"/>
        </w:rPr>
        <w:t>uptake</w:t>
      </w:r>
      <w:r w:rsidR="00D04B55">
        <w:rPr>
          <w:snapToGrid w:val="0"/>
          <w:lang w:eastAsia="en-US"/>
        </w:rPr>
        <w:t xml:space="preserve"> of the NOACs at the time they were listed on the PBS.</w:t>
      </w:r>
      <w:r w:rsidR="00607D6B" w:rsidRPr="00607D6B">
        <w:rPr>
          <w:color w:val="FF0000"/>
        </w:rPr>
        <w:t xml:space="preserve"> </w:t>
      </w:r>
    </w:p>
    <w:p w:rsidR="00DF0B13" w:rsidRPr="007247B9" w:rsidRDefault="00DF0B13" w:rsidP="00CF5E22">
      <w:pPr>
        <w:pStyle w:val="Heading2"/>
      </w:pPr>
      <w:r w:rsidRPr="007247B9">
        <w:t>PBS listing d</w:t>
      </w:r>
      <w:r w:rsidRPr="00633009">
        <w:t>etails</w:t>
      </w:r>
      <w:r w:rsidR="00D151EB" w:rsidRPr="00633009">
        <w:t xml:space="preserve"> (as at </w:t>
      </w:r>
      <w:r w:rsidR="00F73625">
        <w:t xml:space="preserve">1 </w:t>
      </w:r>
      <w:r w:rsidR="00633009" w:rsidRPr="00633009">
        <w:t>May 2016</w:t>
      </w:r>
      <w:r w:rsidR="00D151EB" w:rsidRPr="00633009">
        <w:t>)</w:t>
      </w:r>
    </w:p>
    <w:p w:rsidR="001420B3" w:rsidRPr="00CC49B0" w:rsidRDefault="001420B3" w:rsidP="00CF5E22">
      <w:pPr>
        <w:pStyle w:val="Tabletitle"/>
        <w:rPr>
          <w:color w:val="FF0000"/>
        </w:rPr>
      </w:pPr>
      <w:r w:rsidRPr="001420B3">
        <w:t xml:space="preserve">Table </w:t>
      </w:r>
      <w:r w:rsidR="005A6118">
        <w:t>2</w:t>
      </w:r>
      <w:r w:rsidRPr="001420B3">
        <w:t xml:space="preserve">: </w:t>
      </w:r>
      <w:r w:rsidR="009663B6">
        <w:t>PB</w:t>
      </w:r>
      <w:r w:rsidR="00F93CFA">
        <w:t>S listing of</w:t>
      </w:r>
      <w:r w:rsidR="00981969">
        <w:t xml:space="preserve"> the NOACs</w:t>
      </w:r>
      <w:r w:rsidR="00CC49B0">
        <w:t xml:space="preserve"> </w:t>
      </w:r>
      <w:r w:rsidR="00633009" w:rsidRPr="00633009">
        <w:t xml:space="preserve">for </w:t>
      </w:r>
      <w:r w:rsidR="0082328A">
        <w:t>use in NVAF</w:t>
      </w:r>
    </w:p>
    <w:tbl>
      <w:tblPr>
        <w:tblStyle w:val="TableGrid"/>
        <w:tblW w:w="9064" w:type="dxa"/>
        <w:tblLayout w:type="fixed"/>
        <w:tblLook w:val="04A0" w:firstRow="1" w:lastRow="0" w:firstColumn="1" w:lastColumn="0" w:noHBand="0" w:noVBand="1"/>
        <w:tblCaption w:val="PBS listing of the NOACs for use in NVAF"/>
        <w:tblDescription w:val="A table of PBS listing of the NOACs for use in NVAF"/>
      </w:tblPr>
      <w:tblGrid>
        <w:gridCol w:w="969"/>
        <w:gridCol w:w="2400"/>
        <w:gridCol w:w="1701"/>
        <w:gridCol w:w="850"/>
        <w:gridCol w:w="1040"/>
        <w:gridCol w:w="2104"/>
      </w:tblGrid>
      <w:tr w:rsidR="0093111F" w:rsidRPr="00A35800" w:rsidTr="0093111F">
        <w:trPr>
          <w:trHeight w:val="694"/>
          <w:tblHeader/>
        </w:trPr>
        <w:tc>
          <w:tcPr>
            <w:tcW w:w="969"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Item</w:t>
            </w:r>
          </w:p>
        </w:tc>
        <w:tc>
          <w:tcPr>
            <w:tcW w:w="240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Max</w:t>
            </w:r>
            <w:r w:rsidR="00A13C60" w:rsidRPr="00A35800">
              <w:rPr>
                <w:sz w:val="20"/>
                <w:szCs w:val="20"/>
              </w:rPr>
              <w:t xml:space="preserve">. </w:t>
            </w:r>
            <w:r w:rsidRPr="00A35800">
              <w:rPr>
                <w:sz w:val="20"/>
                <w:szCs w:val="20"/>
              </w:rPr>
              <w:t xml:space="preserve">quant. </w:t>
            </w:r>
          </w:p>
        </w:tc>
        <w:tc>
          <w:tcPr>
            <w:tcW w:w="85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 xml:space="preserve">Rpts </w:t>
            </w:r>
          </w:p>
        </w:tc>
        <w:tc>
          <w:tcPr>
            <w:tcW w:w="104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DPMQ</w:t>
            </w:r>
          </w:p>
        </w:tc>
        <w:tc>
          <w:tcPr>
            <w:tcW w:w="2104"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Brand name and manufacturer</w:t>
            </w:r>
          </w:p>
        </w:tc>
      </w:tr>
      <w:tr w:rsidR="0093111F" w:rsidRPr="00A35800" w:rsidTr="0093111F">
        <w:trPr>
          <w:trHeight w:val="552"/>
          <w:tblHeader/>
        </w:trPr>
        <w:tc>
          <w:tcPr>
            <w:tcW w:w="969" w:type="dxa"/>
            <w:shd w:val="clear" w:color="auto" w:fill="auto"/>
          </w:tcPr>
          <w:p w:rsidR="0093111F" w:rsidRPr="00A35800" w:rsidRDefault="00981969" w:rsidP="00A35800">
            <w:pPr>
              <w:pStyle w:val="Tablewriting"/>
            </w:pPr>
            <w:r>
              <w:t>2268J</w:t>
            </w:r>
            <w:r w:rsidR="00EC1A06" w:rsidRPr="00981969">
              <w:rPr>
                <w:color w:val="auto"/>
                <w:vertAlign w:val="superscript"/>
              </w:rPr>
              <w:t>Ɨ</w:t>
            </w:r>
          </w:p>
        </w:tc>
        <w:tc>
          <w:tcPr>
            <w:tcW w:w="2400" w:type="dxa"/>
            <w:shd w:val="clear" w:color="auto" w:fill="auto"/>
          </w:tcPr>
          <w:p w:rsidR="0093111F" w:rsidRPr="00A35800" w:rsidRDefault="00981969" w:rsidP="00A35800">
            <w:pPr>
              <w:pStyle w:val="Tablewriting"/>
            </w:pPr>
            <w:r>
              <w:t>Rivaroxaban 20mg tablet, 28</w:t>
            </w:r>
          </w:p>
        </w:tc>
        <w:tc>
          <w:tcPr>
            <w:tcW w:w="1701" w:type="dxa"/>
            <w:shd w:val="clear" w:color="auto" w:fill="auto"/>
          </w:tcPr>
          <w:p w:rsidR="0093111F" w:rsidRPr="00A35800" w:rsidRDefault="00981969" w:rsidP="00A35800">
            <w:pPr>
              <w:pStyle w:val="Tablewriting"/>
            </w:pPr>
            <w:r>
              <w:t>1</w:t>
            </w:r>
          </w:p>
        </w:tc>
        <w:tc>
          <w:tcPr>
            <w:tcW w:w="850" w:type="dxa"/>
            <w:shd w:val="clear" w:color="auto" w:fill="auto"/>
          </w:tcPr>
          <w:p w:rsidR="0093111F" w:rsidRPr="00A35800" w:rsidRDefault="00981969" w:rsidP="00A35800">
            <w:pPr>
              <w:pStyle w:val="Tablewriting"/>
            </w:pPr>
            <w:r>
              <w:t>5</w:t>
            </w:r>
          </w:p>
        </w:tc>
        <w:tc>
          <w:tcPr>
            <w:tcW w:w="1040" w:type="dxa"/>
            <w:shd w:val="clear" w:color="auto" w:fill="auto"/>
          </w:tcPr>
          <w:p w:rsidR="0093111F" w:rsidRPr="00A35800" w:rsidRDefault="00633009" w:rsidP="00A35800">
            <w:pPr>
              <w:pStyle w:val="Tablewriting"/>
            </w:pPr>
            <w:r>
              <w:t>$86.50</w:t>
            </w:r>
          </w:p>
        </w:tc>
        <w:tc>
          <w:tcPr>
            <w:tcW w:w="2104" w:type="dxa"/>
            <w:shd w:val="clear" w:color="auto" w:fill="auto"/>
          </w:tcPr>
          <w:p w:rsidR="0093111F" w:rsidRPr="00A35800" w:rsidRDefault="00981969" w:rsidP="00A35800">
            <w:pPr>
              <w:pStyle w:val="Tablewriting"/>
            </w:pPr>
            <w:r>
              <w:t>Xarelto</w:t>
            </w:r>
            <w:r w:rsidRPr="00E16A8D">
              <w:rPr>
                <w:color w:val="auto"/>
              </w:rPr>
              <w:t>®</w:t>
            </w:r>
            <w:r>
              <w:rPr>
                <w:color w:val="auto"/>
              </w:rPr>
              <w:t xml:space="preserve"> Bayer Australia Ltd</w:t>
            </w:r>
          </w:p>
        </w:tc>
      </w:tr>
      <w:tr w:rsidR="00981969" w:rsidRPr="00A35800" w:rsidTr="0093111F">
        <w:trPr>
          <w:trHeight w:val="546"/>
          <w:tblHeader/>
        </w:trPr>
        <w:tc>
          <w:tcPr>
            <w:tcW w:w="969" w:type="dxa"/>
            <w:shd w:val="clear" w:color="auto" w:fill="auto"/>
          </w:tcPr>
          <w:p w:rsidR="00981969" w:rsidRPr="00A35800" w:rsidRDefault="00981969" w:rsidP="00A35800">
            <w:pPr>
              <w:pStyle w:val="Tablewriting"/>
            </w:pPr>
            <w:r>
              <w:t>2691P</w:t>
            </w:r>
            <w:r w:rsidR="00EC1A06" w:rsidRPr="00981969">
              <w:rPr>
                <w:color w:val="auto"/>
                <w:vertAlign w:val="superscript"/>
              </w:rPr>
              <w:t>Ɨ</w:t>
            </w:r>
          </w:p>
        </w:tc>
        <w:tc>
          <w:tcPr>
            <w:tcW w:w="2400" w:type="dxa"/>
            <w:shd w:val="clear" w:color="auto" w:fill="auto"/>
          </w:tcPr>
          <w:p w:rsidR="00981969" w:rsidRPr="00A35800" w:rsidRDefault="00981969" w:rsidP="00A35800">
            <w:pPr>
              <w:pStyle w:val="Tablewriting"/>
            </w:pPr>
            <w:r>
              <w:t>Rivaroxaban 15mg tablet, 28</w:t>
            </w:r>
          </w:p>
        </w:tc>
        <w:tc>
          <w:tcPr>
            <w:tcW w:w="1701" w:type="dxa"/>
            <w:shd w:val="clear" w:color="auto" w:fill="auto"/>
          </w:tcPr>
          <w:p w:rsidR="00981969" w:rsidRPr="00A35800" w:rsidRDefault="00981969" w:rsidP="00A35800">
            <w:pPr>
              <w:pStyle w:val="Tablewriting"/>
            </w:pPr>
            <w:r>
              <w:t>1</w:t>
            </w:r>
          </w:p>
        </w:tc>
        <w:tc>
          <w:tcPr>
            <w:tcW w:w="850" w:type="dxa"/>
            <w:shd w:val="clear" w:color="auto" w:fill="auto"/>
          </w:tcPr>
          <w:p w:rsidR="00981969" w:rsidRPr="00A35800" w:rsidRDefault="00981969" w:rsidP="00A35800">
            <w:pPr>
              <w:pStyle w:val="Tablewriting"/>
            </w:pPr>
            <w:r>
              <w:t>5</w:t>
            </w:r>
          </w:p>
        </w:tc>
        <w:tc>
          <w:tcPr>
            <w:tcW w:w="1040" w:type="dxa"/>
            <w:shd w:val="clear" w:color="auto" w:fill="auto"/>
          </w:tcPr>
          <w:p w:rsidR="00981969" w:rsidRPr="00A35800" w:rsidRDefault="00981969" w:rsidP="00633009">
            <w:pPr>
              <w:pStyle w:val="Tablewriting"/>
            </w:pPr>
            <w:r>
              <w:t>$</w:t>
            </w:r>
            <w:r w:rsidR="00633009">
              <w:t>86</w:t>
            </w:r>
            <w:r>
              <w:t>.50</w:t>
            </w:r>
          </w:p>
        </w:tc>
        <w:tc>
          <w:tcPr>
            <w:tcW w:w="2104" w:type="dxa"/>
            <w:shd w:val="clear" w:color="auto" w:fill="auto"/>
          </w:tcPr>
          <w:p w:rsidR="00981969" w:rsidRPr="00A35800" w:rsidRDefault="00981969" w:rsidP="00A35800">
            <w:pPr>
              <w:pStyle w:val="Tablewriting"/>
            </w:pPr>
            <w:r>
              <w:t>Xarelto</w:t>
            </w:r>
            <w:r w:rsidRPr="00E16A8D">
              <w:rPr>
                <w:color w:val="auto"/>
              </w:rPr>
              <w:t>®</w:t>
            </w:r>
            <w:r>
              <w:rPr>
                <w:color w:val="auto"/>
              </w:rPr>
              <w:t xml:space="preserve"> Bayer Australia Ltd</w:t>
            </w:r>
          </w:p>
        </w:tc>
      </w:tr>
      <w:tr w:rsidR="00981969" w:rsidRPr="00A35800" w:rsidTr="0093111F">
        <w:trPr>
          <w:trHeight w:val="546"/>
          <w:tblHeader/>
        </w:trPr>
        <w:tc>
          <w:tcPr>
            <w:tcW w:w="969" w:type="dxa"/>
            <w:shd w:val="clear" w:color="auto" w:fill="auto"/>
          </w:tcPr>
          <w:p w:rsidR="00981969" w:rsidRDefault="00981969" w:rsidP="00A35800">
            <w:pPr>
              <w:pStyle w:val="Tablewriting"/>
            </w:pPr>
            <w:r>
              <w:t>2753X</w:t>
            </w:r>
            <w:r w:rsidR="00EC1A06" w:rsidRPr="00981969">
              <w:rPr>
                <w:color w:val="auto"/>
                <w:vertAlign w:val="superscript"/>
              </w:rPr>
              <w:t>Ɨ</w:t>
            </w:r>
          </w:p>
        </w:tc>
        <w:tc>
          <w:tcPr>
            <w:tcW w:w="2400" w:type="dxa"/>
            <w:shd w:val="clear" w:color="auto" w:fill="auto"/>
          </w:tcPr>
          <w:p w:rsidR="00981969" w:rsidRDefault="00981969" w:rsidP="00A35800">
            <w:pPr>
              <w:pStyle w:val="Tablewriting"/>
            </w:pPr>
            <w:r>
              <w:t>Dabigatran etexilate 110mg capsule, 60</w:t>
            </w:r>
          </w:p>
        </w:tc>
        <w:tc>
          <w:tcPr>
            <w:tcW w:w="1701" w:type="dxa"/>
            <w:shd w:val="clear" w:color="auto" w:fill="auto"/>
          </w:tcPr>
          <w:p w:rsidR="00981969" w:rsidRDefault="00981969" w:rsidP="00A35800">
            <w:pPr>
              <w:pStyle w:val="Tablewriting"/>
            </w:pPr>
            <w:r>
              <w:t>1</w:t>
            </w:r>
          </w:p>
        </w:tc>
        <w:tc>
          <w:tcPr>
            <w:tcW w:w="850" w:type="dxa"/>
            <w:shd w:val="clear" w:color="auto" w:fill="auto"/>
          </w:tcPr>
          <w:p w:rsidR="00981969" w:rsidRDefault="00981969" w:rsidP="00A35800">
            <w:pPr>
              <w:pStyle w:val="Tablewriting"/>
            </w:pPr>
            <w:r>
              <w:t>5</w:t>
            </w:r>
          </w:p>
        </w:tc>
        <w:tc>
          <w:tcPr>
            <w:tcW w:w="1040" w:type="dxa"/>
            <w:shd w:val="clear" w:color="auto" w:fill="auto"/>
          </w:tcPr>
          <w:p w:rsidR="00981969" w:rsidRDefault="00633009" w:rsidP="00A35800">
            <w:pPr>
              <w:pStyle w:val="Tablewriting"/>
            </w:pPr>
            <w:r>
              <w:t>$87.71</w:t>
            </w:r>
          </w:p>
        </w:tc>
        <w:tc>
          <w:tcPr>
            <w:tcW w:w="2104" w:type="dxa"/>
            <w:shd w:val="clear" w:color="auto" w:fill="auto"/>
          </w:tcPr>
          <w:p w:rsidR="00981969" w:rsidRDefault="00981969" w:rsidP="00A35800">
            <w:pPr>
              <w:pStyle w:val="Tablewriting"/>
            </w:pPr>
            <w:r>
              <w:t>Pradaxa</w:t>
            </w:r>
            <w:r w:rsidRPr="00E16A8D">
              <w:rPr>
                <w:color w:val="auto"/>
              </w:rPr>
              <w:t>®</w:t>
            </w:r>
            <w:r>
              <w:rPr>
                <w:color w:val="auto"/>
              </w:rPr>
              <w:t xml:space="preserve"> Boehringer Ingelheim Pty Ltd</w:t>
            </w:r>
          </w:p>
        </w:tc>
      </w:tr>
      <w:tr w:rsidR="00981969" w:rsidRPr="00A35800" w:rsidTr="0093111F">
        <w:trPr>
          <w:trHeight w:val="546"/>
          <w:tblHeader/>
        </w:trPr>
        <w:tc>
          <w:tcPr>
            <w:tcW w:w="969" w:type="dxa"/>
            <w:shd w:val="clear" w:color="auto" w:fill="auto"/>
          </w:tcPr>
          <w:p w:rsidR="00981969" w:rsidRDefault="00981969" w:rsidP="00A35800">
            <w:pPr>
              <w:pStyle w:val="Tablewriting"/>
            </w:pPr>
            <w:r>
              <w:t>2769R</w:t>
            </w:r>
            <w:r w:rsidR="00EC1A06" w:rsidRPr="00981969">
              <w:rPr>
                <w:color w:val="auto"/>
                <w:vertAlign w:val="superscript"/>
              </w:rPr>
              <w:t>Ɨ</w:t>
            </w:r>
          </w:p>
        </w:tc>
        <w:tc>
          <w:tcPr>
            <w:tcW w:w="2400" w:type="dxa"/>
            <w:shd w:val="clear" w:color="auto" w:fill="auto"/>
          </w:tcPr>
          <w:p w:rsidR="00981969" w:rsidRDefault="00981969" w:rsidP="00A35800">
            <w:pPr>
              <w:pStyle w:val="Tablewriting"/>
            </w:pPr>
            <w:r>
              <w:t>Dabigatran etexilate 150mg capsule, 60</w:t>
            </w:r>
          </w:p>
        </w:tc>
        <w:tc>
          <w:tcPr>
            <w:tcW w:w="1701" w:type="dxa"/>
            <w:shd w:val="clear" w:color="auto" w:fill="auto"/>
          </w:tcPr>
          <w:p w:rsidR="00981969" w:rsidRDefault="00981969" w:rsidP="00A35800">
            <w:pPr>
              <w:pStyle w:val="Tablewriting"/>
            </w:pPr>
            <w:r>
              <w:t>1</w:t>
            </w:r>
          </w:p>
        </w:tc>
        <w:tc>
          <w:tcPr>
            <w:tcW w:w="850" w:type="dxa"/>
            <w:shd w:val="clear" w:color="auto" w:fill="auto"/>
          </w:tcPr>
          <w:p w:rsidR="00981969" w:rsidRDefault="00981969" w:rsidP="00A35800">
            <w:pPr>
              <w:pStyle w:val="Tablewriting"/>
            </w:pPr>
            <w:r>
              <w:t>5</w:t>
            </w:r>
          </w:p>
        </w:tc>
        <w:tc>
          <w:tcPr>
            <w:tcW w:w="1040" w:type="dxa"/>
            <w:shd w:val="clear" w:color="auto" w:fill="auto"/>
          </w:tcPr>
          <w:p w:rsidR="00981969" w:rsidRDefault="00633009" w:rsidP="00A35800">
            <w:pPr>
              <w:pStyle w:val="Tablewriting"/>
            </w:pPr>
            <w:r>
              <w:t>$87.71</w:t>
            </w:r>
          </w:p>
        </w:tc>
        <w:tc>
          <w:tcPr>
            <w:tcW w:w="2104" w:type="dxa"/>
            <w:shd w:val="clear" w:color="auto" w:fill="auto"/>
          </w:tcPr>
          <w:p w:rsidR="00981969" w:rsidRDefault="00981969" w:rsidP="00A35800">
            <w:pPr>
              <w:pStyle w:val="Tablewriting"/>
            </w:pPr>
            <w:r>
              <w:t>Pradaxa</w:t>
            </w:r>
            <w:r w:rsidRPr="00E16A8D">
              <w:rPr>
                <w:color w:val="auto"/>
              </w:rPr>
              <w:t>®</w:t>
            </w:r>
            <w:r>
              <w:rPr>
                <w:color w:val="auto"/>
              </w:rPr>
              <w:t xml:space="preserve"> Boehringer Ingelheim Pty Ltd</w:t>
            </w:r>
          </w:p>
        </w:tc>
      </w:tr>
      <w:tr w:rsidR="00981969" w:rsidRPr="00A35800" w:rsidTr="0093111F">
        <w:trPr>
          <w:trHeight w:val="546"/>
          <w:tblHeader/>
        </w:trPr>
        <w:tc>
          <w:tcPr>
            <w:tcW w:w="969" w:type="dxa"/>
            <w:shd w:val="clear" w:color="auto" w:fill="auto"/>
          </w:tcPr>
          <w:p w:rsidR="00981969" w:rsidRDefault="00981969" w:rsidP="00A35800">
            <w:pPr>
              <w:pStyle w:val="Tablewriting"/>
            </w:pPr>
            <w:r>
              <w:t>2735Y</w:t>
            </w:r>
            <w:r w:rsidR="00EC1A06" w:rsidRPr="00981969">
              <w:rPr>
                <w:color w:val="auto"/>
                <w:vertAlign w:val="superscript"/>
              </w:rPr>
              <w:t>Ɨ</w:t>
            </w:r>
          </w:p>
        </w:tc>
        <w:tc>
          <w:tcPr>
            <w:tcW w:w="2400" w:type="dxa"/>
            <w:shd w:val="clear" w:color="auto" w:fill="auto"/>
          </w:tcPr>
          <w:p w:rsidR="00981969" w:rsidRDefault="00981969" w:rsidP="00A35800">
            <w:pPr>
              <w:pStyle w:val="Tablewriting"/>
            </w:pPr>
            <w:r>
              <w:t>Apixaban 5mg tablet, 60</w:t>
            </w:r>
          </w:p>
        </w:tc>
        <w:tc>
          <w:tcPr>
            <w:tcW w:w="1701" w:type="dxa"/>
            <w:shd w:val="clear" w:color="auto" w:fill="auto"/>
          </w:tcPr>
          <w:p w:rsidR="00981969" w:rsidRDefault="00981969" w:rsidP="00A35800">
            <w:pPr>
              <w:pStyle w:val="Tablewriting"/>
            </w:pPr>
            <w:r>
              <w:t>1</w:t>
            </w:r>
          </w:p>
        </w:tc>
        <w:tc>
          <w:tcPr>
            <w:tcW w:w="850" w:type="dxa"/>
            <w:shd w:val="clear" w:color="auto" w:fill="auto"/>
          </w:tcPr>
          <w:p w:rsidR="00981969" w:rsidRDefault="00981969" w:rsidP="00A35800">
            <w:pPr>
              <w:pStyle w:val="Tablewriting"/>
            </w:pPr>
            <w:r>
              <w:t>5</w:t>
            </w:r>
          </w:p>
        </w:tc>
        <w:tc>
          <w:tcPr>
            <w:tcW w:w="1040" w:type="dxa"/>
            <w:shd w:val="clear" w:color="auto" w:fill="auto"/>
          </w:tcPr>
          <w:p w:rsidR="00981969" w:rsidRDefault="00981969" w:rsidP="00A35800">
            <w:pPr>
              <w:pStyle w:val="Tablewriting"/>
            </w:pPr>
            <w:r>
              <w:t>$96.57</w:t>
            </w:r>
          </w:p>
        </w:tc>
        <w:tc>
          <w:tcPr>
            <w:tcW w:w="2104" w:type="dxa"/>
            <w:shd w:val="clear" w:color="auto" w:fill="auto"/>
          </w:tcPr>
          <w:p w:rsidR="00981969" w:rsidRDefault="00981969" w:rsidP="00A35800">
            <w:pPr>
              <w:pStyle w:val="Tablewriting"/>
            </w:pPr>
            <w:r>
              <w:t>Eliquis</w:t>
            </w:r>
            <w:r w:rsidRPr="00E16A8D">
              <w:rPr>
                <w:color w:val="auto"/>
              </w:rPr>
              <w:t>®</w:t>
            </w:r>
            <w:r>
              <w:rPr>
                <w:color w:val="auto"/>
              </w:rPr>
              <w:t xml:space="preserve"> Bristol-Myers Squibb Australia Pty Ltd</w:t>
            </w:r>
          </w:p>
        </w:tc>
      </w:tr>
      <w:tr w:rsidR="00981969" w:rsidRPr="00A35800" w:rsidTr="0093111F">
        <w:trPr>
          <w:trHeight w:val="546"/>
          <w:tblHeader/>
        </w:trPr>
        <w:tc>
          <w:tcPr>
            <w:tcW w:w="969" w:type="dxa"/>
            <w:shd w:val="clear" w:color="auto" w:fill="auto"/>
          </w:tcPr>
          <w:p w:rsidR="00981969" w:rsidRDefault="00124D97" w:rsidP="00A35800">
            <w:pPr>
              <w:pStyle w:val="Tablewriting"/>
            </w:pPr>
            <w:r>
              <w:t>2744K</w:t>
            </w:r>
            <w:r w:rsidR="00EC1A06" w:rsidRPr="00981969">
              <w:rPr>
                <w:color w:val="auto"/>
                <w:vertAlign w:val="superscript"/>
              </w:rPr>
              <w:t>Ɨ</w:t>
            </w:r>
          </w:p>
        </w:tc>
        <w:tc>
          <w:tcPr>
            <w:tcW w:w="2400" w:type="dxa"/>
            <w:shd w:val="clear" w:color="auto" w:fill="auto"/>
          </w:tcPr>
          <w:p w:rsidR="00981969" w:rsidRDefault="00124D97" w:rsidP="00A35800">
            <w:pPr>
              <w:pStyle w:val="Tablewriting"/>
            </w:pPr>
            <w:r>
              <w:t>Apixaban 2.5mg tablet, 60</w:t>
            </w:r>
          </w:p>
        </w:tc>
        <w:tc>
          <w:tcPr>
            <w:tcW w:w="1701" w:type="dxa"/>
            <w:shd w:val="clear" w:color="auto" w:fill="auto"/>
          </w:tcPr>
          <w:p w:rsidR="00981969" w:rsidRDefault="00124D97" w:rsidP="00A35800">
            <w:pPr>
              <w:pStyle w:val="Tablewriting"/>
            </w:pPr>
            <w:r>
              <w:t>1</w:t>
            </w:r>
          </w:p>
        </w:tc>
        <w:tc>
          <w:tcPr>
            <w:tcW w:w="850" w:type="dxa"/>
            <w:shd w:val="clear" w:color="auto" w:fill="auto"/>
          </w:tcPr>
          <w:p w:rsidR="00981969" w:rsidRDefault="00124D97" w:rsidP="00A35800">
            <w:pPr>
              <w:pStyle w:val="Tablewriting"/>
            </w:pPr>
            <w:r>
              <w:t>5</w:t>
            </w:r>
          </w:p>
        </w:tc>
        <w:tc>
          <w:tcPr>
            <w:tcW w:w="1040" w:type="dxa"/>
            <w:shd w:val="clear" w:color="auto" w:fill="auto"/>
          </w:tcPr>
          <w:p w:rsidR="00981969" w:rsidRDefault="00124D97" w:rsidP="00A35800">
            <w:pPr>
              <w:pStyle w:val="Tablewriting"/>
            </w:pPr>
            <w:r>
              <w:t>$96.58</w:t>
            </w:r>
          </w:p>
        </w:tc>
        <w:tc>
          <w:tcPr>
            <w:tcW w:w="2104" w:type="dxa"/>
            <w:shd w:val="clear" w:color="auto" w:fill="auto"/>
          </w:tcPr>
          <w:p w:rsidR="00981969" w:rsidRDefault="00981969" w:rsidP="00A35800">
            <w:pPr>
              <w:pStyle w:val="Tablewriting"/>
            </w:pPr>
            <w:r>
              <w:t>Eliquis</w:t>
            </w:r>
            <w:r w:rsidRPr="00E16A8D">
              <w:rPr>
                <w:color w:val="auto"/>
              </w:rPr>
              <w:t>®</w:t>
            </w:r>
            <w:r>
              <w:rPr>
                <w:color w:val="auto"/>
              </w:rPr>
              <w:t xml:space="preserve"> Bristol-Myers Squibb Australia Pty Ltd</w:t>
            </w:r>
          </w:p>
        </w:tc>
      </w:tr>
    </w:tbl>
    <w:p w:rsidR="00673FAC" w:rsidRDefault="007408C7" w:rsidP="00673FAC">
      <w:pPr>
        <w:pStyle w:val="Notes"/>
        <w:spacing w:after="0"/>
      </w:pPr>
      <w:r w:rsidRPr="00A35800">
        <w:t xml:space="preserve">Source: </w:t>
      </w:r>
      <w:r w:rsidR="001624D7">
        <w:t xml:space="preserve">the </w:t>
      </w:r>
      <w:hyperlink r:id="rId10" w:history="1">
        <w:r w:rsidR="001624D7" w:rsidRPr="006D3ABD">
          <w:rPr>
            <w:rStyle w:val="Hyperlink"/>
          </w:rPr>
          <w:t>PBS website</w:t>
        </w:r>
      </w:hyperlink>
      <w:r w:rsidR="001624D7">
        <w:t>.</w:t>
      </w:r>
      <w:r w:rsidR="0080485E">
        <w:t xml:space="preserve">  </w:t>
      </w:r>
    </w:p>
    <w:p w:rsidR="007247B9" w:rsidRDefault="00981969" w:rsidP="00673FAC">
      <w:pPr>
        <w:pStyle w:val="Notes"/>
        <w:spacing w:after="0"/>
      </w:pPr>
      <w:r w:rsidRPr="00981969">
        <w:rPr>
          <w:vertAlign w:val="superscript"/>
        </w:rPr>
        <w:t>Ɨ</w:t>
      </w:r>
      <w:r w:rsidR="0080485E" w:rsidRPr="0080485E">
        <w:t>Special Pricing Arrangement</w:t>
      </w:r>
      <w:r>
        <w:t>s</w:t>
      </w:r>
      <w:r w:rsidR="0080485E" w:rsidRPr="0080485E">
        <w:t xml:space="preserve"> </w:t>
      </w:r>
      <w:r>
        <w:t>apply</w:t>
      </w:r>
      <w:r w:rsidR="0080485E" w:rsidRPr="0080485E">
        <w:t>.</w:t>
      </w:r>
    </w:p>
    <w:p w:rsidR="00F73625" w:rsidRPr="00A35800" w:rsidRDefault="00F73625" w:rsidP="00673FAC">
      <w:pPr>
        <w:pStyle w:val="Notes"/>
        <w:spacing w:after="0"/>
      </w:pPr>
      <w:r>
        <w:t>PBS item codes with listings for use in stroke prevention or systemic embolism in NVAF only.</w:t>
      </w:r>
    </w:p>
    <w:p w:rsidR="004C3186" w:rsidRDefault="004C3186" w:rsidP="00CF5E22">
      <w:pPr>
        <w:pStyle w:val="Heading3"/>
      </w:pPr>
      <w:r>
        <w:lastRenderedPageBreak/>
        <w:t>Restriction</w:t>
      </w:r>
    </w:p>
    <w:p w:rsidR="006775F1" w:rsidRPr="006775F1" w:rsidRDefault="006775F1" w:rsidP="00A35800">
      <w:r w:rsidRPr="006775F1">
        <w:t xml:space="preserve">For </w:t>
      </w:r>
      <w:r w:rsidR="00835337">
        <w:t xml:space="preserve">details of the current PBS listing refer to the </w:t>
      </w:r>
      <w:hyperlink r:id="rId11" w:history="1">
        <w:r w:rsidR="00835337" w:rsidRPr="006D3ABD">
          <w:rPr>
            <w:rStyle w:val="Hyperlink"/>
          </w:rPr>
          <w:t>PBS website</w:t>
        </w:r>
      </w:hyperlink>
      <w:r w:rsidR="006D3ABD">
        <w:rPr>
          <w:rStyle w:val="Hyperlink"/>
        </w:rPr>
        <w:t>.</w:t>
      </w:r>
    </w:p>
    <w:p w:rsidR="009C35F2" w:rsidRDefault="009C35F2" w:rsidP="00CF5E22">
      <w:pPr>
        <w:pStyle w:val="Heading3"/>
      </w:pPr>
      <w:r w:rsidRPr="00675BB1">
        <w:t>Date of listing on PBS</w:t>
      </w:r>
      <w:r w:rsidR="000916FD">
        <w:t xml:space="preserve"> </w:t>
      </w:r>
    </w:p>
    <w:p w:rsidR="00BE24B5" w:rsidRDefault="006D3ABD" w:rsidP="00BE24B5">
      <w:r>
        <w:t xml:space="preserve">The dates of PBS </w:t>
      </w:r>
      <w:r w:rsidR="002679A9">
        <w:t>listing for the prevention of stroke or systemic embolism in NVAF were:</w:t>
      </w:r>
    </w:p>
    <w:p w:rsidR="00BE24B5" w:rsidRDefault="00BE24B5" w:rsidP="00BE24B5">
      <w:pPr>
        <w:spacing w:after="0"/>
      </w:pPr>
      <w:r>
        <w:t xml:space="preserve">Rivaroxaban: 1 August 2013 </w:t>
      </w:r>
    </w:p>
    <w:p w:rsidR="009341DC" w:rsidRDefault="009341DC" w:rsidP="009341DC">
      <w:pPr>
        <w:spacing w:after="0"/>
      </w:pPr>
      <w:r>
        <w:t>Apixaban: 1 September 2013</w:t>
      </w:r>
    </w:p>
    <w:p w:rsidR="00BE24B5" w:rsidRDefault="00BE24B5" w:rsidP="00BE24B5">
      <w:pPr>
        <w:spacing w:after="0"/>
      </w:pPr>
      <w:r>
        <w:t>Dabigatran: 1 September 2013</w:t>
      </w:r>
      <w:r w:rsidRPr="00E607AE">
        <w:t xml:space="preserve"> </w:t>
      </w:r>
    </w:p>
    <w:p w:rsidR="00BE24B5" w:rsidRDefault="00BE24B5" w:rsidP="00BE24B5">
      <w:pPr>
        <w:spacing w:after="0"/>
      </w:pPr>
    </w:p>
    <w:p w:rsidR="00BE24B5" w:rsidRDefault="00BE24B5" w:rsidP="00BE24B5">
      <w:pPr>
        <w:spacing w:after="0"/>
      </w:pPr>
      <w:r>
        <w:t xml:space="preserve">Additionally, these NOACs are </w:t>
      </w:r>
      <w:r w:rsidR="002679A9">
        <w:t>PBS-listed</w:t>
      </w:r>
      <w:r>
        <w:t xml:space="preserve"> for the prevention of VTE events in adult patients who have undergone major orthopaedic surgery of the lower limb (elective total hip or knee replacement); the treatment of DVT and PE, and for the prevention of recurrent DVT and PE in adults. The</w:t>
      </w:r>
      <w:r w:rsidR="002679A9">
        <w:t>se</w:t>
      </w:r>
      <w:r>
        <w:t xml:space="preserve"> listings </w:t>
      </w:r>
      <w:r w:rsidR="002679A9">
        <w:t>commenced</w:t>
      </w:r>
      <w:r>
        <w:t xml:space="preserve"> between August 2009 and January 2012. </w:t>
      </w:r>
      <w:r w:rsidR="00D25427">
        <w:t xml:space="preserve">Refer to </w:t>
      </w:r>
      <w:r w:rsidR="00D25427" w:rsidRPr="00B23548">
        <w:t xml:space="preserve">Appendix </w:t>
      </w:r>
      <w:r w:rsidR="00B23548" w:rsidRPr="00B23548">
        <w:t>A</w:t>
      </w:r>
      <w:r w:rsidR="00D25427">
        <w:t xml:space="preserve"> for details.</w:t>
      </w:r>
    </w:p>
    <w:p w:rsidR="00EE5426" w:rsidRDefault="00EE5426" w:rsidP="000916FD">
      <w:pPr>
        <w:spacing w:after="0"/>
      </w:pPr>
    </w:p>
    <w:p w:rsidR="00EE5426" w:rsidRPr="0070570D" w:rsidRDefault="00EE5426" w:rsidP="000916FD">
      <w:pPr>
        <w:spacing w:after="0"/>
      </w:pPr>
      <w:r>
        <w:t>Warfarin</w:t>
      </w:r>
      <w:r w:rsidR="0069732F">
        <w:t xml:space="preserve"> has been listed on the PBS as an anticoagulant since 1964. </w:t>
      </w:r>
    </w:p>
    <w:p w:rsidR="00675BB1" w:rsidRPr="00675BB1" w:rsidRDefault="00675BB1" w:rsidP="00CF5E22">
      <w:pPr>
        <w:pStyle w:val="Heading3"/>
      </w:pPr>
      <w:r w:rsidRPr="00675BB1">
        <w:t>Changes to listing</w:t>
      </w:r>
    </w:p>
    <w:p w:rsidR="00BF544D" w:rsidRPr="002F61CA" w:rsidRDefault="00567147" w:rsidP="00BF544D">
      <w:r>
        <w:t xml:space="preserve">Please refer to </w:t>
      </w:r>
      <w:r w:rsidRPr="00B23548">
        <w:t xml:space="preserve">Appendix </w:t>
      </w:r>
      <w:r w:rsidR="00B23548" w:rsidRPr="00B23548">
        <w:t>A</w:t>
      </w:r>
      <w:r w:rsidRPr="00B23548">
        <w:t xml:space="preserve"> for</w:t>
      </w:r>
      <w:r>
        <w:t xml:space="preserve"> details of changes to listing for NOACs. </w:t>
      </w:r>
      <w:r w:rsidR="00BF544D" w:rsidRPr="002F61CA">
        <w:t xml:space="preserve">Current PBS listing details are available from </w:t>
      </w:r>
      <w:r w:rsidR="00BF544D">
        <w:t xml:space="preserve">the </w:t>
      </w:r>
      <w:hyperlink r:id="rId12" w:history="1">
        <w:r w:rsidR="00BF544D" w:rsidRPr="006D3ABD">
          <w:rPr>
            <w:rStyle w:val="Hyperlink"/>
          </w:rPr>
          <w:t>PBS website</w:t>
        </w:r>
      </w:hyperlink>
      <w:r w:rsidR="00BF544D">
        <w:t>.</w:t>
      </w:r>
    </w:p>
    <w:p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rsidR="00BF2D7D" w:rsidRDefault="00BF2D7D" w:rsidP="004D6737">
      <w:pPr>
        <w:rPr>
          <w:rFonts w:cs="Arial"/>
        </w:rPr>
      </w:pPr>
      <w:r>
        <w:rPr>
          <w:rFonts w:cs="Arial"/>
        </w:rPr>
        <w:t>The PBAC considered several submissions and a review report for the NOACs. Further details on the PBAC consideration of the submissions</w:t>
      </w:r>
      <w:r w:rsidR="00AB3B65">
        <w:rPr>
          <w:rStyle w:val="FootnoteReference"/>
          <w:rFonts w:cs="Arial"/>
        </w:rPr>
        <w:footnoteReference w:id="21"/>
      </w:r>
      <w:r>
        <w:rPr>
          <w:rFonts w:cs="Arial"/>
        </w:rPr>
        <w:t xml:space="preserve"> and the Review</w:t>
      </w:r>
      <w:r w:rsidR="00AB3B65">
        <w:rPr>
          <w:rStyle w:val="FootnoteReference"/>
          <w:rFonts w:cs="Arial"/>
        </w:rPr>
        <w:footnoteReference w:id="22"/>
      </w:r>
      <w:r>
        <w:rPr>
          <w:rFonts w:cs="Arial"/>
        </w:rPr>
        <w:t xml:space="preserve"> are available. </w:t>
      </w:r>
    </w:p>
    <w:p w:rsidR="004D6737" w:rsidRDefault="008829BC" w:rsidP="004D6737">
      <w:pPr>
        <w:rPr>
          <w:rFonts w:cs="Arial"/>
        </w:rPr>
      </w:pPr>
      <w:r>
        <w:rPr>
          <w:rFonts w:cs="Arial"/>
        </w:rPr>
        <w:t>In March 2013, t</w:t>
      </w:r>
      <w:r w:rsidR="004D6737" w:rsidRPr="004D6737">
        <w:rPr>
          <w:rFonts w:cs="Arial"/>
        </w:rPr>
        <w:t>he PBAC noted the findings of the Review</w:t>
      </w:r>
      <w:r w:rsidR="002679A9" w:rsidRPr="002679A9">
        <w:rPr>
          <w:rFonts w:cs="Arial"/>
        </w:rPr>
        <w:t xml:space="preserve"> </w:t>
      </w:r>
      <w:r w:rsidR="002679A9" w:rsidRPr="004D6737">
        <w:rPr>
          <w:rFonts w:cs="Arial"/>
        </w:rPr>
        <w:t>of Anticoagulation Therapies in Atrial Fibrillation</w:t>
      </w:r>
      <w:r w:rsidR="004D6737" w:rsidRPr="004D6737">
        <w:rPr>
          <w:rFonts w:cs="Arial"/>
        </w:rPr>
        <w:t>, which presented an updated consideration of all NOACs trials (dabigatran, rivaroxaban and apixaban) and an assessment of new information concerning comparative safety as well as consideration of management of warfarin therapy in the Australian context.</w:t>
      </w:r>
      <w:r>
        <w:rPr>
          <w:rFonts w:cs="Arial"/>
        </w:rPr>
        <w:t xml:space="preserve"> R</w:t>
      </w:r>
      <w:r w:rsidRPr="008829BC">
        <w:rPr>
          <w:rFonts w:cs="Arial"/>
        </w:rPr>
        <w:t xml:space="preserve">evised multivariate sensitivity analyses </w:t>
      </w:r>
      <w:r>
        <w:rPr>
          <w:rFonts w:cs="Arial"/>
        </w:rPr>
        <w:t xml:space="preserve">were </w:t>
      </w:r>
      <w:r w:rsidRPr="008829BC">
        <w:rPr>
          <w:rFonts w:cs="Arial"/>
        </w:rPr>
        <w:t xml:space="preserve">provided by the three sponsors of the </w:t>
      </w:r>
      <w:r>
        <w:rPr>
          <w:rFonts w:cs="Arial"/>
        </w:rPr>
        <w:t>NOACs</w:t>
      </w:r>
      <w:r w:rsidRPr="008829BC">
        <w:rPr>
          <w:rFonts w:cs="Arial"/>
        </w:rPr>
        <w:t xml:space="preserve"> in response to the PBAC’s request of December 2012 for new analyses</w:t>
      </w:r>
      <w:r>
        <w:rPr>
          <w:rStyle w:val="FootnoteReference"/>
          <w:rFonts w:cs="Arial"/>
        </w:rPr>
        <w:footnoteReference w:id="23"/>
      </w:r>
      <w:r w:rsidRPr="008829BC">
        <w:rPr>
          <w:rFonts w:cs="Arial"/>
        </w:rPr>
        <w:t xml:space="preserve">.  </w:t>
      </w:r>
    </w:p>
    <w:p w:rsidR="00AB3B65" w:rsidRDefault="00AB3B65" w:rsidP="004D6737">
      <w:pPr>
        <w:rPr>
          <w:rFonts w:cs="Arial"/>
        </w:rPr>
      </w:pPr>
      <w:r>
        <w:rPr>
          <w:rFonts w:cs="Arial"/>
        </w:rPr>
        <w:t xml:space="preserve">At the March 2013 meeting, the PBAC recommended the listing of rivaroxaban as an Authority Required (Streamlined) benefit for the prevention of stroke in patients with NVAF who meet certain criteria, at the price proposed in the submission on a cost-effectiveness </w:t>
      </w:r>
      <w:r>
        <w:rPr>
          <w:rFonts w:cs="Arial"/>
        </w:rPr>
        <w:lastRenderedPageBreak/>
        <w:t xml:space="preserve">basis in comparison with warfarin for the two outcomes, intracranial bleeding and haemorrhagic stroke, identified by the Review as being of most significance. </w:t>
      </w:r>
    </w:p>
    <w:p w:rsidR="005E1868" w:rsidRPr="002F6532" w:rsidRDefault="005E1868" w:rsidP="005E1868">
      <w:pPr>
        <w:rPr>
          <w:rFonts w:cs="Arial"/>
        </w:rPr>
      </w:pPr>
      <w:r w:rsidRPr="0089506C">
        <w:rPr>
          <w:rFonts w:cs="Arial"/>
        </w:rPr>
        <w:t>The PBAC considered that, given the substantial size of the potential patient population and the corresponding number of telephone Authority applications to the Department of Human Services, it did not consider an Authority Required listing to be practically implementable. The PBAC therefore recommended that rivaroxaban be listed as an Authority Required (Streamlined) listing.</w:t>
      </w:r>
    </w:p>
    <w:p w:rsidR="005E1868" w:rsidRPr="002F6532" w:rsidRDefault="005E1868" w:rsidP="005E1868">
      <w:pPr>
        <w:rPr>
          <w:rFonts w:cs="Arial"/>
        </w:rPr>
      </w:pPr>
      <w:r w:rsidRPr="002F6532">
        <w:rPr>
          <w:rFonts w:cs="Arial"/>
        </w:rPr>
        <w:t xml:space="preserve">The PBAC advised that the calculations of the total cost to government should be based on the advice provided by the </w:t>
      </w:r>
      <w:r>
        <w:rPr>
          <w:rFonts w:cs="Arial"/>
        </w:rPr>
        <w:t>DUSC</w:t>
      </w:r>
      <w:r w:rsidRPr="002F6532">
        <w:rPr>
          <w:rFonts w:cs="Arial"/>
        </w:rPr>
        <w:t xml:space="preserve"> to the PBAC following the DUSC’s extraordinary meeting of 6 March 2013. </w:t>
      </w:r>
    </w:p>
    <w:p w:rsidR="005E1868" w:rsidRPr="002F6532" w:rsidRDefault="005E1868" w:rsidP="005E1868">
      <w:pPr>
        <w:rPr>
          <w:rFonts w:cs="Arial"/>
        </w:rPr>
      </w:pPr>
      <w:r>
        <w:rPr>
          <w:rFonts w:cs="Arial"/>
        </w:rPr>
        <w:t>To manage the total costs of this therapeutic area to the PBS, t</w:t>
      </w:r>
      <w:r w:rsidRPr="002F6532">
        <w:rPr>
          <w:rFonts w:cs="Arial"/>
        </w:rPr>
        <w:t>he</w:t>
      </w:r>
      <w:r w:rsidR="006E5C55">
        <w:rPr>
          <w:rFonts w:cs="Arial"/>
        </w:rPr>
        <w:t xml:space="preserve"> PBAC advised that the</w:t>
      </w:r>
      <w:r w:rsidRPr="002F6532">
        <w:rPr>
          <w:rFonts w:cs="Arial"/>
        </w:rPr>
        <w:t xml:space="preserve"> listing should be subject to a risk sharing arrangement between the sponsor and the government with 100% of expenditure above the agreed estimates to be rebated to the government. </w:t>
      </w:r>
    </w:p>
    <w:p w:rsidR="005E1868" w:rsidRPr="002F6532" w:rsidRDefault="005E1868" w:rsidP="005E1868">
      <w:pPr>
        <w:rPr>
          <w:rFonts w:cs="Arial"/>
        </w:rPr>
      </w:pPr>
      <w:r w:rsidRPr="002F6532">
        <w:rPr>
          <w:rFonts w:cs="Arial"/>
        </w:rPr>
        <w:t>The PBAC made a new recommendation for dabigatran which varie</w:t>
      </w:r>
      <w:r w:rsidR="006E5C55">
        <w:rPr>
          <w:rFonts w:cs="Arial"/>
        </w:rPr>
        <w:t>d</w:t>
      </w:r>
      <w:r w:rsidRPr="002F6532">
        <w:rPr>
          <w:rFonts w:cs="Arial"/>
        </w:rPr>
        <w:t xml:space="preserve"> its initial recommendation of March 2011: The PBAC recommended the listing of dabigatran on the PBS on a cost-minimisation basis to rivaroxaban for the prevention of stroke in patients with non-valvular atrial fibrillation, with the equi-effective dose based on average doses in the trials, and subject to the same risk-sharing arrangement and PBS restriction.      </w:t>
      </w:r>
    </w:p>
    <w:p w:rsidR="005E1868" w:rsidRDefault="005E1868" w:rsidP="004D6737">
      <w:pPr>
        <w:rPr>
          <w:rFonts w:cs="Arial"/>
        </w:rPr>
      </w:pPr>
      <w:r w:rsidRPr="002F6532">
        <w:rPr>
          <w:rFonts w:cs="Arial"/>
        </w:rPr>
        <w:t>The PBAC recommended the listing of apixaban on the PBS for the prevention of stroke in patients with non-valvular atrial fibrillation on a cost-minimisation basis to rivaroxaban with the equi-effective dose based on doses in the trials, and subject to the same risk-sharing arrangement and PBS restriction.</w:t>
      </w:r>
    </w:p>
    <w:p w:rsidR="005E1868" w:rsidRPr="004D6737" w:rsidRDefault="00150100" w:rsidP="004D6737">
      <w:pPr>
        <w:rPr>
          <w:rFonts w:cs="Arial"/>
        </w:rPr>
      </w:pPr>
      <w:r>
        <w:rPr>
          <w:rFonts w:cs="Arial"/>
        </w:rPr>
        <w:t>Details on the PBAC Outcomes from the March 2013 Meeting are available</w:t>
      </w:r>
      <w:r>
        <w:rPr>
          <w:rStyle w:val="FootnoteReference"/>
          <w:rFonts w:cs="Arial"/>
        </w:rPr>
        <w:footnoteReference w:id="24"/>
      </w:r>
      <w:r>
        <w:rPr>
          <w:rFonts w:cs="Arial"/>
        </w:rPr>
        <w:t xml:space="preserve">. </w:t>
      </w:r>
    </w:p>
    <w:p w:rsidR="002A7E43" w:rsidRPr="009F2B32" w:rsidRDefault="002A7E43" w:rsidP="002A7E43">
      <w:pPr>
        <w:pStyle w:val="Heading2"/>
      </w:pPr>
      <w:r w:rsidRPr="009F2B32">
        <w:t>Previous reviews by the DUSC</w:t>
      </w:r>
      <w:r w:rsidR="009F2B32" w:rsidRPr="009F2B32">
        <w:t xml:space="preserve"> </w:t>
      </w:r>
    </w:p>
    <w:p w:rsidR="002679A9" w:rsidRDefault="002679A9" w:rsidP="00DB1F6A">
      <w:r>
        <w:t>There have been no previous reviews of NOACs for stroke prevention in NVAF.</w:t>
      </w:r>
    </w:p>
    <w:p w:rsidR="003C336B" w:rsidRPr="00DB1F6A" w:rsidRDefault="00DB1F6A" w:rsidP="00DB1F6A">
      <w:r w:rsidRPr="00DB1F6A">
        <w:t>In October 2014, the DUSC</w:t>
      </w:r>
      <w:r>
        <w:rPr>
          <w:b/>
        </w:rPr>
        <w:t xml:space="preserve"> </w:t>
      </w:r>
      <w:r>
        <w:t xml:space="preserve">considered a utilisation analysis of NOACs for the treatment of deep vein thrombosis (DVT), the prevention of venous thromboembolism (VTE), treatment of pulmonary embolism (PE) and for the prevention of recurrent venous thromboembolism (outside the scope of the current analysis). </w:t>
      </w:r>
      <w:r w:rsidR="002679A9">
        <w:t>T</w:t>
      </w:r>
      <w:r>
        <w:t xml:space="preserve">he DUSC noted that although each indication had a separate streamlined code, there was some small use of the AF streamlined code for dabigatran and apixaban against PBS item codes for prevention of VTE in hip and knee </w:t>
      </w:r>
      <w:r>
        <w:lastRenderedPageBreak/>
        <w:t>replacements.  This suggested miscoding of indications in the data</w:t>
      </w:r>
      <w:r>
        <w:rPr>
          <w:rStyle w:val="FootnoteReference"/>
        </w:rPr>
        <w:footnoteReference w:id="25"/>
      </w:r>
      <w:r>
        <w:t xml:space="preserve">. </w:t>
      </w:r>
      <w:r w:rsidR="002679A9">
        <w:t xml:space="preserve">This finding has informed the assumptions underlying the methods for the current analysis. </w:t>
      </w:r>
    </w:p>
    <w:p w:rsidR="000F2F51" w:rsidRDefault="00ED633B" w:rsidP="00CF5E22">
      <w:pPr>
        <w:pStyle w:val="Heading2"/>
      </w:pPr>
      <w:r>
        <w:t>A</w:t>
      </w:r>
      <w:r w:rsidR="000F2F51">
        <w:t xml:space="preserve">pproach </w:t>
      </w:r>
      <w:r>
        <w:t xml:space="preserve">taken to </w:t>
      </w:r>
      <w:r w:rsidR="000F2F51">
        <w:t>estimat</w:t>
      </w:r>
      <w:r>
        <w:t>e</w:t>
      </w:r>
      <w:r w:rsidR="000F2F51">
        <w:t xml:space="preserve"> utilisation</w:t>
      </w:r>
      <w:r w:rsidR="003C336B">
        <w:t xml:space="preserve"> </w:t>
      </w:r>
    </w:p>
    <w:p w:rsidR="005B3443" w:rsidRDefault="0070570D" w:rsidP="0070570D">
      <w:pPr>
        <w:rPr>
          <w:iCs/>
        </w:rPr>
      </w:pPr>
      <w:r w:rsidRPr="00DF5814">
        <w:rPr>
          <w:iCs/>
        </w:rPr>
        <w:t xml:space="preserve">All three minor submissions </w:t>
      </w:r>
      <w:r w:rsidR="005B3443" w:rsidRPr="00DF5814">
        <w:rPr>
          <w:iCs/>
        </w:rPr>
        <w:t xml:space="preserve">for the March 2013 PBAC meeting used epidemiological approaches; however, these approaches differed. DUSC provided advice to the PBAC on financial estimates for the </w:t>
      </w:r>
      <w:r w:rsidR="002679A9" w:rsidRPr="00DF5814">
        <w:rPr>
          <w:iCs/>
        </w:rPr>
        <w:t>total market.</w:t>
      </w:r>
    </w:p>
    <w:p w:rsidR="0070570D" w:rsidRPr="005D334A" w:rsidRDefault="005D334A" w:rsidP="0070570D">
      <w:pPr>
        <w:rPr>
          <w:highlight w:val="black"/>
        </w:rPr>
      </w:pPr>
      <w:r>
        <w:rPr>
          <w:iCs/>
          <w:noProof/>
          <w:color w:val="000000"/>
          <w:highlight w:val="black"/>
        </w:rPr>
        <w:t>'''''''' ''''''''''' ''''''''''''''''''''' ''''''''' '''''''''''''''' ''''''''''' '''' ''''' '''''''''''' '''''' ''''' '''''''''''''''''''''' '''''''''''''''''' ''''''''' '''''''' ''''''''' ''''''' '''''''''''' '''''''''''''''''''''' '''''''''''''' ''''''' '''''''''' '''''''''''''''''''''' '''''''' ''''''''''' '''' ''''' '''''''''''' '''''''' ''''' ''''''''''''''''''''' ''''''''''''' '''''''' ''''''' '''''''''''''''''''''' ''''' '''''''''''''''''''''''' '''''''''''''''''''''' '''''''''''''''''' '''''''' '''''' ''''''''''' ''''''''''''''''''''' '''''''''''''''''''''  '''''''' '''''''''''''''''''''' ''''' ''''' ''' '''''''''' '''''''''' '''''''' '''' '''''''' ''''''''' '''''''''''''''''' ''''''' '''''''''''''' ''''''''''''' '''''''''''''''''' ''''''''''' ''''''''''' ''''' ''''''''''''''' ''''''' ''''''''''''</w:t>
      </w:r>
    </w:p>
    <w:p w:rsidR="0070570D" w:rsidRPr="005D334A" w:rsidRDefault="005D334A" w:rsidP="0070570D">
      <w:pPr>
        <w:rPr>
          <w:iCs/>
          <w:highlight w:val="black"/>
        </w:rPr>
      </w:pPr>
      <w:r>
        <w:rPr>
          <w:iCs/>
          <w:noProof/>
          <w:color w:val="000000"/>
          <w:highlight w:val="black"/>
        </w:rPr>
        <w:t xml:space="preserve">''''' ''''''''' ''''''''''' '''''''''''''''''''' ''''''''''''''''' '''''''' '''''''' ''''' ''''''' '''''' ''''''''''''''''''' '''''''''' '''''''''''' ''''' '''''' '''''''''' '''' '''''''''''''''''''''''''''''''''' ''''''' '''''''''''''''''''''' ''' ''''''''''''' ''''''''''''''' '''''''''''' '''' '''''' ''''''''''''' '''''''' '''''''''' '''''''''''' '''''''' '''' '''''''' '''' ''''' '''''''''''' ''' ''' ''''''''' '''''''''' ''''''''''''''''''' ''''' '''''''' ''''''''''''''' ''''''''''''''' ''''''''''''''''''' ''' '''''''''' ''' ''''''' '''''''' ''''''''''''''''''' ''''''''''''' '''''' '''''''' '''''''''''''''''''' '''''''''''''''' ''''''' ''''''''' '''''''''''''''''''' '''''''' ''''' '''''''''''' ''''''''''''' '''''''''' ''''' '''''''''''''''' ''''''' ''''''''''''''''''' '''''''''''''''''''' ''''' '''''' ''''' ''''' ''''''''''''''''''''  </w:t>
      </w:r>
    </w:p>
    <w:p w:rsidR="0070570D" w:rsidRPr="005D334A" w:rsidRDefault="005D334A" w:rsidP="0070570D">
      <w:pPr>
        <w:rPr>
          <w:iCs/>
          <w:highlight w:val="black"/>
        </w:rPr>
      </w:pPr>
      <w:r>
        <w:rPr>
          <w:iCs/>
          <w:noProof/>
          <w:color w:val="000000"/>
          <w:highlight w:val="black"/>
        </w:rPr>
        <w:t>''''' ''''''''''' ''''''''''''''''''''''''' ''''''' '''''''''''''''' '''''''''''' '''' ''''''''''''''''' '''''''''''' '''''''' ''''''' ''''''''''' '''''''''''''''''''' ''''''' '''''''''''''' '''''''''''''''''''''' ''''''''''''''''''''' '''' '''''' ''''''''''''''''''''''''' ''''''' ''''''''''''''''''''' ''''''' ''''''' '''''''''' ''''''''''''''''''' '''' ''''''''''''''''''' '''' '''''' ''''''''''' ''''''''''''''''''''' ''''''' ''''''''''''''''''''''''''' ''''''''''</w:t>
      </w:r>
      <w:r w:rsidRPr="005D334A">
        <w:rPr>
          <w:i/>
          <w:iCs/>
          <w:noProof/>
          <w:color w:val="000000"/>
          <w:highlight w:val="black"/>
        </w:rPr>
        <w:t xml:space="preserve"> </w:t>
      </w:r>
      <w:r w:rsidR="0070570D" w:rsidRPr="005D334A">
        <w:rPr>
          <w:iCs/>
          <w:highlight w:val="black"/>
        </w:rPr>
        <w:t xml:space="preserve">  </w:t>
      </w:r>
    </w:p>
    <w:p w:rsidR="005D334A" w:rsidRDefault="005D334A">
      <w:pPr>
        <w:spacing w:line="276" w:lineRule="auto"/>
        <w:rPr>
          <w:rFonts w:ascii="Arial" w:hAnsi="Arial" w:cs="Arial"/>
          <w:b/>
          <w:sz w:val="20"/>
        </w:rPr>
      </w:pPr>
      <w:r>
        <w:rPr>
          <w:rFonts w:ascii="Arial" w:hAnsi="Arial" w:cs="Arial"/>
          <w:b/>
          <w:sz w:val="20"/>
        </w:rPr>
        <w:br w:type="page"/>
      </w:r>
    </w:p>
    <w:p w:rsidR="0070570D" w:rsidRPr="00CA5EB6" w:rsidRDefault="0070570D" w:rsidP="00EC1A06">
      <w:pPr>
        <w:spacing w:after="0"/>
        <w:rPr>
          <w:rFonts w:ascii="Arial" w:hAnsi="Arial" w:cs="Arial"/>
          <w:b/>
          <w:sz w:val="20"/>
        </w:rPr>
      </w:pPr>
      <w:r w:rsidRPr="00CA5EB6">
        <w:rPr>
          <w:rFonts w:ascii="Arial" w:hAnsi="Arial" w:cs="Arial"/>
          <w:b/>
          <w:sz w:val="20"/>
        </w:rPr>
        <w:lastRenderedPageBreak/>
        <w:t xml:space="preserve">Table </w:t>
      </w:r>
      <w:r w:rsidR="005A6118" w:rsidRPr="00CA5EB6">
        <w:rPr>
          <w:rFonts w:ascii="Arial" w:hAnsi="Arial" w:cs="Arial"/>
          <w:b/>
          <w:sz w:val="20"/>
        </w:rPr>
        <w:t>3</w:t>
      </w:r>
      <w:r w:rsidRPr="00CA5EB6">
        <w:rPr>
          <w:rFonts w:ascii="Arial" w:hAnsi="Arial" w:cs="Arial"/>
          <w:b/>
          <w:sz w:val="20"/>
        </w:rPr>
        <w:t>: Assumptions for the DUSC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262"/>
        <w:gridCol w:w="2771"/>
      </w:tblGrid>
      <w:tr w:rsidR="0070570D" w:rsidRPr="00DF5814" w:rsidTr="003D075F">
        <w:trPr>
          <w:trHeight w:val="509"/>
        </w:trPr>
        <w:tc>
          <w:tcPr>
            <w:tcW w:w="3140" w:type="dxa"/>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Population</w:t>
            </w:r>
          </w:p>
        </w:tc>
        <w:tc>
          <w:tcPr>
            <w:tcW w:w="3262" w:type="dxa"/>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Age stratified population, aged ≥40</w:t>
            </w:r>
          </w:p>
        </w:tc>
        <w:tc>
          <w:tcPr>
            <w:tcW w:w="2771" w:type="dxa"/>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ABS 3222.0 Series B</w:t>
            </w:r>
          </w:p>
        </w:tc>
      </w:tr>
      <w:tr w:rsidR="0070570D" w:rsidRPr="00DF5814" w:rsidTr="003D075F">
        <w:trPr>
          <w:trHeight w:val="1551"/>
        </w:trPr>
        <w:tc>
          <w:tcPr>
            <w:tcW w:w="3140" w:type="dxa"/>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AF prevalence</w:t>
            </w:r>
          </w:p>
        </w:tc>
        <w:tc>
          <w:tcPr>
            <w:tcW w:w="3262" w:type="dxa"/>
            <w:shd w:val="clear" w:color="auto" w:fill="auto"/>
            <w:vAlign w:val="center"/>
          </w:tcPr>
          <w:tbl>
            <w:tblPr>
              <w:tblW w:w="2851" w:type="pct"/>
              <w:tblLook w:val="04A0" w:firstRow="1" w:lastRow="0" w:firstColumn="1" w:lastColumn="0" w:noHBand="0" w:noVBand="1"/>
              <w:tblCaption w:val="Assumptions for the DUSC estimates"/>
              <w:tblDescription w:val="A table of Assumptions for the DUSC estimates"/>
            </w:tblPr>
            <w:tblGrid>
              <w:gridCol w:w="789"/>
              <w:gridCol w:w="948"/>
            </w:tblGrid>
            <w:tr w:rsidR="0070570D" w:rsidRPr="00DF5814" w:rsidTr="003D075F">
              <w:trPr>
                <w:trHeight w:val="270"/>
              </w:trPr>
              <w:tc>
                <w:tcPr>
                  <w:tcW w:w="2272" w:type="pct"/>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 xml:space="preserve">40-49 </w:t>
                  </w:r>
                </w:p>
              </w:tc>
              <w:tc>
                <w:tcPr>
                  <w:tcW w:w="2728" w:type="pct"/>
                  <w:vAlign w:val="center"/>
                </w:tcPr>
                <w:p w:rsidR="0070570D" w:rsidRPr="005D334A" w:rsidRDefault="0070570D" w:rsidP="003D075F">
                  <w:pPr>
                    <w:rPr>
                      <w:rFonts w:ascii="Arial" w:hAnsi="Arial" w:cs="Arial"/>
                      <w:sz w:val="20"/>
                    </w:rPr>
                  </w:pPr>
                  <w:r w:rsidRPr="00CA5EB6">
                    <w:rPr>
                      <w:rFonts w:ascii="Arial" w:hAnsi="Arial" w:cs="Arial"/>
                      <w:sz w:val="20"/>
                    </w:rPr>
                    <w:t>1%</w:t>
                  </w:r>
                </w:p>
              </w:tc>
            </w:tr>
            <w:tr w:rsidR="0070570D" w:rsidRPr="00DF5814" w:rsidTr="003D075F">
              <w:trPr>
                <w:trHeight w:val="270"/>
              </w:trPr>
              <w:tc>
                <w:tcPr>
                  <w:tcW w:w="2272" w:type="pct"/>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 xml:space="preserve">50-59 </w:t>
                  </w:r>
                </w:p>
              </w:tc>
              <w:tc>
                <w:tcPr>
                  <w:tcW w:w="2728" w:type="pct"/>
                  <w:vAlign w:val="center"/>
                </w:tcPr>
                <w:p w:rsidR="0070570D" w:rsidRPr="005D334A" w:rsidRDefault="0070570D" w:rsidP="003D075F">
                  <w:pPr>
                    <w:rPr>
                      <w:rFonts w:ascii="Arial" w:hAnsi="Arial" w:cs="Arial"/>
                      <w:sz w:val="20"/>
                    </w:rPr>
                  </w:pPr>
                  <w:r w:rsidRPr="00CA5EB6">
                    <w:rPr>
                      <w:rFonts w:ascii="Arial" w:hAnsi="Arial" w:cs="Arial"/>
                      <w:sz w:val="20"/>
                    </w:rPr>
                    <w:t>1.5%</w:t>
                  </w:r>
                </w:p>
              </w:tc>
            </w:tr>
            <w:tr w:rsidR="0070570D" w:rsidRPr="00DF5814" w:rsidTr="003D075F">
              <w:trPr>
                <w:trHeight w:val="270"/>
              </w:trPr>
              <w:tc>
                <w:tcPr>
                  <w:tcW w:w="2272" w:type="pct"/>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 xml:space="preserve">60-69 </w:t>
                  </w:r>
                </w:p>
              </w:tc>
              <w:tc>
                <w:tcPr>
                  <w:tcW w:w="2728" w:type="pct"/>
                  <w:vAlign w:val="center"/>
                </w:tcPr>
                <w:p w:rsidR="0070570D" w:rsidRPr="005D334A" w:rsidRDefault="0070570D" w:rsidP="003D075F">
                  <w:pPr>
                    <w:rPr>
                      <w:rFonts w:ascii="Arial" w:hAnsi="Arial" w:cs="Arial"/>
                      <w:sz w:val="20"/>
                    </w:rPr>
                  </w:pPr>
                  <w:r w:rsidRPr="00CA5EB6">
                    <w:rPr>
                      <w:rFonts w:ascii="Arial" w:hAnsi="Arial" w:cs="Arial"/>
                      <w:sz w:val="20"/>
                    </w:rPr>
                    <w:t>4.2%</w:t>
                  </w:r>
                </w:p>
              </w:tc>
            </w:tr>
            <w:tr w:rsidR="0070570D" w:rsidRPr="00DF5814" w:rsidTr="003D075F">
              <w:trPr>
                <w:trHeight w:val="270"/>
              </w:trPr>
              <w:tc>
                <w:tcPr>
                  <w:tcW w:w="2272" w:type="pct"/>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 xml:space="preserve">70-79 </w:t>
                  </w:r>
                </w:p>
              </w:tc>
              <w:tc>
                <w:tcPr>
                  <w:tcW w:w="2728" w:type="pct"/>
                  <w:vAlign w:val="center"/>
                </w:tcPr>
                <w:p w:rsidR="0070570D" w:rsidRPr="005D334A" w:rsidRDefault="0070570D" w:rsidP="003D075F">
                  <w:pPr>
                    <w:rPr>
                      <w:rFonts w:ascii="Arial" w:hAnsi="Arial" w:cs="Arial"/>
                      <w:sz w:val="20"/>
                    </w:rPr>
                  </w:pPr>
                  <w:r w:rsidRPr="00CA5EB6">
                    <w:rPr>
                      <w:rFonts w:ascii="Arial" w:hAnsi="Arial" w:cs="Arial"/>
                      <w:sz w:val="20"/>
                    </w:rPr>
                    <w:t>10.9%</w:t>
                  </w:r>
                </w:p>
              </w:tc>
            </w:tr>
            <w:tr w:rsidR="0070570D" w:rsidRPr="00DF5814" w:rsidTr="003D075F">
              <w:trPr>
                <w:trHeight w:val="270"/>
              </w:trPr>
              <w:tc>
                <w:tcPr>
                  <w:tcW w:w="2272" w:type="pct"/>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 xml:space="preserve">≥80 </w:t>
                  </w:r>
                </w:p>
              </w:tc>
              <w:tc>
                <w:tcPr>
                  <w:tcW w:w="2728" w:type="pct"/>
                  <w:vAlign w:val="center"/>
                </w:tcPr>
                <w:p w:rsidR="0070570D" w:rsidRPr="005D334A" w:rsidRDefault="0070570D" w:rsidP="003D075F">
                  <w:pPr>
                    <w:rPr>
                      <w:rFonts w:ascii="Arial" w:hAnsi="Arial" w:cs="Arial"/>
                      <w:sz w:val="20"/>
                    </w:rPr>
                  </w:pPr>
                  <w:r w:rsidRPr="00CA5EB6">
                    <w:rPr>
                      <w:rFonts w:ascii="Arial" w:hAnsi="Arial" w:cs="Arial"/>
                      <w:sz w:val="20"/>
                    </w:rPr>
                    <w:t>14.8%</w:t>
                  </w:r>
                </w:p>
              </w:tc>
            </w:tr>
          </w:tbl>
          <w:p w:rsidR="0070570D" w:rsidRPr="005D334A" w:rsidRDefault="0070570D" w:rsidP="003D075F">
            <w:pPr>
              <w:rPr>
                <w:rFonts w:ascii="Arial" w:hAnsi="Arial" w:cs="Arial"/>
                <w:sz w:val="20"/>
              </w:rPr>
            </w:pPr>
          </w:p>
        </w:tc>
        <w:tc>
          <w:tcPr>
            <w:tcW w:w="2771" w:type="dxa"/>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Sturm et al. (2002)</w:t>
            </w:r>
          </w:p>
        </w:tc>
      </w:tr>
      <w:tr w:rsidR="0070570D" w:rsidRPr="00DF5814" w:rsidTr="003D075F">
        <w:trPr>
          <w:trHeight w:val="465"/>
        </w:trPr>
        <w:tc>
          <w:tcPr>
            <w:tcW w:w="3140" w:type="dxa"/>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 xml:space="preserve">NVAF prevalence </w:t>
            </w:r>
          </w:p>
        </w:tc>
        <w:tc>
          <w:tcPr>
            <w:tcW w:w="3262" w:type="dxa"/>
            <w:shd w:val="clear" w:color="auto" w:fill="auto"/>
            <w:vAlign w:val="center"/>
          </w:tcPr>
          <w:p w:rsidR="0070570D" w:rsidRPr="005D334A" w:rsidRDefault="0070570D" w:rsidP="003D075F">
            <w:pPr>
              <w:ind w:left="122"/>
              <w:rPr>
                <w:rFonts w:ascii="Arial" w:hAnsi="Arial" w:cs="Arial"/>
                <w:sz w:val="20"/>
              </w:rPr>
            </w:pPr>
            <w:r w:rsidRPr="00CA5EB6">
              <w:rPr>
                <w:rFonts w:ascii="Arial" w:hAnsi="Arial" w:cs="Arial"/>
                <w:sz w:val="20"/>
              </w:rPr>
              <w:t>90.2%</w:t>
            </w:r>
          </w:p>
        </w:tc>
        <w:tc>
          <w:tcPr>
            <w:tcW w:w="2771" w:type="dxa"/>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Ang et al. (1998)</w:t>
            </w:r>
          </w:p>
        </w:tc>
      </w:tr>
      <w:tr w:rsidR="0070570D" w:rsidRPr="00DF5814" w:rsidTr="003D075F">
        <w:trPr>
          <w:trHeight w:val="941"/>
        </w:trPr>
        <w:tc>
          <w:tcPr>
            <w:tcW w:w="3140" w:type="dxa"/>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Stroke risk distribution in NVAF</w:t>
            </w:r>
          </w:p>
        </w:tc>
        <w:tc>
          <w:tcPr>
            <w:tcW w:w="3262" w:type="dxa"/>
            <w:shd w:val="clear" w:color="auto" w:fill="auto"/>
            <w:vAlign w:val="center"/>
          </w:tcPr>
          <w:tbl>
            <w:tblPr>
              <w:tblW w:w="5000" w:type="pct"/>
              <w:tblLook w:val="04A0" w:firstRow="1" w:lastRow="0" w:firstColumn="1" w:lastColumn="0" w:noHBand="0" w:noVBand="1"/>
            </w:tblPr>
            <w:tblGrid>
              <w:gridCol w:w="1523"/>
              <w:gridCol w:w="1523"/>
            </w:tblGrid>
            <w:tr w:rsidR="0070570D" w:rsidRPr="00DF5814" w:rsidTr="003D075F">
              <w:trPr>
                <w:trHeight w:val="255"/>
              </w:trPr>
              <w:tc>
                <w:tcPr>
                  <w:tcW w:w="2500" w:type="pct"/>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CHADS</w:t>
                  </w:r>
                  <w:r w:rsidRPr="00CA5EB6">
                    <w:rPr>
                      <w:rFonts w:ascii="Arial" w:hAnsi="Arial" w:cs="Arial"/>
                      <w:sz w:val="20"/>
                      <w:vertAlign w:val="subscript"/>
                    </w:rPr>
                    <w:t>2</w:t>
                  </w:r>
                  <w:r w:rsidRPr="00CA5EB6">
                    <w:rPr>
                      <w:rFonts w:ascii="Arial" w:hAnsi="Arial" w:cs="Arial"/>
                      <w:sz w:val="20"/>
                    </w:rPr>
                    <w:t xml:space="preserve">=0 </w:t>
                  </w:r>
                </w:p>
              </w:tc>
              <w:tc>
                <w:tcPr>
                  <w:tcW w:w="2500" w:type="pct"/>
                  <w:vAlign w:val="center"/>
                </w:tcPr>
                <w:p w:rsidR="0070570D" w:rsidRPr="005D334A" w:rsidRDefault="0070570D" w:rsidP="003D075F">
                  <w:pPr>
                    <w:rPr>
                      <w:rFonts w:ascii="Arial" w:hAnsi="Arial" w:cs="Arial"/>
                      <w:sz w:val="20"/>
                    </w:rPr>
                  </w:pPr>
                  <w:r w:rsidRPr="00CA5EB6">
                    <w:rPr>
                      <w:rFonts w:ascii="Arial" w:hAnsi="Arial" w:cs="Arial"/>
                      <w:sz w:val="20"/>
                    </w:rPr>
                    <w:t>12.9%</w:t>
                  </w:r>
                </w:p>
              </w:tc>
            </w:tr>
            <w:tr w:rsidR="0070570D" w:rsidRPr="00DF5814" w:rsidTr="003D075F">
              <w:trPr>
                <w:trHeight w:val="255"/>
              </w:trPr>
              <w:tc>
                <w:tcPr>
                  <w:tcW w:w="2500" w:type="pct"/>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CHADS</w:t>
                  </w:r>
                  <w:r w:rsidRPr="00CA5EB6">
                    <w:rPr>
                      <w:rFonts w:ascii="Arial" w:hAnsi="Arial" w:cs="Arial"/>
                      <w:sz w:val="20"/>
                      <w:vertAlign w:val="subscript"/>
                    </w:rPr>
                    <w:t>2</w:t>
                  </w:r>
                  <w:r w:rsidRPr="00CA5EB6">
                    <w:rPr>
                      <w:rFonts w:ascii="Arial" w:hAnsi="Arial" w:cs="Arial"/>
                      <w:sz w:val="20"/>
                    </w:rPr>
                    <w:t xml:space="preserve">=1 </w:t>
                  </w:r>
                </w:p>
              </w:tc>
              <w:tc>
                <w:tcPr>
                  <w:tcW w:w="2500" w:type="pct"/>
                  <w:vAlign w:val="center"/>
                </w:tcPr>
                <w:p w:rsidR="0070570D" w:rsidRPr="005D334A" w:rsidRDefault="0070570D" w:rsidP="003D075F">
                  <w:pPr>
                    <w:rPr>
                      <w:rFonts w:ascii="Arial" w:hAnsi="Arial" w:cs="Arial"/>
                      <w:sz w:val="20"/>
                    </w:rPr>
                  </w:pPr>
                  <w:r w:rsidRPr="00CA5EB6">
                    <w:rPr>
                      <w:rFonts w:ascii="Arial" w:hAnsi="Arial" w:cs="Arial"/>
                      <w:sz w:val="20"/>
                    </w:rPr>
                    <w:t>30.3%</w:t>
                  </w:r>
                </w:p>
              </w:tc>
            </w:tr>
            <w:tr w:rsidR="0070570D" w:rsidRPr="00DF5814" w:rsidTr="003D075F">
              <w:trPr>
                <w:trHeight w:val="255"/>
              </w:trPr>
              <w:tc>
                <w:tcPr>
                  <w:tcW w:w="2500" w:type="pct"/>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CHADS</w:t>
                  </w:r>
                  <w:r w:rsidRPr="00CA5EB6">
                    <w:rPr>
                      <w:rFonts w:ascii="Arial" w:hAnsi="Arial" w:cs="Arial"/>
                      <w:sz w:val="20"/>
                      <w:vertAlign w:val="subscript"/>
                    </w:rPr>
                    <w:t>2</w:t>
                  </w:r>
                  <w:r w:rsidRPr="00CA5EB6">
                    <w:rPr>
                      <w:rFonts w:ascii="Arial" w:hAnsi="Arial" w:cs="Arial"/>
                      <w:sz w:val="20"/>
                    </w:rPr>
                    <w:t xml:space="preserve">≥2 </w:t>
                  </w:r>
                </w:p>
              </w:tc>
              <w:tc>
                <w:tcPr>
                  <w:tcW w:w="2500" w:type="pct"/>
                  <w:vAlign w:val="center"/>
                </w:tcPr>
                <w:p w:rsidR="0070570D" w:rsidRPr="005D334A" w:rsidRDefault="0070570D" w:rsidP="003D075F">
                  <w:pPr>
                    <w:rPr>
                      <w:rFonts w:ascii="Arial" w:hAnsi="Arial" w:cs="Arial"/>
                      <w:sz w:val="20"/>
                    </w:rPr>
                  </w:pPr>
                  <w:r w:rsidRPr="00CA5EB6">
                    <w:rPr>
                      <w:rFonts w:ascii="Arial" w:hAnsi="Arial" w:cs="Arial"/>
                      <w:sz w:val="20"/>
                    </w:rPr>
                    <w:t>56.8%</w:t>
                  </w:r>
                </w:p>
              </w:tc>
            </w:tr>
          </w:tbl>
          <w:p w:rsidR="0070570D" w:rsidRPr="005D334A" w:rsidRDefault="0070570D" w:rsidP="003D075F">
            <w:pPr>
              <w:rPr>
                <w:rFonts w:ascii="Arial" w:hAnsi="Arial" w:cs="Arial"/>
                <w:sz w:val="20"/>
              </w:rPr>
            </w:pPr>
          </w:p>
        </w:tc>
        <w:tc>
          <w:tcPr>
            <w:tcW w:w="2771" w:type="dxa"/>
            <w:shd w:val="clear" w:color="auto" w:fill="auto"/>
            <w:vAlign w:val="center"/>
          </w:tcPr>
          <w:p w:rsidR="0070570D" w:rsidRPr="00CA5EB6" w:rsidRDefault="0070570D" w:rsidP="003D075F">
            <w:pPr>
              <w:rPr>
                <w:rFonts w:ascii="Arial" w:hAnsi="Arial" w:cs="Arial"/>
                <w:sz w:val="20"/>
              </w:rPr>
            </w:pPr>
            <w:r w:rsidRPr="00CA5EB6">
              <w:rPr>
                <w:rFonts w:ascii="Arial" w:hAnsi="Arial" w:cs="Arial"/>
                <w:sz w:val="20"/>
              </w:rPr>
              <w:t xml:space="preserve">Rietbrock et al. (2008) </w:t>
            </w:r>
          </w:p>
          <w:p w:rsidR="0070570D" w:rsidRPr="005D334A" w:rsidRDefault="0070570D" w:rsidP="003D075F">
            <w:pPr>
              <w:rPr>
                <w:rFonts w:ascii="Arial" w:hAnsi="Arial" w:cs="Arial"/>
                <w:sz w:val="20"/>
              </w:rPr>
            </w:pPr>
            <w:r w:rsidRPr="00CA5EB6">
              <w:rPr>
                <w:rFonts w:ascii="Arial" w:hAnsi="Arial" w:cs="Arial"/>
                <w:sz w:val="20"/>
              </w:rPr>
              <w:t>(Table 1)</w:t>
            </w:r>
          </w:p>
        </w:tc>
      </w:tr>
      <w:tr w:rsidR="0070570D" w:rsidRPr="00DF5814" w:rsidTr="003D075F">
        <w:trPr>
          <w:trHeight w:val="565"/>
        </w:trPr>
        <w:tc>
          <w:tcPr>
            <w:tcW w:w="3140" w:type="dxa"/>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Uptake rates</w:t>
            </w:r>
          </w:p>
        </w:tc>
        <w:tc>
          <w:tcPr>
            <w:tcW w:w="3262" w:type="dxa"/>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35% - 75% over 5 years</w:t>
            </w:r>
          </w:p>
        </w:tc>
        <w:tc>
          <w:tcPr>
            <w:tcW w:w="2771" w:type="dxa"/>
            <w:shd w:val="clear" w:color="auto" w:fill="auto"/>
            <w:vAlign w:val="center"/>
          </w:tcPr>
          <w:p w:rsidR="0070570D" w:rsidRPr="005D334A" w:rsidRDefault="0070570D" w:rsidP="003D075F">
            <w:pPr>
              <w:rPr>
                <w:rFonts w:ascii="Arial" w:hAnsi="Arial" w:cs="Arial"/>
                <w:sz w:val="20"/>
              </w:rPr>
            </w:pPr>
            <w:r w:rsidRPr="00CA5EB6">
              <w:rPr>
                <w:rFonts w:ascii="Arial" w:hAnsi="Arial" w:cs="Arial"/>
                <w:sz w:val="20"/>
              </w:rPr>
              <w:t>DUSC estimate</w:t>
            </w:r>
          </w:p>
        </w:tc>
      </w:tr>
    </w:tbl>
    <w:p w:rsidR="0070570D" w:rsidRPr="005D334A" w:rsidRDefault="0070570D" w:rsidP="005A6118">
      <w:pPr>
        <w:spacing w:after="0"/>
        <w:rPr>
          <w:rFonts w:ascii="Arial" w:hAnsi="Arial" w:cs="Arial"/>
          <w:b/>
          <w:sz w:val="20"/>
        </w:rPr>
      </w:pPr>
    </w:p>
    <w:p w:rsidR="005B3443" w:rsidRPr="00CA5EB6" w:rsidRDefault="005B3443" w:rsidP="005A6118">
      <w:pPr>
        <w:spacing w:after="0"/>
        <w:rPr>
          <w:rFonts w:cs="Arial"/>
        </w:rPr>
      </w:pPr>
      <w:r w:rsidRPr="00CA5EB6">
        <w:rPr>
          <w:rFonts w:cs="Arial"/>
        </w:rPr>
        <w:t xml:space="preserve">A table of the DUSC estimates of patients per year for NOACs is available in Appendix </w:t>
      </w:r>
      <w:r w:rsidR="00B23548" w:rsidRPr="00CA5EB6">
        <w:rPr>
          <w:rFonts w:cs="Arial"/>
        </w:rPr>
        <w:t>B</w:t>
      </w:r>
      <w:r w:rsidRPr="00CA5EB6">
        <w:rPr>
          <w:rFonts w:cs="Arial"/>
        </w:rPr>
        <w:t xml:space="preserve">.  </w:t>
      </w:r>
    </w:p>
    <w:p w:rsidR="0070570D" w:rsidRPr="005D334A" w:rsidRDefault="0070570D" w:rsidP="0070570D">
      <w:r w:rsidRPr="00DF5814">
        <w:t>The DUSC noted that the three submissions had each taken a different approach in estimating the likely uptake of NOACs, resulting in a range of estimated use. The DUSC took account of the three submissions’ estimates and additional sources of information, and consider</w:t>
      </w:r>
      <w:r w:rsidR="002A7E43" w:rsidRPr="00DF5814">
        <w:t>ed</w:t>
      </w:r>
      <w:r w:rsidRPr="00DF5814">
        <w:t xml:space="preserve"> that the best estimate of overall uptake for the NOACs is 35% of the total eligible population in Year 1 increasing to 75% in Year 5. In coming to these estimates, the DUSC triangulated submission estimates with publically available information.</w:t>
      </w:r>
      <w:r>
        <w:t xml:space="preserve"> </w:t>
      </w:r>
      <w:r w:rsidR="005D334A">
        <w:rPr>
          <w:noProof/>
          <w:color w:val="000000"/>
          <w:highlight w:val="black"/>
        </w:rPr>
        <w:t>'''''''' ''''''''''' '''''''''''' '''''''' '''''''''''' '''''''''''' ''' ''''''''''''''''''''' ''''''''''''''''''' ''''''''' '''''''' '''''''''''''''''''' '''' '''''' '''''''''''''''''''''''''' '''''''' '''''' ''''''''''''''''' '''''''' '''''' ''''''''''''''''''''' '''''''''''' ''''' ''''''''''''''''''''' '''' ''''''''' '' ''''''' ''''' ''''''''</w:t>
      </w:r>
    </w:p>
    <w:p w:rsidR="0070570D" w:rsidRDefault="005D334A" w:rsidP="0070570D">
      <w:r>
        <w:rPr>
          <w:noProof/>
          <w:color w:val="000000"/>
          <w:highlight w:val="black"/>
        </w:rPr>
        <w:t>'''''''''''' ''''''''''' ''' ''''''''' ''''''''''''''''' ''' '''''' '''''''''''''' '''' ''''''''''''''''''''''''''''''''''''''''''''''''''''' '''''''''''''''''''' '''' '''''' ''''''''''''''''''''''''''</w:t>
      </w:r>
      <w:r w:rsidR="0070570D" w:rsidRPr="009907FD">
        <w:t xml:space="preserve"> </w:t>
      </w:r>
      <w:r w:rsidR="0070570D" w:rsidRPr="00DF5814">
        <w:t>DUSC considered that a high rate of compliance could be expected, especially for patients switching from warfarin. DUSC considered 90% to be a reasonable estimate of compliance in the eligible population.</w:t>
      </w:r>
      <w:r w:rsidR="0070570D">
        <w:t xml:space="preserve"> </w:t>
      </w:r>
    </w:p>
    <w:p w:rsidR="00E677DD" w:rsidRPr="005E22C2" w:rsidRDefault="00E677DD" w:rsidP="008E7FA1">
      <w:pPr>
        <w:pStyle w:val="Heading1"/>
        <w:spacing w:before="0"/>
      </w:pPr>
      <w:bookmarkStart w:id="11" w:name="_Ref450119868"/>
      <w:r w:rsidRPr="005E22C2">
        <w:t>Method</w:t>
      </w:r>
      <w:r w:rsidR="001B5D37" w:rsidRPr="005E22C2">
        <w:t>s</w:t>
      </w:r>
      <w:bookmarkEnd w:id="11"/>
    </w:p>
    <w:p w:rsidR="007E5D76" w:rsidRDefault="007E5D76" w:rsidP="0087588D">
      <w:r>
        <w:t>The analyses used data from the DUSC database and the Department of Human Services (DHS) supplied prescriptions database.</w:t>
      </w:r>
    </w:p>
    <w:p w:rsidR="0087588D" w:rsidRPr="00F74FBD" w:rsidRDefault="0087588D" w:rsidP="0087588D">
      <w:r w:rsidRPr="00CF7365">
        <w:t xml:space="preserve">The DUSC database combines data on PBS prescriptions submitted to the </w:t>
      </w:r>
      <w:r w:rsidR="007E5D76">
        <w:t xml:space="preserve">DHS </w:t>
      </w:r>
      <w:r w:rsidRPr="00CF7365">
        <w:t>for payment of a R</w:t>
      </w:r>
      <w:r w:rsidR="006D3ABD">
        <w:t>/</w:t>
      </w:r>
      <w:r w:rsidRPr="00CF7365">
        <w:t>PBS subsidy by the Govern</w:t>
      </w:r>
      <w:r>
        <w:t>ment with an estimate of under</w:t>
      </w:r>
      <w:r w:rsidRPr="00CF7365">
        <w:t xml:space="preserve"> </w:t>
      </w:r>
      <w:r>
        <w:t xml:space="preserve">patient </w:t>
      </w:r>
      <w:r w:rsidRPr="00CF7365">
        <w:t>co-payment prescriptions based on dispensing data from a sample of pharmacies to the end of August</w:t>
      </w:r>
      <w:r w:rsidR="00754C60">
        <w:t> </w:t>
      </w:r>
      <w:r w:rsidRPr="00CF7365">
        <w:t>2012</w:t>
      </w:r>
      <w:r w:rsidR="00F73625">
        <w:t xml:space="preserve">. </w:t>
      </w:r>
      <w:r>
        <w:t>This was</w:t>
      </w:r>
      <w:r w:rsidRPr="00CF7365">
        <w:t xml:space="preserve"> replaced by actual under </w:t>
      </w:r>
      <w:r>
        <w:t xml:space="preserve">patient </w:t>
      </w:r>
      <w:r w:rsidRPr="00CF7365">
        <w:t xml:space="preserve">co-payment </w:t>
      </w:r>
      <w:r>
        <w:t xml:space="preserve">prescription </w:t>
      </w:r>
      <w:r w:rsidRPr="00CF7365">
        <w:t>data from</w:t>
      </w:r>
      <w:r w:rsidR="00F73625">
        <w:t xml:space="preserve"> 1 April 2012. </w:t>
      </w:r>
      <w:r w:rsidRPr="00CF7365">
        <w:t xml:space="preserve">The DUSC </w:t>
      </w:r>
      <w:r w:rsidRPr="00F74FBD">
        <w:t>database includes an estimate of private prescriptions based on dispensing data from a sample of pharmac</w:t>
      </w:r>
      <w:r w:rsidR="00F73625">
        <w:t xml:space="preserve">ies to the end of August 2012. </w:t>
      </w:r>
      <w:r w:rsidRPr="00F74FBD">
        <w:t xml:space="preserve">An estimate of </w:t>
      </w:r>
      <w:r w:rsidRPr="00F74FBD">
        <w:lastRenderedPageBreak/>
        <w:t>private prescriptions is not included from 1 September 2012.</w:t>
      </w:r>
      <w:r w:rsidR="000A6FF7" w:rsidRPr="00F74FBD">
        <w:t xml:space="preserve"> The DUSC database was used for </w:t>
      </w:r>
      <w:r w:rsidR="007E5D76" w:rsidRPr="00F74FBD">
        <w:t xml:space="preserve">analyses of prescriptions and R/PBS </w:t>
      </w:r>
      <w:r w:rsidR="002927F1">
        <w:t>benefits</w:t>
      </w:r>
      <w:r w:rsidR="007E5D76" w:rsidRPr="00F74FBD">
        <w:t xml:space="preserve">. </w:t>
      </w:r>
      <w:r w:rsidR="00D809C8">
        <w:t>The data were supplemented with information from the DHS supplied prescriptions database to limit p</w:t>
      </w:r>
      <w:r w:rsidR="007E5D76" w:rsidRPr="00F74FBD">
        <w:t xml:space="preserve">rescriptions and </w:t>
      </w:r>
      <w:r w:rsidR="002927F1">
        <w:t>benefits</w:t>
      </w:r>
      <w:r w:rsidR="002927F1" w:rsidRPr="00F74FBD">
        <w:t xml:space="preserve"> </w:t>
      </w:r>
      <w:r w:rsidR="00F73625">
        <w:t xml:space="preserve">for NOACs </w:t>
      </w:r>
      <w:r w:rsidR="007E5D76" w:rsidRPr="00F74FBD">
        <w:t xml:space="preserve">to </w:t>
      </w:r>
      <w:r w:rsidR="00C21DE4" w:rsidRPr="00F74FBD">
        <w:t xml:space="preserve">those supplied with streamlined code 4269 for prevention of stroke or systemic embolism in NVAF. </w:t>
      </w:r>
    </w:p>
    <w:p w:rsidR="00C72626" w:rsidRPr="0054773A" w:rsidRDefault="00C21DE4" w:rsidP="00C72626">
      <w:pPr>
        <w:spacing w:after="0"/>
        <w:rPr>
          <w:b/>
        </w:rPr>
      </w:pPr>
      <w:r w:rsidRPr="00F74FBD">
        <w:t xml:space="preserve">The DHS </w:t>
      </w:r>
      <w:r w:rsidR="00612382">
        <w:t>s</w:t>
      </w:r>
      <w:r w:rsidRPr="00F74FBD">
        <w:t>upplied prescriptions database includes data submitte</w:t>
      </w:r>
      <w:r w:rsidR="006D3ABD">
        <w:t xml:space="preserve">d to DHS for payment of a </w:t>
      </w:r>
      <w:r w:rsidR="00F73625">
        <w:t>R</w:t>
      </w:r>
      <w:r w:rsidR="006D3ABD">
        <w:t>/</w:t>
      </w:r>
      <w:r w:rsidR="00F73625">
        <w:t xml:space="preserve">PBS subsidy by the Government. </w:t>
      </w:r>
      <w:r w:rsidRPr="00F74FBD">
        <w:t>This database includes actual under co</w:t>
      </w:r>
      <w:r w:rsidRPr="00F74FBD">
        <w:noBreakHyphen/>
        <w:t>payment prescription data from 1 April 2012. This database includes a de</w:t>
      </w:r>
      <w:r w:rsidRPr="00F74FBD">
        <w:noBreakHyphen/>
        <w:t>identified patient identifier number that identifies prescriptions supplied to a single patient. This allows for patients to be classified as new patients and to identify prior treatments. </w:t>
      </w:r>
      <w:r w:rsidR="00BC0521" w:rsidRPr="00F74FBD">
        <w:t xml:space="preserve">The DHS database was used for </w:t>
      </w:r>
      <w:r w:rsidRPr="00F74FBD">
        <w:t xml:space="preserve">patient level analyses, including </w:t>
      </w:r>
      <w:r w:rsidR="00CF2C71" w:rsidRPr="00F74FBD">
        <w:t>age</w:t>
      </w:r>
      <w:r w:rsidR="00BC0521" w:rsidRPr="00F74FBD">
        <w:t>,</w:t>
      </w:r>
      <w:r w:rsidR="00DF53EA">
        <w:t xml:space="preserve"> location, prescriber type,</w:t>
      </w:r>
      <w:r w:rsidR="00BC0521" w:rsidRPr="00F74FBD">
        <w:t xml:space="preserve"> </w:t>
      </w:r>
      <w:r w:rsidR="00CF2C71" w:rsidRPr="00F74FBD">
        <w:t xml:space="preserve">prior prescription, </w:t>
      </w:r>
      <w:r w:rsidRPr="00F74FBD">
        <w:t xml:space="preserve">and </w:t>
      </w:r>
      <w:r w:rsidR="00CF2C71" w:rsidRPr="00F74FBD">
        <w:t xml:space="preserve">time to </w:t>
      </w:r>
      <w:r w:rsidRPr="00F74FBD">
        <w:t>refill.</w:t>
      </w:r>
      <w:r w:rsidR="00CF2C71" w:rsidRPr="00F74FBD">
        <w:t xml:space="preserve"> </w:t>
      </w:r>
    </w:p>
    <w:p w:rsidR="00C21DE4" w:rsidRPr="00F74FBD" w:rsidRDefault="00C21DE4" w:rsidP="00C72626">
      <w:pPr>
        <w:spacing w:after="0"/>
      </w:pPr>
    </w:p>
    <w:p w:rsidR="00BC0521" w:rsidRPr="00F74FBD" w:rsidRDefault="00C21DE4" w:rsidP="00BC0521">
      <w:r w:rsidRPr="00F74FBD">
        <w:t xml:space="preserve">For NOACs, the relevant streamlined authority code for prevention of stroke or systemic embolism in NVAF is 4269. A patient may not consistently have the same code assigned to their original prescriptions over their treatment duration for a variety of reasons including, but not limited to, multiple prescribers, errors made or genuine changes in indication. For the purpose of limiting the patient level analyses to people supplied NOACs for NVAF, the most commonly assigned streamlined code on original prescriptions </w:t>
      </w:r>
      <w:r w:rsidR="00C72626">
        <w:t>between</w:t>
      </w:r>
      <w:r w:rsidRPr="00F74FBD">
        <w:t xml:space="preserve"> August 2013</w:t>
      </w:r>
      <w:r w:rsidR="00C72626">
        <w:t xml:space="preserve"> and December 2015</w:t>
      </w:r>
      <w:r w:rsidRPr="00F74FBD">
        <w:t xml:space="preserve"> has been deemed to be the most accurate assumption for a correct indication. Only original prescriptions have been counted as the repeat prescriptions associated with an original prescription will carry the same streamlined code. This cohort was used for p</w:t>
      </w:r>
      <w:r w:rsidR="00F73625">
        <w:t xml:space="preserve">atient level analyses </w:t>
      </w:r>
      <w:r w:rsidR="00612382">
        <w:t>where indicated in the figure legend</w:t>
      </w:r>
      <w:r w:rsidRPr="00F74FBD">
        <w:t>.</w:t>
      </w:r>
    </w:p>
    <w:p w:rsidR="00607D6B" w:rsidRDefault="00C21DE4" w:rsidP="00324375">
      <w:pPr>
        <w:spacing w:after="0"/>
      </w:pPr>
      <w:r w:rsidRPr="00F74FBD">
        <w:t>For t</w:t>
      </w:r>
      <w:r w:rsidR="00607D6B" w:rsidRPr="00F74FBD">
        <w:t xml:space="preserve">he </w:t>
      </w:r>
      <w:r w:rsidR="00D71108" w:rsidRPr="00F74FBD">
        <w:t xml:space="preserve">patient level </w:t>
      </w:r>
      <w:r w:rsidRPr="00F74FBD">
        <w:t xml:space="preserve">analyses, </w:t>
      </w:r>
      <w:r w:rsidR="00D71108" w:rsidRPr="00F74FBD">
        <w:t xml:space="preserve">patients </w:t>
      </w:r>
      <w:r w:rsidR="00611480" w:rsidRPr="00F74FBD">
        <w:t xml:space="preserve">initiating </w:t>
      </w:r>
      <w:r w:rsidR="00611480">
        <w:t xml:space="preserve">to a medicine or group of medicines </w:t>
      </w:r>
      <w:r w:rsidR="00D71108" w:rsidRPr="00F74FBD">
        <w:t xml:space="preserve">were defined as those who have not been supplied </w:t>
      </w:r>
      <w:r w:rsidR="00611480">
        <w:t>that medicine or group of medicines</w:t>
      </w:r>
      <w:r w:rsidR="00D71108" w:rsidRPr="00F74FBD">
        <w:t xml:space="preserve"> since January 2010. </w:t>
      </w:r>
      <w:r w:rsidRPr="00F74FBD">
        <w:rPr>
          <w:rFonts w:cs="Arial"/>
        </w:rPr>
        <w:t>Age</w:t>
      </w:r>
      <w:r w:rsidR="006E5C55">
        <w:rPr>
          <w:rFonts w:cs="Arial"/>
        </w:rPr>
        <w:t xml:space="preserve"> was</w:t>
      </w:r>
      <w:r w:rsidRPr="00F74FBD">
        <w:rPr>
          <w:rFonts w:cs="Arial"/>
        </w:rPr>
        <w:t xml:space="preserve"> assigned based on the first supply in the time period. </w:t>
      </w:r>
      <w:r w:rsidR="006E5C55">
        <w:rPr>
          <w:rFonts w:cs="Arial"/>
        </w:rPr>
        <w:t xml:space="preserve">A small number of </w:t>
      </w:r>
      <w:r w:rsidR="006E5C55">
        <w:t>p</w:t>
      </w:r>
      <w:r w:rsidR="00E83709" w:rsidRPr="00F74FBD">
        <w:t>atients that had prescriptions with a code registering as blank or zero have been excluded.</w:t>
      </w:r>
    </w:p>
    <w:p w:rsidR="00943250" w:rsidRPr="00DF53EA" w:rsidRDefault="00943250" w:rsidP="00324375">
      <w:pPr>
        <w:spacing w:after="0"/>
      </w:pPr>
    </w:p>
    <w:p w:rsidR="00943250" w:rsidRPr="00DF53EA" w:rsidRDefault="00943250" w:rsidP="00324375">
      <w:pPr>
        <w:spacing w:after="0"/>
        <w:rPr>
          <w:rFonts w:ascii="Arial" w:hAnsi="Arial" w:cs="Arial"/>
          <w:sz w:val="18"/>
          <w:szCs w:val="18"/>
        </w:rPr>
      </w:pPr>
      <w:r w:rsidRPr="00DF53EA">
        <w:t>The location analysis used the Australian Bureau of Statistics (ABS) Quarterly Population Estimates (ERP), by State/Territory, Sex and Age database in September 2015. The rate of people supplied anticoagulant therapy standardised per 100,000 population in each state and territory was calculated based on the ABS data and the DHS database.</w:t>
      </w:r>
    </w:p>
    <w:p w:rsidR="00471CCB" w:rsidRPr="00F74FBD" w:rsidRDefault="00471CCB" w:rsidP="00471CCB">
      <w:pPr>
        <w:spacing w:after="0"/>
        <w:rPr>
          <w:sz w:val="20"/>
          <w:szCs w:val="20"/>
        </w:rPr>
      </w:pPr>
    </w:p>
    <w:p w:rsidR="00CF2C71" w:rsidRPr="00F74FBD" w:rsidRDefault="00C21DE4" w:rsidP="00471CCB">
      <w:pPr>
        <w:spacing w:after="0"/>
      </w:pPr>
      <w:r w:rsidRPr="00F74FBD">
        <w:t>A</w:t>
      </w:r>
      <w:r w:rsidR="00CF2C71" w:rsidRPr="00F74FBD">
        <w:t xml:space="preserve"> prior prescription analysis </w:t>
      </w:r>
      <w:r w:rsidRPr="00F74FBD">
        <w:t xml:space="preserve">was conducted for patients </w:t>
      </w:r>
      <w:r w:rsidR="00D418A3">
        <w:t xml:space="preserve">in the NVAF cohort to determine </w:t>
      </w:r>
      <w:r w:rsidRPr="00F74FBD">
        <w:t>if they had been supplied warfarin in the three years prior</w:t>
      </w:r>
      <w:r w:rsidR="00D418A3">
        <w:t xml:space="preserve"> to their first NOAC prescription</w:t>
      </w:r>
      <w:r w:rsidRPr="00F74FBD">
        <w:t xml:space="preserve">. This </w:t>
      </w:r>
      <w:r w:rsidR="00F74FBD" w:rsidRPr="00F74FBD">
        <w:t>analysis</w:t>
      </w:r>
      <w:r w:rsidRPr="00F74FBD">
        <w:t xml:space="preserve"> </w:t>
      </w:r>
      <w:r w:rsidR="00F73625">
        <w:t>included</w:t>
      </w:r>
      <w:r w:rsidRPr="00F74FBD">
        <w:t xml:space="preserve"> concessional only patients as warfarin is under the co-payment and under co-payment data were not available for the entire three year look</w:t>
      </w:r>
      <w:r w:rsidR="00F626A7">
        <w:t>-</w:t>
      </w:r>
      <w:r w:rsidRPr="00F74FBD">
        <w:t>back period.</w:t>
      </w:r>
      <w:r w:rsidR="00CF2C71" w:rsidRPr="00F74FBD">
        <w:t xml:space="preserve"> A patient’s status as a concessional or general patient </w:t>
      </w:r>
      <w:r w:rsidR="00E95143">
        <w:t>was</w:t>
      </w:r>
      <w:r w:rsidR="00CF2C71" w:rsidRPr="00F74FBD">
        <w:t xml:space="preserve"> based on all NOAC and warfarin prescriptions from January 2010 to December 2015. </w:t>
      </w:r>
      <w:r w:rsidR="00F74FBD" w:rsidRPr="00F74FBD">
        <w:t>A sensitivity analysis was performed with a one year look</w:t>
      </w:r>
      <w:r w:rsidR="00F626A7">
        <w:t>-</w:t>
      </w:r>
      <w:r w:rsidR="00F74FBD" w:rsidRPr="00F74FBD">
        <w:t xml:space="preserve">back for all (i.e. concessional and general) patients. </w:t>
      </w:r>
    </w:p>
    <w:p w:rsidR="00471CCB" w:rsidRPr="00F74FBD" w:rsidRDefault="00471CCB" w:rsidP="00471CCB">
      <w:pPr>
        <w:spacing w:after="0"/>
        <w:rPr>
          <w:sz w:val="20"/>
          <w:szCs w:val="20"/>
        </w:rPr>
      </w:pPr>
    </w:p>
    <w:p w:rsidR="00580A03" w:rsidRPr="00F74FBD" w:rsidRDefault="00F74FBD" w:rsidP="00580A03">
      <w:pPr>
        <w:rPr>
          <w:rFonts w:ascii="Arial" w:hAnsi="Arial" w:cs="Arial"/>
          <w:color w:val="1F497D"/>
          <w:sz w:val="18"/>
          <w:szCs w:val="18"/>
        </w:rPr>
      </w:pPr>
      <w:r w:rsidRPr="00F74FBD">
        <w:t>For t</w:t>
      </w:r>
      <w:r w:rsidR="0046071B" w:rsidRPr="00F74FBD">
        <w:t>he time to refill prescription analysis</w:t>
      </w:r>
      <w:r w:rsidRPr="00F74FBD">
        <w:t>,</w:t>
      </w:r>
      <w:r w:rsidR="0046071B" w:rsidRPr="00F74FBD">
        <w:t xml:space="preserve"> </w:t>
      </w:r>
      <w:r w:rsidRPr="00F74FBD">
        <w:t>a</w:t>
      </w:r>
      <w:r w:rsidR="00580A03" w:rsidRPr="00F74FBD">
        <w:rPr>
          <w:rFonts w:cs="Arial"/>
        </w:rPr>
        <w:t xml:space="preserve">ny form and strength of a drug could be resupplied in any form and strength of the same drug. All the data from January 2010 to December 2015 was used; however, prescriptions within three median days to resupply </w:t>
      </w:r>
      <w:r w:rsidR="00580A03" w:rsidRPr="00F74FBD">
        <w:rPr>
          <w:rFonts w:cs="Arial"/>
        </w:rPr>
        <w:lastRenderedPageBreak/>
        <w:t xml:space="preserve">(specific to that drug) of the end of the data period </w:t>
      </w:r>
      <w:r w:rsidRPr="00F74FBD">
        <w:rPr>
          <w:rFonts w:cs="Arial"/>
        </w:rPr>
        <w:t>were</w:t>
      </w:r>
      <w:r w:rsidR="00580A03" w:rsidRPr="00F74FBD">
        <w:rPr>
          <w:rFonts w:cs="Arial"/>
        </w:rPr>
        <w:t xml:space="preserve"> excluded </w:t>
      </w:r>
      <w:r w:rsidRPr="00F74FBD">
        <w:rPr>
          <w:rFonts w:cs="Arial"/>
        </w:rPr>
        <w:t>to avoid</w:t>
      </w:r>
      <w:r w:rsidR="00580A03" w:rsidRPr="00F74FBD">
        <w:rPr>
          <w:rFonts w:cs="Arial"/>
        </w:rPr>
        <w:t xml:space="preserve"> a bias towards shorter time to resupply. These </w:t>
      </w:r>
      <w:r w:rsidRPr="00F74FBD">
        <w:rPr>
          <w:rFonts w:cs="Arial"/>
        </w:rPr>
        <w:t>were</w:t>
      </w:r>
      <w:r w:rsidR="00580A03" w:rsidRPr="00F74FBD">
        <w:rPr>
          <w:rFonts w:cs="Arial"/>
        </w:rPr>
        <w:t xml:space="preserve"> only excluded as resupplied prescriptions but they </w:t>
      </w:r>
      <w:r w:rsidRPr="00F74FBD">
        <w:rPr>
          <w:rFonts w:cs="Arial"/>
        </w:rPr>
        <w:t>were</w:t>
      </w:r>
      <w:r w:rsidR="00580A03" w:rsidRPr="00F74FBD">
        <w:rPr>
          <w:rFonts w:cs="Arial"/>
        </w:rPr>
        <w:t xml:space="preserve"> still used for the purpose of determining the days to resupply of the previous prescription.</w:t>
      </w:r>
      <w:r w:rsidR="00612382" w:rsidRPr="00612382">
        <w:rPr>
          <w:rFonts w:cs="Arial"/>
        </w:rPr>
        <w:t xml:space="preserve"> </w:t>
      </w:r>
      <w:r w:rsidR="00612382">
        <w:rPr>
          <w:rFonts w:cs="Arial"/>
        </w:rPr>
        <w:t>Warfarin has not been included in this analysis as it is supplied in bottles of 50</w:t>
      </w:r>
      <w:r w:rsidR="006E5C55">
        <w:rPr>
          <w:rFonts w:cs="Arial"/>
        </w:rPr>
        <w:t> </w:t>
      </w:r>
      <w:r w:rsidR="00612382">
        <w:rPr>
          <w:rFonts w:cs="Arial"/>
        </w:rPr>
        <w:t>tablets and in different strengths to accommodate the variable doses.</w:t>
      </w:r>
    </w:p>
    <w:p w:rsidR="008129E3" w:rsidRDefault="00C21DE4" w:rsidP="008129E3">
      <w:r w:rsidRPr="00F74FBD">
        <w:t>As this analysis uses date of supply prescription data, there may be small differences compared with publicly available Department of Human Services (DHS) Medicare date of processing data.</w:t>
      </w:r>
      <w:r w:rsidRPr="00F74FBD">
        <w:rPr>
          <w:rStyle w:val="FootnoteReference"/>
        </w:rPr>
        <w:footnoteReference w:id="26"/>
      </w:r>
      <w:r w:rsidRPr="00F74FBD">
        <w:t xml:space="preserve">  The publicly available DHS Medicare data only</w:t>
      </w:r>
      <w:r>
        <w:t xml:space="preserve"> includes subsidised R/PBS prescriptions with prescriptions under the patient co-payment not included.  </w:t>
      </w:r>
    </w:p>
    <w:p w:rsidR="003217F0" w:rsidRDefault="003217F0" w:rsidP="00A35800">
      <w:pPr>
        <w:rPr>
          <w:rFonts w:eastAsia="Calibri" w:cs="Times New Roman"/>
          <w:b/>
          <w:sz w:val="28"/>
          <w:szCs w:val="28"/>
        </w:rPr>
      </w:pPr>
      <w:r>
        <w:rPr>
          <w:rFonts w:eastAsia="Calibri" w:cs="Times New Roman"/>
          <w:b/>
          <w:sz w:val="28"/>
          <w:szCs w:val="28"/>
        </w:rPr>
        <w:t>Limitations of the data</w:t>
      </w:r>
    </w:p>
    <w:p w:rsidR="003217F0" w:rsidRDefault="003217F0" w:rsidP="003217F0">
      <w:r>
        <w:t xml:space="preserve">For a NOAC prescription to be valid on the PBS, the prescriber must nominate the patient’s treatment indication using an authority streamlined code. </w:t>
      </w:r>
      <w:r w:rsidRPr="00BB6D35">
        <w:t xml:space="preserve">Although each indication has a separate streamlined code, in the data </w:t>
      </w:r>
      <w:r>
        <w:t xml:space="preserve">from August 2013 to December 2015, </w:t>
      </w:r>
      <w:r w:rsidRPr="00BB6D35">
        <w:t xml:space="preserve">this field is blank </w:t>
      </w:r>
      <w:r>
        <w:t xml:space="preserve">or zero </w:t>
      </w:r>
      <w:r w:rsidRPr="00BB6D35">
        <w:t xml:space="preserve">against </w:t>
      </w:r>
      <w:r w:rsidR="006E5C55">
        <w:t>a small number</w:t>
      </w:r>
      <w:r>
        <w:t xml:space="preserve"> </w:t>
      </w:r>
      <w:r w:rsidRPr="00BB6D35">
        <w:t>of p</w:t>
      </w:r>
      <w:r>
        <w:t>atients</w:t>
      </w:r>
      <w:r w:rsidRPr="00BB6D35">
        <w:t xml:space="preserve">. </w:t>
      </w:r>
    </w:p>
    <w:p w:rsidR="003217F0" w:rsidRDefault="00AB1936" w:rsidP="003217F0">
      <w:r>
        <w:t xml:space="preserve">Utilisation of NOACs </w:t>
      </w:r>
      <w:r w:rsidR="000F6C31">
        <w:t xml:space="preserve">for </w:t>
      </w:r>
      <w:r w:rsidR="008966D7">
        <w:t xml:space="preserve">the treatment </w:t>
      </w:r>
      <w:r w:rsidR="000F6C31">
        <w:t>of</w:t>
      </w:r>
      <w:r w:rsidR="002679A9">
        <w:t xml:space="preserve"> </w:t>
      </w:r>
      <w:r w:rsidR="008966D7">
        <w:t xml:space="preserve">DVT, the prevention of VTE, treatment of PE and for the prevention of recurrent VTE </w:t>
      </w:r>
      <w:r>
        <w:t>is out of scope of this review.</w:t>
      </w:r>
      <w:r w:rsidR="0037196C">
        <w:t xml:space="preserve"> Dabigatran has </w:t>
      </w:r>
      <w:r w:rsidR="008B2E92">
        <w:t xml:space="preserve">separate </w:t>
      </w:r>
      <w:r w:rsidR="0037196C">
        <w:t xml:space="preserve">item codes for NVAF; </w:t>
      </w:r>
      <w:r w:rsidR="007A3623">
        <w:t xml:space="preserve">rivaroxaban 15mg has </w:t>
      </w:r>
      <w:r w:rsidR="008B2E92">
        <w:t xml:space="preserve">a separate </w:t>
      </w:r>
      <w:r w:rsidR="00E95143">
        <w:t>Item</w:t>
      </w:r>
      <w:r w:rsidR="002679A9">
        <w:t xml:space="preserve"> </w:t>
      </w:r>
      <w:r w:rsidR="008B2E92">
        <w:t>code yet the 20mg does not;</w:t>
      </w:r>
      <w:r w:rsidR="007A3623">
        <w:t xml:space="preserve"> and apixaban does not have specific item codes for NVAF</w:t>
      </w:r>
      <w:r w:rsidR="000F6C31">
        <w:t xml:space="preserve"> (Appendix C)</w:t>
      </w:r>
      <w:r w:rsidR="007A3623">
        <w:t xml:space="preserve">. </w:t>
      </w:r>
      <w:r w:rsidR="002679A9">
        <w:t xml:space="preserve">Therefore some item codes contain multiple indications, each with a different streamlined authority code. </w:t>
      </w:r>
      <w:r w:rsidR="005F3CD4">
        <w:t>This may lead to miscoding of items by prescribers or dispensers.</w:t>
      </w:r>
    </w:p>
    <w:p w:rsidR="00F74FBD" w:rsidRDefault="00211959" w:rsidP="00F74FBD">
      <w:r>
        <w:t>Warfarin has an unrestricted listing on the PBS therefore the indication for the use of this anticoagulant cannot be deduced</w:t>
      </w:r>
      <w:r w:rsidR="00576A4D">
        <w:t xml:space="preserve"> from PBS prescription data</w:t>
      </w:r>
      <w:r>
        <w:t>. Care must be taken when interpr</w:t>
      </w:r>
      <w:r w:rsidR="00F74FBD">
        <w:t>eting the data for this reason.</w:t>
      </w:r>
    </w:p>
    <w:p w:rsidR="005D334A" w:rsidRDefault="005D334A">
      <w:pPr>
        <w:spacing w:line="276" w:lineRule="auto"/>
        <w:rPr>
          <w:b/>
          <w:sz w:val="28"/>
          <w:szCs w:val="28"/>
        </w:rPr>
      </w:pPr>
      <w:r>
        <w:rPr>
          <w:b/>
          <w:sz w:val="28"/>
          <w:szCs w:val="28"/>
        </w:rPr>
        <w:br w:type="page"/>
      </w:r>
    </w:p>
    <w:p w:rsidR="00C714D0" w:rsidRPr="00F74FBD" w:rsidRDefault="00C714D0" w:rsidP="00F74FBD">
      <w:pPr>
        <w:rPr>
          <w:b/>
          <w:sz w:val="28"/>
          <w:szCs w:val="28"/>
        </w:rPr>
      </w:pPr>
      <w:r w:rsidRPr="00F74FBD">
        <w:rPr>
          <w:b/>
          <w:sz w:val="28"/>
          <w:szCs w:val="28"/>
        </w:rPr>
        <w:lastRenderedPageBreak/>
        <w:t>Results</w:t>
      </w:r>
    </w:p>
    <w:p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9F51EE" w:rsidRPr="00A35800" w:rsidRDefault="0017262D" w:rsidP="00FE645A">
      <w:pPr>
        <w:pStyle w:val="Figurecaption"/>
      </w:pPr>
      <w:r>
        <w:rPr>
          <w:noProof/>
          <w:lang w:eastAsia="en-AU"/>
        </w:rPr>
        <w:drawing>
          <wp:inline distT="0" distB="0" distL="0" distR="0" wp14:anchorId="72D8B398" wp14:editId="7A3CEAA3">
            <wp:extent cx="5181600" cy="3400425"/>
            <wp:effectExtent l="0" t="0" r="0" b="9525"/>
            <wp:docPr id="1" name="Picture 1" descr="A graph depicting the Number of anticoagulant prescriptions supplied from 2010 to 2015. The date when the NOACs were listed on the PBS for NVAF has been marked." title="Number of anticoagulant prescriptions supplied from 2010 to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81600" cy="3400425"/>
                    </a:xfrm>
                    <a:prstGeom prst="rect">
                      <a:avLst/>
                    </a:prstGeom>
                  </pic:spPr>
                </pic:pic>
              </a:graphicData>
            </a:graphic>
          </wp:inline>
        </w:drawing>
      </w:r>
    </w:p>
    <w:p w:rsidR="00F5409E" w:rsidRDefault="00F5409E" w:rsidP="00AE5F66">
      <w:pPr>
        <w:pStyle w:val="Figurecaption"/>
        <w:spacing w:before="0" w:after="0"/>
        <w:rPr>
          <w:b/>
          <w:sz w:val="24"/>
          <w:szCs w:val="24"/>
        </w:rPr>
      </w:pPr>
      <w:r w:rsidRPr="005A6118">
        <w:rPr>
          <w:b/>
          <w:sz w:val="24"/>
          <w:szCs w:val="24"/>
        </w:rPr>
        <w:t xml:space="preserve">Figure </w:t>
      </w:r>
      <w:r w:rsidR="005A6118">
        <w:rPr>
          <w:b/>
          <w:sz w:val="24"/>
          <w:szCs w:val="24"/>
        </w:rPr>
        <w:t>1</w:t>
      </w:r>
      <w:r w:rsidRPr="00A4089F">
        <w:rPr>
          <w:b/>
          <w:sz w:val="24"/>
          <w:szCs w:val="24"/>
        </w:rPr>
        <w:t xml:space="preserve">: Number of </w:t>
      </w:r>
      <w:r w:rsidR="00865114">
        <w:rPr>
          <w:b/>
          <w:sz w:val="24"/>
          <w:szCs w:val="24"/>
        </w:rPr>
        <w:t xml:space="preserve">anticoagulant </w:t>
      </w:r>
      <w:r w:rsidRPr="00A4089F">
        <w:rPr>
          <w:b/>
          <w:sz w:val="24"/>
          <w:szCs w:val="24"/>
        </w:rPr>
        <w:t>prescriptions supplied from 2010 to 2015</w:t>
      </w:r>
      <w:r w:rsidR="003A07EA">
        <w:rPr>
          <w:b/>
          <w:sz w:val="24"/>
          <w:szCs w:val="24"/>
        </w:rPr>
        <w:t xml:space="preserve"> </w:t>
      </w:r>
    </w:p>
    <w:p w:rsidR="00AB4BC7" w:rsidRDefault="002679A9" w:rsidP="00AE5F66">
      <w:pPr>
        <w:pStyle w:val="Figurecaption"/>
        <w:spacing w:before="0" w:after="0"/>
        <w:rPr>
          <w:rStyle w:val="FigurecaptionChar"/>
        </w:rPr>
      </w:pPr>
      <w:r>
        <w:rPr>
          <w:rStyle w:val="FigurecaptionChar"/>
        </w:rPr>
        <w:t>Source: DUSC</w:t>
      </w:r>
      <w:r w:rsidR="004A0B6B">
        <w:rPr>
          <w:rStyle w:val="FigurecaptionChar"/>
        </w:rPr>
        <w:t xml:space="preserve"> and DHS supplied prescription</w:t>
      </w:r>
      <w:r w:rsidR="00115D37">
        <w:rPr>
          <w:rStyle w:val="FigurecaptionChar"/>
        </w:rPr>
        <w:t>s</w:t>
      </w:r>
      <w:r>
        <w:rPr>
          <w:rStyle w:val="FigurecaptionChar"/>
        </w:rPr>
        <w:t xml:space="preserve"> database</w:t>
      </w:r>
      <w:r w:rsidR="004A0B6B">
        <w:rPr>
          <w:rStyle w:val="FigurecaptionChar"/>
        </w:rPr>
        <w:t>s</w:t>
      </w:r>
      <w:r>
        <w:rPr>
          <w:rStyle w:val="FigurecaptionChar"/>
        </w:rPr>
        <w:t xml:space="preserve"> accessed March 2016. </w:t>
      </w:r>
      <w:r w:rsidR="00AB4BC7" w:rsidRPr="006874BA">
        <w:rPr>
          <w:rStyle w:val="FigurecaptionChar"/>
        </w:rPr>
        <w:t xml:space="preserve">Includes </w:t>
      </w:r>
      <w:r w:rsidR="001F6A21">
        <w:rPr>
          <w:rStyle w:val="FigurecaptionChar"/>
        </w:rPr>
        <w:t xml:space="preserve">private estimate, </w:t>
      </w:r>
      <w:r w:rsidR="00AB4BC7" w:rsidRPr="006874BA">
        <w:rPr>
          <w:rStyle w:val="FigurecaptionChar"/>
        </w:rPr>
        <w:t>under co-payment estimate and actual.</w:t>
      </w:r>
      <w:r w:rsidR="00AB4BC7">
        <w:rPr>
          <w:rStyle w:val="FigurecaptionChar"/>
        </w:rPr>
        <w:t xml:space="preserve"> </w:t>
      </w:r>
      <w:r>
        <w:rPr>
          <w:rStyle w:val="FigurecaptionChar"/>
        </w:rPr>
        <w:t xml:space="preserve">Only streamlined authority code 4269 for NVAF and blank codes have been included for NOACs. </w:t>
      </w:r>
    </w:p>
    <w:p w:rsidR="00AE5F66" w:rsidRPr="00AE5F66" w:rsidRDefault="00AE5F66" w:rsidP="00AE5F66">
      <w:pPr>
        <w:pStyle w:val="Figurecaption"/>
        <w:spacing w:after="0"/>
        <w:rPr>
          <w:b/>
          <w:sz w:val="24"/>
          <w:szCs w:val="24"/>
        </w:rPr>
      </w:pPr>
    </w:p>
    <w:p w:rsidR="008F18D6" w:rsidRDefault="00120D85" w:rsidP="008F18D6">
      <w:pPr>
        <w:spacing w:after="0"/>
      </w:pPr>
      <w:r w:rsidRPr="005A6118">
        <w:t xml:space="preserve">Figure </w:t>
      </w:r>
      <w:r w:rsidR="005A6118" w:rsidRPr="005A6118">
        <w:t>1</w:t>
      </w:r>
      <w:r w:rsidRPr="005A6118">
        <w:t xml:space="preserve"> illustrates</w:t>
      </w:r>
      <w:r w:rsidRPr="008F18D6">
        <w:t xml:space="preserve"> the </w:t>
      </w:r>
      <w:r w:rsidR="004A6E0F">
        <w:t>use</w:t>
      </w:r>
      <w:r w:rsidR="004A6E0F" w:rsidRPr="008F18D6">
        <w:t xml:space="preserve"> </w:t>
      </w:r>
      <w:r w:rsidR="002679A9">
        <w:t xml:space="preserve">of </w:t>
      </w:r>
      <w:r w:rsidR="0008141F" w:rsidRPr="008F18D6">
        <w:t xml:space="preserve">warfarin </w:t>
      </w:r>
      <w:r w:rsidR="0008141F">
        <w:t xml:space="preserve">and </w:t>
      </w:r>
      <w:r w:rsidRPr="008F18D6">
        <w:t xml:space="preserve">NOACs </w:t>
      </w:r>
      <w:r w:rsidR="006A7DE7">
        <w:t xml:space="preserve">for the NVAF indication </w:t>
      </w:r>
      <w:r w:rsidRPr="008F18D6">
        <w:t>since 2010. The use of warfarin has declined since th</w:t>
      </w:r>
      <w:r w:rsidR="003A07EA">
        <w:t xml:space="preserve">e listing of the NOACs on the </w:t>
      </w:r>
      <w:r w:rsidRPr="008F18D6">
        <w:t xml:space="preserve">PBS for </w:t>
      </w:r>
      <w:r w:rsidR="003A07EA">
        <w:t>NV</w:t>
      </w:r>
      <w:r w:rsidRPr="008F18D6">
        <w:t xml:space="preserve">AF </w:t>
      </w:r>
      <w:r w:rsidR="00AB7590">
        <w:t>however it</w:t>
      </w:r>
      <w:r w:rsidRPr="008F18D6">
        <w:t xml:space="preserve"> still remains the most </w:t>
      </w:r>
      <w:r w:rsidR="002679A9">
        <w:t>used</w:t>
      </w:r>
      <w:r w:rsidR="00843D13">
        <w:t xml:space="preserve"> anticoagulant</w:t>
      </w:r>
      <w:r w:rsidR="002679A9">
        <w:t xml:space="preserve"> by prescription volume</w:t>
      </w:r>
      <w:r w:rsidRPr="008F18D6">
        <w:t xml:space="preserve">. </w:t>
      </w:r>
      <w:r w:rsidR="00576A4D">
        <w:t xml:space="preserve">The listing of the NOACs appears to have increased the total anticoagulant market. </w:t>
      </w:r>
      <w:r w:rsidR="002679A9">
        <w:t>It</w:t>
      </w:r>
      <w:r w:rsidR="00DC40DB">
        <w:t xml:space="preserve"> should be noted that </w:t>
      </w:r>
      <w:r w:rsidRPr="00843D13">
        <w:t xml:space="preserve">warfarin </w:t>
      </w:r>
      <w:r w:rsidR="00843D13" w:rsidRPr="00843D13">
        <w:t>can be supplied in</w:t>
      </w:r>
      <w:r w:rsidRPr="00843D13">
        <w:t xml:space="preserve"> three </w:t>
      </w:r>
      <w:r w:rsidR="00843D13" w:rsidRPr="00843D13">
        <w:t xml:space="preserve">different </w:t>
      </w:r>
      <w:r w:rsidR="00DC40DB">
        <w:t xml:space="preserve">strengths and </w:t>
      </w:r>
      <w:r w:rsidRPr="00843D13">
        <w:t xml:space="preserve">patients </w:t>
      </w:r>
      <w:r w:rsidR="00843D13" w:rsidRPr="00843D13">
        <w:t>adjust</w:t>
      </w:r>
      <w:r w:rsidRPr="00843D13">
        <w:t xml:space="preserve"> th</w:t>
      </w:r>
      <w:r w:rsidR="00843D13">
        <w:t>eir dose based on their INR. T</w:t>
      </w:r>
      <w:r w:rsidR="00843D13" w:rsidRPr="00843D13">
        <w:t xml:space="preserve">herefore </w:t>
      </w:r>
      <w:r w:rsidR="00843D13">
        <w:t>patients may</w:t>
      </w:r>
      <w:r w:rsidRPr="00843D13">
        <w:t xml:space="preserve"> have all three strengths, i.e. </w:t>
      </w:r>
      <w:r w:rsidR="00843D13" w:rsidRPr="00843D13">
        <w:t xml:space="preserve">three </w:t>
      </w:r>
      <w:r w:rsidR="00843D13">
        <w:t xml:space="preserve">separate </w:t>
      </w:r>
      <w:r w:rsidR="00843D13" w:rsidRPr="00843D13">
        <w:t>prescriptions, dispensed</w:t>
      </w:r>
      <w:r w:rsidR="00843D13">
        <w:t xml:space="preserve"> at any one time</w:t>
      </w:r>
      <w:r w:rsidR="00843D13" w:rsidRPr="00843D13">
        <w:t>.</w:t>
      </w:r>
      <w:r w:rsidRPr="00843D13">
        <w:t xml:space="preserve"> </w:t>
      </w:r>
      <w:r w:rsidR="00843D13">
        <w:t xml:space="preserve">Furthermore, </w:t>
      </w:r>
      <w:r w:rsidRPr="00843D13">
        <w:t>the fluctuations in s</w:t>
      </w:r>
      <w:r w:rsidR="00C14409" w:rsidRPr="00843D13">
        <w:t xml:space="preserve">upply </w:t>
      </w:r>
      <w:r w:rsidR="00843D13" w:rsidRPr="00843D13">
        <w:t xml:space="preserve">seen </w:t>
      </w:r>
      <w:r w:rsidR="00843D13" w:rsidRPr="005A6118">
        <w:t xml:space="preserve">in Figure </w:t>
      </w:r>
      <w:r w:rsidR="005A6118" w:rsidRPr="005A6118">
        <w:t>1</w:t>
      </w:r>
      <w:r w:rsidR="00843D13" w:rsidRPr="005A6118">
        <w:t xml:space="preserve"> may</w:t>
      </w:r>
      <w:r w:rsidR="00843D13" w:rsidRPr="00843D13">
        <w:t xml:space="preserve"> be</w:t>
      </w:r>
      <w:r w:rsidR="00DB60AA" w:rsidRPr="00843D13">
        <w:t xml:space="preserve"> </w:t>
      </w:r>
      <w:r w:rsidR="00C14409" w:rsidRPr="00843D13">
        <w:t xml:space="preserve">due to </w:t>
      </w:r>
      <w:r w:rsidR="00843D13" w:rsidRPr="00843D13">
        <w:t xml:space="preserve">the </w:t>
      </w:r>
      <w:r w:rsidR="00C14409" w:rsidRPr="00843D13">
        <w:t>safety net</w:t>
      </w:r>
      <w:r w:rsidR="00AE5F66">
        <w:t xml:space="preserve"> effect taking place in December each year</w:t>
      </w:r>
      <w:r w:rsidRPr="00843D13">
        <w:t xml:space="preserve">. </w:t>
      </w:r>
    </w:p>
    <w:p w:rsidR="00631607" w:rsidRDefault="00631607" w:rsidP="008F18D6">
      <w:pPr>
        <w:spacing w:after="0"/>
      </w:pPr>
    </w:p>
    <w:p w:rsidR="008F18D6" w:rsidRPr="00CB003C" w:rsidRDefault="008F18D6" w:rsidP="008F18D6">
      <w:pPr>
        <w:spacing w:after="0"/>
        <w:rPr>
          <w:b/>
        </w:rPr>
      </w:pPr>
      <w:r w:rsidRPr="005A6118">
        <w:rPr>
          <w:b/>
        </w:rPr>
        <w:t xml:space="preserve">Table </w:t>
      </w:r>
      <w:r w:rsidR="005A6118">
        <w:rPr>
          <w:b/>
        </w:rPr>
        <w:t>4</w:t>
      </w:r>
      <w:r w:rsidRPr="005A6118">
        <w:rPr>
          <w:b/>
        </w:rPr>
        <w:t xml:space="preserve">: </w:t>
      </w:r>
      <w:r w:rsidR="00356880" w:rsidRPr="005A6118">
        <w:rPr>
          <w:b/>
        </w:rPr>
        <w:t>Total</w:t>
      </w:r>
      <w:r w:rsidR="00356880" w:rsidRPr="00CB003C">
        <w:rPr>
          <w:b/>
        </w:rPr>
        <w:t xml:space="preserve"> n</w:t>
      </w:r>
      <w:r w:rsidRPr="00CB003C">
        <w:rPr>
          <w:b/>
        </w:rPr>
        <w:t>umber of PBS subsidised NOAC prescriptions supplied</w:t>
      </w:r>
      <w:r w:rsidR="00773D69" w:rsidRPr="00CB003C">
        <w:rPr>
          <w:b/>
        </w:rPr>
        <w:t xml:space="preserve"> for NVAF indication</w:t>
      </w:r>
    </w:p>
    <w:tbl>
      <w:tblPr>
        <w:tblStyle w:val="TableGrid"/>
        <w:tblW w:w="0" w:type="auto"/>
        <w:tblLook w:val="04A0" w:firstRow="1" w:lastRow="0" w:firstColumn="1" w:lastColumn="0" w:noHBand="0" w:noVBand="1"/>
        <w:tblCaption w:val="Total number of PBS subsidised NOAC prescriptions supplied for NVAF indication"/>
        <w:tblDescription w:val="A table indicating the Total number of PBS subsidised NOAC prescriptions supplied for NVAF indication in each year from 2013 to 2015"/>
      </w:tblPr>
      <w:tblGrid>
        <w:gridCol w:w="1101"/>
        <w:gridCol w:w="2693"/>
      </w:tblGrid>
      <w:tr w:rsidR="00CB003C" w:rsidRPr="00CB003C" w:rsidTr="00D57CDE">
        <w:trPr>
          <w:tblHeader/>
        </w:trPr>
        <w:tc>
          <w:tcPr>
            <w:tcW w:w="1101" w:type="dxa"/>
            <w:shd w:val="clear" w:color="auto" w:fill="BFBFBF" w:themeFill="background1" w:themeFillShade="BF"/>
          </w:tcPr>
          <w:p w:rsidR="008F18D6" w:rsidRPr="00CB003C" w:rsidRDefault="008F18D6" w:rsidP="00A11B4D">
            <w:pPr>
              <w:jc w:val="center"/>
              <w:rPr>
                <w:b/>
                <w:sz w:val="22"/>
                <w:szCs w:val="22"/>
              </w:rPr>
            </w:pPr>
            <w:r w:rsidRPr="00CB003C">
              <w:rPr>
                <w:b/>
                <w:sz w:val="22"/>
                <w:szCs w:val="22"/>
              </w:rPr>
              <w:t>Year</w:t>
            </w:r>
          </w:p>
        </w:tc>
        <w:tc>
          <w:tcPr>
            <w:tcW w:w="2693" w:type="dxa"/>
            <w:shd w:val="clear" w:color="auto" w:fill="BFBFBF" w:themeFill="background1" w:themeFillShade="BF"/>
          </w:tcPr>
          <w:p w:rsidR="008F18D6" w:rsidRPr="00CB003C" w:rsidRDefault="008F18D6" w:rsidP="00A11B4D">
            <w:pPr>
              <w:jc w:val="center"/>
              <w:rPr>
                <w:b/>
                <w:sz w:val="22"/>
                <w:szCs w:val="22"/>
              </w:rPr>
            </w:pPr>
            <w:r w:rsidRPr="00CB003C">
              <w:rPr>
                <w:b/>
                <w:sz w:val="22"/>
                <w:szCs w:val="22"/>
              </w:rPr>
              <w:t>Number of prescriptions</w:t>
            </w:r>
          </w:p>
        </w:tc>
      </w:tr>
      <w:tr w:rsidR="00BA0A17" w:rsidRPr="00CB003C" w:rsidTr="00284E0E">
        <w:tc>
          <w:tcPr>
            <w:tcW w:w="1101" w:type="dxa"/>
          </w:tcPr>
          <w:p w:rsidR="00BA0A17" w:rsidRPr="00E80582" w:rsidRDefault="00BA0A17" w:rsidP="00A11B4D">
            <w:pPr>
              <w:rPr>
                <w:sz w:val="20"/>
                <w:szCs w:val="20"/>
              </w:rPr>
            </w:pPr>
            <w:r w:rsidRPr="00E80582">
              <w:rPr>
                <w:sz w:val="20"/>
                <w:szCs w:val="20"/>
              </w:rPr>
              <w:t>2013</w:t>
            </w:r>
            <w:r w:rsidRPr="00E80582">
              <w:rPr>
                <w:sz w:val="20"/>
                <w:szCs w:val="20"/>
                <w:vertAlign w:val="superscript"/>
              </w:rPr>
              <w:t>Ɨ</w:t>
            </w:r>
          </w:p>
        </w:tc>
        <w:tc>
          <w:tcPr>
            <w:tcW w:w="2693" w:type="dxa"/>
            <w:vAlign w:val="center"/>
          </w:tcPr>
          <w:p w:rsidR="00BA0A17" w:rsidRPr="00BA0A17" w:rsidRDefault="00BA0A17" w:rsidP="00BC71B7">
            <w:pPr>
              <w:jc w:val="right"/>
              <w:rPr>
                <w:rFonts w:ascii="Calibri" w:hAnsi="Calibri"/>
                <w:bCs/>
                <w:sz w:val="20"/>
                <w:szCs w:val="20"/>
              </w:rPr>
            </w:pPr>
            <w:r w:rsidRPr="00BA0A17">
              <w:rPr>
                <w:rFonts w:ascii="Calibri" w:hAnsi="Calibri"/>
                <w:sz w:val="20"/>
                <w:szCs w:val="20"/>
              </w:rPr>
              <w:t>183,474</w:t>
            </w:r>
          </w:p>
        </w:tc>
      </w:tr>
      <w:tr w:rsidR="00BA0A17" w:rsidRPr="00CB003C" w:rsidTr="00284E0E">
        <w:tc>
          <w:tcPr>
            <w:tcW w:w="1101" w:type="dxa"/>
          </w:tcPr>
          <w:p w:rsidR="00BA0A17" w:rsidRPr="00E80582" w:rsidRDefault="00BA0A17" w:rsidP="00A11B4D">
            <w:pPr>
              <w:rPr>
                <w:sz w:val="20"/>
                <w:szCs w:val="20"/>
              </w:rPr>
            </w:pPr>
            <w:r w:rsidRPr="00E80582">
              <w:rPr>
                <w:sz w:val="20"/>
                <w:szCs w:val="20"/>
              </w:rPr>
              <w:t>2014</w:t>
            </w:r>
          </w:p>
        </w:tc>
        <w:tc>
          <w:tcPr>
            <w:tcW w:w="2693" w:type="dxa"/>
            <w:vAlign w:val="center"/>
          </w:tcPr>
          <w:p w:rsidR="00BA0A17" w:rsidRPr="00BA0A17" w:rsidRDefault="00BA0A17" w:rsidP="00BC71B7">
            <w:pPr>
              <w:jc w:val="right"/>
              <w:rPr>
                <w:rFonts w:ascii="Calibri" w:hAnsi="Calibri"/>
                <w:bCs/>
                <w:sz w:val="20"/>
                <w:szCs w:val="20"/>
              </w:rPr>
            </w:pPr>
            <w:r w:rsidRPr="00BA0A17">
              <w:rPr>
                <w:rFonts w:ascii="Calibri" w:hAnsi="Calibri"/>
                <w:sz w:val="20"/>
                <w:szCs w:val="20"/>
              </w:rPr>
              <w:t>1,061,580</w:t>
            </w:r>
          </w:p>
        </w:tc>
      </w:tr>
      <w:tr w:rsidR="00BA0A17" w:rsidRPr="00CB003C" w:rsidTr="00284E0E">
        <w:tc>
          <w:tcPr>
            <w:tcW w:w="1101" w:type="dxa"/>
          </w:tcPr>
          <w:p w:rsidR="00BA0A17" w:rsidRPr="00E80582" w:rsidRDefault="00BA0A17" w:rsidP="00A11B4D">
            <w:pPr>
              <w:rPr>
                <w:sz w:val="20"/>
                <w:szCs w:val="20"/>
              </w:rPr>
            </w:pPr>
            <w:r w:rsidRPr="00E80582">
              <w:rPr>
                <w:sz w:val="20"/>
                <w:szCs w:val="20"/>
              </w:rPr>
              <w:t>2015</w:t>
            </w:r>
          </w:p>
        </w:tc>
        <w:tc>
          <w:tcPr>
            <w:tcW w:w="2693" w:type="dxa"/>
            <w:vAlign w:val="center"/>
          </w:tcPr>
          <w:p w:rsidR="00BA0A17" w:rsidRPr="00BA0A17" w:rsidRDefault="00BA0A17" w:rsidP="00BC71B7">
            <w:pPr>
              <w:jc w:val="right"/>
              <w:rPr>
                <w:rFonts w:ascii="Calibri" w:hAnsi="Calibri"/>
                <w:bCs/>
                <w:sz w:val="20"/>
                <w:szCs w:val="20"/>
              </w:rPr>
            </w:pPr>
            <w:r w:rsidRPr="00BA0A17">
              <w:rPr>
                <w:rFonts w:ascii="Calibri" w:hAnsi="Calibri"/>
                <w:sz w:val="20"/>
                <w:szCs w:val="20"/>
              </w:rPr>
              <w:t>1,604,242</w:t>
            </w:r>
          </w:p>
        </w:tc>
      </w:tr>
    </w:tbl>
    <w:p w:rsidR="00356880" w:rsidRPr="00CB003C" w:rsidRDefault="00356880" w:rsidP="00356880">
      <w:pPr>
        <w:spacing w:after="0"/>
        <w:rPr>
          <w:sz w:val="20"/>
          <w:szCs w:val="20"/>
        </w:rPr>
      </w:pPr>
      <w:r w:rsidRPr="00CB003C">
        <w:rPr>
          <w:sz w:val="20"/>
          <w:szCs w:val="20"/>
        </w:rPr>
        <w:t xml:space="preserve">Source: </w:t>
      </w:r>
      <w:r w:rsidR="001F6A21" w:rsidRPr="00CB003C">
        <w:rPr>
          <w:rStyle w:val="FigurecaptionChar"/>
        </w:rPr>
        <w:t xml:space="preserve">DHS </w:t>
      </w:r>
      <w:r w:rsidR="00115D37">
        <w:rPr>
          <w:rStyle w:val="FigurecaptionChar"/>
        </w:rPr>
        <w:t>supplied prescriptions</w:t>
      </w:r>
      <w:r w:rsidR="00115D37" w:rsidRPr="00CB003C">
        <w:rPr>
          <w:rStyle w:val="FigurecaptionChar"/>
        </w:rPr>
        <w:t xml:space="preserve"> </w:t>
      </w:r>
      <w:r w:rsidR="001F6A21" w:rsidRPr="00CB003C">
        <w:rPr>
          <w:rStyle w:val="FigurecaptionChar"/>
        </w:rPr>
        <w:t>database</w:t>
      </w:r>
      <w:r w:rsidR="001F6A21" w:rsidRPr="00CB003C">
        <w:rPr>
          <w:sz w:val="20"/>
          <w:szCs w:val="20"/>
        </w:rPr>
        <w:t xml:space="preserve"> </w:t>
      </w:r>
      <w:r w:rsidRPr="00CB003C">
        <w:rPr>
          <w:sz w:val="20"/>
          <w:szCs w:val="20"/>
        </w:rPr>
        <w:t>accessed March 2016.</w:t>
      </w:r>
      <w:r w:rsidR="00E80582">
        <w:rPr>
          <w:sz w:val="20"/>
          <w:szCs w:val="20"/>
        </w:rPr>
        <w:t xml:space="preserve"> Only streamlined authority code 4269 has been selected</w:t>
      </w:r>
      <w:r w:rsidR="0005233C">
        <w:rPr>
          <w:sz w:val="20"/>
          <w:szCs w:val="20"/>
        </w:rPr>
        <w:t>.</w:t>
      </w:r>
    </w:p>
    <w:p w:rsidR="00877335" w:rsidRPr="00E80582" w:rsidRDefault="00877335" w:rsidP="00356880">
      <w:pPr>
        <w:spacing w:after="0"/>
        <w:rPr>
          <w:sz w:val="20"/>
          <w:szCs w:val="20"/>
        </w:rPr>
      </w:pPr>
      <w:r w:rsidRPr="00E80582">
        <w:rPr>
          <w:sz w:val="20"/>
          <w:szCs w:val="20"/>
          <w:vertAlign w:val="superscript"/>
        </w:rPr>
        <w:t xml:space="preserve">Ɨ </w:t>
      </w:r>
      <w:r w:rsidRPr="00E80582">
        <w:rPr>
          <w:sz w:val="20"/>
          <w:szCs w:val="20"/>
        </w:rPr>
        <w:t>NOACs first listed on PBS in August and September 2013</w:t>
      </w:r>
      <w:r w:rsidR="00CB003C" w:rsidRPr="00E80582">
        <w:rPr>
          <w:sz w:val="20"/>
          <w:szCs w:val="20"/>
        </w:rPr>
        <w:t xml:space="preserve"> therefore data is </w:t>
      </w:r>
      <w:r w:rsidR="00E440C5">
        <w:rPr>
          <w:sz w:val="20"/>
          <w:szCs w:val="20"/>
        </w:rPr>
        <w:t>part-</w:t>
      </w:r>
      <w:r w:rsidR="00E80582">
        <w:rPr>
          <w:sz w:val="20"/>
          <w:szCs w:val="20"/>
        </w:rPr>
        <w:t xml:space="preserve">year </w:t>
      </w:r>
    </w:p>
    <w:p w:rsidR="00356880" w:rsidRPr="004F4ADE" w:rsidRDefault="00356880" w:rsidP="00AE5F66">
      <w:pPr>
        <w:spacing w:after="0"/>
        <w:rPr>
          <w:b/>
          <w:color w:val="FF0000"/>
        </w:rPr>
      </w:pPr>
    </w:p>
    <w:p w:rsidR="0017262D" w:rsidRDefault="0017262D" w:rsidP="00AE5F66">
      <w:pPr>
        <w:spacing w:after="0"/>
        <w:rPr>
          <w:b/>
          <w:i/>
        </w:rPr>
      </w:pPr>
    </w:p>
    <w:p w:rsidR="0017262D" w:rsidRDefault="0017262D" w:rsidP="00AE5F66">
      <w:pPr>
        <w:spacing w:after="0"/>
        <w:rPr>
          <w:b/>
          <w:i/>
        </w:rPr>
      </w:pPr>
    </w:p>
    <w:p w:rsidR="0064758C" w:rsidRPr="003567A7" w:rsidRDefault="0064758C" w:rsidP="00AE5F66">
      <w:pPr>
        <w:spacing w:after="0"/>
        <w:rPr>
          <w:b/>
          <w:i/>
        </w:rPr>
      </w:pPr>
      <w:r w:rsidRPr="003567A7">
        <w:rPr>
          <w:b/>
          <w:i/>
        </w:rPr>
        <w:lastRenderedPageBreak/>
        <w:t xml:space="preserve">Utilisation </w:t>
      </w:r>
      <w:r w:rsidR="008B4590" w:rsidRPr="003567A7">
        <w:rPr>
          <w:b/>
          <w:i/>
        </w:rPr>
        <w:t>by</w:t>
      </w:r>
      <w:r w:rsidRPr="003567A7">
        <w:rPr>
          <w:b/>
          <w:i/>
        </w:rPr>
        <w:t xml:space="preserve"> individual NOACs</w:t>
      </w:r>
    </w:p>
    <w:p w:rsidR="004655C9" w:rsidRDefault="004655C9" w:rsidP="00AE5F66">
      <w:pPr>
        <w:spacing w:after="0"/>
      </w:pPr>
    </w:p>
    <w:p w:rsidR="0064758C" w:rsidRDefault="004655C9" w:rsidP="00AE5F66">
      <w:pPr>
        <w:spacing w:after="0"/>
      </w:pPr>
      <w:r w:rsidRPr="004655C9">
        <w:t xml:space="preserve">The first NOAC listing on the PBS for use in NVAF was in August 2013. Figure 2 depicts the </w:t>
      </w:r>
      <w:r w:rsidR="0005233C">
        <w:t>number of NOAC prescriptions</w:t>
      </w:r>
      <w:r w:rsidRPr="004655C9">
        <w:t xml:space="preserve"> supplied by strength over a two year period from the first PBS listing.</w:t>
      </w:r>
    </w:p>
    <w:p w:rsidR="004655C9" w:rsidRPr="004655C9" w:rsidRDefault="004655C9" w:rsidP="00AE5F66">
      <w:pPr>
        <w:spacing w:after="0"/>
        <w:rPr>
          <w:color w:val="FF0000"/>
          <w:highlight w:val="yellow"/>
        </w:rPr>
      </w:pPr>
    </w:p>
    <w:p w:rsidR="00977F24" w:rsidRPr="00977F24" w:rsidRDefault="0017262D" w:rsidP="00B05661">
      <w:pPr>
        <w:spacing w:after="0"/>
      </w:pPr>
      <w:r>
        <w:rPr>
          <w:noProof/>
        </w:rPr>
        <w:drawing>
          <wp:inline distT="0" distB="0" distL="0" distR="0" wp14:anchorId="13D6E56B" wp14:editId="50F7C194">
            <wp:extent cx="5153025" cy="3400425"/>
            <wp:effectExtent l="0" t="0" r="9525" b="9525"/>
            <wp:docPr id="2" name="Picture 2" descr="A graph depicting the number of NOAC prescriptions supplied by drug and strength from August 2013 to December 2015 for NVAF indication " title="Number of NOAC prescriptions supplied by drug and strength from August 2013 to December 2015 for NVAF ind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53025" cy="3400425"/>
                    </a:xfrm>
                    <a:prstGeom prst="rect">
                      <a:avLst/>
                    </a:prstGeom>
                  </pic:spPr>
                </pic:pic>
              </a:graphicData>
            </a:graphic>
          </wp:inline>
        </w:drawing>
      </w:r>
    </w:p>
    <w:p w:rsidR="006F55B2" w:rsidRDefault="006F55B2" w:rsidP="00B05661">
      <w:pPr>
        <w:spacing w:after="0"/>
        <w:rPr>
          <w:b/>
        </w:rPr>
      </w:pPr>
      <w:r w:rsidRPr="005A6118">
        <w:rPr>
          <w:b/>
        </w:rPr>
        <w:t xml:space="preserve">Figure </w:t>
      </w:r>
      <w:r w:rsidR="005A6118" w:rsidRPr="005A6118">
        <w:rPr>
          <w:b/>
        </w:rPr>
        <w:t>2</w:t>
      </w:r>
      <w:r w:rsidRPr="00A4089F">
        <w:rPr>
          <w:b/>
        </w:rPr>
        <w:t xml:space="preserve">: Number of NOAC prescriptions supplied by </w:t>
      </w:r>
      <w:r w:rsidR="00BA57CC">
        <w:rPr>
          <w:b/>
        </w:rPr>
        <w:t xml:space="preserve">drug and </w:t>
      </w:r>
      <w:r w:rsidRPr="00A4089F">
        <w:rPr>
          <w:b/>
        </w:rPr>
        <w:t xml:space="preserve">strength from </w:t>
      </w:r>
      <w:r w:rsidR="00946B16">
        <w:rPr>
          <w:b/>
        </w:rPr>
        <w:t xml:space="preserve">August </w:t>
      </w:r>
      <w:r w:rsidRPr="00A4089F">
        <w:rPr>
          <w:b/>
        </w:rPr>
        <w:t xml:space="preserve">2013 to </w:t>
      </w:r>
      <w:r w:rsidR="00946B16">
        <w:rPr>
          <w:b/>
        </w:rPr>
        <w:t xml:space="preserve">December </w:t>
      </w:r>
      <w:r w:rsidRPr="00A4089F">
        <w:rPr>
          <w:b/>
        </w:rPr>
        <w:t>2</w:t>
      </w:r>
      <w:r w:rsidR="00946B16">
        <w:rPr>
          <w:b/>
        </w:rPr>
        <w:t xml:space="preserve">015 </w:t>
      </w:r>
      <w:r w:rsidR="00177A07">
        <w:rPr>
          <w:b/>
        </w:rPr>
        <w:t xml:space="preserve">for </w:t>
      </w:r>
      <w:r w:rsidR="004B5B30">
        <w:rPr>
          <w:b/>
        </w:rPr>
        <w:t>NVAF</w:t>
      </w:r>
      <w:r w:rsidR="008D63BB">
        <w:rPr>
          <w:b/>
        </w:rPr>
        <w:t xml:space="preserve"> indication </w:t>
      </w:r>
    </w:p>
    <w:p w:rsidR="00BA57CC" w:rsidRPr="00CB003C" w:rsidRDefault="00BA57CC" w:rsidP="00BA57CC">
      <w:pPr>
        <w:spacing w:after="0"/>
        <w:rPr>
          <w:sz w:val="20"/>
          <w:szCs w:val="20"/>
        </w:rPr>
      </w:pPr>
      <w:r w:rsidRPr="00356880">
        <w:rPr>
          <w:sz w:val="20"/>
          <w:szCs w:val="20"/>
        </w:rPr>
        <w:t xml:space="preserve">Source: </w:t>
      </w:r>
      <w:r>
        <w:rPr>
          <w:rStyle w:val="FigurecaptionChar"/>
        </w:rPr>
        <w:t xml:space="preserve">DUSC </w:t>
      </w:r>
      <w:r w:rsidR="0005233C">
        <w:rPr>
          <w:rStyle w:val="FigurecaptionChar"/>
        </w:rPr>
        <w:t xml:space="preserve">and DHS </w:t>
      </w:r>
      <w:r w:rsidR="00115D37">
        <w:rPr>
          <w:rStyle w:val="FigurecaptionChar"/>
        </w:rPr>
        <w:t xml:space="preserve">supplied prescriptions </w:t>
      </w:r>
      <w:r w:rsidRPr="0030713E">
        <w:rPr>
          <w:rStyle w:val="FigurecaptionChar"/>
        </w:rPr>
        <w:t>database</w:t>
      </w:r>
      <w:r w:rsidR="0005233C">
        <w:rPr>
          <w:rStyle w:val="FigurecaptionChar"/>
        </w:rPr>
        <w:t>s</w:t>
      </w:r>
      <w:r w:rsidRPr="00356880">
        <w:rPr>
          <w:sz w:val="20"/>
          <w:szCs w:val="20"/>
        </w:rPr>
        <w:t xml:space="preserve"> accessed </w:t>
      </w:r>
      <w:r>
        <w:rPr>
          <w:sz w:val="20"/>
          <w:szCs w:val="20"/>
        </w:rPr>
        <w:t>March</w:t>
      </w:r>
      <w:r w:rsidRPr="00356880">
        <w:rPr>
          <w:sz w:val="20"/>
          <w:szCs w:val="20"/>
        </w:rPr>
        <w:t xml:space="preserve"> 2016.</w:t>
      </w:r>
      <w:r>
        <w:rPr>
          <w:sz w:val="20"/>
          <w:szCs w:val="20"/>
        </w:rPr>
        <w:t xml:space="preserve"> </w:t>
      </w:r>
      <w:r w:rsidR="00F65BDF" w:rsidRPr="00356880">
        <w:rPr>
          <w:sz w:val="20"/>
          <w:szCs w:val="20"/>
        </w:rPr>
        <w:t xml:space="preserve">Prescriptions by date of supply. </w:t>
      </w:r>
      <w:r>
        <w:rPr>
          <w:sz w:val="20"/>
          <w:szCs w:val="20"/>
        </w:rPr>
        <w:t xml:space="preserve">Only streamlined authority code 4269 has been selected. </w:t>
      </w:r>
    </w:p>
    <w:p w:rsidR="00977F24" w:rsidRDefault="0045134B" w:rsidP="00CF5E22">
      <w:pPr>
        <w:pStyle w:val="Heading3"/>
        <w:rPr>
          <w:b w:val="0"/>
          <w:i w:val="0"/>
        </w:rPr>
      </w:pPr>
      <w:r>
        <w:rPr>
          <w:b w:val="0"/>
          <w:i w:val="0"/>
        </w:rPr>
        <w:t>T</w:t>
      </w:r>
      <w:r w:rsidR="00977F24">
        <w:rPr>
          <w:b w:val="0"/>
          <w:i w:val="0"/>
        </w:rPr>
        <w:t xml:space="preserve">he </w:t>
      </w:r>
      <w:r>
        <w:rPr>
          <w:b w:val="0"/>
          <w:i w:val="0"/>
        </w:rPr>
        <w:t>most commonly supplied NOAC</w:t>
      </w:r>
      <w:r w:rsidR="00977F24">
        <w:rPr>
          <w:b w:val="0"/>
          <w:i w:val="0"/>
        </w:rPr>
        <w:t xml:space="preserve"> </w:t>
      </w:r>
      <w:r w:rsidR="009E4606">
        <w:rPr>
          <w:b w:val="0"/>
          <w:i w:val="0"/>
        </w:rPr>
        <w:t xml:space="preserve">by drug and strength </w:t>
      </w:r>
      <w:r>
        <w:rPr>
          <w:b w:val="0"/>
          <w:i w:val="0"/>
        </w:rPr>
        <w:t>was</w:t>
      </w:r>
      <w:r w:rsidR="00977F24">
        <w:rPr>
          <w:b w:val="0"/>
          <w:i w:val="0"/>
        </w:rPr>
        <w:t xml:space="preserve"> rivaroxaban 20mg. </w:t>
      </w:r>
      <w:r w:rsidR="004655C9">
        <w:rPr>
          <w:b w:val="0"/>
          <w:i w:val="0"/>
        </w:rPr>
        <w:t xml:space="preserve">Use of apixaban is increasing rapidly. </w:t>
      </w:r>
    </w:p>
    <w:p w:rsidR="004A5E8C" w:rsidRDefault="004655C9" w:rsidP="004655C9">
      <w:pPr>
        <w:pStyle w:val="Heading3"/>
        <w:rPr>
          <w:b w:val="0"/>
        </w:rPr>
      </w:pPr>
      <w:r w:rsidRPr="005A6118">
        <w:rPr>
          <w:b w:val="0"/>
          <w:i w:val="0"/>
        </w:rPr>
        <w:t xml:space="preserve">Table </w:t>
      </w:r>
      <w:r>
        <w:rPr>
          <w:b w:val="0"/>
          <w:i w:val="0"/>
        </w:rPr>
        <w:t>5</w:t>
      </w:r>
      <w:r w:rsidRPr="005A6118">
        <w:rPr>
          <w:b w:val="0"/>
          <w:i w:val="0"/>
        </w:rPr>
        <w:t xml:space="preserve"> indicates</w:t>
      </w:r>
      <w:r>
        <w:rPr>
          <w:b w:val="0"/>
          <w:i w:val="0"/>
        </w:rPr>
        <w:t xml:space="preserve"> the number of prescriptions supplied for the NOACs based on the strength of the drug since being listed on the PBS for NVAF. Both apixaban and rivaroxaban had the higher doses supplied the most, while for dabigatran the lower dose was supplied more often. </w:t>
      </w:r>
    </w:p>
    <w:p w:rsidR="006E2A66" w:rsidRDefault="006E2A66" w:rsidP="006E2A66">
      <w:pPr>
        <w:spacing w:after="0"/>
        <w:rPr>
          <w:b/>
        </w:rPr>
      </w:pPr>
      <w:r w:rsidRPr="005A6118">
        <w:rPr>
          <w:b/>
        </w:rPr>
        <w:t xml:space="preserve">Table </w:t>
      </w:r>
      <w:r w:rsidR="005A6118">
        <w:rPr>
          <w:b/>
        </w:rPr>
        <w:t>5</w:t>
      </w:r>
      <w:r w:rsidRPr="005A6118">
        <w:rPr>
          <w:b/>
        </w:rPr>
        <w:t>:</w:t>
      </w:r>
      <w:r>
        <w:rPr>
          <w:b/>
        </w:rPr>
        <w:t xml:space="preserve"> </w:t>
      </w:r>
      <w:r w:rsidR="009E4606">
        <w:rPr>
          <w:b/>
        </w:rPr>
        <w:t>NOAC</w:t>
      </w:r>
      <w:r>
        <w:rPr>
          <w:b/>
        </w:rPr>
        <w:t xml:space="preserve"> prescriptions supplied by </w:t>
      </w:r>
      <w:r w:rsidR="00BC0521">
        <w:rPr>
          <w:b/>
        </w:rPr>
        <w:t xml:space="preserve">drug and </w:t>
      </w:r>
      <w:r>
        <w:rPr>
          <w:b/>
        </w:rPr>
        <w:t>strength from August 2013 to De</w:t>
      </w:r>
      <w:r w:rsidR="00FE5FCB">
        <w:rPr>
          <w:b/>
        </w:rPr>
        <w:t>cember 2015 for NVAF indication</w:t>
      </w:r>
    </w:p>
    <w:tbl>
      <w:tblPr>
        <w:tblStyle w:val="TableGrid"/>
        <w:tblW w:w="0" w:type="auto"/>
        <w:tblLook w:val="04A0" w:firstRow="1" w:lastRow="0" w:firstColumn="1" w:lastColumn="0" w:noHBand="0" w:noVBand="1"/>
        <w:tblCaption w:val="NOAC prescriptions supplied by drug and strength from August 2013 to December 2015 for NVAF indication"/>
        <w:tblDescription w:val="A table of NOAC prescriptions supplied by drug and strength from August 2013 to December 2015 for NVAF indication. Presented by prescription numbers and percentage use for that drug, split by strength."/>
      </w:tblPr>
      <w:tblGrid>
        <w:gridCol w:w="1299"/>
        <w:gridCol w:w="1077"/>
        <w:gridCol w:w="998"/>
        <w:gridCol w:w="1129"/>
        <w:gridCol w:w="1138"/>
        <w:gridCol w:w="1130"/>
        <w:gridCol w:w="1134"/>
      </w:tblGrid>
      <w:tr w:rsidR="009E4606" w:rsidTr="00D57CDE">
        <w:trPr>
          <w:tblHeader/>
        </w:trPr>
        <w:tc>
          <w:tcPr>
            <w:tcW w:w="1299" w:type="dxa"/>
            <w:tcBorders>
              <w:top w:val="nil"/>
              <w:left w:val="nil"/>
              <w:bottom w:val="nil"/>
            </w:tcBorders>
          </w:tcPr>
          <w:p w:rsidR="009E4606" w:rsidRPr="009E4606" w:rsidRDefault="009E4606" w:rsidP="006E2A66">
            <w:pPr>
              <w:rPr>
                <w:b/>
                <w:sz w:val="20"/>
                <w:szCs w:val="20"/>
              </w:rPr>
            </w:pPr>
          </w:p>
        </w:tc>
        <w:tc>
          <w:tcPr>
            <w:tcW w:w="2075" w:type="dxa"/>
            <w:gridSpan w:val="2"/>
            <w:shd w:val="clear" w:color="auto" w:fill="BFBFBF" w:themeFill="background1" w:themeFillShade="BF"/>
          </w:tcPr>
          <w:p w:rsidR="009E4606" w:rsidRPr="009E4606" w:rsidRDefault="009E4606" w:rsidP="009E4606">
            <w:pPr>
              <w:jc w:val="center"/>
              <w:rPr>
                <w:b/>
                <w:sz w:val="20"/>
                <w:szCs w:val="20"/>
              </w:rPr>
            </w:pPr>
            <w:r w:rsidRPr="009E4606">
              <w:rPr>
                <w:b/>
                <w:sz w:val="20"/>
                <w:szCs w:val="20"/>
              </w:rPr>
              <w:t>Apixaban</w:t>
            </w:r>
          </w:p>
        </w:tc>
        <w:tc>
          <w:tcPr>
            <w:tcW w:w="2267" w:type="dxa"/>
            <w:gridSpan w:val="2"/>
            <w:shd w:val="clear" w:color="auto" w:fill="BFBFBF" w:themeFill="background1" w:themeFillShade="BF"/>
          </w:tcPr>
          <w:p w:rsidR="009E4606" w:rsidRPr="009E4606" w:rsidRDefault="009E4606" w:rsidP="009E4606">
            <w:pPr>
              <w:jc w:val="center"/>
              <w:rPr>
                <w:b/>
                <w:sz w:val="20"/>
                <w:szCs w:val="20"/>
              </w:rPr>
            </w:pPr>
            <w:r w:rsidRPr="009E4606">
              <w:rPr>
                <w:b/>
                <w:sz w:val="20"/>
                <w:szCs w:val="20"/>
              </w:rPr>
              <w:t>Dabigatran</w:t>
            </w:r>
          </w:p>
        </w:tc>
        <w:tc>
          <w:tcPr>
            <w:tcW w:w="2264" w:type="dxa"/>
            <w:gridSpan w:val="2"/>
            <w:shd w:val="clear" w:color="auto" w:fill="BFBFBF" w:themeFill="background1" w:themeFillShade="BF"/>
          </w:tcPr>
          <w:p w:rsidR="009E4606" w:rsidRPr="009E4606" w:rsidRDefault="009E4606" w:rsidP="009E4606">
            <w:pPr>
              <w:jc w:val="center"/>
              <w:rPr>
                <w:b/>
                <w:sz w:val="20"/>
                <w:szCs w:val="20"/>
              </w:rPr>
            </w:pPr>
            <w:r w:rsidRPr="009E4606">
              <w:rPr>
                <w:b/>
                <w:sz w:val="20"/>
                <w:szCs w:val="20"/>
              </w:rPr>
              <w:t>Rivaroxaban</w:t>
            </w:r>
          </w:p>
        </w:tc>
      </w:tr>
      <w:tr w:rsidR="009E4606" w:rsidTr="0005233C">
        <w:tc>
          <w:tcPr>
            <w:tcW w:w="1299" w:type="dxa"/>
            <w:tcBorders>
              <w:top w:val="nil"/>
              <w:left w:val="nil"/>
            </w:tcBorders>
          </w:tcPr>
          <w:p w:rsidR="009E4606" w:rsidRPr="009E4606" w:rsidRDefault="009E4606" w:rsidP="006E2A66">
            <w:pPr>
              <w:rPr>
                <w:b/>
                <w:sz w:val="20"/>
                <w:szCs w:val="20"/>
              </w:rPr>
            </w:pPr>
          </w:p>
        </w:tc>
        <w:tc>
          <w:tcPr>
            <w:tcW w:w="1077" w:type="dxa"/>
            <w:shd w:val="clear" w:color="auto" w:fill="BFBFBF" w:themeFill="background1" w:themeFillShade="BF"/>
          </w:tcPr>
          <w:p w:rsidR="009E4606" w:rsidRPr="009E4606" w:rsidRDefault="009E4606" w:rsidP="009E4606">
            <w:pPr>
              <w:jc w:val="center"/>
              <w:rPr>
                <w:b/>
                <w:sz w:val="20"/>
                <w:szCs w:val="20"/>
              </w:rPr>
            </w:pPr>
            <w:r w:rsidRPr="009E4606">
              <w:rPr>
                <w:b/>
                <w:sz w:val="20"/>
                <w:szCs w:val="20"/>
              </w:rPr>
              <w:t>2.5mg</w:t>
            </w:r>
          </w:p>
        </w:tc>
        <w:tc>
          <w:tcPr>
            <w:tcW w:w="998" w:type="dxa"/>
            <w:shd w:val="clear" w:color="auto" w:fill="BFBFBF" w:themeFill="background1" w:themeFillShade="BF"/>
          </w:tcPr>
          <w:p w:rsidR="009E4606" w:rsidRPr="009E4606" w:rsidRDefault="009E4606" w:rsidP="009E4606">
            <w:pPr>
              <w:jc w:val="center"/>
              <w:rPr>
                <w:b/>
                <w:sz w:val="20"/>
                <w:szCs w:val="20"/>
              </w:rPr>
            </w:pPr>
            <w:r w:rsidRPr="009E4606">
              <w:rPr>
                <w:b/>
                <w:sz w:val="20"/>
                <w:szCs w:val="20"/>
              </w:rPr>
              <w:t>5mg</w:t>
            </w:r>
          </w:p>
        </w:tc>
        <w:tc>
          <w:tcPr>
            <w:tcW w:w="1129" w:type="dxa"/>
            <w:shd w:val="clear" w:color="auto" w:fill="BFBFBF" w:themeFill="background1" w:themeFillShade="BF"/>
          </w:tcPr>
          <w:p w:rsidR="009E4606" w:rsidRPr="009E4606" w:rsidRDefault="009E4606" w:rsidP="009E4606">
            <w:pPr>
              <w:jc w:val="center"/>
              <w:rPr>
                <w:b/>
                <w:sz w:val="20"/>
                <w:szCs w:val="20"/>
              </w:rPr>
            </w:pPr>
            <w:r w:rsidRPr="009E4606">
              <w:rPr>
                <w:b/>
                <w:sz w:val="20"/>
                <w:szCs w:val="20"/>
              </w:rPr>
              <w:t>110mg</w:t>
            </w:r>
          </w:p>
        </w:tc>
        <w:tc>
          <w:tcPr>
            <w:tcW w:w="1138" w:type="dxa"/>
            <w:shd w:val="clear" w:color="auto" w:fill="BFBFBF" w:themeFill="background1" w:themeFillShade="BF"/>
          </w:tcPr>
          <w:p w:rsidR="009E4606" w:rsidRPr="009E4606" w:rsidRDefault="009E4606" w:rsidP="009E4606">
            <w:pPr>
              <w:jc w:val="center"/>
              <w:rPr>
                <w:b/>
                <w:sz w:val="20"/>
                <w:szCs w:val="20"/>
              </w:rPr>
            </w:pPr>
            <w:r w:rsidRPr="009E4606">
              <w:rPr>
                <w:b/>
                <w:sz w:val="20"/>
                <w:szCs w:val="20"/>
              </w:rPr>
              <w:t>150mg</w:t>
            </w:r>
          </w:p>
        </w:tc>
        <w:tc>
          <w:tcPr>
            <w:tcW w:w="1130" w:type="dxa"/>
            <w:shd w:val="clear" w:color="auto" w:fill="BFBFBF" w:themeFill="background1" w:themeFillShade="BF"/>
          </w:tcPr>
          <w:p w:rsidR="009E4606" w:rsidRPr="009E4606" w:rsidRDefault="009E4606" w:rsidP="009E4606">
            <w:pPr>
              <w:jc w:val="center"/>
              <w:rPr>
                <w:b/>
                <w:sz w:val="20"/>
                <w:szCs w:val="20"/>
              </w:rPr>
            </w:pPr>
            <w:r w:rsidRPr="009E4606">
              <w:rPr>
                <w:b/>
                <w:sz w:val="20"/>
                <w:szCs w:val="20"/>
              </w:rPr>
              <w:t>15mg</w:t>
            </w:r>
          </w:p>
        </w:tc>
        <w:tc>
          <w:tcPr>
            <w:tcW w:w="1134" w:type="dxa"/>
            <w:shd w:val="clear" w:color="auto" w:fill="BFBFBF" w:themeFill="background1" w:themeFillShade="BF"/>
          </w:tcPr>
          <w:p w:rsidR="009E4606" w:rsidRPr="009E4606" w:rsidRDefault="009E4606" w:rsidP="009E4606">
            <w:pPr>
              <w:jc w:val="center"/>
              <w:rPr>
                <w:b/>
                <w:sz w:val="20"/>
                <w:szCs w:val="20"/>
              </w:rPr>
            </w:pPr>
            <w:r w:rsidRPr="009E4606">
              <w:rPr>
                <w:b/>
                <w:sz w:val="20"/>
                <w:szCs w:val="20"/>
              </w:rPr>
              <w:t>20mg</w:t>
            </w:r>
          </w:p>
        </w:tc>
      </w:tr>
      <w:tr w:rsidR="00E62490" w:rsidTr="0005233C">
        <w:tc>
          <w:tcPr>
            <w:tcW w:w="1299" w:type="dxa"/>
            <w:shd w:val="clear" w:color="auto" w:fill="BFBFBF" w:themeFill="background1" w:themeFillShade="BF"/>
          </w:tcPr>
          <w:p w:rsidR="00E62490" w:rsidRPr="009E4606" w:rsidRDefault="00E62490" w:rsidP="00E62490">
            <w:pPr>
              <w:rPr>
                <w:b/>
                <w:sz w:val="20"/>
                <w:szCs w:val="20"/>
              </w:rPr>
            </w:pPr>
            <w:r w:rsidRPr="009E4606">
              <w:rPr>
                <w:b/>
                <w:sz w:val="20"/>
                <w:szCs w:val="20"/>
              </w:rPr>
              <w:t>Prescriptions</w:t>
            </w:r>
            <w:r w:rsidR="0005233C">
              <w:rPr>
                <w:b/>
                <w:sz w:val="20"/>
                <w:szCs w:val="20"/>
              </w:rPr>
              <w:t xml:space="preserve"> and % use for that drug</w:t>
            </w:r>
          </w:p>
        </w:tc>
        <w:tc>
          <w:tcPr>
            <w:tcW w:w="1077" w:type="dxa"/>
            <w:vAlign w:val="center"/>
          </w:tcPr>
          <w:p w:rsidR="00E62490" w:rsidRPr="00E62490" w:rsidRDefault="00E62490" w:rsidP="00BC71B7">
            <w:pPr>
              <w:jc w:val="right"/>
              <w:rPr>
                <w:bCs/>
                <w:color w:val="000000"/>
                <w:sz w:val="20"/>
                <w:szCs w:val="20"/>
              </w:rPr>
            </w:pPr>
            <w:r w:rsidRPr="00E62490">
              <w:rPr>
                <w:color w:val="000000"/>
                <w:sz w:val="20"/>
                <w:szCs w:val="20"/>
              </w:rPr>
              <w:t>279,728</w:t>
            </w:r>
            <w:r w:rsidR="0005233C">
              <w:rPr>
                <w:color w:val="000000"/>
                <w:sz w:val="20"/>
                <w:szCs w:val="20"/>
              </w:rPr>
              <w:t xml:space="preserve"> (38%)</w:t>
            </w:r>
          </w:p>
        </w:tc>
        <w:tc>
          <w:tcPr>
            <w:tcW w:w="998" w:type="dxa"/>
            <w:vAlign w:val="center"/>
          </w:tcPr>
          <w:p w:rsidR="00E62490" w:rsidRPr="00E62490" w:rsidRDefault="00E62490" w:rsidP="00BC71B7">
            <w:pPr>
              <w:jc w:val="right"/>
              <w:rPr>
                <w:bCs/>
                <w:color w:val="000000"/>
                <w:sz w:val="20"/>
                <w:szCs w:val="20"/>
              </w:rPr>
            </w:pPr>
            <w:r w:rsidRPr="00E62490">
              <w:rPr>
                <w:color w:val="000000"/>
                <w:sz w:val="20"/>
                <w:szCs w:val="20"/>
              </w:rPr>
              <w:t>453,145</w:t>
            </w:r>
            <w:r w:rsidR="0005233C">
              <w:rPr>
                <w:color w:val="000000"/>
                <w:sz w:val="20"/>
                <w:szCs w:val="20"/>
              </w:rPr>
              <w:t xml:space="preserve"> (62%)</w:t>
            </w:r>
          </w:p>
        </w:tc>
        <w:tc>
          <w:tcPr>
            <w:tcW w:w="1129" w:type="dxa"/>
            <w:vAlign w:val="center"/>
          </w:tcPr>
          <w:p w:rsidR="00E62490" w:rsidRPr="00E62490" w:rsidRDefault="00E62490" w:rsidP="00BC71B7">
            <w:pPr>
              <w:jc w:val="right"/>
              <w:rPr>
                <w:bCs/>
                <w:color w:val="000000"/>
                <w:sz w:val="20"/>
                <w:szCs w:val="20"/>
              </w:rPr>
            </w:pPr>
            <w:r w:rsidRPr="00E62490">
              <w:rPr>
                <w:color w:val="000000"/>
                <w:sz w:val="20"/>
                <w:szCs w:val="20"/>
              </w:rPr>
              <w:t>420,434</w:t>
            </w:r>
            <w:r w:rsidR="0005233C">
              <w:rPr>
                <w:color w:val="000000"/>
                <w:sz w:val="20"/>
                <w:szCs w:val="20"/>
              </w:rPr>
              <w:t xml:space="preserve"> (63%)</w:t>
            </w:r>
          </w:p>
        </w:tc>
        <w:tc>
          <w:tcPr>
            <w:tcW w:w="1138" w:type="dxa"/>
            <w:vAlign w:val="center"/>
          </w:tcPr>
          <w:p w:rsidR="00E62490" w:rsidRPr="00E62490" w:rsidRDefault="00E62490" w:rsidP="00BC71B7">
            <w:pPr>
              <w:jc w:val="right"/>
              <w:rPr>
                <w:bCs/>
                <w:color w:val="000000"/>
                <w:sz w:val="20"/>
                <w:szCs w:val="20"/>
              </w:rPr>
            </w:pPr>
            <w:r w:rsidRPr="00E62490">
              <w:rPr>
                <w:color w:val="000000"/>
                <w:sz w:val="20"/>
                <w:szCs w:val="20"/>
              </w:rPr>
              <w:t>247,071</w:t>
            </w:r>
            <w:r w:rsidR="0005233C">
              <w:rPr>
                <w:color w:val="000000"/>
                <w:sz w:val="20"/>
                <w:szCs w:val="20"/>
              </w:rPr>
              <w:t xml:space="preserve"> (37%)</w:t>
            </w:r>
          </w:p>
        </w:tc>
        <w:tc>
          <w:tcPr>
            <w:tcW w:w="1130" w:type="dxa"/>
            <w:vAlign w:val="center"/>
          </w:tcPr>
          <w:p w:rsidR="00E62490" w:rsidRPr="00E62490" w:rsidRDefault="00E62490" w:rsidP="00BC71B7">
            <w:pPr>
              <w:jc w:val="right"/>
              <w:rPr>
                <w:bCs/>
                <w:color w:val="000000"/>
                <w:sz w:val="20"/>
                <w:szCs w:val="20"/>
              </w:rPr>
            </w:pPr>
            <w:r w:rsidRPr="00E62490">
              <w:rPr>
                <w:color w:val="000000"/>
                <w:sz w:val="20"/>
                <w:szCs w:val="20"/>
              </w:rPr>
              <w:t>536,011</w:t>
            </w:r>
            <w:r w:rsidR="0005233C">
              <w:rPr>
                <w:color w:val="000000"/>
                <w:sz w:val="20"/>
                <w:szCs w:val="20"/>
              </w:rPr>
              <w:t xml:space="preserve"> (37%)</w:t>
            </w:r>
          </w:p>
        </w:tc>
        <w:tc>
          <w:tcPr>
            <w:tcW w:w="1134" w:type="dxa"/>
            <w:vAlign w:val="center"/>
          </w:tcPr>
          <w:p w:rsidR="00E62490" w:rsidRPr="00E62490" w:rsidRDefault="00E62490" w:rsidP="00BC71B7">
            <w:pPr>
              <w:jc w:val="right"/>
              <w:rPr>
                <w:bCs/>
                <w:color w:val="000000"/>
                <w:sz w:val="20"/>
                <w:szCs w:val="20"/>
              </w:rPr>
            </w:pPr>
            <w:r w:rsidRPr="00E62490">
              <w:rPr>
                <w:color w:val="000000"/>
                <w:sz w:val="20"/>
                <w:szCs w:val="20"/>
              </w:rPr>
              <w:t>913,024</w:t>
            </w:r>
            <w:r w:rsidR="0005233C">
              <w:rPr>
                <w:color w:val="000000"/>
                <w:sz w:val="20"/>
                <w:szCs w:val="20"/>
              </w:rPr>
              <w:t xml:space="preserve"> (63%)</w:t>
            </w:r>
          </w:p>
        </w:tc>
      </w:tr>
    </w:tbl>
    <w:p w:rsidR="008154EE" w:rsidRDefault="008154EE" w:rsidP="008154EE">
      <w:pPr>
        <w:spacing w:after="0"/>
        <w:rPr>
          <w:sz w:val="20"/>
          <w:szCs w:val="20"/>
        </w:rPr>
      </w:pPr>
      <w:r w:rsidRPr="00356880">
        <w:rPr>
          <w:sz w:val="20"/>
          <w:szCs w:val="20"/>
        </w:rPr>
        <w:t xml:space="preserve">Source: </w:t>
      </w:r>
      <w:r>
        <w:rPr>
          <w:rStyle w:val="FigurecaptionChar"/>
        </w:rPr>
        <w:t>DHS</w:t>
      </w:r>
      <w:r w:rsidRPr="0030713E">
        <w:rPr>
          <w:rStyle w:val="FigurecaptionChar"/>
        </w:rPr>
        <w:t xml:space="preserve"> </w:t>
      </w:r>
      <w:r w:rsidR="00115D37">
        <w:rPr>
          <w:rStyle w:val="FigurecaptionChar"/>
        </w:rPr>
        <w:t xml:space="preserve">supplied prescription </w:t>
      </w:r>
      <w:r w:rsidRPr="0030713E">
        <w:rPr>
          <w:rStyle w:val="FigurecaptionChar"/>
        </w:rPr>
        <w:t>database</w:t>
      </w:r>
      <w:r w:rsidRPr="00356880">
        <w:rPr>
          <w:sz w:val="20"/>
          <w:szCs w:val="20"/>
        </w:rPr>
        <w:t xml:space="preserve"> accessed </w:t>
      </w:r>
      <w:r>
        <w:rPr>
          <w:sz w:val="20"/>
          <w:szCs w:val="20"/>
        </w:rPr>
        <w:t>March</w:t>
      </w:r>
      <w:r w:rsidRPr="00356880">
        <w:rPr>
          <w:sz w:val="20"/>
          <w:szCs w:val="20"/>
        </w:rPr>
        <w:t xml:space="preserve"> 2016.</w:t>
      </w:r>
      <w:r w:rsidR="00E62490" w:rsidRPr="00E62490">
        <w:rPr>
          <w:sz w:val="20"/>
          <w:szCs w:val="20"/>
        </w:rPr>
        <w:t xml:space="preserve"> </w:t>
      </w:r>
      <w:r w:rsidR="00E62490">
        <w:rPr>
          <w:sz w:val="20"/>
          <w:szCs w:val="20"/>
        </w:rPr>
        <w:t xml:space="preserve">Only streamlined authority code 4269 has been selected. </w:t>
      </w:r>
    </w:p>
    <w:p w:rsidR="00D24209" w:rsidRDefault="00D24209" w:rsidP="008154EE">
      <w:pPr>
        <w:spacing w:after="0"/>
        <w:rPr>
          <w:sz w:val="20"/>
          <w:szCs w:val="20"/>
        </w:rPr>
      </w:pPr>
    </w:p>
    <w:p w:rsidR="00AD5637" w:rsidRPr="00AD5637" w:rsidRDefault="00AD5637" w:rsidP="008154EE">
      <w:pPr>
        <w:spacing w:after="0"/>
      </w:pPr>
      <w:r>
        <w:lastRenderedPageBreak/>
        <w:t xml:space="preserve">Figure 3 illustrates the number of </w:t>
      </w:r>
      <w:r w:rsidR="008570CC">
        <w:t>people supplied a NOAC by calendar year (prevalent) and, of these people, the number for whom this was their first NOAC supply (initiating).</w:t>
      </w:r>
    </w:p>
    <w:p w:rsidR="00D24209" w:rsidRDefault="00D24209" w:rsidP="008154EE">
      <w:pPr>
        <w:spacing w:after="0"/>
        <w:rPr>
          <w:b/>
          <w:highlight w:val="yellow"/>
        </w:rPr>
      </w:pPr>
    </w:p>
    <w:p w:rsidR="006E7FE8" w:rsidRPr="00D24209" w:rsidRDefault="0017262D" w:rsidP="008154EE">
      <w:pPr>
        <w:spacing w:after="0"/>
        <w:rPr>
          <w:b/>
          <w:highlight w:val="yellow"/>
        </w:rPr>
      </w:pPr>
      <w:r>
        <w:rPr>
          <w:noProof/>
        </w:rPr>
        <w:drawing>
          <wp:inline distT="0" distB="0" distL="0" distR="0" wp14:anchorId="006605FB" wp14:editId="5176FDCD">
            <wp:extent cx="5162550" cy="3381375"/>
            <wp:effectExtent l="0" t="0" r="0" b="9525"/>
            <wp:docPr id="10" name="Picture 10" descr="A graph depicting the Number of patients initiating and prevalent to NOACs for NVAF by year from 2013 to 2015" title="Number of patients initiating and prevalent to NOACs for NVAF by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62550" cy="3381375"/>
                    </a:xfrm>
                    <a:prstGeom prst="rect">
                      <a:avLst/>
                    </a:prstGeom>
                  </pic:spPr>
                </pic:pic>
              </a:graphicData>
            </a:graphic>
          </wp:inline>
        </w:drawing>
      </w:r>
    </w:p>
    <w:p w:rsidR="00D24209" w:rsidRDefault="006E7FE8" w:rsidP="008154EE">
      <w:pPr>
        <w:spacing w:after="0"/>
        <w:rPr>
          <w:b/>
        </w:rPr>
      </w:pPr>
      <w:r>
        <w:rPr>
          <w:b/>
        </w:rPr>
        <w:t>Figure</w:t>
      </w:r>
      <w:r w:rsidR="00D24209" w:rsidRPr="006E7FE8">
        <w:rPr>
          <w:b/>
        </w:rPr>
        <w:t xml:space="preserve"> 3</w:t>
      </w:r>
      <w:r>
        <w:rPr>
          <w:b/>
        </w:rPr>
        <w:t xml:space="preserve">: Number of patients initiating and prevalent to NOACs for NVAF by year </w:t>
      </w:r>
    </w:p>
    <w:p w:rsidR="00AD5637" w:rsidRDefault="00AD5637" w:rsidP="00AD5637">
      <w:pPr>
        <w:rPr>
          <w:sz w:val="20"/>
          <w:szCs w:val="20"/>
        </w:rPr>
      </w:pPr>
      <w:r>
        <w:rPr>
          <w:rStyle w:val="FigurecaptionChar"/>
        </w:rPr>
        <w:t xml:space="preserve">Source: DHS </w:t>
      </w:r>
      <w:r w:rsidR="00115D37">
        <w:rPr>
          <w:rStyle w:val="FigurecaptionChar"/>
        </w:rPr>
        <w:t xml:space="preserve">supplied prescription </w:t>
      </w:r>
      <w:r w:rsidRPr="0030713E">
        <w:rPr>
          <w:rStyle w:val="FigurecaptionChar"/>
        </w:rPr>
        <w:t>datab</w:t>
      </w:r>
      <w:r>
        <w:rPr>
          <w:rStyle w:val="FigurecaptionChar"/>
        </w:rPr>
        <w:t>ase</w:t>
      </w:r>
      <w:r w:rsidRPr="00356880">
        <w:rPr>
          <w:sz w:val="20"/>
          <w:szCs w:val="20"/>
        </w:rPr>
        <w:t xml:space="preserve"> accessed </w:t>
      </w:r>
      <w:r>
        <w:rPr>
          <w:sz w:val="20"/>
          <w:szCs w:val="20"/>
        </w:rPr>
        <w:t>May</w:t>
      </w:r>
      <w:r w:rsidRPr="00356880">
        <w:rPr>
          <w:sz w:val="20"/>
          <w:szCs w:val="20"/>
        </w:rPr>
        <w:t xml:space="preserve"> 2016.</w:t>
      </w:r>
      <w:r w:rsidR="00BC2B27">
        <w:rPr>
          <w:sz w:val="20"/>
          <w:szCs w:val="20"/>
        </w:rPr>
        <w:t xml:space="preserve"> </w:t>
      </w:r>
      <w:r w:rsidRPr="00E248B5">
        <w:rPr>
          <w:sz w:val="20"/>
          <w:szCs w:val="20"/>
        </w:rPr>
        <w:t xml:space="preserve">Initiating patients are </w:t>
      </w:r>
      <w:r>
        <w:rPr>
          <w:sz w:val="20"/>
          <w:szCs w:val="20"/>
        </w:rPr>
        <w:t xml:space="preserve">defined as </w:t>
      </w:r>
      <w:r w:rsidRPr="00E248B5">
        <w:rPr>
          <w:sz w:val="20"/>
          <w:szCs w:val="20"/>
        </w:rPr>
        <w:t xml:space="preserve">those who have not been supplied </w:t>
      </w:r>
      <w:r>
        <w:rPr>
          <w:sz w:val="20"/>
          <w:szCs w:val="20"/>
        </w:rPr>
        <w:t>a NOAC</w:t>
      </w:r>
      <w:r w:rsidRPr="00E248B5">
        <w:rPr>
          <w:sz w:val="20"/>
          <w:szCs w:val="20"/>
        </w:rPr>
        <w:t xml:space="preserve"> </w:t>
      </w:r>
      <w:r>
        <w:rPr>
          <w:sz w:val="20"/>
          <w:szCs w:val="20"/>
        </w:rPr>
        <w:t xml:space="preserve">prescription </w:t>
      </w:r>
      <w:r w:rsidRPr="00E248B5">
        <w:rPr>
          <w:sz w:val="20"/>
          <w:szCs w:val="20"/>
        </w:rPr>
        <w:t>since January 2010</w:t>
      </w:r>
      <w:r>
        <w:rPr>
          <w:sz w:val="20"/>
          <w:szCs w:val="20"/>
        </w:rPr>
        <w:t>.</w:t>
      </w:r>
      <w:r w:rsidRPr="00356880">
        <w:rPr>
          <w:sz w:val="20"/>
          <w:szCs w:val="20"/>
        </w:rPr>
        <w:t xml:space="preserve"> </w:t>
      </w:r>
      <w:r>
        <w:rPr>
          <w:sz w:val="20"/>
          <w:szCs w:val="20"/>
        </w:rPr>
        <w:t>NOACs are for NVAF cohort (refer to Method).</w:t>
      </w:r>
    </w:p>
    <w:p w:rsidR="00AD5637" w:rsidRPr="00AD5637" w:rsidRDefault="00AD5637" w:rsidP="00AD5637">
      <w:pPr>
        <w:rPr>
          <w:color w:val="FF0000"/>
        </w:rPr>
      </w:pPr>
      <w:r>
        <w:t xml:space="preserve">The number of initiating patients by calendar year has remained stable; however, </w:t>
      </w:r>
      <w:r w:rsidR="00505C27">
        <w:t xml:space="preserve">2013 is a part-year </w:t>
      </w:r>
      <w:r>
        <w:t xml:space="preserve">as the first NOAC was listed in August 2013. The overall number of patients supplied a NOAC prescription has increased </w:t>
      </w:r>
      <w:r w:rsidRPr="00505C27">
        <w:t>steadily. In 2015, there were 188,130 patients</w:t>
      </w:r>
      <w:r w:rsidR="00505C27">
        <w:t xml:space="preserve"> supplied a NOAC</w:t>
      </w:r>
      <w:r w:rsidR="00040023">
        <w:t xml:space="preserve"> prescription</w:t>
      </w:r>
      <w:r w:rsidRPr="00505C27">
        <w:t xml:space="preserve"> and</w:t>
      </w:r>
      <w:r w:rsidR="00505C27">
        <w:t>, of these,</w:t>
      </w:r>
      <w:r w:rsidRPr="00505C27">
        <w:t xml:space="preserve"> 72,484 patients</w:t>
      </w:r>
      <w:r w:rsidR="00505C27" w:rsidRPr="00505C27">
        <w:t xml:space="preserve"> were supplied their first PBS</w:t>
      </w:r>
      <w:r w:rsidR="00B75C6B">
        <w:noBreakHyphen/>
      </w:r>
      <w:r w:rsidR="00505C27" w:rsidRPr="00505C27">
        <w:t>subsidised NOAC prescription</w:t>
      </w:r>
      <w:r w:rsidRPr="00505C27">
        <w:t>.</w:t>
      </w:r>
      <w:r>
        <w:t xml:space="preserve"> </w:t>
      </w:r>
    </w:p>
    <w:p w:rsidR="009C69B3" w:rsidRDefault="00BC2B27" w:rsidP="00F73371">
      <w:pPr>
        <w:spacing w:after="0"/>
      </w:pPr>
      <w:r>
        <w:t xml:space="preserve">It was expected that some patients with NVAF who commenced therapy with NOACs for the prevention of stroke or systemic embolism would have received prior therapy with warfarin, while other patients would be new to anticoagulant therapy. </w:t>
      </w:r>
      <w:r w:rsidR="009C69B3" w:rsidRPr="00B77099">
        <w:t xml:space="preserve">Figure </w:t>
      </w:r>
      <w:r w:rsidR="00B77099" w:rsidRPr="00B77099">
        <w:t>4</w:t>
      </w:r>
      <w:r w:rsidR="009C69B3" w:rsidRPr="00B77099">
        <w:t xml:space="preserve"> and Table 6</w:t>
      </w:r>
      <w:r w:rsidR="009C69B3">
        <w:t xml:space="preserve"> illustrate the proportion of patients initiating NOACs for use in NVAF who were supplied warfarin prior to </w:t>
      </w:r>
      <w:r>
        <w:t xml:space="preserve">their first </w:t>
      </w:r>
      <w:r w:rsidR="009C69B3">
        <w:t>NOAC</w:t>
      </w:r>
      <w:r>
        <w:t xml:space="preserve"> supply</w:t>
      </w:r>
      <w:r w:rsidR="009C69B3">
        <w:t>.</w:t>
      </w:r>
    </w:p>
    <w:p w:rsidR="009C69B3" w:rsidRPr="009C69B3" w:rsidRDefault="009C69B3" w:rsidP="00F73371">
      <w:pPr>
        <w:spacing w:after="0"/>
      </w:pPr>
    </w:p>
    <w:p w:rsidR="00CC4890" w:rsidRDefault="0017262D" w:rsidP="00F73371">
      <w:pPr>
        <w:spacing w:after="0"/>
      </w:pPr>
      <w:r>
        <w:rPr>
          <w:noProof/>
        </w:rPr>
        <w:lastRenderedPageBreak/>
        <w:drawing>
          <wp:inline distT="0" distB="0" distL="0" distR="0" wp14:anchorId="7B299CD1" wp14:editId="5E48E87F">
            <wp:extent cx="5133975" cy="3238500"/>
            <wp:effectExtent l="0" t="0" r="9525" b="0"/>
            <wp:docPr id="11" name="Picture 11" descr="Graph depicting the proportion of patients initiating NOACs for NVAF indication supplied prior warfarin. It's presented in two sections. One with a three year lookback and the other with a one year lookback. Both sections have year one and year 2 initiators." title="Proportion of patients initiating NOACs for NVAF indication supplied prior war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33975" cy="3238500"/>
                    </a:xfrm>
                    <a:prstGeom prst="rect">
                      <a:avLst/>
                    </a:prstGeom>
                  </pic:spPr>
                </pic:pic>
              </a:graphicData>
            </a:graphic>
          </wp:inline>
        </w:drawing>
      </w:r>
    </w:p>
    <w:p w:rsidR="00CC4890" w:rsidRDefault="00CC4890" w:rsidP="00F73371">
      <w:pPr>
        <w:spacing w:after="0"/>
        <w:rPr>
          <w:b/>
        </w:rPr>
      </w:pPr>
      <w:r w:rsidRPr="00CC4890">
        <w:rPr>
          <w:b/>
        </w:rPr>
        <w:t xml:space="preserve">Figure </w:t>
      </w:r>
      <w:r w:rsidR="00B95B32">
        <w:rPr>
          <w:b/>
        </w:rPr>
        <w:t>4</w:t>
      </w:r>
      <w:r w:rsidRPr="00CC4890">
        <w:rPr>
          <w:b/>
        </w:rPr>
        <w:t xml:space="preserve">: </w:t>
      </w:r>
      <w:r w:rsidR="009C69B3">
        <w:rPr>
          <w:b/>
        </w:rPr>
        <w:t>Proportion of patients initiating NOACs for NVAF indication supplied prior warfarin</w:t>
      </w:r>
    </w:p>
    <w:p w:rsidR="009C69B3" w:rsidRDefault="009C69B3" w:rsidP="00F73371">
      <w:pPr>
        <w:spacing w:after="0"/>
        <w:rPr>
          <w:sz w:val="20"/>
          <w:szCs w:val="20"/>
        </w:rPr>
      </w:pPr>
      <w:r>
        <w:rPr>
          <w:sz w:val="20"/>
          <w:szCs w:val="20"/>
        </w:rPr>
        <w:t xml:space="preserve">Source: DHS </w:t>
      </w:r>
      <w:r w:rsidR="00115D37">
        <w:rPr>
          <w:sz w:val="20"/>
          <w:szCs w:val="20"/>
        </w:rPr>
        <w:t xml:space="preserve">supplied prescriptions </w:t>
      </w:r>
      <w:r>
        <w:rPr>
          <w:sz w:val="20"/>
          <w:szCs w:val="20"/>
        </w:rPr>
        <w:t xml:space="preserve">database accessed April 2016. </w:t>
      </w:r>
      <w:r w:rsidR="00BC2B27">
        <w:rPr>
          <w:sz w:val="20"/>
          <w:szCs w:val="20"/>
        </w:rPr>
        <w:t>Patients were concessional only for the period</w:t>
      </w:r>
      <w:r>
        <w:rPr>
          <w:sz w:val="20"/>
          <w:szCs w:val="20"/>
        </w:rPr>
        <w:t xml:space="preserve">. Y1 </w:t>
      </w:r>
      <w:r w:rsidR="004E757F">
        <w:rPr>
          <w:sz w:val="20"/>
          <w:szCs w:val="20"/>
        </w:rPr>
        <w:t xml:space="preserve">(year one) </w:t>
      </w:r>
      <w:r>
        <w:rPr>
          <w:sz w:val="20"/>
          <w:szCs w:val="20"/>
        </w:rPr>
        <w:t xml:space="preserve">is the time period August 2013-July 2014 and Y2 </w:t>
      </w:r>
      <w:r w:rsidR="004E757F">
        <w:rPr>
          <w:sz w:val="20"/>
          <w:szCs w:val="20"/>
        </w:rPr>
        <w:t xml:space="preserve">(year two) </w:t>
      </w:r>
      <w:r>
        <w:rPr>
          <w:sz w:val="20"/>
          <w:szCs w:val="20"/>
        </w:rPr>
        <w:t xml:space="preserve">is the time period August 2014-July 2015. </w:t>
      </w:r>
    </w:p>
    <w:p w:rsidR="009C69B3" w:rsidRDefault="009C69B3" w:rsidP="00F73371">
      <w:pPr>
        <w:spacing w:after="0"/>
      </w:pPr>
    </w:p>
    <w:p w:rsidR="009C69B3" w:rsidRDefault="009C69B3" w:rsidP="009C69B3">
      <w:pPr>
        <w:spacing w:after="0"/>
        <w:rPr>
          <w:b/>
        </w:rPr>
      </w:pPr>
      <w:r>
        <w:rPr>
          <w:b/>
        </w:rPr>
        <w:t>Table 6: Proportion of patients initiating NOACs for NVAF indication supplied prior warfarin</w:t>
      </w:r>
    </w:p>
    <w:tbl>
      <w:tblPr>
        <w:tblW w:w="8600" w:type="dxa"/>
        <w:tblInd w:w="93" w:type="dxa"/>
        <w:tblLook w:val="04A0" w:firstRow="1" w:lastRow="0" w:firstColumn="1" w:lastColumn="0" w:noHBand="0" w:noVBand="1"/>
        <w:tblCaption w:val="Proportion of patients initiating NOACs for NVAF indication supplied prior warfarin"/>
        <w:tblDescription w:val="A table presenting the proportion of patients initiating NOACs for NVAF indication supplied prior warfarin. Both a three and one year lookback were included for year one and year two initiators."/>
      </w:tblPr>
      <w:tblGrid>
        <w:gridCol w:w="1820"/>
        <w:gridCol w:w="1500"/>
        <w:gridCol w:w="1760"/>
        <w:gridCol w:w="1760"/>
        <w:gridCol w:w="1760"/>
      </w:tblGrid>
      <w:tr w:rsidR="009C69B3" w:rsidRPr="009C69B3" w:rsidTr="00BC71B7">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C69B3" w:rsidRPr="009C69B3" w:rsidRDefault="009C69B3" w:rsidP="00BC71B7">
            <w:pPr>
              <w:spacing w:after="0"/>
              <w:jc w:val="center"/>
              <w:rPr>
                <w:rFonts w:ascii="Calibri" w:eastAsia="Times New Roman" w:hAnsi="Calibri" w:cs="Times New Roman"/>
                <w:b/>
                <w:bCs/>
                <w:sz w:val="22"/>
                <w:szCs w:val="22"/>
              </w:rPr>
            </w:pPr>
            <w:r w:rsidRPr="009C69B3">
              <w:rPr>
                <w:rFonts w:ascii="Calibri" w:eastAsia="Times New Roman" w:hAnsi="Calibri" w:cs="Times New Roman"/>
                <w:b/>
                <w:bCs/>
                <w:sz w:val="22"/>
                <w:szCs w:val="22"/>
              </w:rPr>
              <w:t>Look-back period</w:t>
            </w: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C69B3" w:rsidRPr="009C69B3" w:rsidRDefault="009C69B3" w:rsidP="00BC71B7">
            <w:pPr>
              <w:spacing w:after="0"/>
              <w:jc w:val="center"/>
              <w:rPr>
                <w:rFonts w:ascii="Calibri" w:eastAsia="Times New Roman" w:hAnsi="Calibri" w:cs="Times New Roman"/>
                <w:b/>
                <w:bCs/>
                <w:sz w:val="22"/>
                <w:szCs w:val="22"/>
              </w:rPr>
            </w:pPr>
            <w:r w:rsidRPr="009C69B3">
              <w:rPr>
                <w:rFonts w:ascii="Calibri" w:eastAsia="Times New Roman" w:hAnsi="Calibri" w:cs="Times New Roman"/>
                <w:b/>
                <w:bCs/>
                <w:sz w:val="22"/>
                <w:szCs w:val="22"/>
              </w:rPr>
              <w:t>Cohort</w:t>
            </w:r>
          </w:p>
        </w:tc>
        <w:tc>
          <w:tcPr>
            <w:tcW w:w="1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C69B3" w:rsidRPr="009C69B3" w:rsidRDefault="009C69B3" w:rsidP="00BC71B7">
            <w:pPr>
              <w:spacing w:after="0"/>
              <w:jc w:val="center"/>
              <w:rPr>
                <w:rFonts w:ascii="Calibri" w:eastAsia="Times New Roman" w:hAnsi="Calibri" w:cs="Times New Roman"/>
                <w:b/>
                <w:bCs/>
                <w:sz w:val="22"/>
                <w:szCs w:val="22"/>
              </w:rPr>
            </w:pPr>
            <w:r w:rsidRPr="009C69B3">
              <w:rPr>
                <w:rFonts w:ascii="Calibri" w:eastAsia="Times New Roman" w:hAnsi="Calibri" w:cs="Times New Roman"/>
                <w:b/>
                <w:bCs/>
                <w:sz w:val="22"/>
                <w:szCs w:val="22"/>
              </w:rPr>
              <w:t>Prior warfarin</w:t>
            </w:r>
          </w:p>
        </w:tc>
        <w:tc>
          <w:tcPr>
            <w:tcW w:w="1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C69B3" w:rsidRPr="009C69B3" w:rsidRDefault="009C69B3" w:rsidP="00BC71B7">
            <w:pPr>
              <w:spacing w:after="0"/>
              <w:jc w:val="center"/>
              <w:rPr>
                <w:rFonts w:ascii="Calibri" w:eastAsia="Times New Roman" w:hAnsi="Calibri" w:cs="Times New Roman"/>
                <w:b/>
                <w:bCs/>
                <w:sz w:val="22"/>
                <w:szCs w:val="22"/>
              </w:rPr>
            </w:pPr>
            <w:r w:rsidRPr="009C69B3">
              <w:rPr>
                <w:rFonts w:ascii="Calibri" w:eastAsia="Times New Roman" w:hAnsi="Calibri" w:cs="Times New Roman"/>
                <w:b/>
                <w:bCs/>
                <w:sz w:val="22"/>
                <w:szCs w:val="22"/>
              </w:rPr>
              <w:t>No prior warfarin</w:t>
            </w:r>
          </w:p>
        </w:tc>
        <w:tc>
          <w:tcPr>
            <w:tcW w:w="1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C69B3" w:rsidRPr="009C69B3" w:rsidRDefault="009C69B3" w:rsidP="00BC71B7">
            <w:pPr>
              <w:spacing w:after="0"/>
              <w:jc w:val="center"/>
              <w:rPr>
                <w:rFonts w:ascii="Calibri" w:eastAsia="Times New Roman" w:hAnsi="Calibri" w:cs="Times New Roman"/>
                <w:b/>
                <w:bCs/>
                <w:sz w:val="22"/>
                <w:szCs w:val="22"/>
              </w:rPr>
            </w:pPr>
            <w:r w:rsidRPr="009C69B3">
              <w:rPr>
                <w:rFonts w:ascii="Calibri" w:eastAsia="Times New Roman" w:hAnsi="Calibri" w:cs="Times New Roman"/>
                <w:b/>
                <w:bCs/>
                <w:sz w:val="22"/>
                <w:szCs w:val="22"/>
              </w:rPr>
              <w:t>Total</w:t>
            </w:r>
          </w:p>
        </w:tc>
      </w:tr>
      <w:tr w:rsidR="009C69B3" w:rsidRPr="009C69B3" w:rsidTr="009C69B3">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3 years look-back</w:t>
            </w:r>
          </w:p>
        </w:tc>
        <w:tc>
          <w:tcPr>
            <w:tcW w:w="1500" w:type="dxa"/>
            <w:tcBorders>
              <w:top w:val="nil"/>
              <w:left w:val="nil"/>
              <w:bottom w:val="single" w:sz="4" w:space="0" w:color="auto"/>
              <w:right w:val="single" w:sz="4" w:space="0" w:color="auto"/>
            </w:tcBorders>
            <w:shd w:val="clear" w:color="auto" w:fill="auto"/>
            <w:noWrap/>
            <w:vAlign w:val="bottom"/>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Y1 Initiators</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41,705 (53%)</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37,629 (47%)</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 xml:space="preserve">79,334 </w:t>
            </w:r>
          </w:p>
        </w:tc>
      </w:tr>
      <w:tr w:rsidR="009C69B3" w:rsidRPr="009C69B3" w:rsidTr="009C69B3">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Y2 Initiators</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12,224 (24%)</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38</w:t>
            </w:r>
            <w:r w:rsidR="0086207A">
              <w:rPr>
                <w:rFonts w:ascii="Calibri" w:eastAsia="Times New Roman" w:hAnsi="Calibri" w:cs="Times New Roman"/>
                <w:sz w:val="22"/>
                <w:szCs w:val="22"/>
              </w:rPr>
              <w:t>,</w:t>
            </w:r>
            <w:r w:rsidRPr="009C69B3">
              <w:rPr>
                <w:rFonts w:ascii="Calibri" w:eastAsia="Times New Roman" w:hAnsi="Calibri" w:cs="Times New Roman"/>
                <w:sz w:val="22"/>
                <w:szCs w:val="22"/>
              </w:rPr>
              <w:t>328 (76%)</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 xml:space="preserve">50,552 </w:t>
            </w:r>
          </w:p>
        </w:tc>
      </w:tr>
      <w:tr w:rsidR="009C69B3" w:rsidRPr="009C69B3" w:rsidTr="009C69B3">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1 year look-back</w:t>
            </w:r>
          </w:p>
        </w:tc>
        <w:tc>
          <w:tcPr>
            <w:tcW w:w="1500" w:type="dxa"/>
            <w:tcBorders>
              <w:top w:val="nil"/>
              <w:left w:val="nil"/>
              <w:bottom w:val="single" w:sz="4" w:space="0" w:color="auto"/>
              <w:right w:val="single" w:sz="4" w:space="0" w:color="auto"/>
            </w:tcBorders>
            <w:shd w:val="clear" w:color="auto" w:fill="auto"/>
            <w:noWrap/>
            <w:vAlign w:val="bottom"/>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Y1 Initiators</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28,257 (36%)</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51,077 (64%)</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 xml:space="preserve">79,334 </w:t>
            </w:r>
          </w:p>
        </w:tc>
      </w:tr>
      <w:tr w:rsidR="009C69B3" w:rsidRPr="009C69B3" w:rsidTr="009C69B3">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Y2 Initiators</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10,467 (21%)</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40,085 (79%)</w:t>
            </w:r>
          </w:p>
        </w:tc>
        <w:tc>
          <w:tcPr>
            <w:tcW w:w="1760" w:type="dxa"/>
            <w:tcBorders>
              <w:top w:val="nil"/>
              <w:left w:val="nil"/>
              <w:bottom w:val="single" w:sz="4" w:space="0" w:color="auto"/>
              <w:right w:val="single" w:sz="4" w:space="0" w:color="auto"/>
            </w:tcBorders>
            <w:shd w:val="clear" w:color="auto" w:fill="auto"/>
            <w:noWrap/>
            <w:vAlign w:val="center"/>
            <w:hideMark/>
          </w:tcPr>
          <w:p w:rsidR="009C69B3" w:rsidRPr="009C69B3" w:rsidRDefault="009C69B3" w:rsidP="009C69B3">
            <w:pPr>
              <w:spacing w:after="0"/>
              <w:jc w:val="center"/>
              <w:rPr>
                <w:rFonts w:ascii="Calibri" w:eastAsia="Times New Roman" w:hAnsi="Calibri" w:cs="Times New Roman"/>
                <w:sz w:val="22"/>
                <w:szCs w:val="22"/>
              </w:rPr>
            </w:pPr>
            <w:r w:rsidRPr="009C69B3">
              <w:rPr>
                <w:rFonts w:ascii="Calibri" w:eastAsia="Times New Roman" w:hAnsi="Calibri" w:cs="Times New Roman"/>
                <w:sz w:val="22"/>
                <w:szCs w:val="22"/>
              </w:rPr>
              <w:t xml:space="preserve">50,552 </w:t>
            </w:r>
          </w:p>
        </w:tc>
      </w:tr>
    </w:tbl>
    <w:p w:rsidR="009C69B3" w:rsidRDefault="009C69B3" w:rsidP="009C69B3">
      <w:pPr>
        <w:spacing w:after="0"/>
        <w:rPr>
          <w:sz w:val="20"/>
          <w:szCs w:val="20"/>
        </w:rPr>
      </w:pPr>
      <w:r>
        <w:rPr>
          <w:sz w:val="20"/>
          <w:szCs w:val="20"/>
        </w:rPr>
        <w:t xml:space="preserve">Source: DHS </w:t>
      </w:r>
      <w:r w:rsidR="00115D37">
        <w:rPr>
          <w:sz w:val="20"/>
          <w:szCs w:val="20"/>
        </w:rPr>
        <w:t xml:space="preserve">supplied prescriptions </w:t>
      </w:r>
      <w:r>
        <w:rPr>
          <w:sz w:val="20"/>
          <w:szCs w:val="20"/>
        </w:rPr>
        <w:t>database accessed April 2016. Only concession patients have been included.</w:t>
      </w:r>
      <w:r w:rsidRPr="009C69B3">
        <w:rPr>
          <w:sz w:val="20"/>
          <w:szCs w:val="20"/>
        </w:rPr>
        <w:t xml:space="preserve"> </w:t>
      </w:r>
      <w:r>
        <w:rPr>
          <w:sz w:val="20"/>
          <w:szCs w:val="20"/>
        </w:rPr>
        <w:t xml:space="preserve">Y1 </w:t>
      </w:r>
      <w:r w:rsidR="004E757F">
        <w:rPr>
          <w:sz w:val="20"/>
          <w:szCs w:val="20"/>
        </w:rPr>
        <w:t xml:space="preserve">(year one) </w:t>
      </w:r>
      <w:r>
        <w:rPr>
          <w:sz w:val="20"/>
          <w:szCs w:val="20"/>
        </w:rPr>
        <w:t xml:space="preserve">is the time period August 2013-July 2014 and Y2 </w:t>
      </w:r>
      <w:r w:rsidR="004E757F">
        <w:rPr>
          <w:sz w:val="20"/>
          <w:szCs w:val="20"/>
        </w:rPr>
        <w:t xml:space="preserve">(year two) </w:t>
      </w:r>
      <w:r>
        <w:rPr>
          <w:sz w:val="20"/>
          <w:szCs w:val="20"/>
        </w:rPr>
        <w:t xml:space="preserve">is the time period August 2014-July 2015. </w:t>
      </w:r>
    </w:p>
    <w:p w:rsidR="00CA494D" w:rsidRDefault="00CA494D" w:rsidP="009C69B3">
      <w:pPr>
        <w:spacing w:after="0"/>
        <w:rPr>
          <w:sz w:val="20"/>
          <w:szCs w:val="20"/>
        </w:rPr>
      </w:pPr>
    </w:p>
    <w:p w:rsidR="00536370" w:rsidRDefault="00F73371" w:rsidP="00F73371">
      <w:pPr>
        <w:spacing w:after="0"/>
      </w:pPr>
      <w:r>
        <w:t xml:space="preserve">Of concession only patients who initiated NOACs for NVAF in the first year of PBS-listing (August 2013 – July 2014), 47% had no prior warfarin supply in the three years before their initial NOAC prescription. </w:t>
      </w:r>
      <w:r w:rsidR="0086207A">
        <w:t>In</w:t>
      </w:r>
      <w:r>
        <w:t xml:space="preserve"> the following year (August 2014 – July 2015)</w:t>
      </w:r>
      <w:r w:rsidR="0086207A">
        <w:t>, this increased</w:t>
      </w:r>
      <w:r>
        <w:t xml:space="preserve"> to 76%. </w:t>
      </w:r>
      <w:r w:rsidR="00536370">
        <w:t xml:space="preserve">This indicates that </w:t>
      </w:r>
      <w:r w:rsidR="0086207A">
        <w:t xml:space="preserve">the proportion of initiating patients who switched from warfarin was lower in year two than in year one. </w:t>
      </w:r>
      <w:r w:rsidR="00536370">
        <w:t xml:space="preserve"> </w:t>
      </w:r>
    </w:p>
    <w:p w:rsidR="00536370" w:rsidRDefault="00536370" w:rsidP="00F73371">
      <w:pPr>
        <w:spacing w:after="0"/>
      </w:pPr>
    </w:p>
    <w:p w:rsidR="00BD52FC" w:rsidRDefault="00CF156D" w:rsidP="0086207A">
      <w:pPr>
        <w:spacing w:after="0"/>
      </w:pPr>
      <w:r>
        <w:t xml:space="preserve">The first Product Familiarisation Program </w:t>
      </w:r>
      <w:r w:rsidR="00CA494D">
        <w:t xml:space="preserve">(PFP) </w:t>
      </w:r>
      <w:r>
        <w:t>for NOACs began in 2011</w:t>
      </w:r>
      <w:r w:rsidR="00A74E7D">
        <w:rPr>
          <w:vertAlign w:val="superscript"/>
        </w:rPr>
        <w:t>19</w:t>
      </w:r>
      <w:r w:rsidR="00BD52FC">
        <w:t>.</w:t>
      </w:r>
      <w:r w:rsidR="00CA494D">
        <w:t xml:space="preserve"> </w:t>
      </w:r>
      <w:r w:rsidR="00BD52FC">
        <w:t xml:space="preserve">A three year look-back period includes warfarin patients who may have stopped taking warfarin prior to initiating their NOAC on the PBS due to involvement in PFPs. A one year look-back was done as a sensitivity analysis. </w:t>
      </w:r>
      <w:r w:rsidR="000B4314">
        <w:t>A</w:t>
      </w:r>
      <w:r w:rsidR="00BD52FC">
        <w:t xml:space="preserve"> benefit of a one year look-back is that it allowed an analysis to be performed with </w:t>
      </w:r>
      <w:r w:rsidR="000B4314">
        <w:t>concessional and general patients as under co</w:t>
      </w:r>
      <w:r w:rsidR="00115D37">
        <w:t>-</w:t>
      </w:r>
      <w:r w:rsidR="000B4314">
        <w:t xml:space="preserve">payment data was </w:t>
      </w:r>
      <w:r w:rsidR="000B4314">
        <w:lastRenderedPageBreak/>
        <w:t xml:space="preserve">available for this period. The analysis </w:t>
      </w:r>
      <w:r w:rsidR="0086207A">
        <w:t xml:space="preserve">combining general and concessional patients (not presented), </w:t>
      </w:r>
      <w:r w:rsidR="000B4314">
        <w:t xml:space="preserve">had very similar results to those presented </w:t>
      </w:r>
      <w:r w:rsidR="0086207A">
        <w:t xml:space="preserve">for the one year look-back in concessional only patients </w:t>
      </w:r>
      <w:r w:rsidR="000B4314">
        <w:t xml:space="preserve">in Figure </w:t>
      </w:r>
      <w:r w:rsidR="00B77099">
        <w:t>4</w:t>
      </w:r>
      <w:r w:rsidR="000B4314">
        <w:t xml:space="preserve"> and Table 6. </w:t>
      </w:r>
    </w:p>
    <w:p w:rsidR="005A42F1" w:rsidRDefault="005A42F1" w:rsidP="00BC2B27">
      <w:pPr>
        <w:spacing w:after="0"/>
      </w:pPr>
    </w:p>
    <w:p w:rsidR="00BC2B27" w:rsidRDefault="00EC426A" w:rsidP="00BC2B27">
      <w:pPr>
        <w:spacing w:after="0"/>
      </w:pPr>
      <w:r w:rsidRPr="00EC426A">
        <w:t xml:space="preserve">In 2013, it is likely that some patients who appear as new to PBS-subsidised anticoagulant therapy may have received NOACs previously through </w:t>
      </w:r>
      <w:r>
        <w:t xml:space="preserve">PFPs or </w:t>
      </w:r>
      <w:r w:rsidRPr="00EC426A">
        <w:t>other means. As anticoagulants are required to be taken in an ongoing manner, it is expected that these patients would have received their first PBS-subsidised NOAC in 2013, soon after listing. As such, by 2014 it is more likely that patients who appear in the data as new to PBS-subsidised anticoagulant therapy are true initiators.</w:t>
      </w:r>
      <w:r>
        <w:t xml:space="preserve"> </w:t>
      </w:r>
      <w:r w:rsidR="009F42AC">
        <w:t>For NVAF patients new to PBS-subsidised anticoagulant therapy</w:t>
      </w:r>
      <w:r w:rsidR="00946A78">
        <w:t xml:space="preserve"> in 2014 or 2015</w:t>
      </w:r>
      <w:r w:rsidR="009F42AC">
        <w:t>, the choice of anticoagulant</w:t>
      </w:r>
      <w:r w:rsidR="00946A78">
        <w:t xml:space="preserve"> </w:t>
      </w:r>
      <w:r w:rsidR="009F42AC">
        <w:t xml:space="preserve">is shown in Figure </w:t>
      </w:r>
      <w:r w:rsidR="00B77099">
        <w:t>5</w:t>
      </w:r>
      <w:r w:rsidR="009F42AC">
        <w:t xml:space="preserve">.  </w:t>
      </w:r>
    </w:p>
    <w:p w:rsidR="00BC2B27" w:rsidRPr="004C04DE" w:rsidRDefault="00BC2B27" w:rsidP="00BC2B27">
      <w:pPr>
        <w:spacing w:after="0"/>
      </w:pPr>
    </w:p>
    <w:p w:rsidR="00BC2B27" w:rsidRDefault="000B23D2" w:rsidP="00BC2B27">
      <w:pPr>
        <w:spacing w:after="0"/>
      </w:pPr>
      <w:r>
        <w:rPr>
          <w:noProof/>
        </w:rPr>
        <w:drawing>
          <wp:inline distT="0" distB="0" distL="0" distR="0" wp14:anchorId="5EBD5D46" wp14:editId="21B01F26">
            <wp:extent cx="5181600" cy="3390900"/>
            <wp:effectExtent l="0" t="0" r="0" b="0"/>
            <wp:docPr id="12" name="Picture 12" descr="A graph depicting the Number of patients initiating to anticoagulant therapy by initial therapy in 2014 and 2015" title="Number of patients initiating to anticoagulant therapy by initial therapy in 2014 an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81600" cy="3390900"/>
                    </a:xfrm>
                    <a:prstGeom prst="rect">
                      <a:avLst/>
                    </a:prstGeom>
                  </pic:spPr>
                </pic:pic>
              </a:graphicData>
            </a:graphic>
          </wp:inline>
        </w:drawing>
      </w:r>
    </w:p>
    <w:p w:rsidR="00BC2B27" w:rsidRPr="00E248B5" w:rsidRDefault="00BC2B27" w:rsidP="00BC2B27">
      <w:pPr>
        <w:spacing w:after="0"/>
        <w:rPr>
          <w:b/>
          <w:color w:val="FF0000"/>
        </w:rPr>
      </w:pPr>
      <w:r w:rsidRPr="00B77099">
        <w:rPr>
          <w:b/>
        </w:rPr>
        <w:t xml:space="preserve">Figure </w:t>
      </w:r>
      <w:r w:rsidR="00B95B32" w:rsidRPr="00B77099">
        <w:rPr>
          <w:b/>
        </w:rPr>
        <w:t>5</w:t>
      </w:r>
      <w:r w:rsidRPr="00B77099">
        <w:rPr>
          <w:b/>
        </w:rPr>
        <w:t>:</w:t>
      </w:r>
      <w:r w:rsidRPr="00E248B5">
        <w:rPr>
          <w:b/>
        </w:rPr>
        <w:t xml:space="preserve"> Number of patients initiating </w:t>
      </w:r>
      <w:r>
        <w:rPr>
          <w:b/>
        </w:rPr>
        <w:t xml:space="preserve">to </w:t>
      </w:r>
      <w:r w:rsidR="0044518E">
        <w:rPr>
          <w:b/>
        </w:rPr>
        <w:t>anticoagulant therapy</w:t>
      </w:r>
      <w:r>
        <w:rPr>
          <w:b/>
        </w:rPr>
        <w:t xml:space="preserve"> </w:t>
      </w:r>
      <w:r w:rsidRPr="00E248B5">
        <w:rPr>
          <w:b/>
        </w:rPr>
        <w:t xml:space="preserve">by </w:t>
      </w:r>
      <w:r>
        <w:rPr>
          <w:b/>
        </w:rPr>
        <w:t xml:space="preserve">initial therapy </w:t>
      </w:r>
      <w:r w:rsidR="0044518E">
        <w:rPr>
          <w:b/>
        </w:rPr>
        <w:t>in 2014 and 2015</w:t>
      </w:r>
    </w:p>
    <w:p w:rsidR="00BC2B27" w:rsidRPr="00CC49B0" w:rsidRDefault="00BC2B27" w:rsidP="00BC2B27">
      <w:pPr>
        <w:rPr>
          <w:color w:val="FF0000"/>
          <w:sz w:val="20"/>
          <w:szCs w:val="20"/>
        </w:rPr>
      </w:pPr>
      <w:r>
        <w:rPr>
          <w:rStyle w:val="FigurecaptionChar"/>
        </w:rPr>
        <w:t xml:space="preserve">Source: </w:t>
      </w:r>
      <w:r w:rsidR="00305851">
        <w:rPr>
          <w:rStyle w:val="FigurecaptionChar"/>
        </w:rPr>
        <w:t>DHS</w:t>
      </w:r>
      <w:r w:rsidR="00115D37">
        <w:rPr>
          <w:rStyle w:val="FigurecaptionChar"/>
        </w:rPr>
        <w:t xml:space="preserve"> supplied prescriptions</w:t>
      </w:r>
      <w:r w:rsidR="00305851">
        <w:rPr>
          <w:rStyle w:val="FigurecaptionChar"/>
        </w:rPr>
        <w:t xml:space="preserve"> database</w:t>
      </w:r>
      <w:r w:rsidRPr="00356880">
        <w:rPr>
          <w:sz w:val="20"/>
          <w:szCs w:val="20"/>
        </w:rPr>
        <w:t xml:space="preserve"> accessed </w:t>
      </w:r>
      <w:r w:rsidR="00305851">
        <w:rPr>
          <w:sz w:val="20"/>
          <w:szCs w:val="20"/>
        </w:rPr>
        <w:t>May</w:t>
      </w:r>
      <w:r w:rsidRPr="00356880">
        <w:rPr>
          <w:sz w:val="20"/>
          <w:szCs w:val="20"/>
        </w:rPr>
        <w:t xml:space="preserve"> 2016.</w:t>
      </w:r>
      <w:r w:rsidR="00305851">
        <w:rPr>
          <w:sz w:val="20"/>
          <w:szCs w:val="20"/>
        </w:rPr>
        <w:t xml:space="preserve"> Patient</w:t>
      </w:r>
      <w:r w:rsidR="0044518E">
        <w:rPr>
          <w:sz w:val="20"/>
          <w:szCs w:val="20"/>
        </w:rPr>
        <w:t>s</w:t>
      </w:r>
      <w:r w:rsidR="00305851">
        <w:rPr>
          <w:sz w:val="20"/>
          <w:szCs w:val="20"/>
        </w:rPr>
        <w:t xml:space="preserve"> i</w:t>
      </w:r>
      <w:r w:rsidRPr="00E248B5">
        <w:rPr>
          <w:sz w:val="20"/>
          <w:szCs w:val="20"/>
        </w:rPr>
        <w:t xml:space="preserve">nitiating </w:t>
      </w:r>
      <w:r w:rsidR="00305851">
        <w:rPr>
          <w:sz w:val="20"/>
          <w:szCs w:val="20"/>
        </w:rPr>
        <w:t>to anticoagulant therapy</w:t>
      </w:r>
      <w:r w:rsidRPr="00E248B5">
        <w:rPr>
          <w:sz w:val="20"/>
          <w:szCs w:val="20"/>
        </w:rPr>
        <w:t xml:space="preserve"> are </w:t>
      </w:r>
      <w:r>
        <w:rPr>
          <w:sz w:val="20"/>
          <w:szCs w:val="20"/>
        </w:rPr>
        <w:t xml:space="preserve">defined as </w:t>
      </w:r>
      <w:r w:rsidRPr="00E248B5">
        <w:rPr>
          <w:sz w:val="20"/>
          <w:szCs w:val="20"/>
        </w:rPr>
        <w:t xml:space="preserve">those who have not been supplied </w:t>
      </w:r>
      <w:r>
        <w:rPr>
          <w:sz w:val="20"/>
          <w:szCs w:val="20"/>
        </w:rPr>
        <w:t>a NOAC</w:t>
      </w:r>
      <w:r w:rsidRPr="00E248B5">
        <w:rPr>
          <w:sz w:val="20"/>
          <w:szCs w:val="20"/>
        </w:rPr>
        <w:t xml:space="preserve"> </w:t>
      </w:r>
      <w:r w:rsidR="00305851">
        <w:rPr>
          <w:sz w:val="20"/>
          <w:szCs w:val="20"/>
        </w:rPr>
        <w:t xml:space="preserve">or warfarin </w:t>
      </w:r>
      <w:r w:rsidRPr="00E248B5">
        <w:rPr>
          <w:sz w:val="20"/>
          <w:szCs w:val="20"/>
        </w:rPr>
        <w:t>since January 2010</w:t>
      </w:r>
      <w:r>
        <w:rPr>
          <w:sz w:val="20"/>
          <w:szCs w:val="20"/>
        </w:rPr>
        <w:t>.</w:t>
      </w:r>
      <w:r w:rsidRPr="00356880">
        <w:rPr>
          <w:sz w:val="20"/>
          <w:szCs w:val="20"/>
        </w:rPr>
        <w:t xml:space="preserve"> </w:t>
      </w:r>
      <w:r w:rsidR="00305851">
        <w:rPr>
          <w:sz w:val="20"/>
          <w:szCs w:val="20"/>
        </w:rPr>
        <w:t xml:space="preserve">All warfarin patients are included; </w:t>
      </w:r>
      <w:r>
        <w:rPr>
          <w:sz w:val="20"/>
          <w:szCs w:val="20"/>
        </w:rPr>
        <w:t>NOACs are for NVAF cohort (refer to Method).</w:t>
      </w:r>
    </w:p>
    <w:p w:rsidR="00E440C5" w:rsidRDefault="00E440C5" w:rsidP="00BC2B27">
      <w:pPr>
        <w:spacing w:after="0"/>
      </w:pPr>
      <w:r w:rsidRPr="00BE6291">
        <w:t>For patients new to anticoagulant therapy in 2014</w:t>
      </w:r>
      <w:r>
        <w:t xml:space="preserve"> and 2015</w:t>
      </w:r>
      <w:r w:rsidRPr="00BE6291">
        <w:t>, more patients commenced anticoagulant therapy with NOACs than with warfarin</w:t>
      </w:r>
      <w:r>
        <w:t xml:space="preserve">. Further, the number of people who started anticoagulant therapy on warfarin declined between 2014 and 2015. </w:t>
      </w:r>
    </w:p>
    <w:p w:rsidR="00E440C5" w:rsidRDefault="00E440C5" w:rsidP="00BC2B27">
      <w:pPr>
        <w:spacing w:after="0"/>
      </w:pPr>
    </w:p>
    <w:p w:rsidR="00BC2B27" w:rsidRPr="00F73371" w:rsidRDefault="00E440C5" w:rsidP="00BC2B27">
      <w:pPr>
        <w:spacing w:after="0"/>
      </w:pPr>
      <w:r>
        <w:t xml:space="preserve">In 2014, rivaroxaban had the greatest market share in patients starting anticoagulant therapy with a NOAC, while in 2015, </w:t>
      </w:r>
      <w:r w:rsidRPr="00BE6291">
        <w:t>rivaroxaban and apixaban</w:t>
      </w:r>
      <w:r>
        <w:t xml:space="preserve"> had similar market share. In both 2014 and 2015 dabigatran use was substantially lower</w:t>
      </w:r>
      <w:r w:rsidR="00B11CC8">
        <w:t xml:space="preserve"> than that of rivaroxaban and apixaban</w:t>
      </w:r>
      <w:r>
        <w:t xml:space="preserve">. </w:t>
      </w:r>
    </w:p>
    <w:p w:rsidR="00282E35" w:rsidRDefault="00282E35" w:rsidP="00282E35">
      <w:pPr>
        <w:pStyle w:val="Heading3"/>
        <w:rPr>
          <w:b w:val="0"/>
          <w:i w:val="0"/>
        </w:rPr>
      </w:pPr>
      <w:r>
        <w:rPr>
          <w:b w:val="0"/>
          <w:i w:val="0"/>
        </w:rPr>
        <w:lastRenderedPageBreak/>
        <w:t xml:space="preserve">The age distribution of people supplied their first anticoagulant therapy in 2015 is shown in </w:t>
      </w:r>
      <w:r w:rsidR="00B77099" w:rsidRPr="00B11CC8">
        <w:rPr>
          <w:b w:val="0"/>
          <w:i w:val="0"/>
        </w:rPr>
        <w:t>Figure 6</w:t>
      </w:r>
      <w:r w:rsidRPr="00B11CC8">
        <w:rPr>
          <w:b w:val="0"/>
          <w:i w:val="0"/>
        </w:rPr>
        <w:t>.</w:t>
      </w:r>
      <w:r>
        <w:rPr>
          <w:b w:val="0"/>
          <w:i w:val="0"/>
        </w:rPr>
        <w:t xml:space="preserve">  </w:t>
      </w:r>
    </w:p>
    <w:p w:rsidR="0087562C" w:rsidRDefault="000B23D2" w:rsidP="00CF5E22">
      <w:pPr>
        <w:pStyle w:val="Heading3"/>
        <w:rPr>
          <w:b w:val="0"/>
          <w:i w:val="0"/>
        </w:rPr>
      </w:pPr>
      <w:r>
        <w:rPr>
          <w:noProof/>
        </w:rPr>
        <w:drawing>
          <wp:inline distT="0" distB="0" distL="0" distR="0" wp14:anchorId="0E1D133D" wp14:editId="6B4EC890">
            <wp:extent cx="5162550" cy="3629025"/>
            <wp:effectExtent l="0" t="0" r="0" b="9525"/>
            <wp:docPr id="13" name="Picture 13" descr="A graph depicting the Number of patients initiating anticoagulant therapy in 2015 by age at initiation and first anticoagulant supplied  " title="Number of patients initiating anticoagulant therapy in 2015 by age at initiation and first anticoagulant suppli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62550" cy="3629025"/>
                    </a:xfrm>
                    <a:prstGeom prst="rect">
                      <a:avLst/>
                    </a:prstGeom>
                  </pic:spPr>
                </pic:pic>
              </a:graphicData>
            </a:graphic>
          </wp:inline>
        </w:drawing>
      </w:r>
    </w:p>
    <w:p w:rsidR="002E2272" w:rsidRDefault="002E2272" w:rsidP="002E2272">
      <w:pPr>
        <w:pStyle w:val="Heading3"/>
        <w:spacing w:before="0" w:after="0"/>
        <w:rPr>
          <w:i w:val="0"/>
        </w:rPr>
      </w:pPr>
      <w:r w:rsidRPr="00B77099">
        <w:rPr>
          <w:i w:val="0"/>
        </w:rPr>
        <w:t xml:space="preserve">Figure </w:t>
      </w:r>
      <w:r w:rsidR="00B95B32" w:rsidRPr="00B77099">
        <w:rPr>
          <w:i w:val="0"/>
        </w:rPr>
        <w:t>6</w:t>
      </w:r>
      <w:r w:rsidRPr="00B77099">
        <w:rPr>
          <w:i w:val="0"/>
        </w:rPr>
        <w:t>:</w:t>
      </w:r>
      <w:r>
        <w:rPr>
          <w:i w:val="0"/>
        </w:rPr>
        <w:t xml:space="preserve"> </w:t>
      </w:r>
      <w:r w:rsidRPr="001407CA">
        <w:rPr>
          <w:i w:val="0"/>
        </w:rPr>
        <w:t xml:space="preserve">Number of patients initiating </w:t>
      </w:r>
      <w:r>
        <w:rPr>
          <w:i w:val="0"/>
        </w:rPr>
        <w:t>anticoagulant therapy in 2015 by</w:t>
      </w:r>
      <w:r w:rsidRPr="001407CA">
        <w:rPr>
          <w:i w:val="0"/>
        </w:rPr>
        <w:t xml:space="preserve"> age</w:t>
      </w:r>
      <w:r>
        <w:rPr>
          <w:i w:val="0"/>
        </w:rPr>
        <w:t xml:space="preserve"> at initiation</w:t>
      </w:r>
      <w:r w:rsidRPr="001407CA">
        <w:t xml:space="preserve"> </w:t>
      </w:r>
      <w:r w:rsidRPr="001407CA">
        <w:rPr>
          <w:i w:val="0"/>
        </w:rPr>
        <w:t xml:space="preserve">and </w:t>
      </w:r>
      <w:r>
        <w:rPr>
          <w:i w:val="0"/>
        </w:rPr>
        <w:t xml:space="preserve">first anticoagulant supplied  </w:t>
      </w:r>
    </w:p>
    <w:p w:rsidR="0087562C" w:rsidRDefault="002E2272" w:rsidP="002E2272">
      <w:pPr>
        <w:spacing w:after="0"/>
        <w:rPr>
          <w:b/>
          <w:i/>
        </w:rPr>
      </w:pPr>
      <w:r w:rsidRPr="00356880">
        <w:rPr>
          <w:sz w:val="20"/>
          <w:szCs w:val="20"/>
        </w:rPr>
        <w:t xml:space="preserve">Source: </w:t>
      </w:r>
      <w:r w:rsidRPr="002E2272">
        <w:rPr>
          <w:rStyle w:val="FigurecaptionChar"/>
        </w:rPr>
        <w:t>DHS supplied prescriptions database</w:t>
      </w:r>
      <w:r w:rsidRPr="002E2272">
        <w:rPr>
          <w:sz w:val="20"/>
          <w:szCs w:val="20"/>
        </w:rPr>
        <w:t xml:space="preserve"> accessed May 2016. Initiating patients are defined as those who have not been supplied a prescription for warfarin or a NOAC since January 2010. All warfarin patients are included; NOACs are for NVAF cohort (refer to Method).</w:t>
      </w:r>
    </w:p>
    <w:p w:rsidR="00282E35" w:rsidRDefault="00630AAB" w:rsidP="00CF5E22">
      <w:pPr>
        <w:pStyle w:val="Heading3"/>
        <w:rPr>
          <w:b w:val="0"/>
          <w:i w:val="0"/>
        </w:rPr>
      </w:pPr>
      <w:r>
        <w:rPr>
          <w:b w:val="0"/>
          <w:i w:val="0"/>
        </w:rPr>
        <w:t>The age distribution for people commencing their first anticoagulant therapy does not differ greatly by the medicine first supplied</w:t>
      </w:r>
      <w:r w:rsidR="003B25E5">
        <w:rPr>
          <w:b w:val="0"/>
          <w:i w:val="0"/>
        </w:rPr>
        <w:t xml:space="preserve">; that is, the data do not show a tendency for different anticoagulant choice on the basis of age. </w:t>
      </w:r>
    </w:p>
    <w:p w:rsidR="000D0893" w:rsidRPr="00186A0E" w:rsidRDefault="003B5712" w:rsidP="00CF5E22">
      <w:pPr>
        <w:pStyle w:val="Heading3"/>
        <w:rPr>
          <w:b w:val="0"/>
          <w:i w:val="0"/>
        </w:rPr>
      </w:pPr>
      <w:r>
        <w:rPr>
          <w:b w:val="0"/>
          <w:i w:val="0"/>
        </w:rPr>
        <w:t>For</w:t>
      </w:r>
      <w:r w:rsidR="003B25E5">
        <w:rPr>
          <w:b w:val="0"/>
          <w:i w:val="0"/>
        </w:rPr>
        <w:t xml:space="preserve"> NVAF</w:t>
      </w:r>
      <w:r>
        <w:rPr>
          <w:b w:val="0"/>
          <w:i w:val="0"/>
        </w:rPr>
        <w:t xml:space="preserve"> patients </w:t>
      </w:r>
      <w:r w:rsidR="003B25E5">
        <w:rPr>
          <w:b w:val="0"/>
          <w:i w:val="0"/>
        </w:rPr>
        <w:t>supplied their first NOAC</w:t>
      </w:r>
      <w:r>
        <w:rPr>
          <w:b w:val="0"/>
          <w:i w:val="0"/>
        </w:rPr>
        <w:t xml:space="preserve">, </w:t>
      </w:r>
      <w:r w:rsidR="00B77099">
        <w:rPr>
          <w:b w:val="0"/>
          <w:i w:val="0"/>
        </w:rPr>
        <w:t>F</w:t>
      </w:r>
      <w:r w:rsidR="00186A0E" w:rsidRPr="00186A0E">
        <w:rPr>
          <w:b w:val="0"/>
          <w:i w:val="0"/>
        </w:rPr>
        <w:t xml:space="preserve">igure </w:t>
      </w:r>
      <w:r w:rsidR="00B77099">
        <w:rPr>
          <w:b w:val="0"/>
          <w:i w:val="0"/>
        </w:rPr>
        <w:t>7</w:t>
      </w:r>
      <w:r w:rsidR="00186A0E" w:rsidRPr="00186A0E">
        <w:rPr>
          <w:b w:val="0"/>
          <w:i w:val="0"/>
        </w:rPr>
        <w:t xml:space="preserve"> depicts the </w:t>
      </w:r>
      <w:r w:rsidR="003B25E5">
        <w:rPr>
          <w:b w:val="0"/>
          <w:i w:val="0"/>
        </w:rPr>
        <w:t>NOAC</w:t>
      </w:r>
      <w:r w:rsidR="003A266E">
        <w:rPr>
          <w:b w:val="0"/>
          <w:i w:val="0"/>
        </w:rPr>
        <w:t xml:space="preserve"> </w:t>
      </w:r>
      <w:r w:rsidR="00186A0E" w:rsidRPr="00186A0E">
        <w:rPr>
          <w:b w:val="0"/>
          <w:i w:val="0"/>
        </w:rPr>
        <w:t>a patient was initiated on by their age, the drug form and the strength.</w:t>
      </w:r>
    </w:p>
    <w:p w:rsidR="00E8189F" w:rsidRDefault="000B23D2" w:rsidP="00A5603A">
      <w:pPr>
        <w:pStyle w:val="Heading3"/>
        <w:spacing w:after="0"/>
        <w:rPr>
          <w:b w:val="0"/>
          <w:i w:val="0"/>
        </w:rPr>
      </w:pPr>
      <w:r>
        <w:rPr>
          <w:noProof/>
        </w:rPr>
        <w:lastRenderedPageBreak/>
        <w:drawing>
          <wp:inline distT="0" distB="0" distL="0" distR="0" wp14:anchorId="626A5909" wp14:editId="3DBDD7C1">
            <wp:extent cx="5153025" cy="3381375"/>
            <wp:effectExtent l="0" t="0" r="9525" b="9525"/>
            <wp:docPr id="15" name="Picture 15" descr="A graph depicting the Number of patients initiating to a NOAC from August 2013 to December 2015 by age and NOAC drug and strength  " title="Number of patients initiating to a NOAC from August 2013 to December 2015 by age and NOAC drug and streng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53025" cy="3381375"/>
                    </a:xfrm>
                    <a:prstGeom prst="rect">
                      <a:avLst/>
                    </a:prstGeom>
                  </pic:spPr>
                </pic:pic>
              </a:graphicData>
            </a:graphic>
          </wp:inline>
        </w:drawing>
      </w:r>
    </w:p>
    <w:p w:rsidR="00052E8A" w:rsidRPr="00FD25DA" w:rsidRDefault="00052E8A" w:rsidP="00A5603A">
      <w:pPr>
        <w:pStyle w:val="Heading3"/>
        <w:spacing w:before="0" w:after="0"/>
        <w:rPr>
          <w:i w:val="0"/>
        </w:rPr>
      </w:pPr>
      <w:r w:rsidRPr="00B77099">
        <w:rPr>
          <w:i w:val="0"/>
        </w:rPr>
        <w:t xml:space="preserve">Figure </w:t>
      </w:r>
      <w:r w:rsidR="00B95B32" w:rsidRPr="00B77099">
        <w:rPr>
          <w:i w:val="0"/>
        </w:rPr>
        <w:t>7</w:t>
      </w:r>
      <w:r w:rsidRPr="00B77099">
        <w:rPr>
          <w:i w:val="0"/>
        </w:rPr>
        <w:t>:</w:t>
      </w:r>
      <w:r>
        <w:rPr>
          <w:i w:val="0"/>
        </w:rPr>
        <w:t xml:space="preserve"> </w:t>
      </w:r>
      <w:r w:rsidRPr="001407CA">
        <w:rPr>
          <w:i w:val="0"/>
        </w:rPr>
        <w:t xml:space="preserve">Number of </w:t>
      </w:r>
      <w:r w:rsidRPr="00FD25DA">
        <w:rPr>
          <w:i w:val="0"/>
        </w:rPr>
        <w:t xml:space="preserve">patients initiating </w:t>
      </w:r>
      <w:r w:rsidR="002C61CB" w:rsidRPr="00FD25DA">
        <w:rPr>
          <w:i w:val="0"/>
        </w:rPr>
        <w:t>to</w:t>
      </w:r>
      <w:r w:rsidR="00111FF2" w:rsidRPr="00FD25DA">
        <w:rPr>
          <w:i w:val="0"/>
        </w:rPr>
        <w:t xml:space="preserve"> a</w:t>
      </w:r>
      <w:r w:rsidR="002C61CB" w:rsidRPr="00FD25DA">
        <w:rPr>
          <w:i w:val="0"/>
        </w:rPr>
        <w:t xml:space="preserve"> </w:t>
      </w:r>
      <w:r w:rsidR="00111FF2" w:rsidRPr="00FD25DA">
        <w:rPr>
          <w:i w:val="0"/>
        </w:rPr>
        <w:t>NOAC</w:t>
      </w:r>
      <w:r w:rsidR="003A266E" w:rsidRPr="00FD25DA">
        <w:rPr>
          <w:i w:val="0"/>
        </w:rPr>
        <w:t xml:space="preserve"> </w:t>
      </w:r>
      <w:r w:rsidR="002A2C02" w:rsidRPr="00FD25DA">
        <w:rPr>
          <w:i w:val="0"/>
        </w:rPr>
        <w:t>from August 2013 to December 2015 by</w:t>
      </w:r>
      <w:r w:rsidRPr="00FD25DA">
        <w:rPr>
          <w:i w:val="0"/>
        </w:rPr>
        <w:t xml:space="preserve"> age</w:t>
      </w:r>
      <w:r w:rsidRPr="00FD25DA">
        <w:t xml:space="preserve"> </w:t>
      </w:r>
      <w:r w:rsidRPr="00FD25DA">
        <w:rPr>
          <w:i w:val="0"/>
        </w:rPr>
        <w:t xml:space="preserve">and </w:t>
      </w:r>
      <w:r w:rsidR="00FD25DA" w:rsidRPr="00FD25DA">
        <w:rPr>
          <w:i w:val="0"/>
        </w:rPr>
        <w:t>NOAC drug and strength</w:t>
      </w:r>
      <w:r w:rsidR="002C61CB" w:rsidRPr="00FD25DA">
        <w:rPr>
          <w:i w:val="0"/>
        </w:rPr>
        <w:t xml:space="preserve"> </w:t>
      </w:r>
      <w:r w:rsidRPr="00FD25DA">
        <w:rPr>
          <w:i w:val="0"/>
        </w:rPr>
        <w:t xml:space="preserve"> </w:t>
      </w:r>
    </w:p>
    <w:p w:rsidR="002A2C02" w:rsidRPr="00356880" w:rsidRDefault="008A2574" w:rsidP="002A2C02">
      <w:pPr>
        <w:spacing w:after="0"/>
        <w:rPr>
          <w:sz w:val="20"/>
          <w:szCs w:val="20"/>
        </w:rPr>
      </w:pPr>
      <w:r w:rsidRPr="00FD25DA">
        <w:rPr>
          <w:sz w:val="20"/>
          <w:szCs w:val="20"/>
        </w:rPr>
        <w:t xml:space="preserve">Source: </w:t>
      </w:r>
      <w:r w:rsidRPr="00FD25DA">
        <w:rPr>
          <w:rStyle w:val="FigurecaptionChar"/>
        </w:rPr>
        <w:t xml:space="preserve">DHS </w:t>
      </w:r>
      <w:r w:rsidR="00115D37" w:rsidRPr="00FD25DA">
        <w:rPr>
          <w:rStyle w:val="FigurecaptionChar"/>
        </w:rPr>
        <w:t xml:space="preserve">supplied prescriptions </w:t>
      </w:r>
      <w:r w:rsidRPr="00FD25DA">
        <w:rPr>
          <w:rStyle w:val="FigurecaptionChar"/>
        </w:rPr>
        <w:t>database</w:t>
      </w:r>
      <w:r w:rsidRPr="00FD25DA">
        <w:rPr>
          <w:sz w:val="20"/>
          <w:szCs w:val="20"/>
        </w:rPr>
        <w:t xml:space="preserve"> accessed April 2016.</w:t>
      </w:r>
      <w:r w:rsidR="003B5712" w:rsidRPr="00FD25DA">
        <w:rPr>
          <w:sz w:val="20"/>
          <w:szCs w:val="20"/>
        </w:rPr>
        <w:t xml:space="preserve"> </w:t>
      </w:r>
      <w:r w:rsidR="002A2C02" w:rsidRPr="00FD25DA">
        <w:rPr>
          <w:sz w:val="20"/>
          <w:szCs w:val="20"/>
        </w:rPr>
        <w:t xml:space="preserve">Initiating patients are defined as those who have not been supplied </w:t>
      </w:r>
      <w:r w:rsidR="002C61CB" w:rsidRPr="00FD25DA">
        <w:rPr>
          <w:sz w:val="20"/>
          <w:szCs w:val="20"/>
        </w:rPr>
        <w:t xml:space="preserve">a prescription for their first </w:t>
      </w:r>
      <w:r w:rsidR="00FD25DA" w:rsidRPr="00FD25DA">
        <w:rPr>
          <w:sz w:val="20"/>
          <w:szCs w:val="20"/>
        </w:rPr>
        <w:t>NOAC</w:t>
      </w:r>
      <w:r w:rsidR="002A2C02" w:rsidRPr="00FD25DA">
        <w:rPr>
          <w:sz w:val="20"/>
          <w:szCs w:val="20"/>
        </w:rPr>
        <w:t xml:space="preserve"> since January</w:t>
      </w:r>
      <w:r w:rsidR="002A2C02" w:rsidRPr="00E248B5">
        <w:rPr>
          <w:sz w:val="20"/>
          <w:szCs w:val="20"/>
        </w:rPr>
        <w:t xml:space="preserve"> 2010.</w:t>
      </w:r>
      <w:r w:rsidR="002A2C02">
        <w:rPr>
          <w:sz w:val="20"/>
          <w:szCs w:val="20"/>
        </w:rPr>
        <w:t xml:space="preserve"> </w:t>
      </w:r>
      <w:r w:rsidR="00DE5478">
        <w:rPr>
          <w:sz w:val="20"/>
          <w:szCs w:val="20"/>
        </w:rPr>
        <w:t>NOACs are for NVAF cohort (refer to Method).</w:t>
      </w:r>
    </w:p>
    <w:p w:rsidR="00052E8A" w:rsidRDefault="00052E8A" w:rsidP="00A246BC">
      <w:pPr>
        <w:spacing w:after="0"/>
      </w:pPr>
    </w:p>
    <w:p w:rsidR="005E3FE3" w:rsidRDefault="00052E8A" w:rsidP="005E3FE3">
      <w:pPr>
        <w:spacing w:after="0"/>
      </w:pPr>
      <w:r>
        <w:t>Of note is the trend for the lower strengths</w:t>
      </w:r>
      <w:r w:rsidR="003B5712">
        <w:t xml:space="preserve"> of NOACs</w:t>
      </w:r>
      <w:r>
        <w:t xml:space="preserve"> to be prescribed in the older populations. This is in accordance with the clinical recommendation that lower doses be used in patients with impaired renal function</w:t>
      </w:r>
      <w:r w:rsidR="00B30CA1">
        <w:t>,</w:t>
      </w:r>
      <w:r>
        <w:t xml:space="preserve"> which typically presents in older populations.</w:t>
      </w:r>
    </w:p>
    <w:p w:rsidR="005E3FE3" w:rsidRDefault="005E3FE3" w:rsidP="005E3FE3">
      <w:pPr>
        <w:spacing w:after="0"/>
      </w:pPr>
    </w:p>
    <w:p w:rsidR="00631607" w:rsidRDefault="00631607">
      <w:pPr>
        <w:spacing w:line="276" w:lineRule="auto"/>
        <w:rPr>
          <w:b/>
          <w:i/>
        </w:rPr>
      </w:pPr>
      <w:r>
        <w:rPr>
          <w:b/>
          <w:i/>
        </w:rPr>
        <w:br w:type="page"/>
      </w:r>
    </w:p>
    <w:p w:rsidR="00D24209" w:rsidRDefault="00D73FBB">
      <w:pPr>
        <w:spacing w:line="276" w:lineRule="auto"/>
      </w:pPr>
      <w:r>
        <w:rPr>
          <w:b/>
          <w:i/>
        </w:rPr>
        <w:lastRenderedPageBreak/>
        <w:t>Time to refill</w:t>
      </w:r>
      <w:r w:rsidR="008527F9">
        <w:rPr>
          <w:b/>
          <w:i/>
        </w:rPr>
        <w:t>ing prescription</w:t>
      </w:r>
      <w:r>
        <w:rPr>
          <w:b/>
          <w:i/>
        </w:rPr>
        <w:t xml:space="preserve"> analysis</w:t>
      </w:r>
      <w:r w:rsidR="00D24209" w:rsidRPr="00D24209">
        <w:t xml:space="preserve"> </w:t>
      </w:r>
    </w:p>
    <w:p w:rsidR="00FD67C5" w:rsidRDefault="00D24209" w:rsidP="00D24209">
      <w:pPr>
        <w:rPr>
          <w:b/>
          <w:i/>
        </w:rPr>
      </w:pPr>
      <w:r w:rsidRPr="005A6118">
        <w:t xml:space="preserve">Figure </w:t>
      </w:r>
      <w:r w:rsidR="00B77099">
        <w:t>8</w:t>
      </w:r>
      <w:r w:rsidRPr="005A6118">
        <w:t xml:space="preserve"> depicts</w:t>
      </w:r>
      <w:r>
        <w:t xml:space="preserve"> the frequency of refill of prescriptions for the NOACs used in NVAF where the date of supply was on or after August 2013.</w:t>
      </w:r>
    </w:p>
    <w:p w:rsidR="00AA7090" w:rsidRPr="004A4118" w:rsidRDefault="000B23D2" w:rsidP="00691753">
      <w:pPr>
        <w:spacing w:after="0" w:line="276" w:lineRule="auto"/>
      </w:pPr>
      <w:r>
        <w:rPr>
          <w:noProof/>
        </w:rPr>
        <w:drawing>
          <wp:inline distT="0" distB="0" distL="0" distR="0" wp14:anchorId="78F293EC" wp14:editId="6444F4A8">
            <wp:extent cx="5181600" cy="3381375"/>
            <wp:effectExtent l="0" t="0" r="0" b="9525"/>
            <wp:docPr id="17" name="Picture 17" descr="A graph depicting the Percentage frequency of days to resupply of NOACs for NVAF indication " title="Percentage frequency of days to resupply of NOACs for NVAF ind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81600" cy="3381375"/>
                    </a:xfrm>
                    <a:prstGeom prst="rect">
                      <a:avLst/>
                    </a:prstGeom>
                  </pic:spPr>
                </pic:pic>
              </a:graphicData>
            </a:graphic>
          </wp:inline>
        </w:drawing>
      </w:r>
    </w:p>
    <w:p w:rsidR="00AA7090" w:rsidRDefault="00D24209" w:rsidP="00691753">
      <w:pPr>
        <w:spacing w:after="0"/>
        <w:rPr>
          <w:b/>
        </w:rPr>
      </w:pPr>
      <w:r>
        <w:rPr>
          <w:b/>
        </w:rPr>
        <w:t xml:space="preserve">Figure </w:t>
      </w:r>
      <w:r w:rsidR="00B95B32">
        <w:rPr>
          <w:b/>
        </w:rPr>
        <w:t>8</w:t>
      </w:r>
      <w:r w:rsidR="00691753" w:rsidRPr="00691753">
        <w:rPr>
          <w:b/>
        </w:rPr>
        <w:t>:</w:t>
      </w:r>
      <w:r w:rsidR="00691753">
        <w:rPr>
          <w:b/>
        </w:rPr>
        <w:t xml:space="preserve"> </w:t>
      </w:r>
      <w:r w:rsidR="00691753" w:rsidRPr="00691753">
        <w:rPr>
          <w:b/>
        </w:rPr>
        <w:t xml:space="preserve"> </w:t>
      </w:r>
      <w:r w:rsidR="00691753">
        <w:rPr>
          <w:b/>
        </w:rPr>
        <w:t xml:space="preserve">Percentage frequency of days to resupply of </w:t>
      </w:r>
      <w:r w:rsidR="00492666">
        <w:rPr>
          <w:b/>
        </w:rPr>
        <w:t>NOACs</w:t>
      </w:r>
      <w:r w:rsidR="00691753">
        <w:rPr>
          <w:b/>
        </w:rPr>
        <w:t xml:space="preserve"> for NVAF indication</w:t>
      </w:r>
      <w:r w:rsidR="008527F9">
        <w:rPr>
          <w:b/>
        </w:rPr>
        <w:t xml:space="preserve"> </w:t>
      </w:r>
    </w:p>
    <w:p w:rsidR="00691753" w:rsidRDefault="00691753" w:rsidP="00691753">
      <w:pPr>
        <w:spacing w:after="0"/>
        <w:rPr>
          <w:sz w:val="20"/>
          <w:szCs w:val="20"/>
        </w:rPr>
      </w:pPr>
      <w:r>
        <w:rPr>
          <w:rStyle w:val="FigurecaptionChar"/>
        </w:rPr>
        <w:t>Source: DHS</w:t>
      </w:r>
      <w:r w:rsidRPr="0030713E">
        <w:rPr>
          <w:rStyle w:val="FigurecaptionChar"/>
        </w:rPr>
        <w:t xml:space="preserve"> </w:t>
      </w:r>
      <w:r w:rsidR="00115D37">
        <w:rPr>
          <w:rStyle w:val="FigurecaptionChar"/>
        </w:rPr>
        <w:t xml:space="preserve">supplied prescriptions </w:t>
      </w:r>
      <w:r w:rsidR="00492666">
        <w:rPr>
          <w:rStyle w:val="FigurecaptionChar"/>
        </w:rPr>
        <w:t>database</w:t>
      </w:r>
      <w:r w:rsidRPr="00356880">
        <w:rPr>
          <w:sz w:val="20"/>
          <w:szCs w:val="20"/>
        </w:rPr>
        <w:t xml:space="preserve"> accessed </w:t>
      </w:r>
      <w:r>
        <w:rPr>
          <w:sz w:val="20"/>
          <w:szCs w:val="20"/>
        </w:rPr>
        <w:t>April</w:t>
      </w:r>
      <w:r w:rsidRPr="00356880">
        <w:rPr>
          <w:sz w:val="20"/>
          <w:szCs w:val="20"/>
        </w:rPr>
        <w:t xml:space="preserve"> 2016.</w:t>
      </w:r>
      <w:r>
        <w:rPr>
          <w:sz w:val="20"/>
          <w:szCs w:val="20"/>
        </w:rPr>
        <w:t xml:space="preserve"> </w:t>
      </w:r>
      <w:r w:rsidR="00DE5478">
        <w:rPr>
          <w:sz w:val="20"/>
          <w:szCs w:val="20"/>
        </w:rPr>
        <w:t>NOACs are for NVAF cohort (refer to Method).</w:t>
      </w:r>
    </w:p>
    <w:p w:rsidR="00691753" w:rsidRDefault="00691753" w:rsidP="00691753">
      <w:pPr>
        <w:spacing w:after="0"/>
        <w:rPr>
          <w:sz w:val="20"/>
          <w:szCs w:val="20"/>
        </w:rPr>
      </w:pPr>
    </w:p>
    <w:p w:rsidR="00492666" w:rsidRDefault="008527F9" w:rsidP="00492666">
      <w:r>
        <w:t xml:space="preserve">Patients who take rivaroxaban as prescribed will have a 28 day supply in each box therefore resupply at around 28 days may indicate that patients are compliant with their therapy. The peaks that can be seen at the 21 day mark may be due to resupply of a prescription by patients adhering to the 20 day PBS rule. Apixaban and dabigatran come in boxes of 60, with twice daily dosing. </w:t>
      </w:r>
      <w:r w:rsidR="00120A81">
        <w:t>Due to the higher number of tablets or capsules in a box, p</w:t>
      </w:r>
      <w:r>
        <w:t>a</w:t>
      </w:r>
      <w:r w:rsidR="00120A81">
        <w:t xml:space="preserve">tients taking either of these two medications have more capacity to delay their resupply for longer than rivaroxaban, if they are non-compliant. </w:t>
      </w:r>
    </w:p>
    <w:p w:rsidR="006D3ABD" w:rsidRDefault="006D3ABD">
      <w:pPr>
        <w:spacing w:line="276" w:lineRule="auto"/>
        <w:rPr>
          <w:b/>
          <w:i/>
        </w:rPr>
      </w:pPr>
      <w:r>
        <w:rPr>
          <w:b/>
          <w:i/>
        </w:rPr>
        <w:br w:type="page"/>
      </w:r>
    </w:p>
    <w:p w:rsidR="00515FE9" w:rsidRDefault="00515FE9" w:rsidP="00515FE9">
      <w:pPr>
        <w:spacing w:after="0"/>
        <w:rPr>
          <w:b/>
          <w:i/>
        </w:rPr>
      </w:pPr>
      <w:r w:rsidRPr="00021775">
        <w:rPr>
          <w:b/>
          <w:i/>
        </w:rPr>
        <w:lastRenderedPageBreak/>
        <w:t>Analysis by location</w:t>
      </w:r>
    </w:p>
    <w:p w:rsidR="00A66A98" w:rsidRDefault="00A66A98" w:rsidP="00515FE9">
      <w:pPr>
        <w:spacing w:after="0"/>
        <w:rPr>
          <w:b/>
          <w:i/>
        </w:rPr>
      </w:pPr>
    </w:p>
    <w:p w:rsidR="00A66A98" w:rsidRDefault="00A66A98" w:rsidP="00515FE9">
      <w:pPr>
        <w:spacing w:after="0"/>
      </w:pPr>
      <w:r>
        <w:t xml:space="preserve">Figure 9 illustrates the rate of people supplied anticoagulant therapy </w:t>
      </w:r>
      <w:r w:rsidR="00050D1C">
        <w:t xml:space="preserve">age </w:t>
      </w:r>
      <w:r>
        <w:t xml:space="preserve">standardised per </w:t>
      </w:r>
      <w:r w:rsidR="00050D1C">
        <w:t>1,000</w:t>
      </w:r>
      <w:r>
        <w:t xml:space="preserve"> population in each state and territory.</w:t>
      </w:r>
    </w:p>
    <w:p w:rsidR="006D3ABD" w:rsidRPr="00A66A98" w:rsidRDefault="006D3ABD" w:rsidP="00515FE9">
      <w:pPr>
        <w:spacing w:after="0"/>
      </w:pPr>
    </w:p>
    <w:p w:rsidR="00A66A98" w:rsidRDefault="000B23D2" w:rsidP="00515FE9">
      <w:pPr>
        <w:spacing w:after="0"/>
        <w:rPr>
          <w:b/>
          <w:i/>
        </w:rPr>
      </w:pPr>
      <w:r>
        <w:rPr>
          <w:noProof/>
        </w:rPr>
        <w:drawing>
          <wp:inline distT="0" distB="0" distL="0" distR="0" wp14:anchorId="40112CF3" wp14:editId="1D4296D6">
            <wp:extent cx="5095875" cy="3181350"/>
            <wp:effectExtent l="0" t="0" r="9525" b="0"/>
            <wp:docPr id="18" name="Picture 18" descr="A graph depicting the Choice of drug for patients initiating anticoagulant therapy in NVAF by state and territory in 2015. It's presented age standardised per 1,000 population" title="Choice of drug for patients initiating anticoagulant therapy in NVAF by state and territory i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95875" cy="3181350"/>
                    </a:xfrm>
                    <a:prstGeom prst="rect">
                      <a:avLst/>
                    </a:prstGeom>
                  </pic:spPr>
                </pic:pic>
              </a:graphicData>
            </a:graphic>
          </wp:inline>
        </w:drawing>
      </w:r>
    </w:p>
    <w:p w:rsidR="00515FE9" w:rsidRDefault="00A66A98" w:rsidP="00515FE9">
      <w:pPr>
        <w:spacing w:after="0"/>
        <w:rPr>
          <w:b/>
        </w:rPr>
      </w:pPr>
      <w:r>
        <w:rPr>
          <w:b/>
        </w:rPr>
        <w:t>Figure 9</w:t>
      </w:r>
      <w:r w:rsidRPr="00691753">
        <w:rPr>
          <w:b/>
        </w:rPr>
        <w:t>:</w:t>
      </w:r>
      <w:r>
        <w:rPr>
          <w:b/>
        </w:rPr>
        <w:t xml:space="preserve"> Choice of drug for patients initiating anticoagulant therapy in NVAF by state and territory in 2015</w:t>
      </w:r>
    </w:p>
    <w:p w:rsidR="00A66A98" w:rsidRDefault="00A66A98" w:rsidP="00515FE9">
      <w:pPr>
        <w:spacing w:after="0"/>
        <w:rPr>
          <w:sz w:val="20"/>
          <w:szCs w:val="20"/>
        </w:rPr>
      </w:pPr>
      <w:r w:rsidRPr="00802776">
        <w:rPr>
          <w:sz w:val="20"/>
          <w:szCs w:val="20"/>
        </w:rPr>
        <w:t>Source: DHS Medicare database</w:t>
      </w:r>
      <w:r w:rsidR="00802776" w:rsidRPr="00802776">
        <w:rPr>
          <w:sz w:val="20"/>
          <w:szCs w:val="20"/>
        </w:rPr>
        <w:t xml:space="preserve"> and ABS Quarterly Population Estimates (ERP), by State/Territory, Sex and Age database in September 2015; accessed May 2016. Initiating patients are defined as those who have not been supplied an anticoagulant therapy since January 2010. NOACs are for NVAF cohort (refer to Method). </w:t>
      </w:r>
    </w:p>
    <w:p w:rsidR="00C20D10" w:rsidRDefault="00C20D10" w:rsidP="00515FE9">
      <w:pPr>
        <w:spacing w:after="0"/>
        <w:rPr>
          <w:sz w:val="20"/>
          <w:szCs w:val="20"/>
        </w:rPr>
      </w:pPr>
    </w:p>
    <w:p w:rsidR="00C20D10" w:rsidRDefault="00375710" w:rsidP="00515FE9">
      <w:pPr>
        <w:spacing w:after="0"/>
      </w:pPr>
      <w:r>
        <w:t xml:space="preserve">The </w:t>
      </w:r>
      <w:r w:rsidR="00013B9E">
        <w:t>proportion of new patients commencing on each</w:t>
      </w:r>
      <w:r>
        <w:t xml:space="preserve"> NOAC varies across the</w:t>
      </w:r>
      <w:r w:rsidR="00D94CC3">
        <w:t>se</w:t>
      </w:r>
      <w:r>
        <w:t xml:space="preserve"> areas. The </w:t>
      </w:r>
      <w:r w:rsidR="00D94CC3">
        <w:t>supply</w:t>
      </w:r>
      <w:r>
        <w:t xml:space="preserve"> of dabigatran as an initiating anticoagulant therapy was low in 2015 for all states and territories. </w:t>
      </w:r>
    </w:p>
    <w:p w:rsidR="00BC3CC7" w:rsidRDefault="00BC3CC7" w:rsidP="00515FE9">
      <w:pPr>
        <w:spacing w:after="0"/>
      </w:pPr>
    </w:p>
    <w:p w:rsidR="00D94CC3" w:rsidRDefault="00D94CC3" w:rsidP="00515FE9">
      <w:pPr>
        <w:spacing w:after="0"/>
      </w:pPr>
      <w:r>
        <w:t>Figure 10 illustrates the choice of drug for patients initiating anticoagulant therapy for NVAF in 2015 by the regional or metropolitan area in which it was supplied.</w:t>
      </w:r>
    </w:p>
    <w:p w:rsidR="00BC3CC7" w:rsidRDefault="000B23D2" w:rsidP="00515FE9">
      <w:pPr>
        <w:spacing w:after="0"/>
      </w:pPr>
      <w:r>
        <w:rPr>
          <w:noProof/>
        </w:rPr>
        <w:lastRenderedPageBreak/>
        <w:drawing>
          <wp:inline distT="0" distB="0" distL="0" distR="0" wp14:anchorId="4DE3775D" wp14:editId="4E3773A4">
            <wp:extent cx="5172075" cy="3400425"/>
            <wp:effectExtent l="0" t="0" r="9525" b="9525"/>
            <wp:docPr id="19" name="Picture 19" descr="A graph depicting the Choice of drug for patients initiating anticoagulant therapy in NVAF based on regional or metropolitan area in 2015, presented as percentages of initiating patients." title="Choice of drug for patients initiating anticoagulant therapy in NVAF based on regional or metropolitan area i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72075" cy="3400425"/>
                    </a:xfrm>
                    <a:prstGeom prst="rect">
                      <a:avLst/>
                    </a:prstGeom>
                  </pic:spPr>
                </pic:pic>
              </a:graphicData>
            </a:graphic>
          </wp:inline>
        </w:drawing>
      </w:r>
    </w:p>
    <w:p w:rsidR="00E5615C" w:rsidRDefault="00E5615C" w:rsidP="00515FE9">
      <w:pPr>
        <w:spacing w:after="0"/>
        <w:rPr>
          <w:b/>
        </w:rPr>
      </w:pPr>
      <w:r>
        <w:rPr>
          <w:b/>
        </w:rPr>
        <w:t xml:space="preserve">Figure 10: </w:t>
      </w:r>
      <w:r w:rsidR="00643B6D">
        <w:rPr>
          <w:b/>
        </w:rPr>
        <w:t>Choice of drug for patients initiating anticoagulant therapy in NVAF based on regional or metropolitan area in 2015</w:t>
      </w:r>
    </w:p>
    <w:p w:rsidR="00E5615C" w:rsidRDefault="00D94CC3" w:rsidP="00515FE9">
      <w:pPr>
        <w:spacing w:after="0"/>
        <w:rPr>
          <w:sz w:val="20"/>
          <w:szCs w:val="20"/>
        </w:rPr>
      </w:pPr>
      <w:r>
        <w:rPr>
          <w:sz w:val="20"/>
          <w:szCs w:val="20"/>
        </w:rPr>
        <w:t xml:space="preserve">Source: </w:t>
      </w:r>
      <w:r w:rsidR="00E5615C" w:rsidRPr="00802776">
        <w:rPr>
          <w:sz w:val="20"/>
          <w:szCs w:val="20"/>
        </w:rPr>
        <w:t>DHS Medicare database</w:t>
      </w:r>
      <w:r>
        <w:rPr>
          <w:sz w:val="20"/>
          <w:szCs w:val="20"/>
        </w:rPr>
        <w:t xml:space="preserve"> accessed May 2016. </w:t>
      </w:r>
      <w:r w:rsidRPr="00802776">
        <w:rPr>
          <w:sz w:val="20"/>
          <w:szCs w:val="20"/>
        </w:rPr>
        <w:t>Initiating patients are defined as those who have not been supplied an anticoagulant therapy since January 2010. NOACs are for NVAF cohort (refer to Method).</w:t>
      </w:r>
    </w:p>
    <w:p w:rsidR="00D94CC3" w:rsidRDefault="00D94CC3" w:rsidP="00515FE9">
      <w:pPr>
        <w:spacing w:after="0"/>
        <w:rPr>
          <w:sz w:val="20"/>
          <w:szCs w:val="20"/>
        </w:rPr>
      </w:pPr>
    </w:p>
    <w:p w:rsidR="00D94CC3" w:rsidRDefault="00B75F85" w:rsidP="00515FE9">
      <w:pPr>
        <w:spacing w:after="0"/>
      </w:pPr>
      <w:r>
        <w:t xml:space="preserve">In 2015, more patients initiating anticoagulant therapy were supplied NOACs compared with warfarin </w:t>
      </w:r>
      <w:r w:rsidR="00033486">
        <w:t xml:space="preserve">regardless of the region in which they were supplied. A greater </w:t>
      </w:r>
      <w:r w:rsidR="00D94CC3">
        <w:t>perce</w:t>
      </w:r>
      <w:r w:rsidR="00033486">
        <w:t>ntage of</w:t>
      </w:r>
      <w:r>
        <w:t xml:space="preserve"> initiating prescriptions were for warfarin</w:t>
      </w:r>
      <w:r w:rsidR="00033486">
        <w:t xml:space="preserve"> in the remote areas compared to the metropolitan areas. </w:t>
      </w:r>
    </w:p>
    <w:p w:rsidR="00C360CE" w:rsidRDefault="00C360CE" w:rsidP="00515FE9">
      <w:pPr>
        <w:spacing w:after="0"/>
      </w:pPr>
    </w:p>
    <w:p w:rsidR="00C360CE" w:rsidRPr="000C42BA" w:rsidRDefault="00C360CE" w:rsidP="00515FE9">
      <w:pPr>
        <w:spacing w:after="0"/>
        <w:rPr>
          <w:b/>
          <w:i/>
        </w:rPr>
      </w:pPr>
      <w:r w:rsidRPr="00AF0AC0">
        <w:rPr>
          <w:b/>
          <w:i/>
        </w:rPr>
        <w:t>Analysis by prescriber type</w:t>
      </w:r>
    </w:p>
    <w:p w:rsidR="00C360CE" w:rsidRDefault="00C360CE" w:rsidP="00515FE9">
      <w:pPr>
        <w:spacing w:after="0"/>
        <w:rPr>
          <w:i/>
        </w:rPr>
      </w:pPr>
    </w:p>
    <w:p w:rsidR="00C360CE" w:rsidRPr="000C0699" w:rsidRDefault="00C360CE" w:rsidP="00290450">
      <w:pPr>
        <w:spacing w:after="0"/>
      </w:pPr>
      <w:r w:rsidRPr="000C0699">
        <w:t>In 2015, more patients had their anticoagulant prescription written by GPs than cardiologists (approximately 1:8)</w:t>
      </w:r>
      <w:r w:rsidR="00CC51DD">
        <w:t>. I</w:t>
      </w:r>
      <w:r w:rsidRPr="000C0699">
        <w:t>n patients initiating therapy</w:t>
      </w:r>
      <w:r w:rsidR="00CC51DD">
        <w:t>, while more patients had their prescriptions written by GPs,</w:t>
      </w:r>
      <w:r w:rsidRPr="000C0699">
        <w:t xml:space="preserve"> there was a higher proportion of prescriptions written by cardiologists</w:t>
      </w:r>
      <w:r w:rsidR="00CC51DD">
        <w:t xml:space="preserve"> compared with the prevalent population</w:t>
      </w:r>
      <w:r w:rsidRPr="000C0699">
        <w:t xml:space="preserve"> (approximately 1:3).  </w:t>
      </w:r>
      <w:r w:rsidR="000C42BA" w:rsidRPr="000C0699">
        <w:t>GPs</w:t>
      </w:r>
      <w:r w:rsidRPr="000C0699">
        <w:t xml:space="preserve"> were more likely to initiate warfarin compared to cardiologists and other specialists. </w:t>
      </w:r>
      <w:r w:rsidR="000C42BA" w:rsidRPr="000C0699">
        <w:t xml:space="preserve">Approximately 40% of initiating </w:t>
      </w:r>
      <w:r w:rsidR="00290450" w:rsidRPr="000C0699">
        <w:t xml:space="preserve">anticoagulant therapy </w:t>
      </w:r>
      <w:r w:rsidR="000C42BA" w:rsidRPr="000C0699">
        <w:t>prescriptions</w:t>
      </w:r>
      <w:r w:rsidR="00290450" w:rsidRPr="000C0699">
        <w:t xml:space="preserve"> written by GPs </w:t>
      </w:r>
      <w:r w:rsidR="000C42BA" w:rsidRPr="000C0699">
        <w:t xml:space="preserve">were for warfarin compared to approximately 5% by cardiologists. </w:t>
      </w:r>
    </w:p>
    <w:p w:rsidR="000C0699" w:rsidRDefault="000C0699">
      <w:pPr>
        <w:spacing w:line="276" w:lineRule="auto"/>
        <w:rPr>
          <w:b/>
          <w:sz w:val="28"/>
        </w:rPr>
      </w:pPr>
      <w:r>
        <w:br w:type="page"/>
      </w:r>
    </w:p>
    <w:p w:rsidR="00736041" w:rsidRPr="005E22C2" w:rsidRDefault="001B5D37" w:rsidP="00F73113">
      <w:pPr>
        <w:pStyle w:val="Heading2"/>
      </w:pPr>
      <w:r w:rsidRPr="005E22C2">
        <w:lastRenderedPageBreak/>
        <w:t xml:space="preserve">Analysis </w:t>
      </w:r>
      <w:r w:rsidR="00481108" w:rsidRPr="005E22C2">
        <w:t xml:space="preserve">of </w:t>
      </w:r>
      <w:r w:rsidR="0063631C">
        <w:t>e</w:t>
      </w:r>
      <w:r w:rsidR="00736041" w:rsidRPr="005E22C2">
        <w:t>xpenditure</w:t>
      </w:r>
    </w:p>
    <w:p w:rsidR="00D0466E" w:rsidRDefault="00D0466E" w:rsidP="00A35800">
      <w:r>
        <w:t xml:space="preserve">The table below summarises </w:t>
      </w:r>
      <w:r w:rsidR="00C50CAB">
        <w:t>R/PBS benefits paid for</w:t>
      </w:r>
      <w:r>
        <w:t xml:space="preserve"> NOACs by listing year since the first NOAC was listed on the PBS </w:t>
      </w:r>
      <w:r w:rsidR="00BF111F">
        <w:t>for use in NVAF</w:t>
      </w:r>
      <w:r w:rsidR="00C50CAB" w:rsidRPr="00C50CAB">
        <w:t xml:space="preserve"> </w:t>
      </w:r>
      <w:r w:rsidR="00C50CAB">
        <w:t>in August 2013</w:t>
      </w:r>
      <w:r>
        <w:t>.</w:t>
      </w:r>
    </w:p>
    <w:p w:rsidR="00D0466E" w:rsidRPr="006B10E6" w:rsidRDefault="00D0466E" w:rsidP="00D0466E">
      <w:pPr>
        <w:pStyle w:val="Tabletitle"/>
      </w:pPr>
      <w:r w:rsidRPr="005A6118">
        <w:t xml:space="preserve">Table </w:t>
      </w:r>
      <w:r w:rsidR="00D24209">
        <w:t>7</w:t>
      </w:r>
      <w:r w:rsidRPr="005A6118">
        <w:t>:</w:t>
      </w:r>
      <w:r>
        <w:t xml:space="preserve"> </w:t>
      </w:r>
      <w:r w:rsidR="00C50CAB">
        <w:t>R/PBS benefits paid for</w:t>
      </w:r>
      <w:r>
        <w:t xml:space="preserve"> NOACs by calendar year since </w:t>
      </w:r>
      <w:r w:rsidR="00BF111F">
        <w:t>PBS-</w:t>
      </w:r>
      <w:r>
        <w:t>listing</w:t>
      </w:r>
    </w:p>
    <w:tbl>
      <w:tblPr>
        <w:tblStyle w:val="TableGrid"/>
        <w:tblW w:w="0" w:type="auto"/>
        <w:tblLook w:val="04A0" w:firstRow="1" w:lastRow="0" w:firstColumn="1" w:lastColumn="0" w:noHBand="0" w:noVBand="1"/>
        <w:tblCaption w:val="R/PBS benefits paid for NOACs by calendar year since PBS-listing"/>
        <w:tblDescription w:val="A table of R/PBS benefits paid for NOACs by calendar year since PBS-listing"/>
      </w:tblPr>
      <w:tblGrid>
        <w:gridCol w:w="1101"/>
        <w:gridCol w:w="1417"/>
        <w:gridCol w:w="1418"/>
        <w:gridCol w:w="1417"/>
        <w:gridCol w:w="1418"/>
      </w:tblGrid>
      <w:tr w:rsidR="00C50CAB" w:rsidRPr="00145722" w:rsidTr="00D57CDE">
        <w:trPr>
          <w:trHeight w:val="383"/>
          <w:tblHeader/>
        </w:trPr>
        <w:tc>
          <w:tcPr>
            <w:tcW w:w="1101" w:type="dxa"/>
            <w:shd w:val="clear" w:color="auto" w:fill="BFBFBF" w:themeFill="background1" w:themeFillShade="BF"/>
            <w:noWrap/>
          </w:tcPr>
          <w:p w:rsidR="00C50CAB" w:rsidRPr="00145722" w:rsidRDefault="00C50CAB" w:rsidP="00BC71B7">
            <w:pPr>
              <w:jc w:val="center"/>
              <w:rPr>
                <w:b/>
                <w:bCs/>
                <w:sz w:val="20"/>
                <w:szCs w:val="20"/>
              </w:rPr>
            </w:pPr>
            <w:r>
              <w:rPr>
                <w:b/>
                <w:bCs/>
                <w:sz w:val="20"/>
                <w:szCs w:val="20"/>
              </w:rPr>
              <w:t>Year</w:t>
            </w:r>
          </w:p>
        </w:tc>
        <w:tc>
          <w:tcPr>
            <w:tcW w:w="1417" w:type="dxa"/>
            <w:shd w:val="clear" w:color="auto" w:fill="BFBFBF" w:themeFill="background1" w:themeFillShade="BF"/>
          </w:tcPr>
          <w:p w:rsidR="00C50CAB" w:rsidRDefault="00C50CAB" w:rsidP="00BC71B7">
            <w:pPr>
              <w:jc w:val="center"/>
              <w:rPr>
                <w:b/>
                <w:bCs/>
                <w:sz w:val="20"/>
                <w:szCs w:val="20"/>
              </w:rPr>
            </w:pPr>
            <w:r>
              <w:rPr>
                <w:b/>
                <w:bCs/>
                <w:sz w:val="20"/>
                <w:szCs w:val="20"/>
              </w:rPr>
              <w:t>Apixaban</w:t>
            </w:r>
          </w:p>
        </w:tc>
        <w:tc>
          <w:tcPr>
            <w:tcW w:w="1418" w:type="dxa"/>
            <w:shd w:val="clear" w:color="auto" w:fill="BFBFBF" w:themeFill="background1" w:themeFillShade="BF"/>
          </w:tcPr>
          <w:p w:rsidR="00C50CAB" w:rsidRDefault="00C50CAB" w:rsidP="00BC71B7">
            <w:pPr>
              <w:jc w:val="center"/>
              <w:rPr>
                <w:b/>
                <w:bCs/>
                <w:sz w:val="20"/>
                <w:szCs w:val="20"/>
              </w:rPr>
            </w:pPr>
            <w:r>
              <w:rPr>
                <w:b/>
                <w:bCs/>
                <w:sz w:val="20"/>
                <w:szCs w:val="20"/>
              </w:rPr>
              <w:t>Dabigatran</w:t>
            </w:r>
          </w:p>
        </w:tc>
        <w:tc>
          <w:tcPr>
            <w:tcW w:w="1417" w:type="dxa"/>
            <w:shd w:val="clear" w:color="auto" w:fill="BFBFBF" w:themeFill="background1" w:themeFillShade="BF"/>
          </w:tcPr>
          <w:p w:rsidR="00C50CAB" w:rsidRDefault="00C50CAB" w:rsidP="00BC71B7">
            <w:pPr>
              <w:jc w:val="center"/>
              <w:rPr>
                <w:b/>
                <w:bCs/>
                <w:sz w:val="20"/>
                <w:szCs w:val="20"/>
              </w:rPr>
            </w:pPr>
            <w:r>
              <w:rPr>
                <w:b/>
                <w:bCs/>
                <w:sz w:val="20"/>
                <w:szCs w:val="20"/>
              </w:rPr>
              <w:t>Rivaroxaban</w:t>
            </w:r>
          </w:p>
        </w:tc>
        <w:tc>
          <w:tcPr>
            <w:tcW w:w="1418" w:type="dxa"/>
            <w:shd w:val="clear" w:color="auto" w:fill="BFBFBF" w:themeFill="background1" w:themeFillShade="BF"/>
            <w:noWrap/>
          </w:tcPr>
          <w:p w:rsidR="00C50CAB" w:rsidRPr="00145722" w:rsidRDefault="00C50CAB" w:rsidP="00BC71B7">
            <w:pPr>
              <w:jc w:val="center"/>
              <w:rPr>
                <w:b/>
                <w:bCs/>
                <w:sz w:val="20"/>
                <w:szCs w:val="20"/>
              </w:rPr>
            </w:pPr>
            <w:r>
              <w:rPr>
                <w:b/>
                <w:bCs/>
                <w:sz w:val="20"/>
                <w:szCs w:val="20"/>
              </w:rPr>
              <w:t>Total</w:t>
            </w:r>
          </w:p>
        </w:tc>
      </w:tr>
      <w:tr w:rsidR="00C50CAB" w:rsidRPr="00145722" w:rsidTr="00C50CAB">
        <w:trPr>
          <w:trHeight w:val="300"/>
        </w:trPr>
        <w:tc>
          <w:tcPr>
            <w:tcW w:w="1101" w:type="dxa"/>
            <w:noWrap/>
            <w:vAlign w:val="center"/>
          </w:tcPr>
          <w:p w:rsidR="00C50CAB" w:rsidRPr="00145722" w:rsidRDefault="00C50CAB" w:rsidP="007A3623">
            <w:pPr>
              <w:rPr>
                <w:sz w:val="20"/>
                <w:szCs w:val="20"/>
              </w:rPr>
            </w:pPr>
            <w:r>
              <w:rPr>
                <w:sz w:val="20"/>
                <w:szCs w:val="20"/>
              </w:rPr>
              <w:t>2013</w:t>
            </w:r>
            <w:r w:rsidRPr="00E80582">
              <w:rPr>
                <w:sz w:val="20"/>
                <w:szCs w:val="20"/>
                <w:vertAlign w:val="superscript"/>
              </w:rPr>
              <w:t xml:space="preserve"> Ɨ</w:t>
            </w:r>
          </w:p>
        </w:tc>
        <w:tc>
          <w:tcPr>
            <w:tcW w:w="1417" w:type="dxa"/>
            <w:vAlign w:val="center"/>
          </w:tcPr>
          <w:p w:rsidR="00C50CAB" w:rsidRDefault="00C50CAB" w:rsidP="00BC71B7">
            <w:pPr>
              <w:jc w:val="right"/>
              <w:rPr>
                <w:sz w:val="20"/>
                <w:szCs w:val="20"/>
              </w:rPr>
            </w:pPr>
            <w:r>
              <w:rPr>
                <w:sz w:val="20"/>
                <w:szCs w:val="20"/>
              </w:rPr>
              <w:t>$2,463,170</w:t>
            </w:r>
          </w:p>
        </w:tc>
        <w:tc>
          <w:tcPr>
            <w:tcW w:w="1418" w:type="dxa"/>
            <w:vAlign w:val="center"/>
          </w:tcPr>
          <w:p w:rsidR="00C50CAB" w:rsidRDefault="00C50CAB" w:rsidP="00BC71B7">
            <w:pPr>
              <w:jc w:val="right"/>
              <w:rPr>
                <w:sz w:val="20"/>
                <w:szCs w:val="20"/>
              </w:rPr>
            </w:pPr>
            <w:r>
              <w:rPr>
                <w:sz w:val="20"/>
                <w:szCs w:val="20"/>
              </w:rPr>
              <w:t>$5,945,285</w:t>
            </w:r>
          </w:p>
        </w:tc>
        <w:tc>
          <w:tcPr>
            <w:tcW w:w="1417" w:type="dxa"/>
            <w:vAlign w:val="center"/>
          </w:tcPr>
          <w:p w:rsidR="00C50CAB" w:rsidRDefault="00C50CAB" w:rsidP="00BC71B7">
            <w:pPr>
              <w:jc w:val="right"/>
              <w:rPr>
                <w:sz w:val="20"/>
                <w:szCs w:val="20"/>
              </w:rPr>
            </w:pPr>
            <w:r>
              <w:rPr>
                <w:sz w:val="20"/>
                <w:szCs w:val="20"/>
              </w:rPr>
              <w:t>$13,461,414</w:t>
            </w:r>
          </w:p>
        </w:tc>
        <w:tc>
          <w:tcPr>
            <w:tcW w:w="1418" w:type="dxa"/>
            <w:noWrap/>
            <w:vAlign w:val="center"/>
          </w:tcPr>
          <w:p w:rsidR="00C50CAB" w:rsidRPr="006B10E6" w:rsidRDefault="00C50CAB" w:rsidP="00BC71B7">
            <w:pPr>
              <w:jc w:val="right"/>
              <w:rPr>
                <w:sz w:val="20"/>
                <w:szCs w:val="20"/>
              </w:rPr>
            </w:pPr>
            <w:r>
              <w:rPr>
                <w:sz w:val="20"/>
                <w:szCs w:val="20"/>
              </w:rPr>
              <w:t>$21,869,868</w:t>
            </w:r>
          </w:p>
        </w:tc>
      </w:tr>
      <w:tr w:rsidR="00C50CAB" w:rsidRPr="00145722" w:rsidTr="00C50CAB">
        <w:trPr>
          <w:trHeight w:val="300"/>
        </w:trPr>
        <w:tc>
          <w:tcPr>
            <w:tcW w:w="1101" w:type="dxa"/>
            <w:noWrap/>
            <w:vAlign w:val="center"/>
          </w:tcPr>
          <w:p w:rsidR="00C50CAB" w:rsidRPr="00145722" w:rsidRDefault="00C50CAB" w:rsidP="007A3623">
            <w:pPr>
              <w:rPr>
                <w:sz w:val="20"/>
                <w:szCs w:val="20"/>
              </w:rPr>
            </w:pPr>
            <w:r>
              <w:rPr>
                <w:sz w:val="20"/>
                <w:szCs w:val="20"/>
              </w:rPr>
              <w:t>2014</w:t>
            </w:r>
          </w:p>
        </w:tc>
        <w:tc>
          <w:tcPr>
            <w:tcW w:w="1417" w:type="dxa"/>
            <w:vAlign w:val="center"/>
          </w:tcPr>
          <w:p w:rsidR="00C50CAB" w:rsidRDefault="00C50CAB" w:rsidP="00BC71B7">
            <w:pPr>
              <w:jc w:val="right"/>
              <w:rPr>
                <w:sz w:val="20"/>
                <w:szCs w:val="20"/>
              </w:rPr>
            </w:pPr>
            <w:r>
              <w:rPr>
                <w:sz w:val="20"/>
                <w:szCs w:val="20"/>
              </w:rPr>
              <w:t>$19,777,452</w:t>
            </w:r>
          </w:p>
        </w:tc>
        <w:tc>
          <w:tcPr>
            <w:tcW w:w="1418" w:type="dxa"/>
            <w:vAlign w:val="center"/>
          </w:tcPr>
          <w:p w:rsidR="00C50CAB" w:rsidRDefault="00C50CAB" w:rsidP="00BC71B7">
            <w:pPr>
              <w:jc w:val="right"/>
              <w:rPr>
                <w:sz w:val="20"/>
                <w:szCs w:val="20"/>
              </w:rPr>
            </w:pPr>
            <w:r>
              <w:rPr>
                <w:sz w:val="20"/>
                <w:szCs w:val="20"/>
              </w:rPr>
              <w:t>$26,803,720</w:t>
            </w:r>
          </w:p>
        </w:tc>
        <w:tc>
          <w:tcPr>
            <w:tcW w:w="1417" w:type="dxa"/>
            <w:vAlign w:val="center"/>
          </w:tcPr>
          <w:p w:rsidR="00C50CAB" w:rsidRDefault="00C50CAB" w:rsidP="00BC71B7">
            <w:pPr>
              <w:jc w:val="right"/>
              <w:rPr>
                <w:sz w:val="20"/>
                <w:szCs w:val="20"/>
              </w:rPr>
            </w:pPr>
            <w:r>
              <w:rPr>
                <w:sz w:val="20"/>
                <w:szCs w:val="20"/>
              </w:rPr>
              <w:t>$64,016,781</w:t>
            </w:r>
          </w:p>
        </w:tc>
        <w:tc>
          <w:tcPr>
            <w:tcW w:w="1418" w:type="dxa"/>
            <w:noWrap/>
            <w:vAlign w:val="center"/>
          </w:tcPr>
          <w:p w:rsidR="00C50CAB" w:rsidRPr="006B10E6" w:rsidRDefault="00C50CAB" w:rsidP="00BC71B7">
            <w:pPr>
              <w:jc w:val="right"/>
              <w:rPr>
                <w:sz w:val="20"/>
                <w:szCs w:val="20"/>
              </w:rPr>
            </w:pPr>
            <w:r>
              <w:rPr>
                <w:sz w:val="20"/>
                <w:szCs w:val="20"/>
              </w:rPr>
              <w:t>$110,597,953</w:t>
            </w:r>
          </w:p>
        </w:tc>
      </w:tr>
      <w:tr w:rsidR="00C50CAB" w:rsidRPr="00145722" w:rsidTr="00C50CAB">
        <w:trPr>
          <w:trHeight w:val="300"/>
        </w:trPr>
        <w:tc>
          <w:tcPr>
            <w:tcW w:w="1101" w:type="dxa"/>
            <w:noWrap/>
            <w:vAlign w:val="center"/>
          </w:tcPr>
          <w:p w:rsidR="00C50CAB" w:rsidRDefault="00C50CAB" w:rsidP="007A3623">
            <w:pPr>
              <w:rPr>
                <w:sz w:val="20"/>
                <w:szCs w:val="20"/>
              </w:rPr>
            </w:pPr>
            <w:r>
              <w:rPr>
                <w:sz w:val="20"/>
                <w:szCs w:val="20"/>
              </w:rPr>
              <w:t>2015</w:t>
            </w:r>
          </w:p>
        </w:tc>
        <w:tc>
          <w:tcPr>
            <w:tcW w:w="1417" w:type="dxa"/>
            <w:vAlign w:val="center"/>
          </w:tcPr>
          <w:p w:rsidR="00C50CAB" w:rsidRPr="00C50CAB" w:rsidRDefault="00C50CAB" w:rsidP="00BC71B7">
            <w:pPr>
              <w:jc w:val="right"/>
              <w:rPr>
                <w:rFonts w:ascii="Calibri" w:hAnsi="Calibri"/>
                <w:bCs/>
                <w:color w:val="000000"/>
                <w:sz w:val="20"/>
                <w:szCs w:val="20"/>
              </w:rPr>
            </w:pPr>
            <w:r>
              <w:rPr>
                <w:rFonts w:ascii="Calibri" w:hAnsi="Calibri"/>
                <w:bCs/>
                <w:color w:val="000000"/>
                <w:sz w:val="20"/>
                <w:szCs w:val="20"/>
              </w:rPr>
              <w:t>$46,954,994</w:t>
            </w:r>
          </w:p>
        </w:tc>
        <w:tc>
          <w:tcPr>
            <w:tcW w:w="1418" w:type="dxa"/>
            <w:vAlign w:val="center"/>
          </w:tcPr>
          <w:p w:rsidR="00C50CAB" w:rsidRPr="00C50CAB" w:rsidRDefault="00C50CAB" w:rsidP="00BC71B7">
            <w:pPr>
              <w:jc w:val="right"/>
              <w:rPr>
                <w:rFonts w:ascii="Calibri" w:hAnsi="Calibri"/>
                <w:bCs/>
                <w:color w:val="000000"/>
                <w:sz w:val="20"/>
                <w:szCs w:val="20"/>
              </w:rPr>
            </w:pPr>
            <w:r>
              <w:rPr>
                <w:rFonts w:ascii="Calibri" w:hAnsi="Calibri"/>
                <w:bCs/>
                <w:color w:val="000000"/>
                <w:sz w:val="20"/>
                <w:szCs w:val="20"/>
              </w:rPr>
              <w:t>$26,247,949</w:t>
            </w:r>
          </w:p>
        </w:tc>
        <w:tc>
          <w:tcPr>
            <w:tcW w:w="1417" w:type="dxa"/>
            <w:vAlign w:val="center"/>
          </w:tcPr>
          <w:p w:rsidR="00C50CAB" w:rsidRPr="00C50CAB" w:rsidRDefault="00C50CAB" w:rsidP="00BC71B7">
            <w:pPr>
              <w:jc w:val="right"/>
              <w:rPr>
                <w:rFonts w:ascii="Calibri" w:hAnsi="Calibri"/>
                <w:bCs/>
                <w:color w:val="000000"/>
                <w:sz w:val="20"/>
                <w:szCs w:val="20"/>
              </w:rPr>
            </w:pPr>
            <w:r>
              <w:rPr>
                <w:rFonts w:ascii="Calibri" w:hAnsi="Calibri"/>
                <w:bCs/>
                <w:color w:val="000000"/>
                <w:sz w:val="20"/>
                <w:szCs w:val="20"/>
              </w:rPr>
              <w:t>$89,563,876</w:t>
            </w:r>
          </w:p>
        </w:tc>
        <w:tc>
          <w:tcPr>
            <w:tcW w:w="1418" w:type="dxa"/>
            <w:noWrap/>
            <w:vAlign w:val="center"/>
          </w:tcPr>
          <w:p w:rsidR="00C50CAB" w:rsidRPr="00C50CAB" w:rsidRDefault="00C50CAB" w:rsidP="00BC71B7">
            <w:pPr>
              <w:jc w:val="right"/>
              <w:rPr>
                <w:sz w:val="20"/>
                <w:szCs w:val="20"/>
              </w:rPr>
            </w:pPr>
            <w:r w:rsidRPr="00C50CAB">
              <w:rPr>
                <w:rFonts w:ascii="Calibri" w:hAnsi="Calibri"/>
                <w:bCs/>
                <w:color w:val="000000"/>
                <w:sz w:val="20"/>
                <w:szCs w:val="20"/>
              </w:rPr>
              <w:t>$162,766,819</w:t>
            </w:r>
          </w:p>
        </w:tc>
      </w:tr>
    </w:tbl>
    <w:p w:rsidR="00D0466E" w:rsidRDefault="000A6FF7" w:rsidP="00E16E9B">
      <w:pPr>
        <w:spacing w:after="0"/>
        <w:rPr>
          <w:sz w:val="20"/>
          <w:szCs w:val="20"/>
        </w:rPr>
      </w:pPr>
      <w:r>
        <w:rPr>
          <w:rStyle w:val="FigurecaptionChar"/>
        </w:rPr>
        <w:t>Source: DUSC</w:t>
      </w:r>
      <w:r w:rsidR="00AA3008">
        <w:rPr>
          <w:rStyle w:val="FigurecaptionChar"/>
        </w:rPr>
        <w:t xml:space="preserve"> </w:t>
      </w:r>
      <w:r w:rsidR="00AA3008" w:rsidRPr="0030713E">
        <w:rPr>
          <w:rStyle w:val="FigurecaptionChar"/>
        </w:rPr>
        <w:t>database</w:t>
      </w:r>
      <w:r w:rsidR="00AA3008" w:rsidRPr="00356880">
        <w:rPr>
          <w:sz w:val="20"/>
          <w:szCs w:val="20"/>
        </w:rPr>
        <w:t xml:space="preserve"> accessed </w:t>
      </w:r>
      <w:r w:rsidR="00AA3008">
        <w:rPr>
          <w:sz w:val="20"/>
          <w:szCs w:val="20"/>
        </w:rPr>
        <w:t>April</w:t>
      </w:r>
      <w:r w:rsidR="00AA3008" w:rsidRPr="00356880">
        <w:rPr>
          <w:sz w:val="20"/>
          <w:szCs w:val="20"/>
        </w:rPr>
        <w:t xml:space="preserve"> 2016.</w:t>
      </w:r>
      <w:r>
        <w:rPr>
          <w:sz w:val="20"/>
          <w:szCs w:val="20"/>
        </w:rPr>
        <w:t xml:space="preserve"> </w:t>
      </w:r>
      <w:r w:rsidR="007F56A4">
        <w:rPr>
          <w:sz w:val="20"/>
          <w:szCs w:val="20"/>
        </w:rPr>
        <w:t>Special pricing arrangements apply</w:t>
      </w:r>
      <w:r w:rsidR="00A4112B">
        <w:rPr>
          <w:sz w:val="20"/>
          <w:szCs w:val="20"/>
        </w:rPr>
        <w:t>.</w:t>
      </w:r>
    </w:p>
    <w:p w:rsidR="00E16E9B" w:rsidRPr="00E80582" w:rsidRDefault="00E16E9B" w:rsidP="00E16E9B">
      <w:pPr>
        <w:spacing w:after="0"/>
        <w:rPr>
          <w:sz w:val="20"/>
          <w:szCs w:val="20"/>
        </w:rPr>
      </w:pPr>
      <w:r w:rsidRPr="00E80582">
        <w:rPr>
          <w:sz w:val="20"/>
          <w:szCs w:val="20"/>
          <w:vertAlign w:val="superscript"/>
        </w:rPr>
        <w:t xml:space="preserve">Ɨ </w:t>
      </w:r>
      <w:r w:rsidRPr="00E80582">
        <w:rPr>
          <w:sz w:val="20"/>
          <w:szCs w:val="20"/>
        </w:rPr>
        <w:t xml:space="preserve">NOACs first listed on PBS in August and September 2013 therefore data is </w:t>
      </w:r>
      <w:r>
        <w:rPr>
          <w:sz w:val="20"/>
          <w:szCs w:val="20"/>
        </w:rPr>
        <w:t xml:space="preserve">part year </w:t>
      </w:r>
    </w:p>
    <w:p w:rsidR="00B640E0" w:rsidRDefault="00B640E0" w:rsidP="00B640E0">
      <w:pPr>
        <w:spacing w:after="0"/>
      </w:pPr>
    </w:p>
    <w:p w:rsidR="00D0466E" w:rsidRDefault="00D0466E" w:rsidP="00A35800">
      <w:r>
        <w:t>It should be noted this</w:t>
      </w:r>
      <w:r w:rsidRPr="003D627B">
        <w:t xml:space="preserve"> analys</w:t>
      </w:r>
      <w:r>
        <w:t>i</w:t>
      </w:r>
      <w:r w:rsidRPr="003D627B">
        <w:t xml:space="preserve">s </w:t>
      </w:r>
      <w:r>
        <w:t>is based on date of supply. T</w:t>
      </w:r>
      <w:r w:rsidRPr="003D627B">
        <w:t xml:space="preserve">here may be small differences between </w:t>
      </w:r>
      <w:r>
        <w:t xml:space="preserve">these results and those obtained from </w:t>
      </w:r>
      <w:r w:rsidRPr="003D627B">
        <w:t>publicly available Medicare Australia date of processing data.</w:t>
      </w:r>
      <w:r w:rsidR="00E67E60" w:rsidRPr="00E67E60">
        <w:t xml:space="preserve"> </w:t>
      </w:r>
      <w:r w:rsidR="003E045C">
        <w:t>As s</w:t>
      </w:r>
      <w:r w:rsidR="00B640E0">
        <w:t>pecial pricing arrangements apply to the three NOACs</w:t>
      </w:r>
      <w:r w:rsidR="003E045C">
        <w:t>, the R/PBS benefits paid does not reflect the true cost to Government</w:t>
      </w:r>
      <w:r w:rsidR="00B640E0">
        <w:t xml:space="preserve">. </w:t>
      </w:r>
    </w:p>
    <w:p w:rsidR="00736041" w:rsidRPr="005E22C2" w:rsidRDefault="00D151EB" w:rsidP="00F73113">
      <w:pPr>
        <w:pStyle w:val="Heading2"/>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rsidR="00E1033B" w:rsidRDefault="00E1033B" w:rsidP="00A35800">
      <w:pPr>
        <w:rPr>
          <w:i/>
          <w:color w:val="FF0000"/>
        </w:rPr>
      </w:pPr>
      <w:r w:rsidRPr="00CE2095">
        <w:t xml:space="preserve">This analysis compares the estimates of utilisation agreed between the Sponsor and the Department prior to listing. </w:t>
      </w:r>
      <w:r w:rsidR="00F640D0">
        <w:rPr>
          <w:rFonts w:ascii="Calibri" w:eastAsia="Times New Roman" w:hAnsi="Calibri" w:cs="Times New Roman"/>
        </w:rPr>
        <w:t xml:space="preserve">The analysis of predicted versus actual use is based on listing years from when the NOACs were first listed on the PBS for </w:t>
      </w:r>
      <w:r w:rsidR="00F640D0">
        <w:t>prevention of stroke or systemic embolism in NVAF (August 2013).</w:t>
      </w:r>
    </w:p>
    <w:p w:rsidR="00946DD5" w:rsidRPr="000F4346" w:rsidRDefault="00946DD5" w:rsidP="00946DD5">
      <w:pPr>
        <w:pStyle w:val="Tabletitle"/>
        <w:rPr>
          <w:color w:val="FF0000"/>
        </w:rPr>
      </w:pPr>
      <w:r w:rsidRPr="005A6118">
        <w:t xml:space="preserve">Table </w:t>
      </w:r>
      <w:r w:rsidR="00D24209">
        <w:t>8</w:t>
      </w:r>
      <w:r w:rsidRPr="005A6118">
        <w:t>:</w:t>
      </w:r>
      <w:r>
        <w:t xml:space="preserve"> Predicted versus actual numbers of patients and prescriptions for NOACs</w:t>
      </w:r>
      <w:r w:rsidR="00CC6A15">
        <w:t xml:space="preserve"> used in NVAF</w:t>
      </w:r>
    </w:p>
    <w:tbl>
      <w:tblPr>
        <w:tblW w:w="7103" w:type="dxa"/>
        <w:tblInd w:w="93" w:type="dxa"/>
        <w:tblLook w:val="04A0" w:firstRow="1" w:lastRow="0" w:firstColumn="1" w:lastColumn="0" w:noHBand="0" w:noVBand="1"/>
        <w:tblCaption w:val="Predicted versus actual numbers of patients and prescriptions for NOACs used in NVAF"/>
        <w:tblDescription w:val="A table of Predicted versus actual numbers of patients and prescriptions for NOACs used in NVAF. Presnted by year August 2013 to July 2014 and then August 2014 to July 2015."/>
      </w:tblPr>
      <w:tblGrid>
        <w:gridCol w:w="1291"/>
        <w:gridCol w:w="1276"/>
        <w:gridCol w:w="2268"/>
        <w:gridCol w:w="2268"/>
      </w:tblGrid>
      <w:tr w:rsidR="00946DD5" w:rsidRPr="005B0660" w:rsidTr="00BC71B7">
        <w:trPr>
          <w:trHeight w:val="300"/>
        </w:trPr>
        <w:tc>
          <w:tcPr>
            <w:tcW w:w="129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46DD5" w:rsidRPr="005B0660" w:rsidRDefault="00946DD5" w:rsidP="007A3623">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946DD5" w:rsidRPr="005B0660" w:rsidRDefault="00946DD5" w:rsidP="007A3623">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 </w:t>
            </w:r>
          </w:p>
        </w:tc>
        <w:tc>
          <w:tcPr>
            <w:tcW w:w="2268" w:type="dxa"/>
            <w:tcBorders>
              <w:top w:val="single" w:sz="4" w:space="0" w:color="auto"/>
              <w:left w:val="nil"/>
              <w:bottom w:val="single" w:sz="4" w:space="0" w:color="auto"/>
              <w:right w:val="single" w:sz="4" w:space="0" w:color="auto"/>
            </w:tcBorders>
            <w:shd w:val="clear" w:color="000000" w:fill="BFBFBF"/>
            <w:vAlign w:val="center"/>
          </w:tcPr>
          <w:p w:rsidR="00946DD5" w:rsidRPr="00946DD5" w:rsidRDefault="00946DD5" w:rsidP="007A3623">
            <w:pPr>
              <w:spacing w:after="0"/>
              <w:rPr>
                <w:b/>
                <w:sz w:val="20"/>
                <w:szCs w:val="20"/>
              </w:rPr>
            </w:pPr>
            <w:r w:rsidRPr="00946DD5">
              <w:rPr>
                <w:b/>
                <w:sz w:val="20"/>
                <w:szCs w:val="20"/>
              </w:rPr>
              <w:t>August 2013 – July 2014</w:t>
            </w:r>
          </w:p>
        </w:tc>
        <w:tc>
          <w:tcPr>
            <w:tcW w:w="2268" w:type="dxa"/>
            <w:tcBorders>
              <w:top w:val="single" w:sz="4" w:space="0" w:color="auto"/>
              <w:left w:val="nil"/>
              <w:bottom w:val="single" w:sz="4" w:space="0" w:color="auto"/>
              <w:right w:val="single" w:sz="4" w:space="0" w:color="auto"/>
            </w:tcBorders>
            <w:shd w:val="clear" w:color="000000" w:fill="BFBFBF"/>
            <w:vAlign w:val="center"/>
          </w:tcPr>
          <w:p w:rsidR="00946DD5" w:rsidRPr="00946DD5" w:rsidRDefault="00946DD5" w:rsidP="007A3623">
            <w:pPr>
              <w:spacing w:after="0"/>
              <w:jc w:val="center"/>
              <w:rPr>
                <w:rFonts w:ascii="Calibri" w:eastAsia="Times New Roman" w:hAnsi="Calibri" w:cs="Times New Roman"/>
                <w:b/>
                <w:color w:val="000000"/>
                <w:sz w:val="20"/>
                <w:szCs w:val="20"/>
              </w:rPr>
            </w:pPr>
            <w:r w:rsidRPr="00946DD5">
              <w:rPr>
                <w:rFonts w:ascii="Calibri" w:eastAsia="Times New Roman" w:hAnsi="Calibri" w:cs="Times New Roman"/>
                <w:b/>
                <w:color w:val="000000"/>
                <w:sz w:val="20"/>
                <w:szCs w:val="20"/>
              </w:rPr>
              <w:t>August 2014 – July 2015</w:t>
            </w:r>
          </w:p>
        </w:tc>
      </w:tr>
      <w:tr w:rsidR="00946DD5" w:rsidRPr="005B0660" w:rsidTr="00BC71B7">
        <w:trPr>
          <w:trHeight w:val="372"/>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946DD5" w:rsidRPr="005B0660" w:rsidRDefault="00946DD5" w:rsidP="00BC71B7">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Patients</w:t>
            </w:r>
          </w:p>
        </w:tc>
        <w:tc>
          <w:tcPr>
            <w:tcW w:w="1276" w:type="dxa"/>
            <w:tcBorders>
              <w:top w:val="nil"/>
              <w:left w:val="nil"/>
              <w:bottom w:val="single" w:sz="4" w:space="0" w:color="auto"/>
              <w:right w:val="single" w:sz="4" w:space="0" w:color="auto"/>
            </w:tcBorders>
            <w:shd w:val="clear" w:color="auto" w:fill="auto"/>
            <w:vAlign w:val="center"/>
            <w:hideMark/>
          </w:tcPr>
          <w:p w:rsidR="00946DD5" w:rsidRPr="005B0660" w:rsidRDefault="00946DD5" w:rsidP="00BC71B7">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Predicted</w:t>
            </w:r>
          </w:p>
        </w:tc>
        <w:tc>
          <w:tcPr>
            <w:tcW w:w="2268" w:type="dxa"/>
            <w:tcBorders>
              <w:top w:val="nil"/>
              <w:left w:val="nil"/>
              <w:bottom w:val="single" w:sz="4" w:space="0" w:color="auto"/>
              <w:right w:val="single" w:sz="4" w:space="0" w:color="auto"/>
            </w:tcBorders>
            <w:shd w:val="clear" w:color="auto" w:fill="auto"/>
            <w:vAlign w:val="center"/>
          </w:tcPr>
          <w:p w:rsidR="00946DD5" w:rsidRPr="005B0660" w:rsidRDefault="00946DD5" w:rsidP="00BC71B7">
            <w:pPr>
              <w:spacing w:after="0"/>
              <w:jc w:val="right"/>
              <w:rPr>
                <w:rFonts w:ascii="Calibri" w:eastAsia="Times New Roman" w:hAnsi="Calibri" w:cs="Times New Roman"/>
                <w:color w:val="000000"/>
                <w:sz w:val="20"/>
                <w:szCs w:val="20"/>
              </w:rPr>
            </w:pPr>
            <w:r w:rsidRPr="000F4346">
              <w:rPr>
                <w:rFonts w:ascii="Calibri" w:eastAsia="Times New Roman" w:hAnsi="Calibri" w:cs="Times New Roman"/>
                <w:color w:val="000000"/>
                <w:sz w:val="20"/>
                <w:szCs w:val="20"/>
              </w:rPr>
              <w:t>129,964</w:t>
            </w:r>
          </w:p>
        </w:tc>
        <w:tc>
          <w:tcPr>
            <w:tcW w:w="2268" w:type="dxa"/>
            <w:tcBorders>
              <w:top w:val="nil"/>
              <w:left w:val="nil"/>
              <w:bottom w:val="single" w:sz="4" w:space="0" w:color="auto"/>
              <w:right w:val="single" w:sz="4" w:space="0" w:color="auto"/>
            </w:tcBorders>
            <w:shd w:val="clear" w:color="auto" w:fill="auto"/>
            <w:vAlign w:val="center"/>
          </w:tcPr>
          <w:p w:rsidR="00946DD5" w:rsidRPr="005B0660" w:rsidRDefault="00946DD5" w:rsidP="00BC71B7">
            <w:pPr>
              <w:spacing w:after="0"/>
              <w:jc w:val="right"/>
              <w:rPr>
                <w:rFonts w:ascii="Calibri" w:eastAsia="Times New Roman" w:hAnsi="Calibri" w:cs="Times New Roman"/>
                <w:color w:val="000000"/>
                <w:sz w:val="20"/>
                <w:szCs w:val="20"/>
              </w:rPr>
            </w:pPr>
            <w:r w:rsidRPr="000F4346">
              <w:rPr>
                <w:rFonts w:ascii="Calibri" w:eastAsia="Times New Roman" w:hAnsi="Calibri" w:cs="Times New Roman"/>
                <w:color w:val="000000"/>
                <w:sz w:val="20"/>
                <w:szCs w:val="20"/>
              </w:rPr>
              <w:t>171,705</w:t>
            </w:r>
          </w:p>
        </w:tc>
      </w:tr>
      <w:tr w:rsidR="00946DD5" w:rsidRPr="005B0660" w:rsidTr="00BC71B7">
        <w:trPr>
          <w:trHeight w:val="300"/>
        </w:trPr>
        <w:tc>
          <w:tcPr>
            <w:tcW w:w="1291" w:type="dxa"/>
            <w:vMerge/>
            <w:tcBorders>
              <w:top w:val="nil"/>
              <w:left w:val="single" w:sz="4" w:space="0" w:color="auto"/>
              <w:bottom w:val="single" w:sz="4" w:space="0" w:color="000000"/>
              <w:right w:val="single" w:sz="4" w:space="0" w:color="auto"/>
            </w:tcBorders>
            <w:vAlign w:val="center"/>
            <w:hideMark/>
          </w:tcPr>
          <w:p w:rsidR="00946DD5" w:rsidRPr="005B0660" w:rsidRDefault="00946DD5" w:rsidP="00BC71B7">
            <w:pPr>
              <w:spacing w:after="0"/>
              <w:rPr>
                <w:rFonts w:ascii="Calibri" w:eastAsia="Times New Roman" w:hAnsi="Calibri"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946DD5" w:rsidRPr="005B0660" w:rsidRDefault="00946DD5" w:rsidP="00BC71B7">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Actual</w:t>
            </w:r>
          </w:p>
        </w:tc>
        <w:tc>
          <w:tcPr>
            <w:tcW w:w="2268" w:type="dxa"/>
            <w:tcBorders>
              <w:top w:val="nil"/>
              <w:left w:val="nil"/>
              <w:bottom w:val="single" w:sz="4" w:space="0" w:color="auto"/>
              <w:right w:val="single" w:sz="4" w:space="0" w:color="auto"/>
            </w:tcBorders>
            <w:shd w:val="clear" w:color="auto" w:fill="auto"/>
            <w:vAlign w:val="center"/>
          </w:tcPr>
          <w:p w:rsidR="00946DD5" w:rsidRPr="005B0660" w:rsidRDefault="00427DF1" w:rsidP="00BC71B7">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109,441</w:t>
            </w:r>
          </w:p>
        </w:tc>
        <w:tc>
          <w:tcPr>
            <w:tcW w:w="2268" w:type="dxa"/>
            <w:tcBorders>
              <w:top w:val="nil"/>
              <w:left w:val="nil"/>
              <w:bottom w:val="single" w:sz="4" w:space="0" w:color="auto"/>
              <w:right w:val="single" w:sz="4" w:space="0" w:color="auto"/>
            </w:tcBorders>
            <w:shd w:val="clear" w:color="auto" w:fill="auto"/>
            <w:vAlign w:val="center"/>
          </w:tcPr>
          <w:p w:rsidR="00946DD5" w:rsidRPr="005B0660" w:rsidRDefault="00427DF1" w:rsidP="00BC71B7">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165,196</w:t>
            </w:r>
          </w:p>
        </w:tc>
      </w:tr>
      <w:tr w:rsidR="00946DD5" w:rsidRPr="005B0660" w:rsidTr="00BC71B7">
        <w:trPr>
          <w:trHeight w:val="300"/>
        </w:trPr>
        <w:tc>
          <w:tcPr>
            <w:tcW w:w="1291" w:type="dxa"/>
            <w:vMerge/>
            <w:tcBorders>
              <w:top w:val="nil"/>
              <w:left w:val="single" w:sz="4" w:space="0" w:color="auto"/>
              <w:bottom w:val="single" w:sz="4" w:space="0" w:color="000000"/>
              <w:right w:val="single" w:sz="4" w:space="0" w:color="auto"/>
            </w:tcBorders>
            <w:vAlign w:val="center"/>
            <w:hideMark/>
          </w:tcPr>
          <w:p w:rsidR="00946DD5" w:rsidRPr="005B0660" w:rsidRDefault="00946DD5" w:rsidP="00BC71B7">
            <w:pPr>
              <w:spacing w:after="0"/>
              <w:rPr>
                <w:rFonts w:ascii="Calibri" w:eastAsia="Times New Roman" w:hAnsi="Calibri"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946DD5" w:rsidRPr="005B0660" w:rsidRDefault="00946DD5" w:rsidP="00BC71B7">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Difference</w:t>
            </w:r>
          </w:p>
        </w:tc>
        <w:tc>
          <w:tcPr>
            <w:tcW w:w="2268" w:type="dxa"/>
            <w:tcBorders>
              <w:top w:val="nil"/>
              <w:left w:val="nil"/>
              <w:bottom w:val="single" w:sz="4" w:space="0" w:color="auto"/>
              <w:right w:val="single" w:sz="4" w:space="0" w:color="auto"/>
            </w:tcBorders>
            <w:shd w:val="clear" w:color="auto" w:fill="auto"/>
            <w:vAlign w:val="center"/>
          </w:tcPr>
          <w:p w:rsidR="00946DD5" w:rsidRPr="005B0660" w:rsidRDefault="00427DF1" w:rsidP="00BC71B7">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-16%</w:t>
            </w:r>
          </w:p>
        </w:tc>
        <w:tc>
          <w:tcPr>
            <w:tcW w:w="2268" w:type="dxa"/>
            <w:tcBorders>
              <w:top w:val="nil"/>
              <w:left w:val="nil"/>
              <w:bottom w:val="single" w:sz="4" w:space="0" w:color="auto"/>
              <w:right w:val="single" w:sz="4" w:space="0" w:color="auto"/>
            </w:tcBorders>
            <w:shd w:val="clear" w:color="auto" w:fill="auto"/>
            <w:vAlign w:val="center"/>
          </w:tcPr>
          <w:p w:rsidR="00946DD5" w:rsidRPr="005B0660" w:rsidRDefault="00427DF1" w:rsidP="00BC71B7">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r>
      <w:tr w:rsidR="00946DD5" w:rsidRPr="005B0660" w:rsidTr="00BC71B7">
        <w:trPr>
          <w:trHeight w:val="300"/>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946DD5" w:rsidRPr="005B0660" w:rsidRDefault="00946DD5" w:rsidP="00BC71B7">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Prescriptions</w:t>
            </w:r>
          </w:p>
        </w:tc>
        <w:tc>
          <w:tcPr>
            <w:tcW w:w="1276" w:type="dxa"/>
            <w:tcBorders>
              <w:top w:val="nil"/>
              <w:left w:val="nil"/>
              <w:bottom w:val="single" w:sz="4" w:space="0" w:color="auto"/>
              <w:right w:val="single" w:sz="4" w:space="0" w:color="auto"/>
            </w:tcBorders>
            <w:shd w:val="clear" w:color="auto" w:fill="auto"/>
            <w:vAlign w:val="center"/>
            <w:hideMark/>
          </w:tcPr>
          <w:p w:rsidR="00946DD5" w:rsidRPr="005B0660" w:rsidRDefault="00946DD5" w:rsidP="00BC71B7">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Predicted</w:t>
            </w:r>
          </w:p>
        </w:tc>
        <w:tc>
          <w:tcPr>
            <w:tcW w:w="2268" w:type="dxa"/>
            <w:tcBorders>
              <w:top w:val="nil"/>
              <w:left w:val="nil"/>
              <w:bottom w:val="single" w:sz="4" w:space="0" w:color="auto"/>
              <w:right w:val="single" w:sz="4" w:space="0" w:color="auto"/>
            </w:tcBorders>
            <w:shd w:val="clear" w:color="auto" w:fill="auto"/>
            <w:vAlign w:val="center"/>
          </w:tcPr>
          <w:p w:rsidR="00946DD5" w:rsidRPr="00B82162" w:rsidRDefault="00946DD5" w:rsidP="00BC71B7">
            <w:pPr>
              <w:spacing w:after="0"/>
              <w:jc w:val="right"/>
              <w:rPr>
                <w:rFonts w:ascii="Calibri" w:eastAsia="Times New Roman" w:hAnsi="Calibri" w:cs="Times New Roman"/>
                <w:color w:val="000000"/>
                <w:sz w:val="20"/>
                <w:szCs w:val="20"/>
              </w:rPr>
            </w:pPr>
            <w:r w:rsidRPr="00B82162">
              <w:rPr>
                <w:rFonts w:ascii="Calibri" w:eastAsia="Times New Roman" w:hAnsi="Calibri" w:cs="Times New Roman"/>
                <w:color w:val="000000"/>
                <w:sz w:val="20"/>
                <w:szCs w:val="20"/>
              </w:rPr>
              <w:t>1,217,366</w:t>
            </w:r>
          </w:p>
        </w:tc>
        <w:tc>
          <w:tcPr>
            <w:tcW w:w="2268" w:type="dxa"/>
            <w:tcBorders>
              <w:top w:val="nil"/>
              <w:left w:val="nil"/>
              <w:bottom w:val="single" w:sz="4" w:space="0" w:color="auto"/>
              <w:right w:val="single" w:sz="4" w:space="0" w:color="auto"/>
            </w:tcBorders>
            <w:shd w:val="clear" w:color="auto" w:fill="auto"/>
            <w:vAlign w:val="center"/>
          </w:tcPr>
          <w:p w:rsidR="00946DD5" w:rsidRPr="00B82162" w:rsidRDefault="00946DD5" w:rsidP="00BC71B7">
            <w:pPr>
              <w:spacing w:after="0"/>
              <w:jc w:val="right"/>
              <w:rPr>
                <w:rFonts w:ascii="Calibri" w:eastAsia="Times New Roman" w:hAnsi="Calibri" w:cs="Times New Roman"/>
                <w:color w:val="000000"/>
                <w:sz w:val="20"/>
                <w:szCs w:val="20"/>
              </w:rPr>
            </w:pPr>
            <w:r w:rsidRPr="00B82162">
              <w:rPr>
                <w:rFonts w:ascii="Calibri" w:eastAsia="Times New Roman" w:hAnsi="Calibri" w:cs="Times New Roman"/>
                <w:color w:val="000000"/>
                <w:sz w:val="20"/>
                <w:szCs w:val="20"/>
              </w:rPr>
              <w:t>1,608,357</w:t>
            </w:r>
          </w:p>
        </w:tc>
      </w:tr>
      <w:tr w:rsidR="00946DD5" w:rsidRPr="005B0660" w:rsidTr="00BC71B7">
        <w:trPr>
          <w:trHeight w:val="300"/>
        </w:trPr>
        <w:tc>
          <w:tcPr>
            <w:tcW w:w="1291" w:type="dxa"/>
            <w:vMerge/>
            <w:tcBorders>
              <w:top w:val="nil"/>
              <w:left w:val="single" w:sz="4" w:space="0" w:color="auto"/>
              <w:bottom w:val="single" w:sz="4" w:space="0" w:color="000000"/>
              <w:right w:val="single" w:sz="4" w:space="0" w:color="auto"/>
            </w:tcBorders>
            <w:vAlign w:val="center"/>
            <w:hideMark/>
          </w:tcPr>
          <w:p w:rsidR="00946DD5" w:rsidRPr="005B0660" w:rsidRDefault="00946DD5" w:rsidP="00F629F8">
            <w:pPr>
              <w:spacing w:after="0"/>
              <w:jc w:val="center"/>
              <w:rPr>
                <w:rFonts w:ascii="Calibri" w:eastAsia="Times New Roman" w:hAnsi="Calibri"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946DD5" w:rsidRPr="005B0660" w:rsidRDefault="00946DD5" w:rsidP="00BC71B7">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Actual</w:t>
            </w:r>
          </w:p>
        </w:tc>
        <w:tc>
          <w:tcPr>
            <w:tcW w:w="2268" w:type="dxa"/>
            <w:tcBorders>
              <w:top w:val="nil"/>
              <w:left w:val="nil"/>
              <w:bottom w:val="single" w:sz="4" w:space="0" w:color="auto"/>
              <w:right w:val="single" w:sz="4" w:space="0" w:color="auto"/>
            </w:tcBorders>
            <w:shd w:val="clear" w:color="auto" w:fill="auto"/>
            <w:vAlign w:val="center"/>
          </w:tcPr>
          <w:p w:rsidR="00946DD5" w:rsidRPr="00B82162" w:rsidRDefault="00427DF1" w:rsidP="00BC71B7">
            <w:pPr>
              <w:spacing w:after="0"/>
              <w:jc w:val="right"/>
              <w:rPr>
                <w:rFonts w:ascii="Calibri" w:hAnsi="Calibri"/>
                <w:sz w:val="20"/>
                <w:szCs w:val="20"/>
              </w:rPr>
            </w:pPr>
            <w:r>
              <w:rPr>
                <w:rFonts w:ascii="Calibri" w:hAnsi="Calibri"/>
                <w:sz w:val="20"/>
                <w:szCs w:val="20"/>
              </w:rPr>
              <w:t>714,517</w:t>
            </w:r>
          </w:p>
        </w:tc>
        <w:tc>
          <w:tcPr>
            <w:tcW w:w="2268" w:type="dxa"/>
            <w:tcBorders>
              <w:top w:val="nil"/>
              <w:left w:val="nil"/>
              <w:bottom w:val="single" w:sz="4" w:space="0" w:color="auto"/>
              <w:right w:val="single" w:sz="4" w:space="0" w:color="auto"/>
            </w:tcBorders>
            <w:shd w:val="clear" w:color="auto" w:fill="auto"/>
            <w:vAlign w:val="center"/>
          </w:tcPr>
          <w:p w:rsidR="00946DD5" w:rsidRPr="00B82162" w:rsidRDefault="00427DF1" w:rsidP="00BC71B7">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1,380,974</w:t>
            </w:r>
          </w:p>
        </w:tc>
      </w:tr>
      <w:tr w:rsidR="00946DD5" w:rsidRPr="005B0660" w:rsidTr="00BC71B7">
        <w:trPr>
          <w:trHeight w:val="300"/>
        </w:trPr>
        <w:tc>
          <w:tcPr>
            <w:tcW w:w="1291" w:type="dxa"/>
            <w:vMerge/>
            <w:tcBorders>
              <w:top w:val="nil"/>
              <w:left w:val="single" w:sz="4" w:space="0" w:color="auto"/>
              <w:bottom w:val="single" w:sz="4" w:space="0" w:color="000000"/>
              <w:right w:val="single" w:sz="4" w:space="0" w:color="auto"/>
            </w:tcBorders>
            <w:vAlign w:val="center"/>
            <w:hideMark/>
          </w:tcPr>
          <w:p w:rsidR="00946DD5" w:rsidRPr="005B0660" w:rsidRDefault="00946DD5" w:rsidP="00F629F8">
            <w:pPr>
              <w:spacing w:after="0"/>
              <w:jc w:val="center"/>
              <w:rPr>
                <w:rFonts w:ascii="Calibri" w:eastAsia="Times New Roman" w:hAnsi="Calibri"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946DD5" w:rsidRPr="005B0660" w:rsidRDefault="00946DD5" w:rsidP="00BC71B7">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Difference</w:t>
            </w:r>
          </w:p>
        </w:tc>
        <w:tc>
          <w:tcPr>
            <w:tcW w:w="2268" w:type="dxa"/>
            <w:tcBorders>
              <w:top w:val="nil"/>
              <w:left w:val="nil"/>
              <w:bottom w:val="single" w:sz="4" w:space="0" w:color="auto"/>
              <w:right w:val="single" w:sz="4" w:space="0" w:color="auto"/>
            </w:tcBorders>
            <w:shd w:val="clear" w:color="auto" w:fill="auto"/>
            <w:vAlign w:val="center"/>
          </w:tcPr>
          <w:p w:rsidR="00946DD5" w:rsidRPr="00B82162" w:rsidRDefault="00427DF1" w:rsidP="00BC71B7">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-41%</w:t>
            </w:r>
          </w:p>
        </w:tc>
        <w:tc>
          <w:tcPr>
            <w:tcW w:w="2268" w:type="dxa"/>
            <w:tcBorders>
              <w:top w:val="nil"/>
              <w:left w:val="nil"/>
              <w:bottom w:val="single" w:sz="4" w:space="0" w:color="auto"/>
              <w:right w:val="single" w:sz="4" w:space="0" w:color="auto"/>
            </w:tcBorders>
            <w:shd w:val="clear" w:color="auto" w:fill="auto"/>
            <w:vAlign w:val="center"/>
          </w:tcPr>
          <w:p w:rsidR="00946DD5" w:rsidRPr="00B82162" w:rsidRDefault="00427DF1" w:rsidP="00BC71B7">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-14%</w:t>
            </w:r>
          </w:p>
        </w:tc>
      </w:tr>
    </w:tbl>
    <w:p w:rsidR="00CE19C6" w:rsidRPr="00342344" w:rsidRDefault="006616CB" w:rsidP="00CE19C6">
      <w:pPr>
        <w:pStyle w:val="Tabletitle"/>
        <w:spacing w:before="0"/>
        <w:rPr>
          <w:b w:val="0"/>
          <w:color w:val="FF0000"/>
          <w:sz w:val="20"/>
          <w:szCs w:val="20"/>
        </w:rPr>
      </w:pPr>
      <w:r w:rsidRPr="00CC6A15">
        <w:rPr>
          <w:rStyle w:val="FigurecaptionChar"/>
          <w:b w:val="0"/>
        </w:rPr>
        <w:t xml:space="preserve">Source: DHS </w:t>
      </w:r>
      <w:r w:rsidR="00115D37">
        <w:rPr>
          <w:rStyle w:val="FigurecaptionChar"/>
          <w:b w:val="0"/>
        </w:rPr>
        <w:t>supplied prescriptions</w:t>
      </w:r>
      <w:r w:rsidR="00115D37" w:rsidRPr="00CC6A15">
        <w:rPr>
          <w:rStyle w:val="FigurecaptionChar"/>
          <w:b w:val="0"/>
        </w:rPr>
        <w:t xml:space="preserve"> </w:t>
      </w:r>
      <w:r w:rsidRPr="00CC6A15">
        <w:rPr>
          <w:rStyle w:val="FigurecaptionChar"/>
          <w:b w:val="0"/>
        </w:rPr>
        <w:t>database</w:t>
      </w:r>
      <w:r w:rsidRPr="00CC6A15">
        <w:rPr>
          <w:b w:val="0"/>
          <w:sz w:val="20"/>
          <w:szCs w:val="20"/>
        </w:rPr>
        <w:t xml:space="preserve"> accessed April 2016.</w:t>
      </w:r>
      <w:r>
        <w:rPr>
          <w:b w:val="0"/>
          <w:sz w:val="20"/>
          <w:szCs w:val="20"/>
        </w:rPr>
        <w:t xml:space="preserve"> </w:t>
      </w:r>
      <w:r w:rsidR="00CC6A15" w:rsidRPr="00CC6A15">
        <w:rPr>
          <w:b w:val="0"/>
          <w:sz w:val="20"/>
          <w:szCs w:val="20"/>
        </w:rPr>
        <w:t xml:space="preserve">Prescriptions by date of supply. </w:t>
      </w:r>
      <w:r w:rsidR="003E045C">
        <w:rPr>
          <w:b w:val="0"/>
          <w:sz w:val="20"/>
          <w:szCs w:val="20"/>
        </w:rPr>
        <w:t xml:space="preserve">Patients </w:t>
      </w:r>
      <w:r w:rsidR="003E045C" w:rsidRPr="003E045C">
        <w:rPr>
          <w:b w:val="0"/>
          <w:sz w:val="20"/>
          <w:szCs w:val="20"/>
        </w:rPr>
        <w:t xml:space="preserve">are for NVAF cohort </w:t>
      </w:r>
      <w:r w:rsidR="003E045C">
        <w:rPr>
          <w:b w:val="0"/>
          <w:sz w:val="20"/>
          <w:szCs w:val="20"/>
        </w:rPr>
        <w:t xml:space="preserve">only </w:t>
      </w:r>
      <w:r w:rsidR="003E045C" w:rsidRPr="003E045C">
        <w:rPr>
          <w:b w:val="0"/>
          <w:sz w:val="20"/>
          <w:szCs w:val="20"/>
        </w:rPr>
        <w:t>(refer to Method).</w:t>
      </w:r>
      <w:r w:rsidR="00612382">
        <w:rPr>
          <w:b w:val="0"/>
          <w:sz w:val="20"/>
          <w:szCs w:val="20"/>
        </w:rPr>
        <w:t xml:space="preserve"> </w:t>
      </w:r>
      <w:r w:rsidR="00CE19C6">
        <w:rPr>
          <w:b w:val="0"/>
          <w:sz w:val="20"/>
          <w:szCs w:val="20"/>
        </w:rPr>
        <w:t xml:space="preserve">Only prescriptions with streamlined authority code of 4269 for NVAF </w:t>
      </w:r>
      <w:r w:rsidR="00612382">
        <w:rPr>
          <w:b w:val="0"/>
          <w:sz w:val="20"/>
          <w:szCs w:val="20"/>
        </w:rPr>
        <w:t>are</w:t>
      </w:r>
      <w:r w:rsidR="00CE19C6">
        <w:rPr>
          <w:b w:val="0"/>
          <w:sz w:val="20"/>
          <w:szCs w:val="20"/>
        </w:rPr>
        <w:t xml:space="preserve"> included. </w:t>
      </w:r>
      <w:r w:rsidR="00E94115">
        <w:rPr>
          <w:b w:val="0"/>
          <w:sz w:val="20"/>
          <w:szCs w:val="20"/>
        </w:rPr>
        <w:t>Predicted values are from the final agreed estimates based on the DUSC advice.</w:t>
      </w:r>
    </w:p>
    <w:p w:rsidR="00B744B7" w:rsidRDefault="00B744B7" w:rsidP="00B744B7">
      <w:pPr>
        <w:spacing w:after="0"/>
        <w:rPr>
          <w:b/>
          <w:highlight w:val="yellow"/>
        </w:rPr>
      </w:pPr>
    </w:p>
    <w:p w:rsidR="00631607" w:rsidRDefault="00631607">
      <w:pPr>
        <w:spacing w:line="276" w:lineRule="auto"/>
        <w:rPr>
          <w:b/>
        </w:rPr>
      </w:pPr>
      <w:r>
        <w:rPr>
          <w:b/>
        </w:rPr>
        <w:br w:type="page"/>
      </w:r>
    </w:p>
    <w:p w:rsidR="00B744B7" w:rsidRPr="00CB003C" w:rsidRDefault="00B744B7" w:rsidP="00B744B7">
      <w:pPr>
        <w:spacing w:after="0"/>
        <w:rPr>
          <w:b/>
        </w:rPr>
      </w:pPr>
      <w:r w:rsidRPr="005A6118">
        <w:rPr>
          <w:b/>
        </w:rPr>
        <w:lastRenderedPageBreak/>
        <w:t xml:space="preserve">Table </w:t>
      </w:r>
      <w:r w:rsidR="00D24209">
        <w:rPr>
          <w:b/>
        </w:rPr>
        <w:t>9</w:t>
      </w:r>
      <w:r w:rsidRPr="005A6118">
        <w:rPr>
          <w:b/>
        </w:rPr>
        <w:t>: Number</w:t>
      </w:r>
      <w:r>
        <w:rPr>
          <w:b/>
        </w:rPr>
        <w:t xml:space="preserve"> of </w:t>
      </w:r>
      <w:r w:rsidRPr="00CB003C">
        <w:rPr>
          <w:b/>
        </w:rPr>
        <w:t xml:space="preserve">prescriptions </w:t>
      </w:r>
      <w:r>
        <w:rPr>
          <w:b/>
        </w:rPr>
        <w:t xml:space="preserve">for each NOAC </w:t>
      </w:r>
      <w:r w:rsidRPr="00CB003C">
        <w:rPr>
          <w:b/>
        </w:rPr>
        <w:t>supplied for NVAF indication</w:t>
      </w:r>
    </w:p>
    <w:tbl>
      <w:tblPr>
        <w:tblStyle w:val="TableGrid"/>
        <w:tblW w:w="0" w:type="auto"/>
        <w:tblLook w:val="04A0" w:firstRow="1" w:lastRow="0" w:firstColumn="1" w:lastColumn="0" w:noHBand="0" w:noVBand="1"/>
        <w:tblCaption w:val="Number of prescriptions for each NOAC supplied for NVAF indication"/>
        <w:tblDescription w:val="A table of Number of prescriptions for each NOAC supplied for NVAF indication. Presented by August 2013 to July 2014 and August 2014 to July 2015, with percentage market share in that year for each year."/>
      </w:tblPr>
      <w:tblGrid>
        <w:gridCol w:w="2518"/>
        <w:gridCol w:w="2693"/>
        <w:gridCol w:w="2694"/>
      </w:tblGrid>
      <w:tr w:rsidR="00B744B7" w:rsidTr="00D57CDE">
        <w:trPr>
          <w:tblHeader/>
        </w:trPr>
        <w:tc>
          <w:tcPr>
            <w:tcW w:w="2518" w:type="dxa"/>
            <w:shd w:val="clear" w:color="auto" w:fill="BFBFBF" w:themeFill="background1" w:themeFillShade="BF"/>
          </w:tcPr>
          <w:p w:rsidR="00B744B7" w:rsidRDefault="00B744B7" w:rsidP="00B057F8">
            <w:pPr>
              <w:pStyle w:val="Tabletitle"/>
              <w:spacing w:before="0"/>
              <w:rPr>
                <w:b w:val="0"/>
                <w:color w:val="FF0000"/>
                <w:sz w:val="20"/>
                <w:szCs w:val="20"/>
              </w:rPr>
            </w:pPr>
            <w:r w:rsidRPr="009941EF">
              <w:rPr>
                <w:sz w:val="22"/>
                <w:szCs w:val="22"/>
              </w:rPr>
              <w:t xml:space="preserve">Number of prescriptions </w:t>
            </w:r>
          </w:p>
        </w:tc>
        <w:tc>
          <w:tcPr>
            <w:tcW w:w="2693" w:type="dxa"/>
            <w:shd w:val="clear" w:color="auto" w:fill="BFBFBF" w:themeFill="background1" w:themeFillShade="BF"/>
          </w:tcPr>
          <w:p w:rsidR="00B744B7" w:rsidRDefault="00B744B7" w:rsidP="006616CB">
            <w:pPr>
              <w:pStyle w:val="Tabletitle"/>
              <w:spacing w:before="0"/>
              <w:rPr>
                <w:b w:val="0"/>
                <w:color w:val="FF0000"/>
                <w:sz w:val="20"/>
                <w:szCs w:val="20"/>
              </w:rPr>
            </w:pPr>
            <w:r w:rsidRPr="00CB003C">
              <w:rPr>
                <w:sz w:val="22"/>
                <w:szCs w:val="22"/>
              </w:rPr>
              <w:t>August 2013-July 2014</w:t>
            </w:r>
            <w:r w:rsidR="00B057F8">
              <w:rPr>
                <w:sz w:val="22"/>
                <w:szCs w:val="22"/>
              </w:rPr>
              <w:t xml:space="preserve"> </w:t>
            </w:r>
            <w:r w:rsidR="00B057F8" w:rsidRPr="009941EF">
              <w:rPr>
                <w:sz w:val="22"/>
                <w:szCs w:val="22"/>
              </w:rPr>
              <w:t xml:space="preserve">(% </w:t>
            </w:r>
            <w:r w:rsidR="006616CB">
              <w:rPr>
                <w:sz w:val="22"/>
                <w:szCs w:val="22"/>
              </w:rPr>
              <w:t>market share</w:t>
            </w:r>
            <w:r w:rsidR="00B057F8" w:rsidRPr="009941EF">
              <w:rPr>
                <w:sz w:val="22"/>
                <w:szCs w:val="22"/>
              </w:rPr>
              <w:t xml:space="preserve"> in that year)</w:t>
            </w:r>
          </w:p>
        </w:tc>
        <w:tc>
          <w:tcPr>
            <w:tcW w:w="2694" w:type="dxa"/>
            <w:shd w:val="clear" w:color="auto" w:fill="BFBFBF" w:themeFill="background1" w:themeFillShade="BF"/>
          </w:tcPr>
          <w:p w:rsidR="00B744B7" w:rsidRDefault="00B744B7" w:rsidP="006616CB">
            <w:pPr>
              <w:pStyle w:val="Tabletitle"/>
              <w:spacing w:before="0"/>
              <w:rPr>
                <w:b w:val="0"/>
                <w:color w:val="FF0000"/>
                <w:sz w:val="20"/>
                <w:szCs w:val="20"/>
              </w:rPr>
            </w:pPr>
            <w:r w:rsidRPr="00CB003C">
              <w:rPr>
                <w:sz w:val="22"/>
                <w:szCs w:val="22"/>
              </w:rPr>
              <w:t>August 2014-July 2015</w:t>
            </w:r>
            <w:r w:rsidR="00B057F8">
              <w:rPr>
                <w:sz w:val="22"/>
                <w:szCs w:val="22"/>
              </w:rPr>
              <w:t xml:space="preserve"> </w:t>
            </w:r>
            <w:r w:rsidR="00B057F8" w:rsidRPr="009941EF">
              <w:rPr>
                <w:sz w:val="22"/>
                <w:szCs w:val="22"/>
              </w:rPr>
              <w:t xml:space="preserve">(% </w:t>
            </w:r>
            <w:r w:rsidR="006616CB">
              <w:rPr>
                <w:sz w:val="22"/>
                <w:szCs w:val="22"/>
              </w:rPr>
              <w:t>market share</w:t>
            </w:r>
            <w:r w:rsidR="00B057F8" w:rsidRPr="009941EF">
              <w:rPr>
                <w:sz w:val="22"/>
                <w:szCs w:val="22"/>
              </w:rPr>
              <w:t xml:space="preserve"> in that year)</w:t>
            </w:r>
          </w:p>
        </w:tc>
      </w:tr>
      <w:tr w:rsidR="00B744B7" w:rsidTr="00BC71B7">
        <w:tc>
          <w:tcPr>
            <w:tcW w:w="2518" w:type="dxa"/>
          </w:tcPr>
          <w:p w:rsidR="00B744B7" w:rsidRPr="009941EF" w:rsidRDefault="00B744B7" w:rsidP="008527F9">
            <w:pPr>
              <w:pStyle w:val="Tabletitle"/>
              <w:spacing w:before="0"/>
              <w:rPr>
                <w:sz w:val="20"/>
                <w:szCs w:val="20"/>
              </w:rPr>
            </w:pPr>
            <w:r w:rsidRPr="009941EF">
              <w:rPr>
                <w:b w:val="0"/>
                <w:sz w:val="20"/>
                <w:szCs w:val="20"/>
              </w:rPr>
              <w:t>Apixaban</w:t>
            </w:r>
          </w:p>
        </w:tc>
        <w:tc>
          <w:tcPr>
            <w:tcW w:w="2693" w:type="dxa"/>
            <w:vAlign w:val="center"/>
          </w:tcPr>
          <w:p w:rsidR="00B744B7" w:rsidRPr="00342344" w:rsidRDefault="00427DF1" w:rsidP="00BC71B7">
            <w:pPr>
              <w:pStyle w:val="Tabletitle"/>
              <w:spacing w:before="0"/>
              <w:jc w:val="right"/>
              <w:rPr>
                <w:b w:val="0"/>
                <w:sz w:val="20"/>
                <w:szCs w:val="20"/>
              </w:rPr>
            </w:pPr>
            <w:r>
              <w:rPr>
                <w:b w:val="0"/>
                <w:sz w:val="20"/>
                <w:szCs w:val="20"/>
              </w:rPr>
              <w:t>101,998</w:t>
            </w:r>
            <w:r w:rsidR="00A1534A">
              <w:rPr>
                <w:b w:val="0"/>
                <w:sz w:val="20"/>
                <w:szCs w:val="20"/>
              </w:rPr>
              <w:t xml:space="preserve"> (14%)</w:t>
            </w:r>
          </w:p>
        </w:tc>
        <w:tc>
          <w:tcPr>
            <w:tcW w:w="2694" w:type="dxa"/>
            <w:vAlign w:val="center"/>
          </w:tcPr>
          <w:p w:rsidR="00B744B7" w:rsidRPr="00342344" w:rsidRDefault="00427DF1" w:rsidP="00BC71B7">
            <w:pPr>
              <w:pStyle w:val="Tabletitle"/>
              <w:spacing w:before="0"/>
              <w:jc w:val="right"/>
              <w:rPr>
                <w:b w:val="0"/>
                <w:sz w:val="20"/>
                <w:szCs w:val="20"/>
              </w:rPr>
            </w:pPr>
            <w:r>
              <w:rPr>
                <w:b w:val="0"/>
                <w:sz w:val="20"/>
                <w:szCs w:val="20"/>
              </w:rPr>
              <w:t>376,208</w:t>
            </w:r>
            <w:r w:rsidR="00A1534A">
              <w:rPr>
                <w:b w:val="0"/>
                <w:sz w:val="20"/>
                <w:szCs w:val="20"/>
              </w:rPr>
              <w:t xml:space="preserve"> (27%)</w:t>
            </w:r>
          </w:p>
        </w:tc>
      </w:tr>
      <w:tr w:rsidR="00B744B7" w:rsidTr="00BC71B7">
        <w:tc>
          <w:tcPr>
            <w:tcW w:w="2518" w:type="dxa"/>
          </w:tcPr>
          <w:p w:rsidR="00B744B7" w:rsidRPr="009941EF" w:rsidRDefault="00B744B7" w:rsidP="008527F9">
            <w:pPr>
              <w:pStyle w:val="Tabletitle"/>
              <w:spacing w:before="0"/>
              <w:rPr>
                <w:b w:val="0"/>
                <w:sz w:val="20"/>
                <w:szCs w:val="20"/>
              </w:rPr>
            </w:pPr>
            <w:r w:rsidRPr="009941EF">
              <w:rPr>
                <w:b w:val="0"/>
                <w:sz w:val="20"/>
                <w:szCs w:val="20"/>
              </w:rPr>
              <w:t>Dabigatran</w:t>
            </w:r>
          </w:p>
        </w:tc>
        <w:tc>
          <w:tcPr>
            <w:tcW w:w="2693" w:type="dxa"/>
            <w:vAlign w:val="center"/>
          </w:tcPr>
          <w:p w:rsidR="00B744B7" w:rsidRPr="00342344" w:rsidRDefault="00427DF1" w:rsidP="00BC71B7">
            <w:pPr>
              <w:pStyle w:val="Tabletitle"/>
              <w:spacing w:before="0"/>
              <w:jc w:val="right"/>
              <w:rPr>
                <w:b w:val="0"/>
                <w:sz w:val="20"/>
                <w:szCs w:val="20"/>
              </w:rPr>
            </w:pPr>
            <w:r>
              <w:rPr>
                <w:b w:val="0"/>
                <w:sz w:val="20"/>
                <w:szCs w:val="20"/>
              </w:rPr>
              <w:t>230,005</w:t>
            </w:r>
            <w:r w:rsidR="00A1534A">
              <w:rPr>
                <w:b w:val="0"/>
                <w:sz w:val="20"/>
                <w:szCs w:val="20"/>
              </w:rPr>
              <w:t xml:space="preserve"> (32%)</w:t>
            </w:r>
          </w:p>
        </w:tc>
        <w:tc>
          <w:tcPr>
            <w:tcW w:w="2694" w:type="dxa"/>
            <w:vAlign w:val="center"/>
          </w:tcPr>
          <w:p w:rsidR="00B744B7" w:rsidRPr="00342344" w:rsidRDefault="00427DF1" w:rsidP="00BC71B7">
            <w:pPr>
              <w:pStyle w:val="Tabletitle"/>
              <w:spacing w:before="0"/>
              <w:jc w:val="right"/>
              <w:rPr>
                <w:b w:val="0"/>
                <w:sz w:val="20"/>
                <w:szCs w:val="20"/>
              </w:rPr>
            </w:pPr>
            <w:r>
              <w:rPr>
                <w:b w:val="0"/>
                <w:sz w:val="20"/>
                <w:szCs w:val="20"/>
              </w:rPr>
              <w:t>304,045</w:t>
            </w:r>
            <w:r w:rsidR="00A1534A">
              <w:rPr>
                <w:b w:val="0"/>
                <w:sz w:val="20"/>
                <w:szCs w:val="20"/>
              </w:rPr>
              <w:t xml:space="preserve"> (22%)</w:t>
            </w:r>
          </w:p>
        </w:tc>
      </w:tr>
      <w:tr w:rsidR="00B744B7" w:rsidTr="00BC71B7">
        <w:tc>
          <w:tcPr>
            <w:tcW w:w="2518" w:type="dxa"/>
          </w:tcPr>
          <w:p w:rsidR="00B744B7" w:rsidRPr="009941EF" w:rsidRDefault="00B744B7" w:rsidP="008527F9">
            <w:pPr>
              <w:pStyle w:val="Tabletitle"/>
              <w:spacing w:before="0"/>
              <w:rPr>
                <w:b w:val="0"/>
                <w:sz w:val="20"/>
                <w:szCs w:val="20"/>
              </w:rPr>
            </w:pPr>
            <w:r w:rsidRPr="009941EF">
              <w:rPr>
                <w:b w:val="0"/>
                <w:sz w:val="20"/>
                <w:szCs w:val="20"/>
              </w:rPr>
              <w:t>Rivaroxaban</w:t>
            </w:r>
          </w:p>
        </w:tc>
        <w:tc>
          <w:tcPr>
            <w:tcW w:w="2693" w:type="dxa"/>
            <w:vAlign w:val="center"/>
          </w:tcPr>
          <w:p w:rsidR="00B744B7" w:rsidRPr="00342344" w:rsidRDefault="00427DF1" w:rsidP="00BC71B7">
            <w:pPr>
              <w:pStyle w:val="Tabletitle"/>
              <w:spacing w:before="0"/>
              <w:jc w:val="right"/>
              <w:rPr>
                <w:b w:val="0"/>
                <w:sz w:val="20"/>
                <w:szCs w:val="20"/>
              </w:rPr>
            </w:pPr>
            <w:r>
              <w:rPr>
                <w:b w:val="0"/>
                <w:sz w:val="20"/>
                <w:szCs w:val="20"/>
              </w:rPr>
              <w:t>382,514</w:t>
            </w:r>
            <w:r w:rsidR="00A1534A">
              <w:rPr>
                <w:b w:val="0"/>
                <w:sz w:val="20"/>
                <w:szCs w:val="20"/>
              </w:rPr>
              <w:t xml:space="preserve"> (53%)</w:t>
            </w:r>
          </w:p>
        </w:tc>
        <w:tc>
          <w:tcPr>
            <w:tcW w:w="2694" w:type="dxa"/>
            <w:vAlign w:val="center"/>
          </w:tcPr>
          <w:p w:rsidR="00B744B7" w:rsidRPr="00342344" w:rsidRDefault="00427DF1" w:rsidP="00BC71B7">
            <w:pPr>
              <w:pStyle w:val="Tabletitle"/>
              <w:spacing w:before="0"/>
              <w:jc w:val="right"/>
              <w:rPr>
                <w:b w:val="0"/>
                <w:sz w:val="20"/>
                <w:szCs w:val="20"/>
              </w:rPr>
            </w:pPr>
            <w:r>
              <w:rPr>
                <w:b w:val="0"/>
                <w:sz w:val="20"/>
                <w:szCs w:val="20"/>
              </w:rPr>
              <w:t>700,721</w:t>
            </w:r>
            <w:r w:rsidR="00A1534A">
              <w:rPr>
                <w:b w:val="0"/>
                <w:sz w:val="20"/>
                <w:szCs w:val="20"/>
              </w:rPr>
              <w:t xml:space="preserve"> (50%)</w:t>
            </w:r>
          </w:p>
        </w:tc>
      </w:tr>
    </w:tbl>
    <w:p w:rsidR="00B744B7" w:rsidRPr="00342344" w:rsidRDefault="006616CB" w:rsidP="00B744B7">
      <w:pPr>
        <w:pStyle w:val="Tabletitle"/>
        <w:spacing w:before="0"/>
        <w:rPr>
          <w:b w:val="0"/>
          <w:color w:val="FF0000"/>
          <w:sz w:val="20"/>
          <w:szCs w:val="20"/>
        </w:rPr>
      </w:pPr>
      <w:r>
        <w:rPr>
          <w:rStyle w:val="FigurecaptionChar"/>
          <w:b w:val="0"/>
        </w:rPr>
        <w:t xml:space="preserve">Source: </w:t>
      </w:r>
      <w:r w:rsidRPr="00CC6A15">
        <w:rPr>
          <w:rStyle w:val="FigurecaptionChar"/>
          <w:b w:val="0"/>
        </w:rPr>
        <w:t xml:space="preserve">DHS </w:t>
      </w:r>
      <w:r w:rsidR="00115D37">
        <w:rPr>
          <w:rStyle w:val="FigurecaptionChar"/>
          <w:b w:val="0"/>
        </w:rPr>
        <w:t>supplied prescriptions</w:t>
      </w:r>
      <w:r w:rsidR="00115D37" w:rsidRPr="00CC6A15">
        <w:rPr>
          <w:rStyle w:val="FigurecaptionChar"/>
          <w:b w:val="0"/>
        </w:rPr>
        <w:t xml:space="preserve"> </w:t>
      </w:r>
      <w:r w:rsidRPr="00CC6A15">
        <w:rPr>
          <w:rStyle w:val="FigurecaptionChar"/>
          <w:b w:val="0"/>
        </w:rPr>
        <w:t>database</w:t>
      </w:r>
      <w:r w:rsidRPr="00CC6A15">
        <w:rPr>
          <w:b w:val="0"/>
          <w:sz w:val="20"/>
          <w:szCs w:val="20"/>
        </w:rPr>
        <w:t xml:space="preserve"> accessed April 2016.</w:t>
      </w:r>
      <w:r>
        <w:rPr>
          <w:b w:val="0"/>
          <w:sz w:val="20"/>
          <w:szCs w:val="20"/>
        </w:rPr>
        <w:t xml:space="preserve"> </w:t>
      </w:r>
      <w:r w:rsidR="00B744B7" w:rsidRPr="00342344">
        <w:rPr>
          <w:b w:val="0"/>
          <w:sz w:val="20"/>
          <w:szCs w:val="20"/>
        </w:rPr>
        <w:t xml:space="preserve">Prescriptions by date of supply. </w:t>
      </w:r>
      <w:r w:rsidR="00CE19C6">
        <w:rPr>
          <w:b w:val="0"/>
          <w:sz w:val="20"/>
          <w:szCs w:val="20"/>
        </w:rPr>
        <w:t xml:space="preserve">Only prescriptions with streamlined authority code of 4269 for NVAF </w:t>
      </w:r>
      <w:r w:rsidR="00115D37">
        <w:rPr>
          <w:b w:val="0"/>
          <w:sz w:val="20"/>
          <w:szCs w:val="20"/>
        </w:rPr>
        <w:t>are</w:t>
      </w:r>
      <w:r w:rsidR="00CE19C6">
        <w:rPr>
          <w:b w:val="0"/>
          <w:sz w:val="20"/>
          <w:szCs w:val="20"/>
        </w:rPr>
        <w:t xml:space="preserve"> included. </w:t>
      </w:r>
    </w:p>
    <w:p w:rsidR="00CB003C" w:rsidRDefault="00CB003C" w:rsidP="00CB003C">
      <w:pPr>
        <w:spacing w:after="0"/>
        <w:rPr>
          <w:b/>
          <w:color w:val="FF0000"/>
          <w:highlight w:val="yellow"/>
        </w:rPr>
      </w:pPr>
    </w:p>
    <w:p w:rsidR="007E5D76" w:rsidRDefault="009941EF" w:rsidP="007E5D76">
      <w:pPr>
        <w:spacing w:after="0"/>
      </w:pPr>
      <w:r>
        <w:t xml:space="preserve">In </w:t>
      </w:r>
      <w:r w:rsidR="00C53CED">
        <w:t>the first year of listing</w:t>
      </w:r>
      <w:r w:rsidR="004151D6">
        <w:t xml:space="preserve"> </w:t>
      </w:r>
      <w:r>
        <w:t xml:space="preserve">the </w:t>
      </w:r>
      <w:r w:rsidR="00773E28">
        <w:t xml:space="preserve">predicted </w:t>
      </w:r>
      <w:r w:rsidR="004151D6">
        <w:t xml:space="preserve">numbers of patients and prescriptions were </w:t>
      </w:r>
      <w:r w:rsidR="00773E28">
        <w:t>overestimated</w:t>
      </w:r>
      <w:r w:rsidR="004151D6">
        <w:t>.</w:t>
      </w:r>
      <w:r w:rsidR="00C53CED">
        <w:t xml:space="preserve"> The predicted patient numbers were closer to actual than the predicted prescription numbers.</w:t>
      </w:r>
      <w:r w:rsidR="004151D6">
        <w:t xml:space="preserve"> </w:t>
      </w:r>
      <w:r w:rsidR="003E045C">
        <w:t xml:space="preserve">The </w:t>
      </w:r>
      <w:r w:rsidR="00C53CED">
        <w:t xml:space="preserve">predicted </w:t>
      </w:r>
      <w:r w:rsidR="003E045C">
        <w:t>number</w:t>
      </w:r>
      <w:r w:rsidR="00C53CED">
        <w:t>s</w:t>
      </w:r>
      <w:r w:rsidR="003E045C">
        <w:t xml:space="preserve"> of </w:t>
      </w:r>
      <w:r w:rsidR="003E045C" w:rsidRPr="00C53CED">
        <w:t xml:space="preserve">patients and prescriptions in the second year of listing </w:t>
      </w:r>
      <w:r w:rsidR="003E045C" w:rsidRPr="00B65CFE">
        <w:t xml:space="preserve">were </w:t>
      </w:r>
      <w:r w:rsidR="00C53CED" w:rsidRPr="00B65CFE">
        <w:t>slightly overestimated, with the actual patient numbers in the second year being just 4% different from actual.</w:t>
      </w:r>
      <w:r w:rsidR="00C53CED" w:rsidRPr="00C53CED">
        <w:t xml:space="preserve"> </w:t>
      </w:r>
    </w:p>
    <w:p w:rsidR="007E5D76" w:rsidRDefault="007E5D76" w:rsidP="007E5D76">
      <w:pPr>
        <w:spacing w:after="0"/>
      </w:pPr>
    </w:p>
    <w:p w:rsidR="00591512" w:rsidRDefault="00AB3733" w:rsidP="007E5D76">
      <w:pPr>
        <w:spacing w:after="0"/>
        <w:rPr>
          <w:b/>
        </w:rPr>
      </w:pPr>
      <w:r w:rsidRPr="007E5D76">
        <w:rPr>
          <w:b/>
          <w:sz w:val="28"/>
          <w:szCs w:val="28"/>
        </w:rPr>
        <w:t>D</w:t>
      </w:r>
      <w:r w:rsidR="007346C7" w:rsidRPr="007E5D76">
        <w:rPr>
          <w:b/>
          <w:sz w:val="28"/>
          <w:szCs w:val="28"/>
        </w:rPr>
        <w:t>iscussion</w:t>
      </w:r>
    </w:p>
    <w:p w:rsidR="007E5D76" w:rsidRPr="007E5D76" w:rsidRDefault="007E5D76" w:rsidP="007E5D76">
      <w:pPr>
        <w:spacing w:after="0"/>
        <w:rPr>
          <w:b/>
        </w:rPr>
      </w:pPr>
    </w:p>
    <w:p w:rsidR="00EF230C" w:rsidRDefault="00610BC4" w:rsidP="00F1132C">
      <w:pPr>
        <w:rPr>
          <w:rFonts w:cs="AGaramond-Regular"/>
        </w:rPr>
      </w:pPr>
      <w:r>
        <w:rPr>
          <w:rFonts w:cs="AGaramond-Regular"/>
        </w:rPr>
        <w:t xml:space="preserve">The ageing population in Australia </w:t>
      </w:r>
      <w:r w:rsidR="004C6BAC">
        <w:rPr>
          <w:rFonts w:cs="AGaramond-Regular"/>
        </w:rPr>
        <w:t>means</w:t>
      </w:r>
      <w:r>
        <w:rPr>
          <w:rFonts w:cs="AGaramond-Regular"/>
        </w:rPr>
        <w:t xml:space="preserve"> that</w:t>
      </w:r>
      <w:r w:rsidR="004C6BAC">
        <w:rPr>
          <w:rFonts w:cs="AGaramond-Regular"/>
        </w:rPr>
        <w:t xml:space="preserve"> more p</w:t>
      </w:r>
      <w:r w:rsidR="007D7DB1">
        <w:rPr>
          <w:rFonts w:cs="AGaramond-Regular"/>
        </w:rPr>
        <w:t>eople</w:t>
      </w:r>
      <w:r w:rsidR="004C6BAC">
        <w:rPr>
          <w:rFonts w:cs="AGaramond-Regular"/>
        </w:rPr>
        <w:t xml:space="preserve"> will reach an age where</w:t>
      </w:r>
      <w:r>
        <w:rPr>
          <w:rFonts w:cs="AGaramond-Regular"/>
        </w:rPr>
        <w:t xml:space="preserve"> AF will be diagnosed more often. </w:t>
      </w:r>
      <w:r w:rsidRPr="005A6118">
        <w:rPr>
          <w:rFonts w:cs="AGaramond-Regular"/>
        </w:rPr>
        <w:t>Figure 1</w:t>
      </w:r>
      <w:r>
        <w:rPr>
          <w:rFonts w:cs="AGaramond-Regular"/>
        </w:rPr>
        <w:t xml:space="preserve"> shows that t</w:t>
      </w:r>
      <w:r w:rsidR="004C6BAC">
        <w:rPr>
          <w:rFonts w:cs="AGaramond-Regular"/>
        </w:rPr>
        <w:t xml:space="preserve">he number of anticoagulant prescriptions </w:t>
      </w:r>
      <w:r>
        <w:rPr>
          <w:rFonts w:cs="AGaramond-Regular"/>
        </w:rPr>
        <w:t>has increased since 2010. In particular, the use of NOACs has contributed to a growth in the anticoagulant market since their listing on the PBS for NVAF in August and September 2013.</w:t>
      </w:r>
      <w:r w:rsidR="003847B1">
        <w:rPr>
          <w:rFonts w:cs="AGaramond-Regular"/>
        </w:rPr>
        <w:t xml:space="preserve"> This Figure also shows a small </w:t>
      </w:r>
      <w:r w:rsidR="00E77B2C">
        <w:rPr>
          <w:rFonts w:cs="AGaramond-Regular"/>
        </w:rPr>
        <w:t>reduction in</w:t>
      </w:r>
      <w:r w:rsidR="003847B1">
        <w:rPr>
          <w:rFonts w:cs="AGaramond-Regular"/>
        </w:rPr>
        <w:t xml:space="preserve"> warfarin </w:t>
      </w:r>
      <w:r w:rsidR="00E77B2C">
        <w:rPr>
          <w:rFonts w:cs="AGaramond-Regular"/>
        </w:rPr>
        <w:t xml:space="preserve">use with listing of </w:t>
      </w:r>
      <w:r w:rsidR="007D7DB1">
        <w:rPr>
          <w:rFonts w:cs="AGaramond-Regular"/>
        </w:rPr>
        <w:t>the NOACs; h</w:t>
      </w:r>
      <w:r w:rsidR="003847B1">
        <w:rPr>
          <w:rFonts w:cs="AGaramond-Regular"/>
        </w:rPr>
        <w:t>owever, warfarin</w:t>
      </w:r>
      <w:r w:rsidR="004C6BAC">
        <w:rPr>
          <w:rFonts w:cs="AGaramond-Regular"/>
        </w:rPr>
        <w:t xml:space="preserve"> still remained the highest supplied anticoagulant</w:t>
      </w:r>
      <w:r w:rsidR="003847B1">
        <w:rPr>
          <w:rFonts w:cs="AGaramond-Regular"/>
        </w:rPr>
        <w:t xml:space="preserve"> </w:t>
      </w:r>
      <w:r w:rsidR="00E77B2C">
        <w:rPr>
          <w:rFonts w:cs="AGaramond-Regular"/>
        </w:rPr>
        <w:t xml:space="preserve">for stroke prevention by number of prescriptions </w:t>
      </w:r>
      <w:r w:rsidR="003847B1">
        <w:rPr>
          <w:rFonts w:cs="AGaramond-Regular"/>
        </w:rPr>
        <w:t>from 2010 to 2015</w:t>
      </w:r>
      <w:r w:rsidR="004C6BAC">
        <w:rPr>
          <w:rFonts w:cs="AGaramond-Regular"/>
        </w:rPr>
        <w:t xml:space="preserve">. </w:t>
      </w:r>
      <w:r w:rsidR="00E72D12">
        <w:rPr>
          <w:rFonts w:cs="AGaramond-Regular"/>
        </w:rPr>
        <w:t>W</w:t>
      </w:r>
      <w:r w:rsidR="004C6BAC">
        <w:rPr>
          <w:rFonts w:cs="AGaramond-Regular"/>
        </w:rPr>
        <w:t>arfarin can be supplied in three different strengths for patients to adjust their dose based on their INR</w:t>
      </w:r>
      <w:r w:rsidR="007D7DB1">
        <w:rPr>
          <w:rFonts w:cs="AGaramond-Regular"/>
        </w:rPr>
        <w:t xml:space="preserve"> results</w:t>
      </w:r>
      <w:r w:rsidR="004C6BAC">
        <w:rPr>
          <w:rFonts w:cs="AGaramond-Regular"/>
        </w:rPr>
        <w:t>. This may contribute to the high volume of warfarin prescription</w:t>
      </w:r>
      <w:r w:rsidR="00E77B2C">
        <w:rPr>
          <w:rFonts w:cs="AGaramond-Regular"/>
        </w:rPr>
        <w:t>s</w:t>
      </w:r>
      <w:r w:rsidR="004C6BAC" w:rsidRPr="005A6118">
        <w:rPr>
          <w:rFonts w:cs="AGaramond-Regular"/>
        </w:rPr>
        <w:t>.</w:t>
      </w:r>
      <w:r w:rsidR="004C6BAC">
        <w:rPr>
          <w:rFonts w:cs="AGaramond-Regular"/>
        </w:rPr>
        <w:t xml:space="preserve"> </w:t>
      </w:r>
      <w:r>
        <w:rPr>
          <w:rFonts w:cs="AGaramond-Regular"/>
        </w:rPr>
        <w:t xml:space="preserve"> </w:t>
      </w:r>
      <w:r w:rsidR="00E72D12">
        <w:rPr>
          <w:rFonts w:cs="AGaramond-Regular"/>
        </w:rPr>
        <w:t xml:space="preserve">Furthermore, warfarin has an unrestricted PBS-listing therefore this Figure presents all </w:t>
      </w:r>
      <w:r w:rsidR="00E77B2C">
        <w:rPr>
          <w:rFonts w:cs="AGaramond-Regular"/>
        </w:rPr>
        <w:t xml:space="preserve">PBS </w:t>
      </w:r>
      <w:r w:rsidR="00E72D12">
        <w:rPr>
          <w:rFonts w:cs="AGaramond-Regular"/>
        </w:rPr>
        <w:t xml:space="preserve">warfarin </w:t>
      </w:r>
      <w:r w:rsidR="00E77B2C">
        <w:rPr>
          <w:rFonts w:cs="AGaramond-Regular"/>
        </w:rPr>
        <w:t>regardless of indication</w:t>
      </w:r>
      <w:r w:rsidR="00E72D12">
        <w:rPr>
          <w:rFonts w:cs="AGaramond-Regular"/>
        </w:rPr>
        <w:t xml:space="preserve">. </w:t>
      </w:r>
    </w:p>
    <w:p w:rsidR="003847B1" w:rsidRPr="003847B1" w:rsidRDefault="003847B1" w:rsidP="003847B1">
      <w:pPr>
        <w:rPr>
          <w:rFonts w:cs="AGaramond-Regular"/>
        </w:rPr>
      </w:pPr>
      <w:r w:rsidRPr="005A6118">
        <w:rPr>
          <w:rFonts w:cs="AGaramond-Regular"/>
        </w:rPr>
        <w:t xml:space="preserve">Figure 2 and Table </w:t>
      </w:r>
      <w:r w:rsidR="005A6118" w:rsidRPr="005A6118">
        <w:rPr>
          <w:rFonts w:cs="AGaramond-Regular"/>
        </w:rPr>
        <w:t>5</w:t>
      </w:r>
      <w:r w:rsidRPr="005A6118">
        <w:rPr>
          <w:rFonts w:cs="AGaramond-Regular"/>
        </w:rPr>
        <w:t xml:space="preserve"> illustrate</w:t>
      </w:r>
      <w:r>
        <w:rPr>
          <w:rFonts w:cs="AGaramond-Regular"/>
        </w:rPr>
        <w:t xml:space="preserve"> the number of NOAC prescriptions supplied by drug and strength. Rivaroxaban 20mg had</w:t>
      </w:r>
      <w:r w:rsidR="007D7DB1">
        <w:rPr>
          <w:rFonts w:cs="AGaramond-Regular"/>
        </w:rPr>
        <w:t xml:space="preserve"> the highest number of </w:t>
      </w:r>
      <w:r>
        <w:rPr>
          <w:rFonts w:cs="AGaramond-Regular"/>
        </w:rPr>
        <w:t xml:space="preserve">prescriptions </w:t>
      </w:r>
      <w:r w:rsidR="007D7DB1">
        <w:rPr>
          <w:rFonts w:cs="AGaramond-Regular"/>
        </w:rPr>
        <w:t xml:space="preserve">supplied </w:t>
      </w:r>
      <w:r>
        <w:rPr>
          <w:rFonts w:cs="AGaramond-Regular"/>
        </w:rPr>
        <w:t>from August</w:t>
      </w:r>
      <w:r w:rsidR="00E77B2C">
        <w:rPr>
          <w:rFonts w:cs="AGaramond-Regular"/>
        </w:rPr>
        <w:t> </w:t>
      </w:r>
      <w:r>
        <w:rPr>
          <w:rFonts w:cs="AGaramond-Regular"/>
        </w:rPr>
        <w:t xml:space="preserve">2013 to December 2015 for the NVAF streamlined authority code.  </w:t>
      </w:r>
      <w:r w:rsidR="005A6118" w:rsidRPr="005A6118">
        <w:rPr>
          <w:rFonts w:cs="AGaramond-Regular"/>
        </w:rPr>
        <w:t>Table 5</w:t>
      </w:r>
      <w:r w:rsidRPr="005A6118">
        <w:rPr>
          <w:rFonts w:cs="AGaramond-Regular"/>
        </w:rPr>
        <w:t xml:space="preserve"> shows</w:t>
      </w:r>
      <w:r>
        <w:rPr>
          <w:rFonts w:cs="AGaramond-Regular"/>
        </w:rPr>
        <w:t xml:space="preserve"> that </w:t>
      </w:r>
      <w:r w:rsidR="00E77B2C">
        <w:rPr>
          <w:rFonts w:cs="AGaramond-Regular"/>
        </w:rPr>
        <w:t xml:space="preserve">the higher strength was supplied more than the lower strength for both apixaban and rivaroxaban; while the converse is true for dabigatran. </w:t>
      </w:r>
    </w:p>
    <w:p w:rsidR="00994FE0" w:rsidRDefault="00B95B32" w:rsidP="00994FE0">
      <w:pPr>
        <w:spacing w:after="0"/>
        <w:rPr>
          <w:vertAlign w:val="superscript"/>
        </w:rPr>
      </w:pPr>
      <w:r w:rsidRPr="00BE6291">
        <w:t>For patients new to anticoagulant therapy in 2014</w:t>
      </w:r>
      <w:r>
        <w:t xml:space="preserve"> and 2015</w:t>
      </w:r>
      <w:r w:rsidRPr="00BE6291">
        <w:t>, more patients commenced anticoagulant therapy with NOACs than with warfarin</w:t>
      </w:r>
      <w:r w:rsidR="00CA5EB6">
        <w:t xml:space="preserve"> (Figure 5). Further, the number of people who started anticoagulant therapy on warfarin</w:t>
      </w:r>
      <w:r w:rsidR="00A4112B">
        <w:t xml:space="preserve"> declined between 2014 and 2015</w:t>
      </w:r>
      <w:r w:rsidRPr="00BE6291">
        <w:t xml:space="preserve">. </w:t>
      </w:r>
      <w:r>
        <w:t>In 2015</w:t>
      </w:r>
      <w:r w:rsidR="00994FE0">
        <w:t>,</w:t>
      </w:r>
      <w:r>
        <w:t xml:space="preserve"> </w:t>
      </w:r>
      <w:r w:rsidRPr="00BE6291">
        <w:t>rivaroxaban and apixaban</w:t>
      </w:r>
      <w:r w:rsidR="00CA5EB6">
        <w:t xml:space="preserve"> had similar market share in patients starting anticoagulant therapy with a NOAC.</w:t>
      </w:r>
      <w:r w:rsidRPr="00BE6291">
        <w:t xml:space="preserve"> </w:t>
      </w:r>
      <w:r w:rsidR="00CA5EB6">
        <w:t>D</w:t>
      </w:r>
      <w:r w:rsidR="00994FE0">
        <w:t>abigatran use was substantially lower</w:t>
      </w:r>
      <w:r>
        <w:t xml:space="preserve">. </w:t>
      </w:r>
      <w:r w:rsidR="00994FE0">
        <w:t>T</w:t>
      </w:r>
      <w:r w:rsidR="00994FE0" w:rsidRPr="00793630">
        <w:t xml:space="preserve">he PBS market may have been primed </w:t>
      </w:r>
      <w:r w:rsidR="00994FE0">
        <w:t xml:space="preserve">for dabigatran uptake </w:t>
      </w:r>
      <w:r w:rsidR="00994FE0" w:rsidRPr="00793630">
        <w:t>from the Product Familiarisation Progra</w:t>
      </w:r>
      <w:r w:rsidR="00994FE0">
        <w:t>m that ended when the therapy was PBS-listed for the NVAF indication in September 2013. In February</w:t>
      </w:r>
      <w:r w:rsidR="00FD1EAE">
        <w:t> </w:t>
      </w:r>
      <w:r w:rsidR="00994FE0">
        <w:t>2013, the TGA published updated safety information advising that dabigatran capsules be stored in the manufacturer’s original packaging to protect from moisture</w:t>
      </w:r>
      <w:r w:rsidR="002B4C0E">
        <w:t>.</w:t>
      </w:r>
      <w:r w:rsidR="00A74E7D">
        <w:rPr>
          <w:vertAlign w:val="superscript"/>
        </w:rPr>
        <w:t>4</w:t>
      </w:r>
      <w:r w:rsidR="00994FE0">
        <w:rPr>
          <w:vertAlign w:val="superscript"/>
        </w:rPr>
        <w:t>,</w:t>
      </w:r>
      <w:r w:rsidR="00A74E7D">
        <w:rPr>
          <w:vertAlign w:val="superscript"/>
        </w:rPr>
        <w:t>8</w:t>
      </w:r>
      <w:r w:rsidR="00994FE0">
        <w:t xml:space="preserve"> Due to the higher prevalence of AF in older people where the use of dose administration aids is common, this safety precaution may have contributed to the reduction in the supply of dabigatran to initiating patients. Many other factors may also affect the choice of NOAC, </w:t>
      </w:r>
      <w:r w:rsidR="00994FE0">
        <w:lastRenderedPageBreak/>
        <w:t xml:space="preserve">such as </w:t>
      </w:r>
      <w:r w:rsidR="003901DD">
        <w:t>safety profiles and dosing regimens</w:t>
      </w:r>
      <w:r w:rsidR="00994FE0">
        <w:t>. Recent publications have reported variable findings regarding the risk of major bleeding with NOACs.</w:t>
      </w:r>
      <w:r w:rsidR="00A74E7D">
        <w:rPr>
          <w:vertAlign w:val="superscript"/>
        </w:rPr>
        <w:t>16</w:t>
      </w:r>
      <w:r w:rsidR="00994FE0" w:rsidRPr="000D1227">
        <w:rPr>
          <w:vertAlign w:val="superscript"/>
        </w:rPr>
        <w:t>,</w:t>
      </w:r>
      <w:r w:rsidR="00A74E7D">
        <w:rPr>
          <w:vertAlign w:val="superscript"/>
        </w:rPr>
        <w:t>17</w:t>
      </w:r>
    </w:p>
    <w:p w:rsidR="00994FE0" w:rsidRDefault="00994FE0" w:rsidP="00994FE0">
      <w:pPr>
        <w:spacing w:after="0"/>
      </w:pPr>
    </w:p>
    <w:p w:rsidR="003901DD" w:rsidRDefault="003901DD" w:rsidP="003901DD">
      <w:r>
        <w:t>The set daily doses for the NOACs are uniform across patients (with lower doses recommended in certain patient populations), which may be easier for some patients to manage compared to warfarin where individualised dose adjustment is required. Figure 5</w:t>
      </w:r>
      <w:r w:rsidRPr="005A6118">
        <w:t xml:space="preserve"> illustrates</w:t>
      </w:r>
      <w:r>
        <w:t xml:space="preserve"> a reduction in both the number and proportion of patients initiating their anticoagulant therapy with warfarin in 2015 compared to 2014. The dosing schedule and fewer monitoring requirements are factors that might influence the choice of NOAC over warfarin. </w:t>
      </w:r>
    </w:p>
    <w:p w:rsidR="00597D7B" w:rsidRDefault="00597D7B" w:rsidP="00597D7B">
      <w:r>
        <w:t xml:space="preserve">As warfarin has been PBS-listed for a longer period of time than the NOACs, there was a patient population already using warfarin for prevention of stroke or systemic embolism in NVAF (as well as other indications). The prior prescription analysis (Figure </w:t>
      </w:r>
      <w:r w:rsidR="00356CA2">
        <w:t>4</w:t>
      </w:r>
      <w:r>
        <w:t xml:space="preserve"> and Table 6) showed that of concession only patients who initiated NOACs for NVAF in the first year of PBS-listing, 47% had no prior warfarin supply in the three years before their initial NOAC prescription. This percentage increased to 76% in the following year. This may suggest a trend as prescribers become increasingly familiar with use of NOACs in this indication. It should be noted that only 24 months of data is currently available and trends cannot be fully established at present.  </w:t>
      </w:r>
    </w:p>
    <w:p w:rsidR="000D1227" w:rsidRPr="00037720" w:rsidRDefault="000D1227" w:rsidP="000D1227">
      <w:r w:rsidRPr="00037720">
        <w:t>Warfarin requires INR blood tests to be conducted regularly, which may be considered a barrier to initiating warfarin</w:t>
      </w:r>
      <w:r>
        <w:t>.</w:t>
      </w:r>
      <w:r w:rsidRPr="00037720">
        <w:t xml:space="preserve"> </w:t>
      </w:r>
      <w:r>
        <w:t xml:space="preserve">Patients can self-monitor their blood coagulation levels, with handheld portable devices, </w:t>
      </w:r>
      <w:r w:rsidRPr="00037720">
        <w:t>if the prescriber and patient are comfortable with this arrangement</w:t>
      </w:r>
      <w:r>
        <w:t>.</w:t>
      </w:r>
      <w:r w:rsidR="00A74E7D">
        <w:rPr>
          <w:vertAlign w:val="superscript"/>
        </w:rPr>
        <w:t>13</w:t>
      </w:r>
      <w:r>
        <w:t xml:space="preserve"> This may be an option for some patients as vitamin K</w:t>
      </w:r>
      <w:r w:rsidRPr="00037720">
        <w:t xml:space="preserve"> can be supplied </w:t>
      </w:r>
      <w:r>
        <w:t>for use</w:t>
      </w:r>
      <w:r w:rsidRPr="00037720">
        <w:t xml:space="preserve"> in emergency situations.</w:t>
      </w:r>
      <w:r w:rsidR="00A74E7D">
        <w:rPr>
          <w:vertAlign w:val="superscript"/>
        </w:rPr>
        <w:t>11</w:t>
      </w:r>
      <w:r w:rsidRPr="00037720">
        <w:t xml:space="preserve"> Conversely, regular monitoring is not required with NOACs; however, antidotes are not yet readily available in Australia</w:t>
      </w:r>
      <w:r>
        <w:t>,</w:t>
      </w:r>
      <w:r w:rsidR="00A74E7D">
        <w:rPr>
          <w:vertAlign w:val="superscript"/>
        </w:rPr>
        <w:t>11</w:t>
      </w:r>
      <w:r w:rsidRPr="00037720">
        <w:t xml:space="preserve"> and patients and prescribers might be mindful of this when considering initiation to NOAC therapy</w:t>
      </w:r>
      <w:r>
        <w:t>.</w:t>
      </w:r>
      <w:r w:rsidR="005E20D4">
        <w:t xml:space="preserve"> </w:t>
      </w:r>
    </w:p>
    <w:p w:rsidR="000F017C" w:rsidRPr="002724EA" w:rsidRDefault="002724EA" w:rsidP="002724EA">
      <w:pPr>
        <w:pStyle w:val="Heading3"/>
        <w:rPr>
          <w:b w:val="0"/>
          <w:i w:val="0"/>
        </w:rPr>
      </w:pPr>
      <w:r>
        <w:rPr>
          <w:b w:val="0"/>
          <w:i w:val="0"/>
        </w:rPr>
        <w:t xml:space="preserve">The age distribution for people commencing their first anticoagulant therapy does not differ greatly by the medicine first supplied; that is, the data do not show a tendency for different anticoagulant choice on the basis of age (Figure 6). </w:t>
      </w:r>
      <w:r w:rsidR="007D7DB1" w:rsidRPr="002724EA">
        <w:rPr>
          <w:b w:val="0"/>
          <w:i w:val="0"/>
        </w:rPr>
        <w:t xml:space="preserve">Lower doses of each NOAC therapy were </w:t>
      </w:r>
      <w:r w:rsidR="007D5FCA" w:rsidRPr="002724EA">
        <w:rPr>
          <w:b w:val="0"/>
          <w:i w:val="0"/>
        </w:rPr>
        <w:t>prescribed in</w:t>
      </w:r>
      <w:r w:rsidR="007D7DB1" w:rsidRPr="002724EA">
        <w:rPr>
          <w:b w:val="0"/>
          <w:i w:val="0"/>
        </w:rPr>
        <w:t xml:space="preserve"> the older populations</w:t>
      </w:r>
      <w:r w:rsidR="00E77B2C" w:rsidRPr="002724EA">
        <w:rPr>
          <w:b w:val="0"/>
          <w:i w:val="0"/>
        </w:rPr>
        <w:t xml:space="preserve"> initiating </w:t>
      </w:r>
      <w:r>
        <w:rPr>
          <w:b w:val="0"/>
          <w:i w:val="0"/>
        </w:rPr>
        <w:t xml:space="preserve">NOAC </w:t>
      </w:r>
      <w:r w:rsidR="00E77B2C" w:rsidRPr="002724EA">
        <w:rPr>
          <w:b w:val="0"/>
          <w:i w:val="0"/>
        </w:rPr>
        <w:t xml:space="preserve">therapy (Figure </w:t>
      </w:r>
      <w:r w:rsidRPr="002724EA">
        <w:rPr>
          <w:b w:val="0"/>
          <w:i w:val="0"/>
        </w:rPr>
        <w:t>7</w:t>
      </w:r>
      <w:r w:rsidR="00E77B2C" w:rsidRPr="002724EA">
        <w:rPr>
          <w:b w:val="0"/>
          <w:i w:val="0"/>
        </w:rPr>
        <w:t>). This</w:t>
      </w:r>
      <w:r w:rsidR="007D7DB1" w:rsidRPr="002724EA">
        <w:rPr>
          <w:b w:val="0"/>
          <w:i w:val="0"/>
        </w:rPr>
        <w:t xml:space="preserve"> is in line with the clinical guidelines for the NOACs as impaired renal function can typically present in older populations. </w:t>
      </w:r>
    </w:p>
    <w:p w:rsidR="00332892" w:rsidRDefault="00332892" w:rsidP="00F1132C">
      <w:r>
        <w:t>The</w:t>
      </w:r>
      <w:r w:rsidR="00415A5C">
        <w:t>re was a</w:t>
      </w:r>
      <w:r>
        <w:t xml:space="preserve"> general trend </w:t>
      </w:r>
      <w:r w:rsidR="00415A5C">
        <w:t>for</w:t>
      </w:r>
      <w:r>
        <w:t xml:space="preserve"> </w:t>
      </w:r>
      <w:r w:rsidR="00415A5C">
        <w:t xml:space="preserve">most </w:t>
      </w:r>
      <w:r>
        <w:t>patients to refill their prescriptions w</w:t>
      </w:r>
      <w:r w:rsidR="00415A5C">
        <w:t>ithin the expected</w:t>
      </w:r>
      <w:r w:rsidR="00CE30F9">
        <w:t xml:space="preserve"> time</w:t>
      </w:r>
      <w:r>
        <w:t xml:space="preserve">frame </w:t>
      </w:r>
      <w:r w:rsidR="00415A5C">
        <w:t>assuming standard dosing schedules</w:t>
      </w:r>
      <w:r w:rsidR="00D24209">
        <w:t xml:space="preserve"> (Figure </w:t>
      </w:r>
      <w:r w:rsidR="003901DD">
        <w:t>8</w:t>
      </w:r>
      <w:r w:rsidR="00CE30F9">
        <w:t>)</w:t>
      </w:r>
      <w:r w:rsidR="00415A5C">
        <w:t>. There is some evidence of a small proportion of patients being suppl</w:t>
      </w:r>
      <w:r w:rsidR="00CE30F9">
        <w:t>ied therapy outside of the time</w:t>
      </w:r>
      <w:r w:rsidR="00415A5C">
        <w:t>frame expected for standard NOAC dosing.</w:t>
      </w:r>
      <w:r>
        <w:t xml:space="preserve"> </w:t>
      </w:r>
    </w:p>
    <w:p w:rsidR="00BB515C" w:rsidRDefault="0093236C" w:rsidP="00BB515C">
      <w:pPr>
        <w:spacing w:after="0"/>
      </w:pPr>
      <w:r w:rsidRPr="0093236C">
        <w:t>T</w:t>
      </w:r>
      <w:r w:rsidR="00375710" w:rsidRPr="0093236C">
        <w:t xml:space="preserve">he choice of anticoagulant therapy for initiating patients </w:t>
      </w:r>
      <w:r w:rsidRPr="0093236C">
        <w:t>varied by</w:t>
      </w:r>
      <w:r w:rsidR="00375710" w:rsidRPr="0093236C">
        <w:t xml:space="preserve"> the state or territory in which the prescription was supplied. Figure 9 shows the rate of people supplied anticoagulant therapy </w:t>
      </w:r>
      <w:r w:rsidR="00FD1EAE">
        <w:t xml:space="preserve">age </w:t>
      </w:r>
      <w:r w:rsidR="00375710" w:rsidRPr="0093236C">
        <w:t xml:space="preserve">standardised per 1,000 population in each state and territory in 2015. </w:t>
      </w:r>
      <w:r w:rsidR="00CE30F9" w:rsidRPr="0093236C">
        <w:t xml:space="preserve">Being serious </w:t>
      </w:r>
      <w:r w:rsidR="00CE30F9" w:rsidRPr="007F024A">
        <w:t xml:space="preserve">cardiovascular conditions, AF and stroke risk are often treated in a hospital environment. </w:t>
      </w:r>
      <w:r w:rsidR="00415186" w:rsidRPr="007F024A">
        <w:t xml:space="preserve">One of the potential factors that may influence the choice of anticoagulant therapy is the </w:t>
      </w:r>
      <w:r w:rsidR="008D11A4" w:rsidRPr="007F024A">
        <w:t>medicines that are listed</w:t>
      </w:r>
      <w:r w:rsidR="00415186" w:rsidRPr="007F024A">
        <w:t xml:space="preserve"> on a public hospital’s formulary. Most </w:t>
      </w:r>
      <w:r w:rsidR="00415186" w:rsidRPr="007F024A">
        <w:lastRenderedPageBreak/>
        <w:t xml:space="preserve">of the </w:t>
      </w:r>
      <w:r w:rsidR="007D70E2" w:rsidRPr="007F024A">
        <w:t>state</w:t>
      </w:r>
      <w:r w:rsidR="00415186" w:rsidRPr="007F024A">
        <w:t>s and territories have</w:t>
      </w:r>
      <w:r w:rsidR="007D70E2" w:rsidRPr="007F024A">
        <w:t xml:space="preserve"> their own </w:t>
      </w:r>
      <w:r w:rsidR="00415186" w:rsidRPr="007F024A">
        <w:t xml:space="preserve">region-wide public </w:t>
      </w:r>
      <w:r w:rsidR="008D11A4" w:rsidRPr="007F024A">
        <w:t>hospital formularies</w:t>
      </w:r>
      <w:r w:rsidR="007D70E2" w:rsidRPr="007F024A">
        <w:t xml:space="preserve"> </w:t>
      </w:r>
      <w:r w:rsidR="00415186" w:rsidRPr="007F024A">
        <w:t>with</w:t>
      </w:r>
      <w:r w:rsidR="007D70E2" w:rsidRPr="007F024A">
        <w:t xml:space="preserve"> variations </w:t>
      </w:r>
      <w:r w:rsidR="002B4C0E">
        <w:t xml:space="preserve">in </w:t>
      </w:r>
      <w:r w:rsidR="00E3698A" w:rsidRPr="007F024A">
        <w:t xml:space="preserve">operational procedures between them. </w:t>
      </w:r>
      <w:r w:rsidR="00415186" w:rsidRPr="007F024A">
        <w:t xml:space="preserve">For example, </w:t>
      </w:r>
      <w:r w:rsidR="00CE30F9" w:rsidRPr="007F024A">
        <w:t>in Queensland and the Northern Territory all public hospital formularies list just rivaroxaban for use in AF. I</w:t>
      </w:r>
      <w:r w:rsidR="00415186" w:rsidRPr="007F024A">
        <w:t xml:space="preserve">n </w:t>
      </w:r>
      <w:r w:rsidR="00E3698A" w:rsidRPr="007F024A">
        <w:t xml:space="preserve">South Australia all public hospitals have apixaban and rivaroxaban listed; however, rivaroxaban has restrictions on </w:t>
      </w:r>
      <w:r w:rsidR="00415186" w:rsidRPr="007F024A">
        <w:t xml:space="preserve">its </w:t>
      </w:r>
      <w:r w:rsidR="00E3698A" w:rsidRPr="007F024A">
        <w:t xml:space="preserve">use such as when apixaban is not appropriate as per the PBS criteria. </w:t>
      </w:r>
    </w:p>
    <w:p w:rsidR="00134AA6" w:rsidRDefault="00134AA6" w:rsidP="00BB515C">
      <w:pPr>
        <w:spacing w:after="0"/>
      </w:pPr>
    </w:p>
    <w:p w:rsidR="008B59A8" w:rsidRDefault="00C360CE" w:rsidP="00134AA6">
      <w:pPr>
        <w:spacing w:after="0"/>
        <w:rPr>
          <w:color w:val="FF0000"/>
        </w:rPr>
      </w:pPr>
      <w:r w:rsidRPr="0093236C">
        <w:t xml:space="preserve">The choice of initial anticoagulant therapy for NVAF varied slightly depending on whether the prescription was supplied in a regional or metropolitan area (Figure 10). </w:t>
      </w:r>
      <w:r w:rsidR="0093236C" w:rsidRPr="0093236C">
        <w:t xml:space="preserve">More patients initiating anticoagulant therapy </w:t>
      </w:r>
      <w:r w:rsidR="0093236C" w:rsidRPr="00B47AEE">
        <w:t>in 2015 were supplied NOACs compared with warfarin</w:t>
      </w:r>
      <w:r w:rsidR="0093236C" w:rsidRPr="0093236C" w:rsidDel="0093236C">
        <w:t xml:space="preserve"> </w:t>
      </w:r>
      <w:r w:rsidR="00134AA6" w:rsidRPr="0093236C">
        <w:t xml:space="preserve">regardless of the region in which they were supplied. </w:t>
      </w:r>
      <w:r w:rsidR="0093236C" w:rsidRPr="0093236C">
        <w:t xml:space="preserve">A greater percentage of initiating prescriptions were for </w:t>
      </w:r>
      <w:r w:rsidR="0093236C" w:rsidRPr="00B47AEE">
        <w:t xml:space="preserve">warfarin in the remote areas compared to the metropolitan areas. </w:t>
      </w:r>
    </w:p>
    <w:p w:rsidR="0093236C" w:rsidRDefault="0093236C" w:rsidP="0093236C">
      <w:pPr>
        <w:spacing w:after="0"/>
        <w:rPr>
          <w:i/>
        </w:rPr>
      </w:pPr>
    </w:p>
    <w:p w:rsidR="00AF0AC0" w:rsidRPr="000C0699" w:rsidRDefault="00A462BC" w:rsidP="0093236C">
      <w:pPr>
        <w:spacing w:after="0"/>
      </w:pPr>
      <w:r w:rsidRPr="000731EA">
        <w:t xml:space="preserve">In 2015, cardiologists wrote </w:t>
      </w:r>
      <w:r w:rsidR="003B3C1B" w:rsidRPr="000731EA">
        <w:t xml:space="preserve">a greater proportion of </w:t>
      </w:r>
      <w:r w:rsidRPr="000731EA">
        <w:t xml:space="preserve">prescriptions for patients initiating anticoagulant therapy than for ongoing anticoagulant prescriptions. </w:t>
      </w:r>
      <w:r w:rsidR="003B3C1B" w:rsidRPr="000731EA">
        <w:t xml:space="preserve">Cardiologists were less inclined to prescribe warfarin to initiating patients compared to GPs. GPs wrote </w:t>
      </w:r>
      <w:r w:rsidR="000731EA" w:rsidRPr="000731EA">
        <w:t>a far greater proportion of</w:t>
      </w:r>
      <w:r w:rsidR="003B3C1B" w:rsidRPr="000731EA">
        <w:t xml:space="preserve"> prescriptions for anticoagulant therapy than cardiologists for both initiating and ongoing prescriptions.</w:t>
      </w:r>
      <w:r w:rsidR="003B3C1B">
        <w:t xml:space="preserve"> </w:t>
      </w:r>
    </w:p>
    <w:p w:rsidR="00BB515C" w:rsidRDefault="00BB515C" w:rsidP="00BB515C">
      <w:pPr>
        <w:spacing w:after="0"/>
      </w:pPr>
    </w:p>
    <w:p w:rsidR="00FD3AC5" w:rsidRDefault="005317AA" w:rsidP="0071692E">
      <w:pPr>
        <w:spacing w:after="0"/>
      </w:pPr>
      <w:r w:rsidRPr="005317AA">
        <w:t xml:space="preserve">Table </w:t>
      </w:r>
      <w:r w:rsidR="007F024A">
        <w:t>8</w:t>
      </w:r>
      <w:r w:rsidR="00BF111F" w:rsidRPr="005317AA">
        <w:t xml:space="preserve"> outline</w:t>
      </w:r>
      <w:r w:rsidRPr="005317AA">
        <w:t>s</w:t>
      </w:r>
      <w:r w:rsidR="00BF111F">
        <w:t xml:space="preserve"> the analysis of actual versus predicted utilisation of NOACs for prevention of stroke or systemic embolism in NVAF. </w:t>
      </w:r>
      <w:r w:rsidR="00FD3AC5">
        <w:t xml:space="preserve">In the first year of listing the predicted numbers of patients and prescriptions were overestimated. The predicted patient numbers were closer to actual than the predicted prescription numbers. The predicted numbers of </w:t>
      </w:r>
      <w:r w:rsidR="00FD3AC5" w:rsidRPr="00C53CED">
        <w:t xml:space="preserve">patients and prescriptions in the second year of listing </w:t>
      </w:r>
      <w:r w:rsidR="00FD3AC5" w:rsidRPr="00B65CFE">
        <w:t>were slightly overestimated, with the actual patient numbers in the second year being just 4% different from actual.</w:t>
      </w:r>
      <w:r w:rsidR="00FD3AC5" w:rsidRPr="00C53CED">
        <w:t xml:space="preserve"> </w:t>
      </w:r>
    </w:p>
    <w:p w:rsidR="00FD3AC5" w:rsidRDefault="00FD3AC5" w:rsidP="0071692E">
      <w:pPr>
        <w:spacing w:after="0"/>
      </w:pPr>
    </w:p>
    <w:p w:rsidR="006F605B" w:rsidRDefault="006F605B" w:rsidP="0071692E">
      <w:pPr>
        <w:spacing w:line="276" w:lineRule="auto"/>
        <w:rPr>
          <w:b/>
          <w:sz w:val="32"/>
          <w:szCs w:val="32"/>
        </w:rPr>
      </w:pPr>
      <w:r>
        <w:rPr>
          <w:b/>
          <w:sz w:val="32"/>
          <w:szCs w:val="32"/>
        </w:rPr>
        <w:t xml:space="preserve">DUSC consideration </w:t>
      </w:r>
    </w:p>
    <w:p w:rsidR="006F605B" w:rsidRDefault="006F605B" w:rsidP="006F605B">
      <w:r>
        <w:t xml:space="preserve">DUSC noted the growth in the anticoagulant market since the listing of NOACs for use in NVAF. </w:t>
      </w:r>
      <w:r w:rsidRPr="006F605B">
        <w:t xml:space="preserve">DUSC </w:t>
      </w:r>
      <w:r>
        <w:t xml:space="preserve">also </w:t>
      </w:r>
      <w:r w:rsidRPr="006F605B">
        <w:t xml:space="preserve">noted that warfarin has an unrestricted PBS-listing therefore all PBS warfarin </w:t>
      </w:r>
      <w:r>
        <w:t>was</w:t>
      </w:r>
      <w:r w:rsidRPr="006F605B">
        <w:t xml:space="preserve"> presented regardless of indication.</w:t>
      </w:r>
      <w:r>
        <w:t xml:space="preserve"> </w:t>
      </w:r>
    </w:p>
    <w:p w:rsidR="006F605B" w:rsidRPr="006F605B" w:rsidRDefault="006F605B" w:rsidP="006F605B">
      <w:r w:rsidRPr="006F605B">
        <w:t xml:space="preserve">DUSC noted that </w:t>
      </w:r>
      <w:r w:rsidR="002B4C0E">
        <w:t xml:space="preserve">for patients new to therapy in 2014 and 2015, </w:t>
      </w:r>
      <w:r w:rsidRPr="006F605B">
        <w:t xml:space="preserve">dabigatran use was substantially lower </w:t>
      </w:r>
      <w:r>
        <w:t>than that of apixaban and rivaroxaban</w:t>
      </w:r>
      <w:r w:rsidR="002B4C0E">
        <w:t xml:space="preserve">. Further, </w:t>
      </w:r>
      <w:r w:rsidRPr="006F605B">
        <w:t>the number of people initiating NOAC therapy on dabigatran declined in 2015 compared to 2014. DUSC considered that the effect of the dabigatran Product Familiarisation Program, which ended when the therapy was PBS-listed for use in NVAF in September 2013, may have dissipated.</w:t>
      </w:r>
    </w:p>
    <w:p w:rsidR="006F605B" w:rsidRDefault="006F605B" w:rsidP="006F605B">
      <w:r w:rsidRPr="006F605B">
        <w:t xml:space="preserve">DUSC noted the sensitivity analysis </w:t>
      </w:r>
      <w:r w:rsidR="009A011A">
        <w:t xml:space="preserve">which </w:t>
      </w:r>
      <w:r w:rsidRPr="006F605B">
        <w:t xml:space="preserve">indicated that the observed trends in prior </w:t>
      </w:r>
      <w:r w:rsidR="009A011A">
        <w:t>warfarin</w:t>
      </w:r>
      <w:r w:rsidR="009A011A" w:rsidRPr="006F605B">
        <w:t xml:space="preserve"> </w:t>
      </w:r>
      <w:r w:rsidRPr="006F605B">
        <w:t xml:space="preserve">use were similar for </w:t>
      </w:r>
      <w:r w:rsidR="009A011A">
        <w:t>concessional and general beneficiaries</w:t>
      </w:r>
      <w:r w:rsidRPr="006F605B">
        <w:t xml:space="preserve">. </w:t>
      </w:r>
    </w:p>
    <w:p w:rsidR="006F605B" w:rsidRDefault="000A38FA" w:rsidP="006F605B">
      <w:r>
        <w:t xml:space="preserve">DUSC noted that </w:t>
      </w:r>
      <w:r w:rsidR="0088003D">
        <w:t xml:space="preserve">whilst </w:t>
      </w:r>
      <w:r>
        <w:t xml:space="preserve">the warfarin antidote, vitamin K, is </w:t>
      </w:r>
      <w:r w:rsidR="0088003D">
        <w:t xml:space="preserve">readily </w:t>
      </w:r>
      <w:r>
        <w:t>available in emergency situations</w:t>
      </w:r>
      <w:r w:rsidR="0088003D">
        <w:t>, there are no</w:t>
      </w:r>
      <w:r>
        <w:t xml:space="preserve"> readily available antidotes</w:t>
      </w:r>
      <w:r w:rsidR="0088003D">
        <w:t xml:space="preserve"> for NOACs in Australia as of yet</w:t>
      </w:r>
      <w:r>
        <w:t>.</w:t>
      </w:r>
      <w:r w:rsidRPr="000A38FA">
        <w:rPr>
          <w:vertAlign w:val="superscript"/>
        </w:rPr>
        <w:fldChar w:fldCharType="begin"/>
      </w:r>
      <w:r w:rsidRPr="000A38FA">
        <w:rPr>
          <w:vertAlign w:val="superscript"/>
        </w:rPr>
        <w:instrText xml:space="preserve"> NOTEREF _Ref449699880 \h </w:instrText>
      </w:r>
      <w:r>
        <w:rPr>
          <w:vertAlign w:val="superscript"/>
        </w:rPr>
        <w:instrText xml:space="preserve"> \* MERGEFORMAT </w:instrText>
      </w:r>
      <w:r w:rsidRPr="000A38FA">
        <w:rPr>
          <w:vertAlign w:val="superscript"/>
        </w:rPr>
      </w:r>
      <w:r w:rsidRPr="000A38FA">
        <w:rPr>
          <w:vertAlign w:val="superscript"/>
        </w:rPr>
        <w:fldChar w:fldCharType="separate"/>
      </w:r>
      <w:r w:rsidR="007228FE">
        <w:rPr>
          <w:vertAlign w:val="superscript"/>
        </w:rPr>
        <w:t>11</w:t>
      </w:r>
      <w:r w:rsidRPr="000A38FA">
        <w:rPr>
          <w:vertAlign w:val="superscript"/>
        </w:rPr>
        <w:fldChar w:fldCharType="end"/>
      </w:r>
      <w:r>
        <w:t xml:space="preserve"> DUSC noted that </w:t>
      </w:r>
      <w:r w:rsidR="006F605B" w:rsidRPr="006F605B">
        <w:t xml:space="preserve">a reversal agent for dabigatran, idarucizumab, was registered on the Australian Register of Therapeutic Goods (ARTG) effective 11 May 2016 for use in emergency surgery/urgent procedures and in life-threatening or uncontrolled bleeding. DUSC also noted that idarucizumab has been available in some hospitals in the ACT in the past year, </w:t>
      </w:r>
      <w:r w:rsidR="006F605B" w:rsidRPr="006F605B">
        <w:lastRenderedPageBreak/>
        <w:t xml:space="preserve">which may have contributed to the higher use of dabigatran in the ACT compared with other </w:t>
      </w:r>
      <w:r w:rsidR="004738BE">
        <w:t xml:space="preserve">states and territories in 2015. </w:t>
      </w:r>
      <w:r w:rsidR="004738BE" w:rsidRPr="004738BE">
        <w:t>DUSC acknowledged the report provided by the Council of Australian Therapeutics Advisory Groups (CATAG) and discussed how the hospital formularies appear to have a considerable effect on the choice of initiating anticoagulant therapy for patients in that state or territory</w:t>
      </w:r>
      <w:r w:rsidR="004738BE">
        <w:t>.</w:t>
      </w:r>
    </w:p>
    <w:p w:rsidR="000A38FA" w:rsidRPr="004738BE" w:rsidRDefault="000A38FA" w:rsidP="006F605B">
      <w:r w:rsidRPr="004738BE">
        <w:t xml:space="preserve">DUSC noted that the lower strengths of NOACs were used in older populations, possibly due to renal impairment, which is clinically appropriate. DUSC noted a recent study which found variation in the recommended NOAC dose </w:t>
      </w:r>
      <w:bookmarkStart w:id="12" w:name="_GoBack"/>
      <w:bookmarkEnd w:id="12"/>
      <w:r w:rsidRPr="004738BE">
        <w:t>depending on which kidney function tests and clinical guidelines were used; DUSC considered this may have implications for NOAC prescribing</w:t>
      </w:r>
      <w:r w:rsidR="004738BE" w:rsidRPr="004738BE">
        <w:t>.</w:t>
      </w:r>
      <w:r w:rsidR="004738BE" w:rsidRPr="004738BE">
        <w:rPr>
          <w:rStyle w:val="FootnoteReference"/>
        </w:rPr>
        <w:footnoteReference w:id="27"/>
      </w:r>
      <w:r w:rsidR="004738BE" w:rsidRPr="004738BE">
        <w:t xml:space="preserve"> DUSC noted that rivaroxaban</w:t>
      </w:r>
      <w:r w:rsidR="00050D1C">
        <w:t> </w:t>
      </w:r>
      <w:r w:rsidR="004738BE" w:rsidRPr="004738BE">
        <w:t xml:space="preserve">20mg had the highest number of prescriptions supplied from August 2013 to December 2015 for the NVAF streamlined code. DUSC also noted the </w:t>
      </w:r>
      <w:r w:rsidR="0088003D">
        <w:t>pre-subcommittee response</w:t>
      </w:r>
      <w:r w:rsidR="004738BE" w:rsidRPr="004738BE">
        <w:t xml:space="preserve"> from a sponsor that highlighted an Australian study which found inappropriate NOAC doses were used in up to a third of patients in the study, irrespective of renal impairment.</w:t>
      </w:r>
      <w:r w:rsidR="004738BE" w:rsidRPr="004738BE">
        <w:rPr>
          <w:rStyle w:val="FootnoteReference"/>
        </w:rPr>
        <w:footnoteReference w:id="28"/>
      </w:r>
    </w:p>
    <w:p w:rsidR="004738BE" w:rsidRPr="004738BE" w:rsidRDefault="004738BE" w:rsidP="006F605B">
      <w:r w:rsidRPr="004738BE">
        <w:t>DUSC noted that there was no apparent difference in time to supply for NOACs that have twice daily or once daily dosing. DUSC recalled its predicted NOAC compliance estimate of 90% from its advice to the March 2013 PBAC meeting.</w:t>
      </w:r>
    </w:p>
    <w:p w:rsidR="00FD1EAE" w:rsidRDefault="004738BE" w:rsidP="006F605B">
      <w:r w:rsidRPr="004738BE">
        <w:t xml:space="preserve">DUSC acknowledged that </w:t>
      </w:r>
      <w:r w:rsidR="00011F5F">
        <w:t xml:space="preserve">for the predicted versus actual analysis, </w:t>
      </w:r>
      <w:r w:rsidRPr="004738BE">
        <w:t>the actual usage numbers were very similar to the predicted.</w:t>
      </w:r>
      <w:r w:rsidR="00FD1EAE" w:rsidRPr="00FD1EAE">
        <w:t xml:space="preserve"> </w:t>
      </w:r>
    </w:p>
    <w:p w:rsidR="006F605B" w:rsidRPr="004738BE" w:rsidRDefault="00FD1EAE" w:rsidP="006F605B">
      <w:r w:rsidRPr="006F605B">
        <w:t>DUSC noted that there are currently no up to date national guidelines for stroke prevention in NVAF</w:t>
      </w:r>
      <w:r>
        <w:t xml:space="preserve">. DUSC considered that </w:t>
      </w:r>
      <w:r w:rsidRPr="006F605B">
        <w:t>continued prescriber education is important to encourage quality use of NOACs as prescribers increase their familiarity with these medicines.</w:t>
      </w:r>
    </w:p>
    <w:p w:rsidR="001310AE" w:rsidRDefault="00011F5F" w:rsidP="0071692E">
      <w:pPr>
        <w:pStyle w:val="Heading1"/>
        <w:spacing w:before="0"/>
      </w:pPr>
      <w:r>
        <w:t>DUSC actions</w:t>
      </w:r>
    </w:p>
    <w:p w:rsidR="00515465" w:rsidRDefault="00515465" w:rsidP="002A7502">
      <w:r w:rsidRPr="00515465">
        <w:t xml:space="preserve">DUSC requested that the report, </w:t>
      </w:r>
      <w:r>
        <w:t>sponsor</w:t>
      </w:r>
      <w:r w:rsidRPr="00515465">
        <w:t xml:space="preserve"> responses</w:t>
      </w:r>
      <w:r>
        <w:t>,</w:t>
      </w:r>
      <w:r w:rsidRPr="00515465">
        <w:t xml:space="preserve"> DUSC minutes</w:t>
      </w:r>
      <w:r>
        <w:t xml:space="preserve"> and the advice obtained from CATAG</w:t>
      </w:r>
      <w:r w:rsidRPr="00515465">
        <w:t xml:space="preserve"> be provided to the PBAC. </w:t>
      </w:r>
    </w:p>
    <w:p w:rsidR="00011F5F" w:rsidRPr="00011F5F" w:rsidRDefault="00011F5F" w:rsidP="002A7502">
      <w:pPr>
        <w:rPr>
          <w:b/>
          <w:sz w:val="32"/>
          <w:szCs w:val="32"/>
        </w:rPr>
      </w:pPr>
      <w:r w:rsidRPr="00011F5F">
        <w:rPr>
          <w:b/>
          <w:sz w:val="32"/>
          <w:szCs w:val="32"/>
        </w:rPr>
        <w:t xml:space="preserve">Context for analysis </w:t>
      </w:r>
    </w:p>
    <w:p w:rsidR="00011F5F" w:rsidRDefault="00011F5F" w:rsidP="002A7502">
      <w:r w:rsidRPr="00011F5F">
        <w:t xml:space="preserve">The DUSC is a Sub Committee of the Pharmaceutical Benefits Advisory Committee (PBAC). The DUSC assesses estimates on projected usage and financial cost of medicines. </w:t>
      </w:r>
    </w:p>
    <w:p w:rsidR="00011F5F" w:rsidRDefault="00011F5F" w:rsidP="002A7502">
      <w:r w:rsidRPr="00011F5F">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011F5F" w:rsidRDefault="00011F5F" w:rsidP="002A7502">
      <w:r w:rsidRPr="00011F5F">
        <w:lastRenderedPageBreak/>
        <w:t xml:space="preserve">The DUSC operates in accordance with the quality use of medicines objective of the National Medicines Policy and considers that the DUSC utilisation analyses will assist consumers and health professionals to better understand the costs, benefits and risks of medicines. </w:t>
      </w:r>
    </w:p>
    <w:p w:rsidR="00011F5F" w:rsidRDefault="00011F5F" w:rsidP="002A7502">
      <w:r w:rsidRPr="00011F5F">
        <w:t>The utilisation analysis report was provided to the pharmaceutical sponsors of each drug and comments on the report were provided to DUSC prior to its consideration of the analysis.</w:t>
      </w:r>
    </w:p>
    <w:p w:rsidR="00AA391E" w:rsidRPr="00AA391E" w:rsidRDefault="00AA391E" w:rsidP="00AA391E">
      <w:pPr>
        <w:rPr>
          <w:b/>
          <w:sz w:val="32"/>
          <w:szCs w:val="32"/>
        </w:rPr>
      </w:pPr>
      <w:r w:rsidRPr="00AA391E">
        <w:rPr>
          <w:b/>
          <w:sz w:val="32"/>
          <w:szCs w:val="32"/>
        </w:rPr>
        <w:t>Sponsors’ comments</w:t>
      </w:r>
    </w:p>
    <w:p w:rsidR="00AA391E" w:rsidRDefault="00D85FFA" w:rsidP="00D85FFA">
      <w:pPr>
        <w:spacing w:after="0"/>
      </w:pPr>
      <w:r>
        <w:t>Bayer Australia Ltd: nil comment received.</w:t>
      </w:r>
    </w:p>
    <w:p w:rsidR="00D85FFA" w:rsidRDefault="00D85FFA" w:rsidP="00D85FFA">
      <w:pPr>
        <w:spacing w:after="0"/>
      </w:pPr>
      <w:r>
        <w:t>Boehringer Ingelheim Pty Ltd: nil comment received.</w:t>
      </w:r>
    </w:p>
    <w:p w:rsidR="00D85FFA" w:rsidRDefault="00D85FFA" w:rsidP="00D85FFA">
      <w:pPr>
        <w:spacing w:after="0"/>
      </w:pPr>
      <w:r>
        <w:t>Bristol-Myers Squibb Australia Pty Ltd: nil comment received.</w:t>
      </w:r>
    </w:p>
    <w:p w:rsidR="00D85FFA" w:rsidRPr="00D85FFA" w:rsidRDefault="00D85FFA" w:rsidP="00D85FFA">
      <w:pPr>
        <w:spacing w:after="0"/>
      </w:pPr>
    </w:p>
    <w:p w:rsidR="00011F5F" w:rsidRDefault="00011F5F" w:rsidP="002A7502">
      <w:r w:rsidRPr="00011F5F">
        <w:rPr>
          <w:b/>
          <w:sz w:val="32"/>
          <w:szCs w:val="32"/>
        </w:rPr>
        <w:t>Disclaimer</w:t>
      </w:r>
      <w:r w:rsidRPr="00011F5F">
        <w:t xml:space="preserve"> </w:t>
      </w:r>
    </w:p>
    <w:p w:rsidR="00011F5F" w:rsidRDefault="00011F5F" w:rsidP="002A7502">
      <w:r w:rsidRPr="00011F5F">
        <w:t xml:space="preserve">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 </w:t>
      </w:r>
    </w:p>
    <w:p w:rsidR="00011F5F" w:rsidRDefault="00011F5F" w:rsidP="002A7502">
      <w:r w:rsidRPr="00011F5F">
        <w:t xml:space="preserve">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 </w:t>
      </w:r>
    </w:p>
    <w:p w:rsidR="00011F5F" w:rsidRDefault="00011F5F" w:rsidP="002A7502">
      <w:r w:rsidRPr="00011F5F">
        <w:t xml:space="preserve">To the extent provided by law, DoH makes no warranties or representations as to accuracy or completeness of information contained in this report. </w:t>
      </w:r>
    </w:p>
    <w:p w:rsidR="00011F5F" w:rsidRPr="00011F5F" w:rsidRDefault="00011F5F" w:rsidP="002A7502">
      <w:r w:rsidRPr="00011F5F">
        <w:t xml:space="preserve">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w:t>
      </w:r>
      <w:r>
        <w:t xml:space="preserve">of the </w:t>
      </w:r>
      <w:r w:rsidRPr="00011F5F">
        <w:t>information available from this report or contained on any third party website referred to in this report.</w:t>
      </w:r>
    </w:p>
    <w:p w:rsidR="00FE645A" w:rsidRDefault="00FE645A">
      <w:pPr>
        <w:spacing w:line="276" w:lineRule="auto"/>
      </w:pPr>
      <w:r>
        <w:br w:type="page"/>
      </w:r>
    </w:p>
    <w:p w:rsidR="00567147" w:rsidRPr="00185FA3" w:rsidRDefault="009453C9" w:rsidP="00567147">
      <w:pPr>
        <w:rPr>
          <w:color w:val="FF0000"/>
        </w:rPr>
      </w:pPr>
      <w:r w:rsidRPr="00B23548">
        <w:rPr>
          <w:b/>
          <w:sz w:val="28"/>
        </w:rPr>
        <w:lastRenderedPageBreak/>
        <w:t xml:space="preserve">Appendix </w:t>
      </w:r>
      <w:r w:rsidR="00B23548" w:rsidRPr="00B23548">
        <w:rPr>
          <w:b/>
          <w:sz w:val="28"/>
        </w:rPr>
        <w:t>A</w:t>
      </w:r>
      <w:r>
        <w:rPr>
          <w:b/>
          <w:sz w:val="28"/>
        </w:rPr>
        <w:t>: Changes to listings of NOACs</w:t>
      </w:r>
      <w:r w:rsidR="00567147" w:rsidRPr="00567147">
        <w:rPr>
          <w:color w:val="FF0000"/>
        </w:rPr>
        <w:t xml:space="preserve"> </w:t>
      </w:r>
    </w:p>
    <w:tbl>
      <w:tblPr>
        <w:tblW w:w="8980" w:type="dxa"/>
        <w:tblInd w:w="93" w:type="dxa"/>
        <w:tblLook w:val="04A0" w:firstRow="1" w:lastRow="0" w:firstColumn="1" w:lastColumn="0" w:noHBand="0" w:noVBand="1"/>
        <w:tblCaption w:val="Changes to listings of NOACs "/>
        <w:tblDescription w:val="Table of Changes to listings of NOACs "/>
      </w:tblPr>
      <w:tblGrid>
        <w:gridCol w:w="1858"/>
        <w:gridCol w:w="5402"/>
        <w:gridCol w:w="1720"/>
      </w:tblGrid>
      <w:tr w:rsidR="009453C9" w:rsidRPr="007C7C38" w:rsidTr="007C7C38">
        <w:trPr>
          <w:trHeight w:val="302"/>
        </w:trPr>
        <w:tc>
          <w:tcPr>
            <w:tcW w:w="185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453C9" w:rsidRPr="007C7C38" w:rsidRDefault="009453C9" w:rsidP="00B22D64">
            <w:pPr>
              <w:rPr>
                <w:b/>
                <w:bCs/>
                <w:sz w:val="20"/>
                <w:szCs w:val="20"/>
              </w:rPr>
            </w:pPr>
            <w:r w:rsidRPr="007C7C38">
              <w:rPr>
                <w:b/>
                <w:bCs/>
                <w:sz w:val="20"/>
                <w:szCs w:val="20"/>
              </w:rPr>
              <w:t>Drug</w:t>
            </w:r>
          </w:p>
        </w:tc>
        <w:tc>
          <w:tcPr>
            <w:tcW w:w="5402" w:type="dxa"/>
            <w:tcBorders>
              <w:top w:val="single" w:sz="4" w:space="0" w:color="auto"/>
              <w:left w:val="nil"/>
              <w:bottom w:val="single" w:sz="4" w:space="0" w:color="auto"/>
              <w:right w:val="single" w:sz="4" w:space="0" w:color="auto"/>
            </w:tcBorders>
            <w:shd w:val="clear" w:color="000000" w:fill="BFBFBF"/>
            <w:vAlign w:val="center"/>
            <w:hideMark/>
          </w:tcPr>
          <w:p w:rsidR="009453C9" w:rsidRPr="007C7C38" w:rsidRDefault="009453C9" w:rsidP="00B22D64">
            <w:pPr>
              <w:rPr>
                <w:b/>
                <w:bCs/>
                <w:sz w:val="20"/>
                <w:szCs w:val="20"/>
              </w:rPr>
            </w:pPr>
            <w:r w:rsidRPr="007C7C38">
              <w:rPr>
                <w:b/>
                <w:bCs/>
                <w:sz w:val="20"/>
                <w:szCs w:val="20"/>
              </w:rPr>
              <w:t>Indication</w:t>
            </w:r>
          </w:p>
        </w:tc>
        <w:tc>
          <w:tcPr>
            <w:tcW w:w="1720" w:type="dxa"/>
            <w:tcBorders>
              <w:top w:val="single" w:sz="4" w:space="0" w:color="auto"/>
              <w:left w:val="nil"/>
              <w:bottom w:val="single" w:sz="4" w:space="0" w:color="auto"/>
              <w:right w:val="single" w:sz="4" w:space="0" w:color="auto"/>
            </w:tcBorders>
            <w:shd w:val="clear" w:color="000000" w:fill="BFBFBF"/>
            <w:vAlign w:val="center"/>
            <w:hideMark/>
          </w:tcPr>
          <w:p w:rsidR="009453C9" w:rsidRPr="007C7C38" w:rsidRDefault="009453C9" w:rsidP="00B22D64">
            <w:pPr>
              <w:rPr>
                <w:b/>
                <w:bCs/>
                <w:sz w:val="20"/>
                <w:szCs w:val="20"/>
              </w:rPr>
            </w:pPr>
            <w:r w:rsidRPr="007C7C38">
              <w:rPr>
                <w:b/>
                <w:bCs/>
                <w:sz w:val="20"/>
                <w:szCs w:val="20"/>
              </w:rPr>
              <w:t>Date</w:t>
            </w:r>
          </w:p>
        </w:tc>
      </w:tr>
      <w:tr w:rsidR="009453C9" w:rsidRPr="007C7C38" w:rsidTr="00D2542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Rivaroxaban</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Listed for prevention of VTE in hip replacements</w:t>
            </w:r>
            <w:r w:rsidR="00D25427" w:rsidRPr="007C7C38">
              <w:rPr>
                <w:sz w:val="20"/>
                <w:szCs w:val="20"/>
              </w:rPr>
              <w:t xml:space="preserve"> (out of scope)</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August 2009</w:t>
            </w:r>
          </w:p>
        </w:tc>
      </w:tr>
      <w:tr w:rsidR="009453C9" w:rsidRPr="007C7C38" w:rsidTr="00D2542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Rivaroxaban</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Listed for prevention of VTE in knee replacements</w:t>
            </w:r>
            <w:r w:rsidR="00D25427" w:rsidRPr="007C7C38">
              <w:rPr>
                <w:sz w:val="20"/>
                <w:szCs w:val="20"/>
              </w:rPr>
              <w:t xml:space="preserve"> (out of scope)</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August 2009</w:t>
            </w:r>
          </w:p>
        </w:tc>
      </w:tr>
      <w:tr w:rsidR="009453C9" w:rsidRPr="007C7C38" w:rsidTr="00D2542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 xml:space="preserve">Dabigatran </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Listed for prevention of VTE in hip replacements</w:t>
            </w:r>
            <w:r w:rsidR="00D25427" w:rsidRPr="007C7C38">
              <w:rPr>
                <w:sz w:val="20"/>
                <w:szCs w:val="20"/>
              </w:rPr>
              <w:t xml:space="preserve"> (out of scope)</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April 2010</w:t>
            </w:r>
          </w:p>
        </w:tc>
      </w:tr>
      <w:tr w:rsidR="009453C9" w:rsidRPr="007C7C38" w:rsidTr="00D2542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 xml:space="preserve">Dabigatran </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Listed for prevention of VTE in knee replacements</w:t>
            </w:r>
            <w:r w:rsidR="00D25427" w:rsidRPr="007C7C38">
              <w:rPr>
                <w:sz w:val="20"/>
                <w:szCs w:val="20"/>
              </w:rPr>
              <w:t xml:space="preserve"> (out of scope)</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April 2010</w:t>
            </w:r>
          </w:p>
        </w:tc>
      </w:tr>
      <w:tr w:rsidR="009453C9" w:rsidRPr="007C7C38" w:rsidTr="00D2542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Apixaban</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Listed for prevention of VTE in hip replacements</w:t>
            </w:r>
            <w:r w:rsidR="00D25427" w:rsidRPr="007C7C38">
              <w:rPr>
                <w:sz w:val="20"/>
                <w:szCs w:val="20"/>
              </w:rPr>
              <w:t xml:space="preserve"> (out of scope)</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January 2012</w:t>
            </w:r>
          </w:p>
        </w:tc>
      </w:tr>
      <w:tr w:rsidR="009453C9" w:rsidRPr="007C7C38" w:rsidTr="00D2542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Apixaban</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Listed for prevention of VTE in knee replacements</w:t>
            </w:r>
            <w:r w:rsidR="00D25427" w:rsidRPr="007C7C38">
              <w:rPr>
                <w:sz w:val="20"/>
                <w:szCs w:val="20"/>
              </w:rPr>
              <w:t xml:space="preserve"> (out of scope)</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January 2012</w:t>
            </w:r>
          </w:p>
        </w:tc>
      </w:tr>
      <w:tr w:rsidR="009453C9" w:rsidRPr="007C7C38" w:rsidTr="00D25427">
        <w:trPr>
          <w:trHeight w:val="7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Rivaroxaban, dabigatran and apixaban</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Restrictions changed to specify whether patient requires 10, 15 or 30 days of treatment and if this is required to complete a course of therapy</w:t>
            </w:r>
            <w:r w:rsidR="00D25427" w:rsidRPr="007C7C38">
              <w:rPr>
                <w:sz w:val="20"/>
                <w:szCs w:val="20"/>
              </w:rPr>
              <w:t xml:space="preserve"> (out of scope)</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July 2012</w:t>
            </w:r>
          </w:p>
        </w:tc>
      </w:tr>
      <w:tr w:rsidR="009453C9" w:rsidRPr="007C7C38" w:rsidTr="00D2542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Rivaroxaban</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 xml:space="preserve">Listed for acute symptomatic deep vein thrombosis </w:t>
            </w:r>
            <w:r w:rsidR="00D25427" w:rsidRPr="007C7C38">
              <w:rPr>
                <w:sz w:val="20"/>
                <w:szCs w:val="20"/>
              </w:rPr>
              <w:t>(out of scope)</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December 2012</w:t>
            </w:r>
          </w:p>
        </w:tc>
      </w:tr>
      <w:tr w:rsidR="009453C9" w:rsidRPr="007C7C38" w:rsidTr="00D2542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Rivaroxaban</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Listed for prevention of recurrent venous thromboembolism. Patient must not have</w:t>
            </w:r>
            <w:r w:rsidR="00D25427" w:rsidRPr="007C7C38">
              <w:rPr>
                <w:sz w:val="20"/>
                <w:szCs w:val="20"/>
              </w:rPr>
              <w:t xml:space="preserve"> symptomatic pulmonary embolism (out of scope)</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December 2012</w:t>
            </w:r>
          </w:p>
        </w:tc>
      </w:tr>
      <w:tr w:rsidR="009453C9" w:rsidRPr="007C7C38" w:rsidTr="00D2542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Rivaroxaban</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Listed for pulmonary embolism</w:t>
            </w:r>
            <w:r w:rsidR="00D25427" w:rsidRPr="007C7C38">
              <w:rPr>
                <w:sz w:val="20"/>
                <w:szCs w:val="20"/>
              </w:rPr>
              <w:t xml:space="preserve"> (out of scope)</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August 2013</w:t>
            </w:r>
          </w:p>
        </w:tc>
      </w:tr>
      <w:tr w:rsidR="009453C9" w:rsidRPr="007C7C38" w:rsidTr="00D2542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Rivaroxaban</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 xml:space="preserve">Listed for prevention of stroke or systemic embolism in patients with non-valvular atrial fibrillation </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August 2013</w:t>
            </w:r>
          </w:p>
        </w:tc>
      </w:tr>
      <w:tr w:rsidR="009453C9" w:rsidRPr="007C7C38" w:rsidTr="00D2542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Apixaban</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Listed for prevention of stroke or systemic embolism in patients with non-valvular atrial fibrillation</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September 2013</w:t>
            </w:r>
          </w:p>
        </w:tc>
      </w:tr>
      <w:tr w:rsidR="009453C9" w:rsidRPr="007C7C38" w:rsidTr="00D2542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 xml:space="preserve">Dabigatran </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 xml:space="preserve">Listed for prevention of stroke or systemic embolism in patients with non-valvular atrial fibrillation </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September 2013</w:t>
            </w:r>
          </w:p>
        </w:tc>
      </w:tr>
      <w:tr w:rsidR="009453C9" w:rsidRPr="007C7C38" w:rsidTr="006903B2">
        <w:trPr>
          <w:trHeight w:val="55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Rivaroxaban, dabigatran and apixaban</w:t>
            </w:r>
          </w:p>
        </w:tc>
        <w:tc>
          <w:tcPr>
            <w:tcW w:w="5402"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Rivaroxaban, dabigatran and apixaban for prevention of VTE in patients undergoing total hip or knee replacements changed from an Authority Required listing to an Authority Required (STREAMLINED) listing</w:t>
            </w:r>
            <w:r w:rsidR="00D25427" w:rsidRPr="007C7C38">
              <w:rPr>
                <w:sz w:val="20"/>
                <w:szCs w:val="20"/>
              </w:rPr>
              <w:t xml:space="preserve"> (out of scope)</w:t>
            </w:r>
          </w:p>
        </w:tc>
        <w:tc>
          <w:tcPr>
            <w:tcW w:w="1720" w:type="dxa"/>
            <w:tcBorders>
              <w:top w:val="nil"/>
              <w:left w:val="nil"/>
              <w:bottom w:val="single" w:sz="4" w:space="0" w:color="auto"/>
              <w:right w:val="single" w:sz="4" w:space="0" w:color="auto"/>
            </w:tcBorders>
            <w:shd w:val="clear" w:color="auto" w:fill="auto"/>
            <w:vAlign w:val="center"/>
            <w:hideMark/>
          </w:tcPr>
          <w:p w:rsidR="009453C9" w:rsidRPr="007C7C38" w:rsidRDefault="009453C9" w:rsidP="00EE1ADB">
            <w:pPr>
              <w:spacing w:after="0"/>
              <w:rPr>
                <w:sz w:val="20"/>
                <w:szCs w:val="20"/>
              </w:rPr>
            </w:pPr>
            <w:r w:rsidRPr="007C7C38">
              <w:rPr>
                <w:sz w:val="20"/>
                <w:szCs w:val="20"/>
              </w:rPr>
              <w:t>1 January 2014</w:t>
            </w:r>
          </w:p>
        </w:tc>
      </w:tr>
    </w:tbl>
    <w:p w:rsidR="009453C9" w:rsidRDefault="009453C9" w:rsidP="009A537C">
      <w:pPr>
        <w:rPr>
          <w:b/>
          <w:sz w:val="28"/>
        </w:rPr>
      </w:pPr>
    </w:p>
    <w:p w:rsidR="003A5F64" w:rsidRDefault="003A5F64" w:rsidP="003A5F64">
      <w:pPr>
        <w:spacing w:after="0"/>
        <w:rPr>
          <w:rFonts w:ascii="Arial" w:hAnsi="Arial" w:cs="Arial"/>
          <w:b/>
          <w:sz w:val="20"/>
          <w:highlight w:val="yellow"/>
        </w:rPr>
      </w:pPr>
    </w:p>
    <w:p w:rsidR="009453C9" w:rsidRDefault="009453C9">
      <w:pPr>
        <w:spacing w:line="276" w:lineRule="auto"/>
        <w:rPr>
          <w:b/>
          <w:sz w:val="28"/>
        </w:rPr>
      </w:pPr>
      <w:r>
        <w:rPr>
          <w:b/>
          <w:sz w:val="28"/>
        </w:rPr>
        <w:br w:type="page"/>
      </w:r>
    </w:p>
    <w:p w:rsidR="003A5F64" w:rsidRDefault="009453C9" w:rsidP="009A537C">
      <w:pPr>
        <w:rPr>
          <w:b/>
          <w:sz w:val="28"/>
        </w:rPr>
      </w:pPr>
      <w:r w:rsidRPr="00B23548">
        <w:rPr>
          <w:b/>
          <w:sz w:val="28"/>
        </w:rPr>
        <w:lastRenderedPageBreak/>
        <w:t xml:space="preserve">Appendix </w:t>
      </w:r>
      <w:r w:rsidR="00B23548" w:rsidRPr="00B23548">
        <w:rPr>
          <w:b/>
          <w:sz w:val="28"/>
        </w:rPr>
        <w:t>B</w:t>
      </w:r>
      <w:r w:rsidR="00ED3428" w:rsidRPr="00B23548">
        <w:rPr>
          <w:b/>
          <w:sz w:val="28"/>
        </w:rPr>
        <w:t>:</w:t>
      </w:r>
      <w:r w:rsidR="00ED3428">
        <w:rPr>
          <w:b/>
          <w:sz w:val="28"/>
        </w:rPr>
        <w:t xml:space="preserve">  </w:t>
      </w:r>
      <w:r w:rsidR="003A5F64" w:rsidRPr="003A5F64">
        <w:rPr>
          <w:rFonts w:cs="Arial"/>
          <w:b/>
          <w:sz w:val="28"/>
          <w:szCs w:val="28"/>
        </w:rPr>
        <w:t>DUSC estimate of patients/year for NOACs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USC estimate of patients/year for NOACs"/>
        <w:tblDescription w:val="Table of DUSC estimate of patients/year for NOACs"/>
      </w:tblPr>
      <w:tblGrid>
        <w:gridCol w:w="3268"/>
        <w:gridCol w:w="1182"/>
        <w:gridCol w:w="1181"/>
        <w:gridCol w:w="1181"/>
        <w:gridCol w:w="1181"/>
        <w:gridCol w:w="1180"/>
      </w:tblGrid>
      <w:tr w:rsidR="003A5F64" w:rsidRPr="00C62396" w:rsidTr="006D3ABD">
        <w:trPr>
          <w:trHeight w:val="255"/>
        </w:trPr>
        <w:tc>
          <w:tcPr>
            <w:tcW w:w="1781" w:type="pct"/>
            <w:shd w:val="clear" w:color="auto" w:fill="BFBFBF" w:themeFill="background1" w:themeFillShade="BF"/>
            <w:vAlign w:val="center"/>
            <w:hideMark/>
          </w:tcPr>
          <w:p w:rsidR="003A5F64" w:rsidRPr="007C7C38" w:rsidRDefault="003A5F64" w:rsidP="007A3623">
            <w:pPr>
              <w:rPr>
                <w:rFonts w:cs="Arial"/>
                <w:sz w:val="20"/>
                <w:szCs w:val="20"/>
              </w:rPr>
            </w:pPr>
          </w:p>
        </w:tc>
        <w:tc>
          <w:tcPr>
            <w:tcW w:w="644" w:type="pct"/>
            <w:shd w:val="clear" w:color="auto" w:fill="BFBFBF" w:themeFill="background1" w:themeFillShade="BF"/>
            <w:noWrap/>
            <w:vAlign w:val="center"/>
            <w:hideMark/>
          </w:tcPr>
          <w:p w:rsidR="003A5F64" w:rsidRPr="007C7C38" w:rsidRDefault="003A5F64" w:rsidP="007A3623">
            <w:pPr>
              <w:jc w:val="center"/>
              <w:rPr>
                <w:rFonts w:cs="Arial"/>
                <w:b/>
                <w:bCs/>
                <w:sz w:val="20"/>
                <w:szCs w:val="20"/>
              </w:rPr>
            </w:pPr>
            <w:r w:rsidRPr="007C7C38">
              <w:rPr>
                <w:rFonts w:cs="Arial"/>
                <w:b/>
                <w:bCs/>
                <w:sz w:val="20"/>
                <w:szCs w:val="20"/>
              </w:rPr>
              <w:t>Year 1</w:t>
            </w:r>
          </w:p>
        </w:tc>
        <w:tc>
          <w:tcPr>
            <w:tcW w:w="644" w:type="pct"/>
            <w:shd w:val="clear" w:color="auto" w:fill="BFBFBF" w:themeFill="background1" w:themeFillShade="BF"/>
            <w:noWrap/>
            <w:vAlign w:val="center"/>
            <w:hideMark/>
          </w:tcPr>
          <w:p w:rsidR="003A5F64" w:rsidRPr="007C7C38" w:rsidRDefault="003A5F64" w:rsidP="007A3623">
            <w:pPr>
              <w:jc w:val="center"/>
              <w:rPr>
                <w:rFonts w:cs="Arial"/>
                <w:b/>
                <w:bCs/>
                <w:sz w:val="20"/>
                <w:szCs w:val="20"/>
              </w:rPr>
            </w:pPr>
            <w:r w:rsidRPr="007C7C38">
              <w:rPr>
                <w:rFonts w:cs="Arial"/>
                <w:b/>
                <w:bCs/>
                <w:sz w:val="20"/>
                <w:szCs w:val="20"/>
              </w:rPr>
              <w:t>Year 2</w:t>
            </w:r>
          </w:p>
        </w:tc>
        <w:tc>
          <w:tcPr>
            <w:tcW w:w="644" w:type="pct"/>
            <w:shd w:val="clear" w:color="auto" w:fill="BFBFBF" w:themeFill="background1" w:themeFillShade="BF"/>
            <w:noWrap/>
            <w:vAlign w:val="center"/>
            <w:hideMark/>
          </w:tcPr>
          <w:p w:rsidR="003A5F64" w:rsidRPr="007C7C38" w:rsidRDefault="003A5F64" w:rsidP="007A3623">
            <w:pPr>
              <w:jc w:val="center"/>
              <w:rPr>
                <w:rFonts w:cs="Arial"/>
                <w:b/>
                <w:bCs/>
                <w:sz w:val="20"/>
                <w:szCs w:val="20"/>
              </w:rPr>
            </w:pPr>
            <w:r w:rsidRPr="007C7C38">
              <w:rPr>
                <w:rFonts w:cs="Arial"/>
                <w:b/>
                <w:bCs/>
                <w:sz w:val="20"/>
                <w:szCs w:val="20"/>
              </w:rPr>
              <w:t>Year 3</w:t>
            </w:r>
          </w:p>
        </w:tc>
        <w:tc>
          <w:tcPr>
            <w:tcW w:w="644" w:type="pct"/>
            <w:shd w:val="clear" w:color="auto" w:fill="BFBFBF" w:themeFill="background1" w:themeFillShade="BF"/>
            <w:noWrap/>
            <w:vAlign w:val="center"/>
            <w:hideMark/>
          </w:tcPr>
          <w:p w:rsidR="003A5F64" w:rsidRPr="007C7C38" w:rsidRDefault="003A5F64" w:rsidP="007A3623">
            <w:pPr>
              <w:jc w:val="center"/>
              <w:rPr>
                <w:rFonts w:cs="Arial"/>
                <w:b/>
                <w:bCs/>
                <w:sz w:val="20"/>
                <w:szCs w:val="20"/>
              </w:rPr>
            </w:pPr>
            <w:r w:rsidRPr="007C7C38">
              <w:rPr>
                <w:rFonts w:cs="Arial"/>
                <w:b/>
                <w:bCs/>
                <w:sz w:val="20"/>
                <w:szCs w:val="20"/>
              </w:rPr>
              <w:t>Year 4</w:t>
            </w:r>
          </w:p>
        </w:tc>
        <w:tc>
          <w:tcPr>
            <w:tcW w:w="644" w:type="pct"/>
            <w:shd w:val="clear" w:color="auto" w:fill="BFBFBF" w:themeFill="background1" w:themeFillShade="BF"/>
            <w:noWrap/>
            <w:vAlign w:val="center"/>
            <w:hideMark/>
          </w:tcPr>
          <w:p w:rsidR="003A5F64" w:rsidRPr="007C7C38" w:rsidRDefault="003A5F64" w:rsidP="007A3623">
            <w:pPr>
              <w:jc w:val="center"/>
              <w:rPr>
                <w:rFonts w:cs="Arial"/>
                <w:b/>
                <w:bCs/>
                <w:sz w:val="20"/>
                <w:szCs w:val="20"/>
              </w:rPr>
            </w:pPr>
            <w:r w:rsidRPr="007C7C38">
              <w:rPr>
                <w:rFonts w:cs="Arial"/>
                <w:b/>
                <w:bCs/>
                <w:sz w:val="20"/>
                <w:szCs w:val="20"/>
              </w:rPr>
              <w:t>Year 5</w:t>
            </w:r>
          </w:p>
        </w:tc>
      </w:tr>
      <w:tr w:rsidR="003A5F64" w:rsidRPr="00C62396" w:rsidTr="003A5F64">
        <w:trPr>
          <w:trHeight w:val="255"/>
        </w:trPr>
        <w:tc>
          <w:tcPr>
            <w:tcW w:w="1781" w:type="pct"/>
            <w:shd w:val="clear" w:color="auto" w:fill="auto"/>
            <w:vAlign w:val="center"/>
          </w:tcPr>
          <w:p w:rsidR="003A5F64" w:rsidRPr="007C7C38" w:rsidRDefault="003A5F64" w:rsidP="007A3623">
            <w:pPr>
              <w:rPr>
                <w:rFonts w:cs="Arial"/>
                <w:sz w:val="20"/>
                <w:szCs w:val="20"/>
              </w:rPr>
            </w:pPr>
            <w:r w:rsidRPr="007C7C38">
              <w:rPr>
                <w:rFonts w:cs="Arial"/>
                <w:sz w:val="20"/>
                <w:szCs w:val="20"/>
              </w:rPr>
              <w:t>Age bracket</w:t>
            </w:r>
            <w:r w:rsidRPr="007C7C38">
              <w:rPr>
                <w:rFonts w:cs="Arial"/>
                <w:sz w:val="20"/>
                <w:szCs w:val="20"/>
                <w:vertAlign w:val="superscript"/>
              </w:rPr>
              <w:t>1</w:t>
            </w:r>
            <w:r w:rsidRPr="007C7C38">
              <w:rPr>
                <w:rFonts w:cs="Arial"/>
                <w:sz w:val="20"/>
                <w:szCs w:val="20"/>
              </w:rPr>
              <w:t xml:space="preserve"> (AF prevalence)</w:t>
            </w:r>
            <w:r w:rsidRPr="007C7C38">
              <w:rPr>
                <w:rFonts w:cs="Arial"/>
                <w:sz w:val="20"/>
                <w:szCs w:val="20"/>
                <w:vertAlign w:val="superscript"/>
              </w:rPr>
              <w:t>2</w:t>
            </w:r>
          </w:p>
        </w:tc>
        <w:tc>
          <w:tcPr>
            <w:tcW w:w="644" w:type="pct"/>
            <w:shd w:val="clear" w:color="auto" w:fill="auto"/>
            <w:noWrap/>
            <w:vAlign w:val="bottom"/>
          </w:tcPr>
          <w:p w:rsidR="003A5F64" w:rsidRPr="007C7C38" w:rsidRDefault="003A5F64" w:rsidP="007A3623">
            <w:pPr>
              <w:jc w:val="right"/>
              <w:rPr>
                <w:rFonts w:cs="Arial"/>
                <w:sz w:val="20"/>
                <w:szCs w:val="20"/>
              </w:rPr>
            </w:pPr>
          </w:p>
        </w:tc>
        <w:tc>
          <w:tcPr>
            <w:tcW w:w="644" w:type="pct"/>
            <w:shd w:val="clear" w:color="auto" w:fill="auto"/>
            <w:noWrap/>
            <w:vAlign w:val="bottom"/>
          </w:tcPr>
          <w:p w:rsidR="003A5F64" w:rsidRPr="007C7C38" w:rsidRDefault="003A5F64" w:rsidP="007A3623">
            <w:pPr>
              <w:jc w:val="right"/>
              <w:rPr>
                <w:rFonts w:cs="Arial"/>
                <w:sz w:val="20"/>
                <w:szCs w:val="20"/>
              </w:rPr>
            </w:pPr>
          </w:p>
        </w:tc>
        <w:tc>
          <w:tcPr>
            <w:tcW w:w="644" w:type="pct"/>
            <w:shd w:val="clear" w:color="auto" w:fill="auto"/>
            <w:noWrap/>
            <w:vAlign w:val="bottom"/>
          </w:tcPr>
          <w:p w:rsidR="003A5F64" w:rsidRPr="007C7C38" w:rsidRDefault="003A5F64" w:rsidP="007A3623">
            <w:pPr>
              <w:jc w:val="right"/>
              <w:rPr>
                <w:rFonts w:cs="Arial"/>
                <w:sz w:val="20"/>
                <w:szCs w:val="20"/>
              </w:rPr>
            </w:pPr>
          </w:p>
        </w:tc>
        <w:tc>
          <w:tcPr>
            <w:tcW w:w="644" w:type="pct"/>
            <w:shd w:val="clear" w:color="auto" w:fill="auto"/>
            <w:noWrap/>
            <w:vAlign w:val="bottom"/>
          </w:tcPr>
          <w:p w:rsidR="003A5F64" w:rsidRPr="007C7C38" w:rsidRDefault="003A5F64" w:rsidP="007A3623">
            <w:pPr>
              <w:jc w:val="right"/>
              <w:rPr>
                <w:rFonts w:cs="Arial"/>
                <w:sz w:val="20"/>
                <w:szCs w:val="20"/>
              </w:rPr>
            </w:pPr>
          </w:p>
        </w:tc>
        <w:tc>
          <w:tcPr>
            <w:tcW w:w="644" w:type="pct"/>
            <w:shd w:val="clear" w:color="auto" w:fill="auto"/>
            <w:noWrap/>
            <w:vAlign w:val="bottom"/>
          </w:tcPr>
          <w:p w:rsidR="003A5F64" w:rsidRPr="007C7C38" w:rsidRDefault="003A5F64" w:rsidP="007A3623">
            <w:pPr>
              <w:jc w:val="right"/>
              <w:rPr>
                <w:rFonts w:cs="Arial"/>
                <w:sz w:val="20"/>
                <w:szCs w:val="20"/>
              </w:rPr>
            </w:pPr>
          </w:p>
        </w:tc>
      </w:tr>
      <w:tr w:rsidR="003A5F64" w:rsidRPr="00C62396" w:rsidTr="003A5F64">
        <w:trPr>
          <w:trHeight w:val="255"/>
        </w:trPr>
        <w:tc>
          <w:tcPr>
            <w:tcW w:w="1781" w:type="pct"/>
            <w:shd w:val="clear" w:color="auto" w:fill="auto"/>
            <w:vAlign w:val="center"/>
          </w:tcPr>
          <w:p w:rsidR="003A5F64" w:rsidRPr="007C7C38" w:rsidRDefault="003A5F64" w:rsidP="007A3623">
            <w:pPr>
              <w:rPr>
                <w:rFonts w:cs="Arial"/>
                <w:sz w:val="20"/>
                <w:szCs w:val="20"/>
              </w:rPr>
            </w:pPr>
            <w:r w:rsidRPr="007C7C38">
              <w:rPr>
                <w:rFonts w:cs="Arial"/>
                <w:sz w:val="20"/>
                <w:szCs w:val="20"/>
              </w:rPr>
              <w:t>40-49 (1%)</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31,998</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32,184</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32,378</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32,593</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32,786</w:t>
            </w:r>
          </w:p>
        </w:tc>
      </w:tr>
      <w:tr w:rsidR="003A5F64" w:rsidRPr="00C62396" w:rsidTr="003A5F64">
        <w:trPr>
          <w:trHeight w:val="255"/>
        </w:trPr>
        <w:tc>
          <w:tcPr>
            <w:tcW w:w="1781" w:type="pct"/>
            <w:shd w:val="clear" w:color="auto" w:fill="auto"/>
            <w:vAlign w:val="center"/>
          </w:tcPr>
          <w:p w:rsidR="003A5F64" w:rsidRPr="007C7C38" w:rsidRDefault="003A5F64" w:rsidP="007A3623">
            <w:pPr>
              <w:rPr>
                <w:rFonts w:cs="Arial"/>
                <w:sz w:val="20"/>
                <w:szCs w:val="20"/>
              </w:rPr>
            </w:pPr>
            <w:r w:rsidRPr="007C7C38">
              <w:rPr>
                <w:rFonts w:cs="Arial"/>
                <w:sz w:val="20"/>
                <w:szCs w:val="20"/>
              </w:rPr>
              <w:t>50-59 (1.5%)</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44,850</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45,306</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45,608</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45,871</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46,138</w:t>
            </w:r>
          </w:p>
        </w:tc>
      </w:tr>
      <w:tr w:rsidR="003A5F64" w:rsidRPr="00C62396" w:rsidTr="003A5F64">
        <w:trPr>
          <w:trHeight w:val="255"/>
        </w:trPr>
        <w:tc>
          <w:tcPr>
            <w:tcW w:w="1781" w:type="pct"/>
            <w:shd w:val="clear" w:color="auto" w:fill="auto"/>
            <w:vAlign w:val="center"/>
          </w:tcPr>
          <w:p w:rsidR="003A5F64" w:rsidRPr="007C7C38" w:rsidRDefault="003A5F64" w:rsidP="007A3623">
            <w:pPr>
              <w:rPr>
                <w:rFonts w:cs="Arial"/>
                <w:sz w:val="20"/>
                <w:szCs w:val="20"/>
              </w:rPr>
            </w:pPr>
            <w:r w:rsidRPr="007C7C38">
              <w:rPr>
                <w:rFonts w:cs="Arial"/>
                <w:sz w:val="20"/>
                <w:szCs w:val="20"/>
              </w:rPr>
              <w:t>60-69 (4.2%)</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101,562</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104,107</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106,668</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107,753</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109,432</w:t>
            </w:r>
          </w:p>
        </w:tc>
      </w:tr>
      <w:tr w:rsidR="003A5F64" w:rsidRPr="00C62396" w:rsidTr="003A5F64">
        <w:trPr>
          <w:trHeight w:val="255"/>
        </w:trPr>
        <w:tc>
          <w:tcPr>
            <w:tcW w:w="1781" w:type="pct"/>
            <w:shd w:val="clear" w:color="auto" w:fill="auto"/>
            <w:vAlign w:val="center"/>
          </w:tcPr>
          <w:p w:rsidR="003A5F64" w:rsidRPr="007C7C38" w:rsidRDefault="003A5F64" w:rsidP="007A3623">
            <w:pPr>
              <w:rPr>
                <w:rFonts w:cs="Arial"/>
                <w:sz w:val="20"/>
                <w:szCs w:val="20"/>
              </w:rPr>
            </w:pPr>
            <w:r w:rsidRPr="007C7C38">
              <w:rPr>
                <w:rFonts w:cs="Arial"/>
                <w:sz w:val="20"/>
                <w:szCs w:val="20"/>
              </w:rPr>
              <w:t>70-79 (10.9%)</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157,078</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164,005</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171,078</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181,684</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190,900</w:t>
            </w:r>
          </w:p>
        </w:tc>
      </w:tr>
      <w:tr w:rsidR="003A5F64" w:rsidRPr="00C62396" w:rsidTr="003A5F64">
        <w:trPr>
          <w:trHeight w:val="255"/>
        </w:trPr>
        <w:tc>
          <w:tcPr>
            <w:tcW w:w="1781" w:type="pct"/>
            <w:shd w:val="clear" w:color="auto" w:fill="auto"/>
            <w:vAlign w:val="center"/>
          </w:tcPr>
          <w:p w:rsidR="003A5F64" w:rsidRPr="007C7C38" w:rsidRDefault="003A5F64" w:rsidP="007A3623">
            <w:pPr>
              <w:rPr>
                <w:rFonts w:cs="Arial"/>
                <w:sz w:val="20"/>
                <w:szCs w:val="20"/>
              </w:rPr>
            </w:pPr>
            <w:r w:rsidRPr="007C7C38">
              <w:rPr>
                <w:rFonts w:cs="Arial"/>
                <w:sz w:val="20"/>
                <w:szCs w:val="20"/>
              </w:rPr>
              <w:t>≥80 (14.8%)</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137,150</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140,072</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143,613</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147,510</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151,501</w:t>
            </w:r>
          </w:p>
        </w:tc>
      </w:tr>
      <w:tr w:rsidR="003A5F64" w:rsidRPr="00C62396" w:rsidTr="003A5F64">
        <w:trPr>
          <w:trHeight w:val="255"/>
        </w:trPr>
        <w:tc>
          <w:tcPr>
            <w:tcW w:w="1781" w:type="pct"/>
            <w:shd w:val="clear" w:color="auto" w:fill="auto"/>
            <w:vAlign w:val="center"/>
          </w:tcPr>
          <w:p w:rsidR="003A5F64" w:rsidRPr="007C7C38" w:rsidRDefault="003A5F64" w:rsidP="007A3623">
            <w:pPr>
              <w:rPr>
                <w:rFonts w:cs="Arial"/>
                <w:sz w:val="20"/>
                <w:szCs w:val="20"/>
              </w:rPr>
            </w:pPr>
            <w:r w:rsidRPr="007C7C38">
              <w:rPr>
                <w:rFonts w:cs="Arial"/>
                <w:sz w:val="20"/>
                <w:szCs w:val="20"/>
              </w:rPr>
              <w:t>Total population with AF</w:t>
            </w:r>
          </w:p>
        </w:tc>
        <w:tc>
          <w:tcPr>
            <w:tcW w:w="644" w:type="pct"/>
            <w:shd w:val="clear" w:color="auto" w:fill="auto"/>
            <w:noWrap/>
            <w:vAlign w:val="bottom"/>
          </w:tcPr>
          <w:p w:rsidR="003A5F64" w:rsidRPr="007C7C38" w:rsidRDefault="003A5F64" w:rsidP="007A3623">
            <w:pPr>
              <w:jc w:val="right"/>
              <w:rPr>
                <w:rFonts w:cs="Arial"/>
                <w:sz w:val="20"/>
                <w:szCs w:val="20"/>
              </w:rPr>
            </w:pPr>
            <w:r w:rsidRPr="007C7C38">
              <w:rPr>
                <w:rFonts w:cs="Arial"/>
                <w:sz w:val="20"/>
                <w:szCs w:val="20"/>
              </w:rPr>
              <w:t>472,638</w:t>
            </w:r>
          </w:p>
        </w:tc>
        <w:tc>
          <w:tcPr>
            <w:tcW w:w="644" w:type="pct"/>
            <w:shd w:val="clear" w:color="auto" w:fill="auto"/>
            <w:noWrap/>
            <w:vAlign w:val="bottom"/>
          </w:tcPr>
          <w:p w:rsidR="003A5F64" w:rsidRPr="007C7C38" w:rsidRDefault="003A5F64" w:rsidP="007A3623">
            <w:pPr>
              <w:jc w:val="right"/>
              <w:rPr>
                <w:rFonts w:cs="Arial"/>
                <w:sz w:val="20"/>
                <w:szCs w:val="20"/>
              </w:rPr>
            </w:pPr>
            <w:r w:rsidRPr="007C7C38">
              <w:rPr>
                <w:rFonts w:cs="Arial"/>
                <w:sz w:val="20"/>
                <w:szCs w:val="20"/>
              </w:rPr>
              <w:t>485,675</w:t>
            </w:r>
          </w:p>
        </w:tc>
        <w:tc>
          <w:tcPr>
            <w:tcW w:w="644" w:type="pct"/>
            <w:shd w:val="clear" w:color="auto" w:fill="auto"/>
            <w:noWrap/>
            <w:vAlign w:val="bottom"/>
          </w:tcPr>
          <w:p w:rsidR="003A5F64" w:rsidRPr="007C7C38" w:rsidRDefault="003A5F64" w:rsidP="007A3623">
            <w:pPr>
              <w:jc w:val="right"/>
              <w:rPr>
                <w:rFonts w:cs="Arial"/>
                <w:sz w:val="20"/>
                <w:szCs w:val="20"/>
              </w:rPr>
            </w:pPr>
            <w:r w:rsidRPr="007C7C38">
              <w:rPr>
                <w:rFonts w:cs="Arial"/>
                <w:sz w:val="20"/>
                <w:szCs w:val="20"/>
              </w:rPr>
              <w:t>499,345</w:t>
            </w:r>
          </w:p>
        </w:tc>
        <w:tc>
          <w:tcPr>
            <w:tcW w:w="644" w:type="pct"/>
            <w:shd w:val="clear" w:color="auto" w:fill="auto"/>
            <w:noWrap/>
            <w:vAlign w:val="bottom"/>
          </w:tcPr>
          <w:p w:rsidR="003A5F64" w:rsidRPr="007C7C38" w:rsidRDefault="003A5F64" w:rsidP="007A3623">
            <w:pPr>
              <w:jc w:val="right"/>
              <w:rPr>
                <w:rFonts w:cs="Arial"/>
                <w:sz w:val="20"/>
                <w:szCs w:val="20"/>
              </w:rPr>
            </w:pPr>
            <w:r w:rsidRPr="007C7C38">
              <w:rPr>
                <w:rFonts w:cs="Arial"/>
                <w:sz w:val="20"/>
                <w:szCs w:val="20"/>
              </w:rPr>
              <w:t>515,411</w:t>
            </w:r>
          </w:p>
        </w:tc>
        <w:tc>
          <w:tcPr>
            <w:tcW w:w="644" w:type="pct"/>
            <w:shd w:val="clear" w:color="auto" w:fill="auto"/>
            <w:noWrap/>
            <w:vAlign w:val="bottom"/>
          </w:tcPr>
          <w:p w:rsidR="003A5F64" w:rsidRPr="007C7C38" w:rsidRDefault="003A5F64" w:rsidP="007A3623">
            <w:pPr>
              <w:jc w:val="right"/>
              <w:rPr>
                <w:rFonts w:cs="Arial"/>
                <w:sz w:val="20"/>
                <w:szCs w:val="20"/>
              </w:rPr>
            </w:pPr>
            <w:r w:rsidRPr="007C7C38">
              <w:rPr>
                <w:rFonts w:cs="Arial"/>
                <w:sz w:val="20"/>
                <w:szCs w:val="20"/>
              </w:rPr>
              <w:t>530,758</w:t>
            </w:r>
          </w:p>
        </w:tc>
      </w:tr>
      <w:tr w:rsidR="003A5F64" w:rsidRPr="00C62396" w:rsidTr="003A5F64">
        <w:trPr>
          <w:trHeight w:val="255"/>
        </w:trPr>
        <w:tc>
          <w:tcPr>
            <w:tcW w:w="1781" w:type="pct"/>
            <w:shd w:val="clear" w:color="auto" w:fill="auto"/>
            <w:vAlign w:val="center"/>
          </w:tcPr>
          <w:p w:rsidR="003A5F64" w:rsidRPr="007C7C38" w:rsidRDefault="003A5F64" w:rsidP="007A3623">
            <w:pPr>
              <w:rPr>
                <w:rFonts w:cs="Arial"/>
                <w:sz w:val="20"/>
                <w:szCs w:val="20"/>
              </w:rPr>
            </w:pPr>
            <w:r w:rsidRPr="007C7C38">
              <w:rPr>
                <w:rFonts w:cs="Arial"/>
                <w:sz w:val="20"/>
                <w:szCs w:val="20"/>
              </w:rPr>
              <w:t>Total population with NVAF (90.2%)</w:t>
            </w:r>
            <w:r w:rsidRPr="007C7C38">
              <w:rPr>
                <w:rFonts w:cs="Arial"/>
                <w:sz w:val="20"/>
                <w:szCs w:val="20"/>
                <w:vertAlign w:val="superscript"/>
              </w:rPr>
              <w:t>3</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426,320</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438,079</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450,410</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464,901</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478,743</w:t>
            </w:r>
          </w:p>
        </w:tc>
      </w:tr>
      <w:tr w:rsidR="003A5F64" w:rsidRPr="00C62396" w:rsidTr="007A3623">
        <w:trPr>
          <w:trHeight w:val="255"/>
        </w:trPr>
        <w:tc>
          <w:tcPr>
            <w:tcW w:w="5000" w:type="pct"/>
            <w:gridSpan w:val="6"/>
            <w:shd w:val="clear" w:color="auto" w:fill="auto"/>
            <w:vAlign w:val="center"/>
          </w:tcPr>
          <w:p w:rsidR="003A5F64" w:rsidRPr="007C7C38" w:rsidRDefault="003A5F64" w:rsidP="007A3623">
            <w:pPr>
              <w:rPr>
                <w:rFonts w:cs="Arial"/>
                <w:sz w:val="20"/>
                <w:szCs w:val="20"/>
              </w:rPr>
            </w:pPr>
            <w:r w:rsidRPr="007C7C38">
              <w:rPr>
                <w:rFonts w:cs="Arial"/>
                <w:sz w:val="20"/>
                <w:szCs w:val="20"/>
              </w:rPr>
              <w:t>Stroke risk distribution (prevalence in NVAF)</w:t>
            </w:r>
            <w:r w:rsidRPr="007C7C38">
              <w:rPr>
                <w:rFonts w:cs="Arial"/>
                <w:sz w:val="20"/>
                <w:szCs w:val="20"/>
                <w:vertAlign w:val="superscript"/>
              </w:rPr>
              <w:t>4</w:t>
            </w:r>
          </w:p>
        </w:tc>
      </w:tr>
      <w:tr w:rsidR="003A5F64" w:rsidRPr="00C62396" w:rsidTr="003A5F64">
        <w:trPr>
          <w:trHeight w:val="255"/>
        </w:trPr>
        <w:tc>
          <w:tcPr>
            <w:tcW w:w="1781" w:type="pct"/>
            <w:shd w:val="clear" w:color="auto" w:fill="auto"/>
            <w:vAlign w:val="center"/>
          </w:tcPr>
          <w:p w:rsidR="003A5F64" w:rsidRPr="007C7C38" w:rsidRDefault="003A5F64" w:rsidP="007A3623">
            <w:pPr>
              <w:rPr>
                <w:rFonts w:cs="Arial"/>
                <w:sz w:val="20"/>
                <w:szCs w:val="20"/>
              </w:rPr>
            </w:pPr>
            <w:r w:rsidRPr="007C7C38">
              <w:rPr>
                <w:rFonts w:cs="Arial"/>
                <w:sz w:val="20"/>
                <w:szCs w:val="20"/>
              </w:rPr>
              <w:t>Population with CHADS</w:t>
            </w:r>
            <w:r w:rsidRPr="007C7C38">
              <w:rPr>
                <w:rFonts w:cs="Arial"/>
                <w:sz w:val="20"/>
                <w:szCs w:val="20"/>
                <w:vertAlign w:val="subscript"/>
              </w:rPr>
              <w:t>2</w:t>
            </w:r>
            <w:r w:rsidRPr="007C7C38">
              <w:rPr>
                <w:rFonts w:cs="Arial"/>
                <w:sz w:val="20"/>
                <w:szCs w:val="20"/>
              </w:rPr>
              <w:t>=0 (12.9%)</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54,995</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56,512</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58,103</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59,972</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61,758</w:t>
            </w:r>
          </w:p>
        </w:tc>
      </w:tr>
      <w:tr w:rsidR="003A5F64" w:rsidRPr="00C62396" w:rsidTr="003A5F64">
        <w:trPr>
          <w:trHeight w:val="255"/>
        </w:trPr>
        <w:tc>
          <w:tcPr>
            <w:tcW w:w="1781" w:type="pct"/>
            <w:shd w:val="clear" w:color="auto" w:fill="auto"/>
            <w:vAlign w:val="bottom"/>
          </w:tcPr>
          <w:p w:rsidR="003A5F64" w:rsidRPr="007C7C38" w:rsidRDefault="003A5F64" w:rsidP="007A3623">
            <w:pPr>
              <w:rPr>
                <w:rFonts w:cs="Arial"/>
                <w:sz w:val="20"/>
                <w:szCs w:val="20"/>
              </w:rPr>
            </w:pPr>
            <w:r w:rsidRPr="007C7C38">
              <w:rPr>
                <w:rFonts w:cs="Arial"/>
                <w:sz w:val="20"/>
                <w:szCs w:val="20"/>
              </w:rPr>
              <w:t>Population with CHADS</w:t>
            </w:r>
            <w:r w:rsidRPr="007C7C38">
              <w:rPr>
                <w:rFonts w:cs="Arial"/>
                <w:sz w:val="20"/>
                <w:szCs w:val="20"/>
                <w:vertAlign w:val="subscript"/>
              </w:rPr>
              <w:t>2</w:t>
            </w:r>
            <w:r w:rsidRPr="007C7C38">
              <w:rPr>
                <w:rFonts w:cs="Arial"/>
                <w:sz w:val="20"/>
                <w:szCs w:val="20"/>
              </w:rPr>
              <w:t>=1 (30.3%)</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129,175</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132,738</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136,474</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140,865</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145,059</w:t>
            </w:r>
          </w:p>
        </w:tc>
      </w:tr>
      <w:tr w:rsidR="003A5F64" w:rsidRPr="00C62396" w:rsidTr="003A5F64">
        <w:trPr>
          <w:trHeight w:val="255"/>
        </w:trPr>
        <w:tc>
          <w:tcPr>
            <w:tcW w:w="1781" w:type="pct"/>
            <w:shd w:val="clear" w:color="auto" w:fill="auto"/>
            <w:vAlign w:val="bottom"/>
          </w:tcPr>
          <w:p w:rsidR="003A5F64" w:rsidRPr="007C7C38" w:rsidRDefault="003A5F64" w:rsidP="007A3623">
            <w:pPr>
              <w:rPr>
                <w:rFonts w:cs="Arial"/>
                <w:sz w:val="20"/>
                <w:szCs w:val="20"/>
              </w:rPr>
            </w:pPr>
            <w:r w:rsidRPr="007C7C38">
              <w:rPr>
                <w:rFonts w:cs="Arial"/>
                <w:sz w:val="20"/>
                <w:szCs w:val="20"/>
              </w:rPr>
              <w:t>Population with CHADS</w:t>
            </w:r>
            <w:r w:rsidRPr="007C7C38">
              <w:rPr>
                <w:rFonts w:cs="Arial"/>
                <w:sz w:val="20"/>
                <w:szCs w:val="20"/>
                <w:vertAlign w:val="subscript"/>
              </w:rPr>
              <w:t>2</w:t>
            </w:r>
            <w:r w:rsidRPr="007C7C38">
              <w:rPr>
                <w:rFonts w:cs="Arial"/>
                <w:sz w:val="20"/>
                <w:szCs w:val="20"/>
              </w:rPr>
              <w:t>≥2 (56.8%)</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242,150</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248,829</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255,833</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264,063</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271,926</w:t>
            </w:r>
          </w:p>
        </w:tc>
      </w:tr>
      <w:tr w:rsidR="003A5F64" w:rsidRPr="00C62396" w:rsidTr="003A5F64">
        <w:trPr>
          <w:trHeight w:val="255"/>
        </w:trPr>
        <w:tc>
          <w:tcPr>
            <w:tcW w:w="1781" w:type="pct"/>
            <w:shd w:val="clear" w:color="auto" w:fill="auto"/>
            <w:vAlign w:val="center"/>
          </w:tcPr>
          <w:p w:rsidR="003A5F64" w:rsidRPr="007C7C38" w:rsidRDefault="003A5F64" w:rsidP="007A3623">
            <w:pPr>
              <w:rPr>
                <w:rFonts w:cs="Arial"/>
                <w:sz w:val="20"/>
                <w:szCs w:val="20"/>
              </w:rPr>
            </w:pPr>
            <w:r w:rsidRPr="007C7C38">
              <w:rPr>
                <w:rFonts w:cs="Arial"/>
                <w:sz w:val="20"/>
                <w:szCs w:val="20"/>
              </w:rPr>
              <w:t xml:space="preserve">Total </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426,320</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438,079</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450,410</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464,901</w:t>
            </w:r>
          </w:p>
        </w:tc>
        <w:tc>
          <w:tcPr>
            <w:tcW w:w="644" w:type="pct"/>
            <w:shd w:val="clear" w:color="auto" w:fill="auto"/>
            <w:noWrap/>
          </w:tcPr>
          <w:p w:rsidR="003A5F64" w:rsidRPr="007C7C38" w:rsidRDefault="003A5F64" w:rsidP="007A3623">
            <w:pPr>
              <w:jc w:val="right"/>
              <w:rPr>
                <w:rFonts w:cs="Arial"/>
                <w:sz w:val="20"/>
                <w:szCs w:val="20"/>
              </w:rPr>
            </w:pPr>
            <w:r w:rsidRPr="007C7C38">
              <w:rPr>
                <w:rFonts w:cs="Arial"/>
                <w:sz w:val="20"/>
                <w:szCs w:val="20"/>
              </w:rPr>
              <w:t>478,743</w:t>
            </w:r>
          </w:p>
        </w:tc>
      </w:tr>
      <w:tr w:rsidR="003A5F64" w:rsidRPr="002D0B7A" w:rsidTr="003A5F64">
        <w:trPr>
          <w:trHeight w:val="255"/>
        </w:trPr>
        <w:tc>
          <w:tcPr>
            <w:tcW w:w="1781" w:type="pct"/>
            <w:shd w:val="clear" w:color="auto" w:fill="auto"/>
            <w:vAlign w:val="center"/>
          </w:tcPr>
          <w:p w:rsidR="003A5F64" w:rsidRPr="007C7C38" w:rsidRDefault="003A5F64" w:rsidP="007A3623">
            <w:pPr>
              <w:rPr>
                <w:rFonts w:cs="Arial"/>
                <w:b/>
                <w:sz w:val="20"/>
                <w:szCs w:val="20"/>
              </w:rPr>
            </w:pPr>
            <w:r w:rsidRPr="007C7C38">
              <w:rPr>
                <w:rFonts w:cs="Arial"/>
                <w:b/>
                <w:sz w:val="20"/>
                <w:szCs w:val="20"/>
              </w:rPr>
              <w:t>Eligible patients (CHADS</w:t>
            </w:r>
            <w:r w:rsidRPr="007C7C38">
              <w:rPr>
                <w:rFonts w:cs="Arial"/>
                <w:b/>
                <w:sz w:val="20"/>
                <w:szCs w:val="20"/>
                <w:vertAlign w:val="subscript"/>
              </w:rPr>
              <w:t>2</w:t>
            </w:r>
            <w:r w:rsidRPr="007C7C38">
              <w:rPr>
                <w:rFonts w:cs="Arial"/>
                <w:b/>
                <w:sz w:val="20"/>
                <w:szCs w:val="20"/>
              </w:rPr>
              <w:t xml:space="preserve"> ≥1)</w:t>
            </w:r>
          </w:p>
        </w:tc>
        <w:tc>
          <w:tcPr>
            <w:tcW w:w="644" w:type="pct"/>
            <w:shd w:val="clear" w:color="auto" w:fill="auto"/>
            <w:noWrap/>
          </w:tcPr>
          <w:p w:rsidR="003A5F64" w:rsidRPr="007C7C38" w:rsidRDefault="003A5F64" w:rsidP="007A3623">
            <w:pPr>
              <w:jc w:val="right"/>
              <w:rPr>
                <w:rFonts w:cs="Arial"/>
                <w:b/>
                <w:sz w:val="20"/>
                <w:szCs w:val="20"/>
              </w:rPr>
            </w:pPr>
            <w:r w:rsidRPr="007C7C38">
              <w:rPr>
                <w:rFonts w:cs="Arial"/>
                <w:b/>
                <w:sz w:val="20"/>
                <w:szCs w:val="20"/>
              </w:rPr>
              <w:t>371,324</w:t>
            </w:r>
          </w:p>
        </w:tc>
        <w:tc>
          <w:tcPr>
            <w:tcW w:w="644" w:type="pct"/>
            <w:shd w:val="clear" w:color="auto" w:fill="auto"/>
            <w:noWrap/>
          </w:tcPr>
          <w:p w:rsidR="003A5F64" w:rsidRPr="007C7C38" w:rsidRDefault="003A5F64" w:rsidP="007A3623">
            <w:pPr>
              <w:jc w:val="right"/>
              <w:rPr>
                <w:rFonts w:cs="Arial"/>
                <w:b/>
                <w:sz w:val="20"/>
                <w:szCs w:val="20"/>
              </w:rPr>
            </w:pPr>
            <w:r w:rsidRPr="007C7C38">
              <w:rPr>
                <w:rFonts w:cs="Arial"/>
                <w:b/>
                <w:sz w:val="20"/>
                <w:szCs w:val="20"/>
              </w:rPr>
              <w:t>381,567</w:t>
            </w:r>
          </w:p>
        </w:tc>
        <w:tc>
          <w:tcPr>
            <w:tcW w:w="644" w:type="pct"/>
            <w:shd w:val="clear" w:color="auto" w:fill="auto"/>
            <w:noWrap/>
          </w:tcPr>
          <w:p w:rsidR="003A5F64" w:rsidRPr="007C7C38" w:rsidRDefault="003A5F64" w:rsidP="007A3623">
            <w:pPr>
              <w:jc w:val="right"/>
              <w:rPr>
                <w:rFonts w:cs="Arial"/>
                <w:b/>
                <w:sz w:val="20"/>
                <w:szCs w:val="20"/>
              </w:rPr>
            </w:pPr>
            <w:r w:rsidRPr="007C7C38">
              <w:rPr>
                <w:rFonts w:cs="Arial"/>
                <w:b/>
                <w:sz w:val="20"/>
                <w:szCs w:val="20"/>
              </w:rPr>
              <w:t>392,307</w:t>
            </w:r>
          </w:p>
        </w:tc>
        <w:tc>
          <w:tcPr>
            <w:tcW w:w="644" w:type="pct"/>
            <w:shd w:val="clear" w:color="auto" w:fill="auto"/>
            <w:noWrap/>
          </w:tcPr>
          <w:p w:rsidR="003A5F64" w:rsidRPr="007C7C38" w:rsidRDefault="003A5F64" w:rsidP="007A3623">
            <w:pPr>
              <w:jc w:val="right"/>
              <w:rPr>
                <w:rFonts w:cs="Arial"/>
                <w:b/>
                <w:sz w:val="20"/>
                <w:szCs w:val="20"/>
              </w:rPr>
            </w:pPr>
            <w:r w:rsidRPr="007C7C38">
              <w:rPr>
                <w:rFonts w:cs="Arial"/>
                <w:b/>
                <w:sz w:val="20"/>
                <w:szCs w:val="20"/>
              </w:rPr>
              <w:t>404,928</w:t>
            </w:r>
          </w:p>
        </w:tc>
        <w:tc>
          <w:tcPr>
            <w:tcW w:w="644" w:type="pct"/>
            <w:shd w:val="clear" w:color="auto" w:fill="auto"/>
            <w:noWrap/>
          </w:tcPr>
          <w:p w:rsidR="003A5F64" w:rsidRPr="007C7C38" w:rsidRDefault="003A5F64" w:rsidP="007A3623">
            <w:pPr>
              <w:jc w:val="right"/>
              <w:rPr>
                <w:rFonts w:cs="Arial"/>
                <w:b/>
                <w:sz w:val="20"/>
                <w:szCs w:val="20"/>
              </w:rPr>
            </w:pPr>
            <w:r w:rsidRPr="007C7C38">
              <w:rPr>
                <w:rFonts w:cs="Arial"/>
                <w:b/>
                <w:sz w:val="20"/>
                <w:szCs w:val="20"/>
              </w:rPr>
              <w:t>416,985</w:t>
            </w:r>
          </w:p>
        </w:tc>
      </w:tr>
      <w:tr w:rsidR="003A5F64" w:rsidRPr="002D0B7A" w:rsidTr="003A5F64">
        <w:trPr>
          <w:trHeight w:val="255"/>
        </w:trPr>
        <w:tc>
          <w:tcPr>
            <w:tcW w:w="1781" w:type="pct"/>
            <w:shd w:val="clear" w:color="auto" w:fill="auto"/>
            <w:vAlign w:val="center"/>
          </w:tcPr>
          <w:p w:rsidR="003A5F64" w:rsidRPr="007C7C38" w:rsidRDefault="003A5F64" w:rsidP="007A3623">
            <w:pPr>
              <w:rPr>
                <w:rFonts w:cs="Arial"/>
                <w:b/>
                <w:sz w:val="20"/>
                <w:szCs w:val="20"/>
              </w:rPr>
            </w:pPr>
            <w:r w:rsidRPr="007C7C38">
              <w:rPr>
                <w:rFonts w:cs="Arial"/>
                <w:b/>
                <w:sz w:val="20"/>
                <w:szCs w:val="20"/>
              </w:rPr>
              <w:t>Eligible patients (CHADS</w:t>
            </w:r>
            <w:r w:rsidRPr="007C7C38">
              <w:rPr>
                <w:rFonts w:cs="Arial"/>
                <w:b/>
                <w:sz w:val="20"/>
                <w:szCs w:val="20"/>
                <w:vertAlign w:val="subscript"/>
              </w:rPr>
              <w:t>2</w:t>
            </w:r>
            <w:r w:rsidRPr="007C7C38">
              <w:rPr>
                <w:rFonts w:cs="Arial"/>
                <w:b/>
                <w:sz w:val="20"/>
                <w:szCs w:val="20"/>
              </w:rPr>
              <w:t xml:space="preserve"> ≥2)</w:t>
            </w:r>
          </w:p>
        </w:tc>
        <w:tc>
          <w:tcPr>
            <w:tcW w:w="644" w:type="pct"/>
            <w:shd w:val="clear" w:color="auto" w:fill="auto"/>
            <w:noWrap/>
          </w:tcPr>
          <w:p w:rsidR="003A5F64" w:rsidRPr="007C7C38" w:rsidRDefault="003A5F64" w:rsidP="007A3623">
            <w:pPr>
              <w:jc w:val="right"/>
              <w:rPr>
                <w:rFonts w:cs="Arial"/>
                <w:b/>
                <w:sz w:val="20"/>
                <w:szCs w:val="20"/>
              </w:rPr>
            </w:pPr>
            <w:r w:rsidRPr="007C7C38">
              <w:rPr>
                <w:rFonts w:cs="Arial"/>
                <w:b/>
                <w:sz w:val="20"/>
                <w:szCs w:val="20"/>
              </w:rPr>
              <w:t>242,150</w:t>
            </w:r>
          </w:p>
        </w:tc>
        <w:tc>
          <w:tcPr>
            <w:tcW w:w="644" w:type="pct"/>
            <w:shd w:val="clear" w:color="auto" w:fill="auto"/>
            <w:noWrap/>
          </w:tcPr>
          <w:p w:rsidR="003A5F64" w:rsidRPr="007C7C38" w:rsidRDefault="003A5F64" w:rsidP="007A3623">
            <w:pPr>
              <w:jc w:val="right"/>
              <w:rPr>
                <w:rFonts w:cs="Arial"/>
                <w:b/>
                <w:sz w:val="20"/>
                <w:szCs w:val="20"/>
              </w:rPr>
            </w:pPr>
            <w:r w:rsidRPr="007C7C38">
              <w:rPr>
                <w:rFonts w:cs="Arial"/>
                <w:b/>
                <w:sz w:val="20"/>
                <w:szCs w:val="20"/>
              </w:rPr>
              <w:t>248,829</w:t>
            </w:r>
          </w:p>
        </w:tc>
        <w:tc>
          <w:tcPr>
            <w:tcW w:w="644" w:type="pct"/>
            <w:shd w:val="clear" w:color="auto" w:fill="auto"/>
            <w:noWrap/>
          </w:tcPr>
          <w:p w:rsidR="003A5F64" w:rsidRPr="007C7C38" w:rsidRDefault="003A5F64" w:rsidP="007A3623">
            <w:pPr>
              <w:jc w:val="right"/>
              <w:rPr>
                <w:rFonts w:cs="Arial"/>
                <w:b/>
                <w:sz w:val="20"/>
                <w:szCs w:val="20"/>
              </w:rPr>
            </w:pPr>
            <w:r w:rsidRPr="007C7C38">
              <w:rPr>
                <w:rFonts w:cs="Arial"/>
                <w:b/>
                <w:sz w:val="20"/>
                <w:szCs w:val="20"/>
              </w:rPr>
              <w:t>255,833</w:t>
            </w:r>
          </w:p>
        </w:tc>
        <w:tc>
          <w:tcPr>
            <w:tcW w:w="644" w:type="pct"/>
            <w:shd w:val="clear" w:color="auto" w:fill="auto"/>
            <w:noWrap/>
          </w:tcPr>
          <w:p w:rsidR="003A5F64" w:rsidRPr="007C7C38" w:rsidRDefault="003A5F64" w:rsidP="007A3623">
            <w:pPr>
              <w:jc w:val="right"/>
              <w:rPr>
                <w:rFonts w:cs="Arial"/>
                <w:b/>
                <w:sz w:val="20"/>
                <w:szCs w:val="20"/>
              </w:rPr>
            </w:pPr>
            <w:r w:rsidRPr="007C7C38">
              <w:rPr>
                <w:rFonts w:cs="Arial"/>
                <w:b/>
                <w:sz w:val="20"/>
                <w:szCs w:val="20"/>
              </w:rPr>
              <w:t>264,063</w:t>
            </w:r>
          </w:p>
        </w:tc>
        <w:tc>
          <w:tcPr>
            <w:tcW w:w="644" w:type="pct"/>
            <w:shd w:val="clear" w:color="auto" w:fill="auto"/>
            <w:noWrap/>
          </w:tcPr>
          <w:p w:rsidR="003A5F64" w:rsidRPr="007C7C38" w:rsidRDefault="003A5F64" w:rsidP="007A3623">
            <w:pPr>
              <w:jc w:val="right"/>
              <w:rPr>
                <w:rFonts w:cs="Arial"/>
                <w:b/>
                <w:sz w:val="20"/>
                <w:szCs w:val="20"/>
              </w:rPr>
            </w:pPr>
            <w:r w:rsidRPr="007C7C38">
              <w:rPr>
                <w:rFonts w:cs="Arial"/>
                <w:b/>
                <w:sz w:val="20"/>
                <w:szCs w:val="20"/>
              </w:rPr>
              <w:t>271,926</w:t>
            </w:r>
          </w:p>
        </w:tc>
      </w:tr>
      <w:tr w:rsidR="003A5F64" w:rsidRPr="00C62396" w:rsidTr="003A5F64">
        <w:trPr>
          <w:trHeight w:val="255"/>
        </w:trPr>
        <w:tc>
          <w:tcPr>
            <w:tcW w:w="1781" w:type="pct"/>
            <w:shd w:val="clear" w:color="auto" w:fill="auto"/>
            <w:vAlign w:val="bottom"/>
          </w:tcPr>
          <w:p w:rsidR="003A5F64" w:rsidRPr="007C7C38" w:rsidRDefault="003A5F64" w:rsidP="007A3623">
            <w:pPr>
              <w:rPr>
                <w:rFonts w:cs="Arial"/>
                <w:sz w:val="20"/>
                <w:szCs w:val="20"/>
              </w:rPr>
            </w:pPr>
            <w:r w:rsidRPr="007C7C38">
              <w:rPr>
                <w:rFonts w:cs="Arial"/>
                <w:sz w:val="20"/>
                <w:szCs w:val="20"/>
              </w:rPr>
              <w:t>Uptake rates</w:t>
            </w:r>
            <w:r w:rsidRPr="007C7C38">
              <w:rPr>
                <w:rFonts w:cs="Arial"/>
                <w:sz w:val="20"/>
                <w:szCs w:val="20"/>
                <w:vertAlign w:val="superscript"/>
              </w:rPr>
              <w:t>5</w:t>
            </w:r>
          </w:p>
        </w:tc>
        <w:tc>
          <w:tcPr>
            <w:tcW w:w="644" w:type="pct"/>
            <w:shd w:val="clear" w:color="auto" w:fill="auto"/>
            <w:noWrap/>
            <w:vAlign w:val="bottom"/>
          </w:tcPr>
          <w:p w:rsidR="003A5F64" w:rsidRPr="007C7C38" w:rsidRDefault="003A5F64" w:rsidP="007A3623">
            <w:pPr>
              <w:jc w:val="right"/>
              <w:rPr>
                <w:rFonts w:cs="Arial"/>
                <w:sz w:val="20"/>
                <w:szCs w:val="20"/>
              </w:rPr>
            </w:pPr>
            <w:r w:rsidRPr="007C7C38">
              <w:rPr>
                <w:rFonts w:cs="Arial"/>
                <w:sz w:val="20"/>
                <w:szCs w:val="20"/>
              </w:rPr>
              <w:t>35%</w:t>
            </w:r>
          </w:p>
        </w:tc>
        <w:tc>
          <w:tcPr>
            <w:tcW w:w="644" w:type="pct"/>
            <w:shd w:val="clear" w:color="auto" w:fill="auto"/>
            <w:noWrap/>
            <w:vAlign w:val="bottom"/>
          </w:tcPr>
          <w:p w:rsidR="003A5F64" w:rsidRPr="007C7C38" w:rsidRDefault="003A5F64" w:rsidP="007A3623">
            <w:pPr>
              <w:jc w:val="right"/>
              <w:rPr>
                <w:rFonts w:cs="Arial"/>
                <w:sz w:val="20"/>
                <w:szCs w:val="20"/>
              </w:rPr>
            </w:pPr>
            <w:r w:rsidRPr="007C7C38">
              <w:rPr>
                <w:rFonts w:cs="Arial"/>
                <w:sz w:val="20"/>
                <w:szCs w:val="20"/>
              </w:rPr>
              <w:t>45%</w:t>
            </w:r>
          </w:p>
        </w:tc>
        <w:tc>
          <w:tcPr>
            <w:tcW w:w="644" w:type="pct"/>
            <w:shd w:val="clear" w:color="auto" w:fill="auto"/>
            <w:noWrap/>
            <w:vAlign w:val="bottom"/>
          </w:tcPr>
          <w:p w:rsidR="003A5F64" w:rsidRPr="007C7C38" w:rsidRDefault="003A5F64" w:rsidP="007A3623">
            <w:pPr>
              <w:jc w:val="right"/>
              <w:rPr>
                <w:rFonts w:cs="Arial"/>
                <w:sz w:val="20"/>
                <w:szCs w:val="20"/>
              </w:rPr>
            </w:pPr>
            <w:r w:rsidRPr="007C7C38">
              <w:rPr>
                <w:rFonts w:cs="Arial"/>
                <w:sz w:val="20"/>
                <w:szCs w:val="20"/>
              </w:rPr>
              <w:t>55%</w:t>
            </w:r>
          </w:p>
        </w:tc>
        <w:tc>
          <w:tcPr>
            <w:tcW w:w="644" w:type="pct"/>
            <w:shd w:val="clear" w:color="auto" w:fill="auto"/>
            <w:noWrap/>
            <w:vAlign w:val="bottom"/>
          </w:tcPr>
          <w:p w:rsidR="003A5F64" w:rsidRPr="007C7C38" w:rsidRDefault="003A5F64" w:rsidP="007A3623">
            <w:pPr>
              <w:jc w:val="right"/>
              <w:rPr>
                <w:rFonts w:cs="Arial"/>
                <w:sz w:val="20"/>
                <w:szCs w:val="20"/>
              </w:rPr>
            </w:pPr>
            <w:r w:rsidRPr="007C7C38">
              <w:rPr>
                <w:rFonts w:cs="Arial"/>
                <w:sz w:val="20"/>
                <w:szCs w:val="20"/>
              </w:rPr>
              <w:t>65%</w:t>
            </w:r>
          </w:p>
        </w:tc>
        <w:tc>
          <w:tcPr>
            <w:tcW w:w="644" w:type="pct"/>
            <w:shd w:val="clear" w:color="auto" w:fill="auto"/>
            <w:noWrap/>
            <w:vAlign w:val="bottom"/>
          </w:tcPr>
          <w:p w:rsidR="003A5F64" w:rsidRPr="007C7C38" w:rsidRDefault="003A5F64" w:rsidP="007A3623">
            <w:pPr>
              <w:jc w:val="right"/>
              <w:rPr>
                <w:rFonts w:cs="Arial"/>
                <w:sz w:val="20"/>
                <w:szCs w:val="20"/>
              </w:rPr>
            </w:pPr>
            <w:r w:rsidRPr="007C7C38">
              <w:rPr>
                <w:rFonts w:cs="Arial"/>
                <w:sz w:val="20"/>
                <w:szCs w:val="20"/>
              </w:rPr>
              <w:t>75%</w:t>
            </w:r>
          </w:p>
        </w:tc>
      </w:tr>
      <w:tr w:rsidR="003A5F64" w:rsidRPr="00C62396" w:rsidTr="007A3623">
        <w:trPr>
          <w:trHeight w:val="255"/>
        </w:trPr>
        <w:tc>
          <w:tcPr>
            <w:tcW w:w="5000" w:type="pct"/>
            <w:gridSpan w:val="6"/>
            <w:shd w:val="clear" w:color="auto" w:fill="auto"/>
            <w:vAlign w:val="bottom"/>
          </w:tcPr>
          <w:p w:rsidR="003A5F64" w:rsidRPr="007C7C38" w:rsidRDefault="003A5F64" w:rsidP="007A3623">
            <w:pPr>
              <w:rPr>
                <w:rFonts w:cs="Arial"/>
                <w:sz w:val="20"/>
                <w:szCs w:val="20"/>
              </w:rPr>
            </w:pPr>
            <w:r w:rsidRPr="007C7C38">
              <w:rPr>
                <w:rFonts w:cs="Arial"/>
                <w:bCs/>
                <w:sz w:val="20"/>
                <w:szCs w:val="20"/>
              </w:rPr>
              <w:t>Patients treated with NOAC</w:t>
            </w:r>
          </w:p>
        </w:tc>
      </w:tr>
      <w:tr w:rsidR="003A5F64" w:rsidRPr="00C62396" w:rsidTr="003A5F64">
        <w:trPr>
          <w:trHeight w:val="255"/>
        </w:trPr>
        <w:tc>
          <w:tcPr>
            <w:tcW w:w="1781" w:type="pct"/>
            <w:shd w:val="clear" w:color="auto" w:fill="auto"/>
            <w:vAlign w:val="bottom"/>
          </w:tcPr>
          <w:p w:rsidR="003A5F64" w:rsidRPr="007C7C38" w:rsidRDefault="003A5F64" w:rsidP="007A3623">
            <w:pPr>
              <w:rPr>
                <w:rFonts w:cs="Arial"/>
                <w:b/>
                <w:sz w:val="20"/>
                <w:szCs w:val="20"/>
              </w:rPr>
            </w:pPr>
            <w:r w:rsidRPr="007C7C38">
              <w:rPr>
                <w:rFonts w:cs="Arial"/>
                <w:b/>
                <w:sz w:val="20"/>
                <w:szCs w:val="20"/>
              </w:rPr>
              <w:t>Patients treated CHADS</w:t>
            </w:r>
            <w:r w:rsidRPr="007C7C38">
              <w:rPr>
                <w:rFonts w:cs="Arial"/>
                <w:b/>
                <w:sz w:val="20"/>
                <w:szCs w:val="20"/>
                <w:vertAlign w:val="subscript"/>
              </w:rPr>
              <w:t>2</w:t>
            </w:r>
            <w:r w:rsidRPr="007C7C38">
              <w:rPr>
                <w:rFonts w:cs="Arial"/>
                <w:b/>
                <w:sz w:val="20"/>
                <w:szCs w:val="20"/>
              </w:rPr>
              <w:t xml:space="preserve"> ≥1</w:t>
            </w:r>
          </w:p>
        </w:tc>
        <w:tc>
          <w:tcPr>
            <w:tcW w:w="644" w:type="pct"/>
            <w:shd w:val="clear" w:color="auto" w:fill="auto"/>
            <w:noWrap/>
            <w:vAlign w:val="center"/>
          </w:tcPr>
          <w:p w:rsidR="003A5F64" w:rsidRPr="007C7C38" w:rsidRDefault="003A5F64" w:rsidP="007A3623">
            <w:pPr>
              <w:jc w:val="right"/>
              <w:rPr>
                <w:rFonts w:cs="Arial"/>
                <w:b/>
                <w:sz w:val="20"/>
                <w:szCs w:val="20"/>
              </w:rPr>
            </w:pPr>
            <w:r w:rsidRPr="007C7C38">
              <w:rPr>
                <w:rFonts w:cs="Arial"/>
                <w:b/>
                <w:sz w:val="20"/>
                <w:szCs w:val="20"/>
              </w:rPr>
              <w:t>129,964</w:t>
            </w:r>
          </w:p>
        </w:tc>
        <w:tc>
          <w:tcPr>
            <w:tcW w:w="644" w:type="pct"/>
            <w:shd w:val="clear" w:color="auto" w:fill="auto"/>
            <w:noWrap/>
            <w:vAlign w:val="center"/>
          </w:tcPr>
          <w:p w:rsidR="003A5F64" w:rsidRPr="007C7C38" w:rsidRDefault="003A5F64" w:rsidP="007A3623">
            <w:pPr>
              <w:jc w:val="right"/>
              <w:rPr>
                <w:rFonts w:cs="Arial"/>
                <w:b/>
                <w:sz w:val="20"/>
                <w:szCs w:val="20"/>
              </w:rPr>
            </w:pPr>
            <w:r w:rsidRPr="007C7C38">
              <w:rPr>
                <w:rFonts w:cs="Arial"/>
                <w:b/>
                <w:sz w:val="20"/>
                <w:szCs w:val="20"/>
              </w:rPr>
              <w:t>171,705</w:t>
            </w:r>
          </w:p>
        </w:tc>
        <w:tc>
          <w:tcPr>
            <w:tcW w:w="644" w:type="pct"/>
            <w:shd w:val="clear" w:color="auto" w:fill="auto"/>
            <w:noWrap/>
            <w:vAlign w:val="center"/>
          </w:tcPr>
          <w:p w:rsidR="003A5F64" w:rsidRPr="007C7C38" w:rsidRDefault="003A5F64" w:rsidP="007A3623">
            <w:pPr>
              <w:jc w:val="right"/>
              <w:rPr>
                <w:rFonts w:cs="Arial"/>
                <w:b/>
                <w:sz w:val="20"/>
                <w:szCs w:val="20"/>
              </w:rPr>
            </w:pPr>
            <w:r w:rsidRPr="007C7C38">
              <w:rPr>
                <w:rFonts w:cs="Arial"/>
                <w:b/>
                <w:sz w:val="20"/>
                <w:szCs w:val="20"/>
              </w:rPr>
              <w:t>215,769</w:t>
            </w:r>
          </w:p>
        </w:tc>
        <w:tc>
          <w:tcPr>
            <w:tcW w:w="644" w:type="pct"/>
            <w:shd w:val="clear" w:color="auto" w:fill="auto"/>
            <w:noWrap/>
            <w:vAlign w:val="center"/>
          </w:tcPr>
          <w:p w:rsidR="003A5F64" w:rsidRPr="007C7C38" w:rsidRDefault="003A5F64" w:rsidP="007A3623">
            <w:pPr>
              <w:jc w:val="right"/>
              <w:rPr>
                <w:rFonts w:cs="Arial"/>
                <w:b/>
                <w:sz w:val="20"/>
                <w:szCs w:val="20"/>
              </w:rPr>
            </w:pPr>
            <w:r w:rsidRPr="007C7C38">
              <w:rPr>
                <w:rFonts w:cs="Arial"/>
                <w:b/>
                <w:sz w:val="20"/>
                <w:szCs w:val="20"/>
              </w:rPr>
              <w:t>263,203</w:t>
            </w:r>
          </w:p>
        </w:tc>
        <w:tc>
          <w:tcPr>
            <w:tcW w:w="644" w:type="pct"/>
            <w:shd w:val="clear" w:color="auto" w:fill="auto"/>
            <w:noWrap/>
            <w:vAlign w:val="center"/>
          </w:tcPr>
          <w:p w:rsidR="003A5F64" w:rsidRPr="007C7C38" w:rsidRDefault="003A5F64" w:rsidP="007A3623">
            <w:pPr>
              <w:jc w:val="right"/>
              <w:rPr>
                <w:rFonts w:cs="Arial"/>
                <w:b/>
                <w:sz w:val="20"/>
                <w:szCs w:val="20"/>
              </w:rPr>
            </w:pPr>
            <w:r w:rsidRPr="007C7C38">
              <w:rPr>
                <w:rFonts w:cs="Arial"/>
                <w:b/>
                <w:sz w:val="20"/>
                <w:szCs w:val="20"/>
              </w:rPr>
              <w:t>312,739</w:t>
            </w:r>
          </w:p>
        </w:tc>
      </w:tr>
      <w:tr w:rsidR="003A5F64" w:rsidRPr="00C62396" w:rsidTr="003A5F64">
        <w:trPr>
          <w:trHeight w:val="255"/>
        </w:trPr>
        <w:tc>
          <w:tcPr>
            <w:tcW w:w="1781" w:type="pct"/>
            <w:shd w:val="clear" w:color="auto" w:fill="auto"/>
            <w:vAlign w:val="bottom"/>
          </w:tcPr>
          <w:p w:rsidR="003A5F64" w:rsidRPr="007C7C38" w:rsidRDefault="003A5F64" w:rsidP="007A3623">
            <w:pPr>
              <w:rPr>
                <w:rFonts w:cs="Arial"/>
                <w:b/>
                <w:sz w:val="20"/>
                <w:szCs w:val="20"/>
              </w:rPr>
            </w:pPr>
            <w:r w:rsidRPr="007C7C38">
              <w:rPr>
                <w:rFonts w:cs="Arial"/>
                <w:b/>
                <w:sz w:val="20"/>
                <w:szCs w:val="20"/>
              </w:rPr>
              <w:t>Patients treated CHADS</w:t>
            </w:r>
            <w:r w:rsidRPr="007C7C38">
              <w:rPr>
                <w:rFonts w:cs="Arial"/>
                <w:b/>
                <w:sz w:val="20"/>
                <w:szCs w:val="20"/>
                <w:vertAlign w:val="subscript"/>
              </w:rPr>
              <w:t xml:space="preserve">2 </w:t>
            </w:r>
            <w:r w:rsidRPr="007C7C38">
              <w:rPr>
                <w:rFonts w:cs="Arial"/>
                <w:b/>
                <w:sz w:val="20"/>
                <w:szCs w:val="20"/>
              </w:rPr>
              <w:t>≥2</w:t>
            </w:r>
          </w:p>
        </w:tc>
        <w:tc>
          <w:tcPr>
            <w:tcW w:w="644" w:type="pct"/>
            <w:shd w:val="clear" w:color="auto" w:fill="auto"/>
            <w:noWrap/>
            <w:vAlign w:val="center"/>
          </w:tcPr>
          <w:p w:rsidR="003A5F64" w:rsidRPr="007C7C38" w:rsidRDefault="003A5F64" w:rsidP="007A3623">
            <w:pPr>
              <w:jc w:val="right"/>
              <w:rPr>
                <w:rFonts w:cs="Arial"/>
                <w:b/>
                <w:sz w:val="20"/>
                <w:szCs w:val="20"/>
              </w:rPr>
            </w:pPr>
            <w:r w:rsidRPr="007C7C38">
              <w:rPr>
                <w:rFonts w:cs="Arial"/>
                <w:b/>
                <w:sz w:val="20"/>
                <w:szCs w:val="20"/>
              </w:rPr>
              <w:t>84,752</w:t>
            </w:r>
          </w:p>
        </w:tc>
        <w:tc>
          <w:tcPr>
            <w:tcW w:w="644" w:type="pct"/>
            <w:shd w:val="clear" w:color="auto" w:fill="auto"/>
            <w:noWrap/>
            <w:vAlign w:val="center"/>
          </w:tcPr>
          <w:p w:rsidR="003A5F64" w:rsidRPr="007C7C38" w:rsidRDefault="003A5F64" w:rsidP="007A3623">
            <w:pPr>
              <w:jc w:val="right"/>
              <w:rPr>
                <w:rFonts w:cs="Arial"/>
                <w:b/>
                <w:sz w:val="20"/>
                <w:szCs w:val="20"/>
              </w:rPr>
            </w:pPr>
            <w:r w:rsidRPr="007C7C38">
              <w:rPr>
                <w:rFonts w:cs="Arial"/>
                <w:b/>
                <w:sz w:val="20"/>
                <w:szCs w:val="20"/>
              </w:rPr>
              <w:t>111,973</w:t>
            </w:r>
          </w:p>
        </w:tc>
        <w:tc>
          <w:tcPr>
            <w:tcW w:w="644" w:type="pct"/>
            <w:shd w:val="clear" w:color="auto" w:fill="auto"/>
            <w:noWrap/>
            <w:vAlign w:val="center"/>
          </w:tcPr>
          <w:p w:rsidR="003A5F64" w:rsidRPr="007C7C38" w:rsidRDefault="003A5F64" w:rsidP="007A3623">
            <w:pPr>
              <w:jc w:val="right"/>
              <w:rPr>
                <w:rFonts w:cs="Arial"/>
                <w:b/>
                <w:sz w:val="20"/>
                <w:szCs w:val="20"/>
              </w:rPr>
            </w:pPr>
            <w:r w:rsidRPr="007C7C38">
              <w:rPr>
                <w:rFonts w:cs="Arial"/>
                <w:b/>
                <w:sz w:val="20"/>
                <w:szCs w:val="20"/>
              </w:rPr>
              <w:t>140,708</w:t>
            </w:r>
          </w:p>
        </w:tc>
        <w:tc>
          <w:tcPr>
            <w:tcW w:w="644" w:type="pct"/>
            <w:shd w:val="clear" w:color="auto" w:fill="auto"/>
            <w:noWrap/>
            <w:vAlign w:val="center"/>
          </w:tcPr>
          <w:p w:rsidR="003A5F64" w:rsidRPr="007C7C38" w:rsidRDefault="003A5F64" w:rsidP="007A3623">
            <w:pPr>
              <w:jc w:val="right"/>
              <w:rPr>
                <w:rFonts w:cs="Arial"/>
                <w:b/>
                <w:sz w:val="20"/>
                <w:szCs w:val="20"/>
              </w:rPr>
            </w:pPr>
            <w:r w:rsidRPr="007C7C38">
              <w:rPr>
                <w:rFonts w:cs="Arial"/>
                <w:b/>
                <w:sz w:val="20"/>
                <w:szCs w:val="20"/>
              </w:rPr>
              <w:t>171,641</w:t>
            </w:r>
          </w:p>
        </w:tc>
        <w:tc>
          <w:tcPr>
            <w:tcW w:w="644" w:type="pct"/>
            <w:shd w:val="clear" w:color="auto" w:fill="auto"/>
            <w:noWrap/>
            <w:vAlign w:val="center"/>
          </w:tcPr>
          <w:p w:rsidR="003A5F64" w:rsidRPr="007C7C38" w:rsidRDefault="003A5F64" w:rsidP="007A3623">
            <w:pPr>
              <w:jc w:val="right"/>
              <w:rPr>
                <w:rFonts w:cs="Arial"/>
                <w:b/>
                <w:sz w:val="20"/>
                <w:szCs w:val="20"/>
              </w:rPr>
            </w:pPr>
            <w:r w:rsidRPr="007C7C38">
              <w:rPr>
                <w:rFonts w:cs="Arial"/>
                <w:b/>
                <w:sz w:val="20"/>
                <w:szCs w:val="20"/>
              </w:rPr>
              <w:t>203,945</w:t>
            </w:r>
          </w:p>
        </w:tc>
      </w:tr>
    </w:tbl>
    <w:p w:rsidR="003A5F64" w:rsidRPr="007C7C38" w:rsidRDefault="003A5F64" w:rsidP="003A5F64">
      <w:pPr>
        <w:spacing w:after="0"/>
        <w:rPr>
          <w:rFonts w:cs="Arial"/>
          <w:sz w:val="18"/>
          <w:szCs w:val="18"/>
        </w:rPr>
      </w:pPr>
      <w:r w:rsidRPr="007C7C38">
        <w:rPr>
          <w:rFonts w:cs="Arial"/>
          <w:sz w:val="18"/>
          <w:szCs w:val="18"/>
          <w:vertAlign w:val="superscript"/>
        </w:rPr>
        <w:t>1</w:t>
      </w:r>
      <w:r w:rsidRPr="007C7C38">
        <w:rPr>
          <w:rFonts w:cs="Arial"/>
          <w:sz w:val="18"/>
          <w:szCs w:val="18"/>
        </w:rPr>
        <w:t xml:space="preserve"> ABS 3222.0 Series B</w:t>
      </w:r>
      <w:r w:rsidRPr="007C7C38">
        <w:t> </w:t>
      </w:r>
    </w:p>
    <w:p w:rsidR="003A5F64" w:rsidRPr="007C7C38" w:rsidRDefault="003A5F64" w:rsidP="003A5F64">
      <w:pPr>
        <w:spacing w:after="0"/>
        <w:rPr>
          <w:rFonts w:cs="Arial"/>
          <w:sz w:val="18"/>
          <w:szCs w:val="18"/>
        </w:rPr>
      </w:pPr>
      <w:r w:rsidRPr="007C7C38">
        <w:rPr>
          <w:rFonts w:cs="Arial"/>
          <w:sz w:val="18"/>
          <w:szCs w:val="18"/>
          <w:vertAlign w:val="superscript"/>
        </w:rPr>
        <w:t>2</w:t>
      </w:r>
      <w:r w:rsidRPr="007C7C38">
        <w:rPr>
          <w:rFonts w:cs="Arial"/>
          <w:sz w:val="18"/>
          <w:szCs w:val="18"/>
        </w:rPr>
        <w:t xml:space="preserve"> Sturm et al. (2002)</w:t>
      </w:r>
    </w:p>
    <w:p w:rsidR="003A5F64" w:rsidRPr="007C7C38" w:rsidRDefault="003A5F64" w:rsidP="003A5F64">
      <w:pPr>
        <w:spacing w:after="0"/>
        <w:rPr>
          <w:rFonts w:cs="Arial"/>
          <w:sz w:val="18"/>
          <w:szCs w:val="18"/>
        </w:rPr>
      </w:pPr>
      <w:r w:rsidRPr="007C7C38">
        <w:rPr>
          <w:rFonts w:cs="Arial"/>
          <w:sz w:val="18"/>
          <w:szCs w:val="18"/>
          <w:vertAlign w:val="superscript"/>
        </w:rPr>
        <w:t>3</w:t>
      </w:r>
      <w:r w:rsidRPr="007C7C38">
        <w:rPr>
          <w:rFonts w:cs="Arial"/>
          <w:sz w:val="18"/>
          <w:szCs w:val="18"/>
        </w:rPr>
        <w:t xml:space="preserve"> Ang et al. (1998)</w:t>
      </w:r>
    </w:p>
    <w:p w:rsidR="003A5F64" w:rsidRPr="007C7C38" w:rsidRDefault="003A5F64" w:rsidP="003A5F64">
      <w:pPr>
        <w:spacing w:after="0"/>
        <w:rPr>
          <w:rFonts w:cs="Arial"/>
          <w:sz w:val="18"/>
          <w:szCs w:val="18"/>
        </w:rPr>
      </w:pPr>
      <w:r w:rsidRPr="007C7C38">
        <w:rPr>
          <w:rFonts w:cs="Arial"/>
          <w:sz w:val="18"/>
          <w:szCs w:val="18"/>
          <w:vertAlign w:val="superscript"/>
        </w:rPr>
        <w:t>4</w:t>
      </w:r>
      <w:r w:rsidRPr="007C7C38">
        <w:rPr>
          <w:rFonts w:cs="Arial"/>
          <w:sz w:val="18"/>
          <w:szCs w:val="18"/>
        </w:rPr>
        <w:t xml:space="preserve"> Rietbrock et al. (2008) (Table 1)</w:t>
      </w:r>
    </w:p>
    <w:p w:rsidR="003A5F64" w:rsidRPr="007C7C38" w:rsidRDefault="003A5F64" w:rsidP="003A5F64">
      <w:pPr>
        <w:spacing w:after="0"/>
        <w:rPr>
          <w:rFonts w:cs="Arial"/>
          <w:sz w:val="18"/>
          <w:szCs w:val="18"/>
        </w:rPr>
      </w:pPr>
      <w:r w:rsidRPr="007C7C38">
        <w:rPr>
          <w:rFonts w:cs="Arial"/>
          <w:sz w:val="18"/>
          <w:szCs w:val="18"/>
          <w:vertAlign w:val="superscript"/>
        </w:rPr>
        <w:t>5</w:t>
      </w:r>
      <w:r w:rsidRPr="007C7C38">
        <w:rPr>
          <w:rFonts w:cs="Arial"/>
          <w:sz w:val="18"/>
          <w:szCs w:val="18"/>
        </w:rPr>
        <w:t xml:space="preserve"> DUSC estimate</w:t>
      </w:r>
    </w:p>
    <w:p w:rsidR="003A5F64" w:rsidRDefault="003A5F64" w:rsidP="009A537C">
      <w:pPr>
        <w:rPr>
          <w:b/>
          <w:sz w:val="28"/>
        </w:rPr>
      </w:pPr>
    </w:p>
    <w:p w:rsidR="003A5F64" w:rsidRDefault="003A5F64" w:rsidP="009A537C">
      <w:pPr>
        <w:rPr>
          <w:b/>
          <w:sz w:val="28"/>
        </w:rPr>
      </w:pPr>
    </w:p>
    <w:p w:rsidR="000F6C31" w:rsidRDefault="000F6C31" w:rsidP="009A537C">
      <w:pPr>
        <w:rPr>
          <w:b/>
          <w:sz w:val="28"/>
        </w:rPr>
      </w:pPr>
    </w:p>
    <w:p w:rsidR="000F6C31" w:rsidRDefault="000F6C31" w:rsidP="009A537C">
      <w:pPr>
        <w:rPr>
          <w:b/>
          <w:sz w:val="28"/>
        </w:rPr>
      </w:pPr>
    </w:p>
    <w:p w:rsidR="007C7C38" w:rsidRDefault="007C7C38">
      <w:pPr>
        <w:spacing w:line="276" w:lineRule="auto"/>
        <w:rPr>
          <w:b/>
          <w:sz w:val="28"/>
        </w:rPr>
      </w:pPr>
      <w:r>
        <w:rPr>
          <w:b/>
          <w:sz w:val="28"/>
        </w:rPr>
        <w:br w:type="page"/>
      </w:r>
    </w:p>
    <w:p w:rsidR="000F6C31" w:rsidRDefault="000F6C31" w:rsidP="009A537C">
      <w:pPr>
        <w:rPr>
          <w:b/>
          <w:sz w:val="28"/>
        </w:rPr>
      </w:pPr>
      <w:r>
        <w:rPr>
          <w:b/>
          <w:sz w:val="28"/>
        </w:rPr>
        <w:lastRenderedPageBreak/>
        <w:t xml:space="preserve">Appendix C: PBS listing details for all </w:t>
      </w:r>
      <w:r w:rsidR="00576A4D">
        <w:rPr>
          <w:b/>
          <w:sz w:val="28"/>
        </w:rPr>
        <w:t xml:space="preserve">NOACs and </w:t>
      </w:r>
      <w:r>
        <w:rPr>
          <w:b/>
          <w:sz w:val="28"/>
        </w:rPr>
        <w:t>indications (as at May 2016)</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BS listing details for all NOACs and indications (as at May 2016)"/>
        <w:tblDescription w:val="Table of PBS listing details for all NOACs and indications (as at May 2016)"/>
      </w:tblPr>
      <w:tblGrid>
        <w:gridCol w:w="939"/>
        <w:gridCol w:w="2762"/>
        <w:gridCol w:w="850"/>
        <w:gridCol w:w="709"/>
        <w:gridCol w:w="992"/>
        <w:gridCol w:w="2694"/>
      </w:tblGrid>
      <w:tr w:rsidR="000F6C31" w:rsidRPr="00D53AD7" w:rsidTr="007C7C38">
        <w:trPr>
          <w:cantSplit/>
          <w:trHeight w:val="585"/>
          <w:tblHeader/>
        </w:trPr>
        <w:tc>
          <w:tcPr>
            <w:tcW w:w="939" w:type="dxa"/>
            <w:shd w:val="clear" w:color="000000" w:fill="BFBFBF"/>
            <w:vAlign w:val="center"/>
            <w:hideMark/>
          </w:tcPr>
          <w:p w:rsidR="000F6C31" w:rsidRPr="007C7C38" w:rsidRDefault="000F6C31" w:rsidP="007C7C38">
            <w:pPr>
              <w:spacing w:after="0"/>
              <w:rPr>
                <w:rFonts w:ascii="Calibri" w:eastAsia="Times New Roman" w:hAnsi="Calibri" w:cs="Times New Roman"/>
                <w:b/>
                <w:sz w:val="20"/>
                <w:szCs w:val="20"/>
                <w:lang w:eastAsia="en-US"/>
              </w:rPr>
            </w:pPr>
            <w:r w:rsidRPr="007C7C38">
              <w:rPr>
                <w:rFonts w:ascii="Calibri" w:eastAsia="Times New Roman" w:hAnsi="Calibri" w:cs="Times New Roman"/>
                <w:b/>
                <w:sz w:val="20"/>
                <w:szCs w:val="20"/>
                <w:lang w:eastAsia="en-US"/>
              </w:rPr>
              <w:t>Item</w:t>
            </w:r>
          </w:p>
        </w:tc>
        <w:tc>
          <w:tcPr>
            <w:tcW w:w="2762" w:type="dxa"/>
            <w:shd w:val="clear" w:color="000000" w:fill="BFBFBF"/>
            <w:vAlign w:val="center"/>
            <w:hideMark/>
          </w:tcPr>
          <w:p w:rsidR="000F6C31" w:rsidRPr="007C7C38" w:rsidRDefault="000F6C31" w:rsidP="007C7C38">
            <w:pPr>
              <w:spacing w:after="0"/>
              <w:jc w:val="center"/>
              <w:rPr>
                <w:rFonts w:ascii="Calibri" w:eastAsia="Times New Roman" w:hAnsi="Calibri" w:cs="Times New Roman"/>
                <w:b/>
                <w:sz w:val="20"/>
                <w:szCs w:val="20"/>
                <w:lang w:eastAsia="en-US"/>
              </w:rPr>
            </w:pPr>
            <w:r w:rsidRPr="007C7C38">
              <w:rPr>
                <w:rFonts w:ascii="Calibri" w:eastAsia="Times New Roman" w:hAnsi="Calibri" w:cs="Times New Roman"/>
                <w:b/>
                <w:sz w:val="20"/>
                <w:szCs w:val="20"/>
                <w:lang w:eastAsia="en-US"/>
              </w:rPr>
              <w:t>Name, form &amp; strength, pack size</w:t>
            </w:r>
          </w:p>
        </w:tc>
        <w:tc>
          <w:tcPr>
            <w:tcW w:w="850" w:type="dxa"/>
            <w:shd w:val="clear" w:color="000000" w:fill="BFBFBF"/>
            <w:vAlign w:val="center"/>
            <w:hideMark/>
          </w:tcPr>
          <w:p w:rsidR="000F6C31" w:rsidRPr="007C7C38" w:rsidRDefault="000F6C31" w:rsidP="007C7C38">
            <w:pPr>
              <w:spacing w:after="0"/>
              <w:jc w:val="center"/>
              <w:rPr>
                <w:rFonts w:ascii="Calibri" w:eastAsia="Times New Roman" w:hAnsi="Calibri" w:cs="Times New Roman"/>
                <w:b/>
                <w:sz w:val="20"/>
                <w:szCs w:val="20"/>
                <w:lang w:eastAsia="en-US"/>
              </w:rPr>
            </w:pPr>
            <w:r w:rsidRPr="007C7C38">
              <w:rPr>
                <w:rFonts w:ascii="Calibri" w:eastAsia="Times New Roman" w:hAnsi="Calibri" w:cs="Times New Roman"/>
                <w:b/>
                <w:sz w:val="20"/>
                <w:szCs w:val="20"/>
                <w:lang w:eastAsia="en-US"/>
              </w:rPr>
              <w:t>Max. quant.</w:t>
            </w:r>
          </w:p>
        </w:tc>
        <w:tc>
          <w:tcPr>
            <w:tcW w:w="709" w:type="dxa"/>
            <w:shd w:val="clear" w:color="000000" w:fill="BFBFBF"/>
            <w:vAlign w:val="center"/>
            <w:hideMark/>
          </w:tcPr>
          <w:p w:rsidR="000F6C31" w:rsidRPr="007C7C38" w:rsidRDefault="000F6C31" w:rsidP="007C7C38">
            <w:pPr>
              <w:spacing w:after="0"/>
              <w:jc w:val="center"/>
              <w:rPr>
                <w:rFonts w:ascii="Calibri" w:eastAsia="Times New Roman" w:hAnsi="Calibri" w:cs="Times New Roman"/>
                <w:b/>
                <w:sz w:val="20"/>
                <w:szCs w:val="20"/>
                <w:lang w:eastAsia="en-US"/>
              </w:rPr>
            </w:pPr>
            <w:r w:rsidRPr="007C7C38">
              <w:rPr>
                <w:rFonts w:ascii="Calibri" w:eastAsia="Times New Roman" w:hAnsi="Calibri" w:cs="Times New Roman"/>
                <w:b/>
                <w:sz w:val="20"/>
                <w:szCs w:val="20"/>
                <w:lang w:eastAsia="en-US"/>
              </w:rPr>
              <w:t>Rpts</w:t>
            </w:r>
          </w:p>
        </w:tc>
        <w:tc>
          <w:tcPr>
            <w:tcW w:w="992" w:type="dxa"/>
            <w:shd w:val="clear" w:color="000000" w:fill="BFBFBF"/>
            <w:vAlign w:val="center"/>
            <w:hideMark/>
          </w:tcPr>
          <w:p w:rsidR="000F6C31" w:rsidRPr="007C7C38" w:rsidRDefault="000F6C31" w:rsidP="007C7C38">
            <w:pPr>
              <w:spacing w:after="0"/>
              <w:jc w:val="center"/>
              <w:rPr>
                <w:rFonts w:ascii="Calibri" w:eastAsia="Times New Roman" w:hAnsi="Calibri" w:cs="Times New Roman"/>
                <w:b/>
                <w:sz w:val="20"/>
                <w:szCs w:val="20"/>
                <w:lang w:eastAsia="en-US"/>
              </w:rPr>
            </w:pPr>
            <w:r w:rsidRPr="007C7C38">
              <w:rPr>
                <w:rFonts w:ascii="Calibri" w:eastAsia="Times New Roman" w:hAnsi="Calibri" w:cs="Times New Roman"/>
                <w:b/>
                <w:sz w:val="20"/>
                <w:szCs w:val="20"/>
                <w:lang w:eastAsia="en-US"/>
              </w:rPr>
              <w:t>DPMQ</w:t>
            </w:r>
          </w:p>
        </w:tc>
        <w:tc>
          <w:tcPr>
            <w:tcW w:w="2694" w:type="dxa"/>
            <w:shd w:val="clear" w:color="000000" w:fill="BFBFBF"/>
            <w:vAlign w:val="center"/>
            <w:hideMark/>
          </w:tcPr>
          <w:p w:rsidR="000F6C31" w:rsidRPr="00D53AD7" w:rsidRDefault="000F6C31" w:rsidP="007C7C38">
            <w:pPr>
              <w:spacing w:after="0"/>
              <w:jc w:val="center"/>
              <w:rPr>
                <w:rFonts w:ascii="Calibri" w:eastAsia="Times New Roman" w:hAnsi="Calibri" w:cs="Times New Roman"/>
                <w:b/>
                <w:bCs/>
                <w:sz w:val="20"/>
                <w:szCs w:val="20"/>
                <w:lang w:eastAsia="en-US"/>
              </w:rPr>
            </w:pPr>
            <w:r w:rsidRPr="00D53AD7">
              <w:rPr>
                <w:rFonts w:ascii="Calibri" w:eastAsia="Times New Roman" w:hAnsi="Calibri" w:cs="Times New Roman"/>
                <w:b/>
                <w:bCs/>
                <w:sz w:val="20"/>
                <w:szCs w:val="20"/>
                <w:lang w:eastAsia="en-US"/>
              </w:rPr>
              <w:t>Brand name and manufacturer</w:t>
            </w:r>
          </w:p>
        </w:tc>
      </w:tr>
      <w:tr w:rsidR="000F6C31" w:rsidRPr="00D53AD7" w:rsidTr="007C7C38">
        <w:trPr>
          <w:cantSplit/>
          <w:trHeight w:val="424"/>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2160Q</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t>rivaroxaban 15 mg tablet, 42</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r>
              <w:rPr>
                <w:rFonts w:ascii="Calibri" w:eastAsia="Times New Roman" w:hAnsi="Calibri" w:cs="Times New Roman"/>
                <w:sz w:val="20"/>
                <w:szCs w:val="20"/>
                <w:lang w:eastAsia="en-US"/>
              </w:rPr>
              <w:t>24.54</w:t>
            </w:r>
          </w:p>
        </w:tc>
        <w:tc>
          <w:tcPr>
            <w:tcW w:w="2694" w:type="dxa"/>
            <w:vMerge w:val="restart"/>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Xarelto®</w:t>
            </w:r>
            <w:r w:rsidRPr="00D53AD7">
              <w:rPr>
                <w:rFonts w:ascii="Calibri" w:eastAsia="Times New Roman" w:hAnsi="Calibri" w:cs="Times New Roman"/>
                <w:sz w:val="20"/>
                <w:szCs w:val="20"/>
                <w:lang w:eastAsia="en-US"/>
              </w:rPr>
              <w:br/>
              <w:t>Bayer Australia Ltd</w:t>
            </w:r>
          </w:p>
        </w:tc>
      </w:tr>
      <w:tr w:rsidR="000F6C31" w:rsidRPr="00D53AD7" w:rsidTr="007C7C38">
        <w:trPr>
          <w:cantSplit/>
          <w:trHeight w:val="494"/>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Pr>
                <w:rFonts w:ascii="Calibri" w:eastAsia="Times New Roman" w:hAnsi="Calibri" w:cs="Times New Roman"/>
                <w:sz w:val="20"/>
                <w:szCs w:val="20"/>
                <w:lang w:eastAsia="en-US"/>
              </w:rPr>
              <w:t>2268J</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t>rivaroxaban 20 mg tablet, 28</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w:t>
            </w:r>
            <w:r>
              <w:rPr>
                <w:rFonts w:ascii="Calibri" w:eastAsia="Times New Roman" w:hAnsi="Calibri" w:cs="Times New Roman"/>
                <w:sz w:val="20"/>
                <w:szCs w:val="20"/>
                <w:lang w:eastAsia="en-US"/>
              </w:rPr>
              <w:t>86.50</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548"/>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9465E</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t>rivaroxaban 10 mg tablet, 10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$3</w:t>
            </w:r>
            <w:r>
              <w:rPr>
                <w:rFonts w:ascii="Calibri" w:eastAsia="Times New Roman" w:hAnsi="Calibri" w:cs="Times New Roman"/>
                <w:sz w:val="20"/>
                <w:szCs w:val="20"/>
                <w:lang w:eastAsia="en-US"/>
              </w:rPr>
              <w:t>7.59</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475"/>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9466F</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t>rivaroxaban 10 mg tablet, 15</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w:t>
            </w:r>
            <w:r>
              <w:rPr>
                <w:rFonts w:ascii="Calibri" w:eastAsia="Times New Roman" w:hAnsi="Calibri" w:cs="Times New Roman"/>
                <w:sz w:val="20"/>
                <w:szCs w:val="20"/>
                <w:lang w:eastAsia="en-US"/>
              </w:rPr>
              <w:t>1.18</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396"/>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9467G</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t>rivaroxaban 10 mg tablet, 30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Pr>
                <w:rFonts w:ascii="Calibri" w:eastAsia="Times New Roman" w:hAnsi="Calibri" w:cs="Times New Roman"/>
                <w:sz w:val="20"/>
                <w:szCs w:val="20"/>
                <w:lang w:eastAsia="en-US"/>
              </w:rPr>
              <w:t>$91.93</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474"/>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9468H</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t>rivaroxaban 10 mg tablet, 30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$3</w:t>
            </w:r>
            <w:r>
              <w:rPr>
                <w:rFonts w:ascii="Calibri" w:eastAsia="Times New Roman" w:hAnsi="Calibri" w:cs="Times New Roman"/>
                <w:sz w:val="20"/>
                <w:szCs w:val="20"/>
                <w:lang w:eastAsia="en-US"/>
              </w:rPr>
              <w:t>7.59</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525"/>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9469J</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t>rivaroxaban 10 mg tablet, 15</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w:t>
            </w:r>
            <w:r>
              <w:rPr>
                <w:rFonts w:ascii="Calibri" w:eastAsia="Times New Roman" w:hAnsi="Calibri" w:cs="Times New Roman"/>
                <w:sz w:val="20"/>
                <w:szCs w:val="20"/>
                <w:lang w:eastAsia="en-US"/>
              </w:rPr>
              <w:t>1.18</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782"/>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9318K</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t>dabigatran etexilate 75 mg capsule, 10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2</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$4</w:t>
            </w:r>
            <w:r>
              <w:rPr>
                <w:rFonts w:ascii="Calibri" w:eastAsia="Times New Roman" w:hAnsi="Calibri" w:cs="Times New Roman"/>
                <w:sz w:val="20"/>
                <w:szCs w:val="20"/>
                <w:lang w:eastAsia="en-US"/>
              </w:rPr>
              <w:t>3.33</w:t>
            </w:r>
          </w:p>
        </w:tc>
        <w:tc>
          <w:tcPr>
            <w:tcW w:w="2694" w:type="dxa"/>
            <w:vMerge w:val="restart"/>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Pradaxa®</w:t>
            </w:r>
            <w:r w:rsidRPr="00D53AD7">
              <w:rPr>
                <w:rFonts w:ascii="Calibri" w:eastAsia="Times New Roman" w:hAnsi="Calibri" w:cs="Times New Roman"/>
                <w:sz w:val="20"/>
                <w:szCs w:val="20"/>
                <w:lang w:eastAsia="en-US"/>
              </w:rPr>
              <w:br/>
              <w:t>Boehringer Ingelheim Pty Ltd</w:t>
            </w:r>
          </w:p>
        </w:tc>
      </w:tr>
      <w:tr w:rsidR="000F6C31" w:rsidRPr="00D53AD7" w:rsidTr="007C7C38">
        <w:trPr>
          <w:cantSplit/>
          <w:trHeight w:val="780"/>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9319L</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t>dabigatran etexilate 110 mg capsule, 10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2</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$3</w:t>
            </w:r>
            <w:r>
              <w:rPr>
                <w:rFonts w:ascii="Calibri" w:eastAsia="Times New Roman" w:hAnsi="Calibri" w:cs="Times New Roman"/>
                <w:sz w:val="20"/>
                <w:szCs w:val="20"/>
                <w:lang w:eastAsia="en-US"/>
              </w:rPr>
              <w:t>6.19</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780"/>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9320M</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t>dabigatran etexilate 75 mg capsule, 60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r>
              <w:rPr>
                <w:rFonts w:ascii="Calibri" w:eastAsia="Times New Roman" w:hAnsi="Calibri" w:cs="Times New Roman"/>
                <w:sz w:val="20"/>
                <w:szCs w:val="20"/>
                <w:lang w:eastAsia="en-US"/>
              </w:rPr>
              <w:t>09.12</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780"/>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9321N</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t>dabigatran etexilate 110 mg capsule, 60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w:t>
            </w:r>
            <w:r>
              <w:rPr>
                <w:rFonts w:ascii="Calibri" w:eastAsia="Times New Roman" w:hAnsi="Calibri" w:cs="Times New Roman"/>
                <w:sz w:val="20"/>
                <w:szCs w:val="20"/>
                <w:lang w:eastAsia="en-US"/>
              </w:rPr>
              <w:t>87.71</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780"/>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9322P</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t>dabigatran etexilate 75 mg capsule, 10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2</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w:t>
            </w:r>
            <w:r>
              <w:rPr>
                <w:rFonts w:ascii="Calibri" w:eastAsia="Times New Roman" w:hAnsi="Calibri" w:cs="Times New Roman"/>
                <w:sz w:val="20"/>
                <w:szCs w:val="20"/>
                <w:lang w:eastAsia="en-US"/>
              </w:rPr>
              <w:t>43.33</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780"/>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9323Q</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t>dabigatran etexilate 110 mg capsule, 10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2</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$3</w:t>
            </w:r>
            <w:r>
              <w:rPr>
                <w:rFonts w:ascii="Calibri" w:eastAsia="Times New Roman" w:hAnsi="Calibri" w:cs="Times New Roman"/>
                <w:sz w:val="20"/>
                <w:szCs w:val="20"/>
                <w:lang w:eastAsia="en-US"/>
              </w:rPr>
              <w:t>6.19</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612"/>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5054B</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APIXABAN</w:t>
            </w:r>
            <w:r w:rsidRPr="00D53AD7">
              <w:rPr>
                <w:rFonts w:ascii="Calibri" w:eastAsia="Times New Roman" w:hAnsi="Calibri" w:cs="Times New Roman"/>
                <w:sz w:val="20"/>
                <w:szCs w:val="20"/>
                <w:lang w:eastAsia="en-US"/>
              </w:rPr>
              <w:br/>
              <w:t>apixaban 2.5 mg tablet, 30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w:t>
            </w:r>
            <w:r>
              <w:rPr>
                <w:rFonts w:ascii="Calibri" w:eastAsia="Times New Roman" w:hAnsi="Calibri" w:cs="Times New Roman"/>
                <w:sz w:val="20"/>
                <w:szCs w:val="20"/>
                <w:lang w:eastAsia="en-US"/>
              </w:rPr>
              <w:t>3.50</w:t>
            </w:r>
          </w:p>
        </w:tc>
        <w:tc>
          <w:tcPr>
            <w:tcW w:w="2694" w:type="dxa"/>
            <w:vMerge w:val="restart"/>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Eliquis®</w:t>
            </w:r>
            <w:r w:rsidRPr="00D53AD7">
              <w:rPr>
                <w:rFonts w:ascii="Calibri" w:eastAsia="Times New Roman" w:hAnsi="Calibri" w:cs="Times New Roman"/>
                <w:sz w:val="20"/>
                <w:szCs w:val="20"/>
                <w:lang w:eastAsia="en-US"/>
              </w:rPr>
              <w:br/>
              <w:t>Bristol-Myers Squibb Australia Pty Ltd</w:t>
            </w:r>
          </w:p>
        </w:tc>
      </w:tr>
      <w:tr w:rsidR="000F6C31" w:rsidRPr="00D53AD7" w:rsidTr="007C7C38">
        <w:trPr>
          <w:cantSplit/>
          <w:trHeight w:val="525"/>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5061J</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APIXABAN</w:t>
            </w:r>
            <w:r w:rsidRPr="00D53AD7">
              <w:rPr>
                <w:rFonts w:ascii="Calibri" w:eastAsia="Times New Roman" w:hAnsi="Calibri" w:cs="Times New Roman"/>
                <w:sz w:val="20"/>
                <w:szCs w:val="20"/>
                <w:lang w:eastAsia="en-US"/>
              </w:rPr>
              <w:br/>
              <w:t>apixaban 2.5 mg tablet, 60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w:t>
            </w:r>
            <w:r>
              <w:rPr>
                <w:rFonts w:ascii="Calibri" w:eastAsia="Times New Roman" w:hAnsi="Calibri" w:cs="Times New Roman"/>
                <w:sz w:val="20"/>
                <w:szCs w:val="20"/>
                <w:lang w:eastAsia="en-US"/>
              </w:rPr>
              <w:t>96.58</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r w:rsidR="000F6C31" w:rsidRPr="00D53AD7" w:rsidTr="007C7C38">
        <w:trPr>
          <w:cantSplit/>
          <w:trHeight w:val="525"/>
          <w:tblHeader/>
        </w:trPr>
        <w:tc>
          <w:tcPr>
            <w:tcW w:w="939" w:type="dxa"/>
            <w:shd w:val="clear" w:color="auto" w:fill="auto"/>
            <w:noWrap/>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5500L</w:t>
            </w:r>
          </w:p>
        </w:tc>
        <w:tc>
          <w:tcPr>
            <w:tcW w:w="2762" w:type="dxa"/>
            <w:shd w:val="clear" w:color="auto" w:fill="auto"/>
            <w:vAlign w:val="center"/>
            <w:hideMark/>
          </w:tcPr>
          <w:p w:rsidR="000F6C31" w:rsidRPr="00D53AD7" w:rsidRDefault="000F6C31" w:rsidP="007C7C38">
            <w:pPr>
              <w:spacing w:after="0"/>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APIXABAN</w:t>
            </w:r>
            <w:r w:rsidRPr="00D53AD7">
              <w:rPr>
                <w:rFonts w:ascii="Calibri" w:eastAsia="Times New Roman" w:hAnsi="Calibri" w:cs="Times New Roman"/>
                <w:sz w:val="20"/>
                <w:szCs w:val="20"/>
                <w:lang w:eastAsia="en-US"/>
              </w:rPr>
              <w:br/>
              <w:t>apixaban 2.5 mg tablet, 20</w:t>
            </w:r>
          </w:p>
        </w:tc>
        <w:tc>
          <w:tcPr>
            <w:tcW w:w="850"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709"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992" w:type="dxa"/>
            <w:shd w:val="clear" w:color="auto" w:fill="auto"/>
            <w:noWrap/>
            <w:vAlign w:val="center"/>
            <w:hideMark/>
          </w:tcPr>
          <w:p w:rsidR="000F6C31" w:rsidRPr="00D53AD7" w:rsidRDefault="000F6C31" w:rsidP="007C7C38">
            <w:pPr>
              <w:spacing w:after="0"/>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$39.</w:t>
            </w:r>
            <w:r>
              <w:rPr>
                <w:rFonts w:ascii="Calibri" w:eastAsia="Times New Roman" w:hAnsi="Calibri" w:cs="Times New Roman"/>
                <w:sz w:val="20"/>
                <w:szCs w:val="20"/>
                <w:lang w:eastAsia="en-US"/>
              </w:rPr>
              <w:t>14</w:t>
            </w:r>
          </w:p>
        </w:tc>
        <w:tc>
          <w:tcPr>
            <w:tcW w:w="2694" w:type="dxa"/>
            <w:vMerge/>
            <w:vAlign w:val="center"/>
            <w:hideMark/>
          </w:tcPr>
          <w:p w:rsidR="000F6C31" w:rsidRPr="00D53AD7" w:rsidRDefault="000F6C31" w:rsidP="007C7C38">
            <w:pPr>
              <w:spacing w:after="0"/>
              <w:rPr>
                <w:rFonts w:ascii="Calibri" w:eastAsia="Times New Roman" w:hAnsi="Calibri" w:cs="Times New Roman"/>
                <w:sz w:val="20"/>
                <w:szCs w:val="20"/>
                <w:lang w:eastAsia="en-US"/>
              </w:rPr>
            </w:pPr>
          </w:p>
        </w:tc>
      </w:tr>
    </w:tbl>
    <w:p w:rsidR="000F6C31" w:rsidRPr="007C7C38" w:rsidRDefault="000F6C31" w:rsidP="007C7C38">
      <w:pPr>
        <w:pStyle w:val="Notes"/>
      </w:pPr>
      <w:r w:rsidRPr="00A35800">
        <w:t xml:space="preserve">Source: </w:t>
      </w:r>
      <w:hyperlink r:id="rId23" w:history="1">
        <w:r w:rsidR="006D3ABD" w:rsidRPr="00061691">
          <w:rPr>
            <w:rStyle w:val="Hyperlink"/>
          </w:rPr>
          <w:t>www.pbs.gov.au</w:t>
        </w:r>
      </w:hyperlink>
      <w:r w:rsidR="006D3ABD">
        <w:t xml:space="preserve"> </w:t>
      </w:r>
      <w:r>
        <w:t xml:space="preserve"> </w:t>
      </w:r>
    </w:p>
    <w:sectPr w:rsidR="000F6C31" w:rsidRPr="007C7C38" w:rsidSect="00DD188C">
      <w:headerReference w:type="even" r:id="rId24"/>
      <w:headerReference w:type="default" r:id="rId25"/>
      <w:footerReference w:type="even" r:id="rId26"/>
      <w:footerReference w:type="default" r:id="rId27"/>
      <w:headerReference w:type="first" r:id="rId28"/>
      <w:footerReference w:type="first" r:id="rId29"/>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2D" w:rsidRDefault="0017262D" w:rsidP="00A35800">
      <w:r>
        <w:separator/>
      </w:r>
    </w:p>
  </w:endnote>
  <w:endnote w:type="continuationSeparator" w:id="0">
    <w:p w:rsidR="0017262D" w:rsidRDefault="0017262D"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Garamond-Regula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2D" w:rsidRDefault="0017262D"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17262D" w:rsidRDefault="0017262D"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17262D" w:rsidRPr="000E72C6" w:rsidRDefault="0017262D" w:rsidP="000E72C6">
            <w:pPr>
              <w:pStyle w:val="Footer"/>
              <w:jc w:val="center"/>
              <w:rPr>
                <w:i/>
                <w:sz w:val="20"/>
              </w:rPr>
            </w:pPr>
            <w:r>
              <w:rPr>
                <w:i/>
                <w:sz w:val="20"/>
              </w:rPr>
              <w:t>Public Release Document, June 2016 DUSC Meeting</w:t>
            </w:r>
          </w:p>
          <w:p w:rsidR="0017262D" w:rsidRDefault="0017262D"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7228FE">
              <w:rPr>
                <w:bCs/>
                <w:i/>
                <w:noProof/>
                <w:sz w:val="20"/>
              </w:rPr>
              <w:t>28</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7228FE">
              <w:rPr>
                <w:bCs/>
                <w:i/>
                <w:noProof/>
                <w:sz w:val="20"/>
              </w:rPr>
              <w:t>31</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2D" w:rsidRDefault="0017262D" w:rsidP="007A5733">
    <w:pPr>
      <w:pStyle w:val="Footer"/>
      <w:jc w:val="center"/>
      <w:rPr>
        <w:rStyle w:val="PageNumber"/>
      </w:rPr>
    </w:pPr>
    <w:r>
      <w:rPr>
        <w:rStyle w:val="PageNumber"/>
      </w:rPr>
      <w:t>Committee-in-Confidence</w:t>
    </w:r>
  </w:p>
  <w:p w:rsidR="0017262D" w:rsidRDefault="0017262D"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2D" w:rsidRDefault="0017262D" w:rsidP="00A35800">
      <w:r>
        <w:separator/>
      </w:r>
    </w:p>
  </w:footnote>
  <w:footnote w:type="continuationSeparator" w:id="0">
    <w:p w:rsidR="0017262D" w:rsidRDefault="0017262D" w:rsidP="00A35800">
      <w:r>
        <w:continuationSeparator/>
      </w:r>
    </w:p>
  </w:footnote>
  <w:footnote w:id="1">
    <w:p w:rsidR="0017262D" w:rsidRDefault="0017262D" w:rsidP="009D4DCD">
      <w:pPr>
        <w:pStyle w:val="FootnoteText"/>
      </w:pPr>
      <w:r>
        <w:rPr>
          <w:rStyle w:val="FootnoteReference"/>
        </w:rPr>
        <w:footnoteRef/>
      </w:r>
      <w:r>
        <w:t xml:space="preserve"> Xarelto (rivaroxaban). Australian Approved Product Information. Sydney: Bayer Australia Ltd. Approved 24 November 2008, most recent amendment 15 January 2015. Available from &lt;</w:t>
      </w:r>
      <w:hyperlink r:id="rId1" w:history="1">
        <w:r w:rsidRPr="00BC1859">
          <w:rPr>
            <w:rStyle w:val="Hyperlink"/>
          </w:rPr>
          <w:t>www.ebs.tga.gov.au</w:t>
        </w:r>
      </w:hyperlink>
      <w:r>
        <w:t>&gt;.</w:t>
      </w:r>
    </w:p>
  </w:footnote>
  <w:footnote w:id="2">
    <w:p w:rsidR="0017262D" w:rsidRDefault="0017262D" w:rsidP="009D4DCD">
      <w:pPr>
        <w:pStyle w:val="FootnoteText"/>
      </w:pPr>
      <w:r>
        <w:rPr>
          <w:rStyle w:val="FootnoteReference"/>
        </w:rPr>
        <w:footnoteRef/>
      </w:r>
      <w:r>
        <w:t xml:space="preserve"> Eliquis (apixaban). Australian Approved Product Information. Sydney: Pfizer Australia Pty Ltd. Approved 21 July 2011, most recent amendment 16 June 2014. Available from &lt;www.ebs.tga.gov.au&gt;.  </w:t>
      </w:r>
    </w:p>
  </w:footnote>
  <w:footnote w:id="3">
    <w:p w:rsidR="0017262D" w:rsidRDefault="0017262D" w:rsidP="009D4DCD">
      <w:pPr>
        <w:pStyle w:val="FootnoteText"/>
      </w:pPr>
      <w:r>
        <w:rPr>
          <w:rStyle w:val="FootnoteReference"/>
        </w:rPr>
        <w:footnoteRef/>
      </w:r>
      <w:r>
        <w:t xml:space="preserve"> Pradaxa (dabigatran). Australian Approved Product Information. Sydney: Boehringer Ingelheim Pty Limited. Approved 24 November 2008, most recent amendment 20 June 2014. Available from &lt;www.ebs.tga.gov.au&gt;.</w:t>
      </w:r>
    </w:p>
  </w:footnote>
  <w:footnote w:id="4">
    <w:p w:rsidR="0017262D" w:rsidRDefault="0017262D">
      <w:pPr>
        <w:pStyle w:val="FootnoteText"/>
      </w:pPr>
      <w:r>
        <w:rPr>
          <w:rStyle w:val="FootnoteReference"/>
        </w:rPr>
        <w:footnoteRef/>
      </w:r>
      <w:r>
        <w:t xml:space="preserve"> Therapeutic Goods Administration May 2013. Available at: </w:t>
      </w:r>
      <w:hyperlink r:id="rId2" w:history="1">
        <w:r w:rsidRPr="00061691">
          <w:rPr>
            <w:rStyle w:val="Hyperlink"/>
          </w:rPr>
          <w:t>https://www.tga.gov.au/alert/dabigatran-pradaxa-and-risk-bleeding-information-health-professionals</w:t>
        </w:r>
      </w:hyperlink>
      <w:r>
        <w:t xml:space="preserve"> </w:t>
      </w:r>
    </w:p>
  </w:footnote>
  <w:footnote w:id="5">
    <w:p w:rsidR="0017262D" w:rsidRDefault="0017262D">
      <w:pPr>
        <w:pStyle w:val="FootnoteText"/>
      </w:pPr>
      <w:r>
        <w:rPr>
          <w:rStyle w:val="FootnoteReference"/>
        </w:rPr>
        <w:footnoteRef/>
      </w:r>
      <w:r>
        <w:t xml:space="preserve"> Therapeutic Goods Administration, Information for Consumers September 2013. Available at: </w:t>
      </w:r>
      <w:hyperlink r:id="rId3" w:history="1">
        <w:r w:rsidRPr="00061691">
          <w:rPr>
            <w:rStyle w:val="Hyperlink"/>
          </w:rPr>
          <w:t>https://www.tga.gov.au/alert/apixaban-eliquis-dabigatran-pradaxa-and-rivaroxaban-xarelto-information-consumers</w:t>
        </w:r>
      </w:hyperlink>
      <w:r>
        <w:t xml:space="preserve"> </w:t>
      </w:r>
    </w:p>
  </w:footnote>
  <w:footnote w:id="6">
    <w:p w:rsidR="0017262D" w:rsidRDefault="0017262D">
      <w:pPr>
        <w:pStyle w:val="FootnoteText"/>
      </w:pPr>
      <w:r>
        <w:rPr>
          <w:rStyle w:val="FootnoteReference"/>
        </w:rPr>
        <w:footnoteRef/>
      </w:r>
      <w:r>
        <w:t xml:space="preserve"> Therapeutic Goods Association, Information for Health Professionals September 2013. Available at: </w:t>
      </w:r>
      <w:hyperlink r:id="rId4" w:history="1">
        <w:r w:rsidRPr="00061691">
          <w:rPr>
            <w:rStyle w:val="Hyperlink"/>
          </w:rPr>
          <w:t>https://www.tga.gov.au/alert/apixaban-eliquis-dabigatran-pradaxa-and-rivaroxaban-xarelto-information-health-professionals</w:t>
        </w:r>
      </w:hyperlink>
      <w:r>
        <w:t xml:space="preserve"> </w:t>
      </w:r>
    </w:p>
  </w:footnote>
  <w:footnote w:id="7">
    <w:p w:rsidR="0017262D" w:rsidRDefault="0017262D">
      <w:pPr>
        <w:pStyle w:val="FootnoteText"/>
      </w:pPr>
      <w:r>
        <w:rPr>
          <w:rStyle w:val="FootnoteReference"/>
        </w:rPr>
        <w:footnoteRef/>
      </w:r>
      <w:r>
        <w:t xml:space="preserve"> Therapeutic Goods Administration June 2015. Available at: </w:t>
      </w:r>
      <w:hyperlink r:id="rId5" w:history="1">
        <w:r w:rsidRPr="00061691">
          <w:rPr>
            <w:rStyle w:val="Hyperlink"/>
          </w:rPr>
          <w:t>https://www.tga.gov.au/alert/new-oral-anticoagulants-apixaban-eliquis-dabigatran-pradaxa-and-rivaroxaban-xarelto</w:t>
        </w:r>
      </w:hyperlink>
      <w:r>
        <w:t xml:space="preserve"> </w:t>
      </w:r>
    </w:p>
  </w:footnote>
  <w:footnote w:id="8">
    <w:p w:rsidR="0017262D" w:rsidRDefault="0017262D" w:rsidP="00142CF2">
      <w:pPr>
        <w:pStyle w:val="FootnoteText"/>
      </w:pPr>
      <w:r>
        <w:rPr>
          <w:rStyle w:val="FootnoteReference"/>
        </w:rPr>
        <w:footnoteRef/>
      </w:r>
      <w:r>
        <w:t xml:space="preserve"> Xarelto</w:t>
      </w:r>
      <w:r w:rsidRPr="00E16A8D">
        <w:t>®</w:t>
      </w:r>
      <w:r>
        <w:t>, Pradaxa</w:t>
      </w:r>
      <w:r w:rsidRPr="00E16A8D">
        <w:t>®</w:t>
      </w:r>
      <w:r>
        <w:t xml:space="preserve"> and Eliquis</w:t>
      </w:r>
      <w:r w:rsidRPr="00E16A8D">
        <w:t>®</w:t>
      </w:r>
      <w:r>
        <w:t xml:space="preserve"> Product Information. Available from </w:t>
      </w:r>
      <w:hyperlink r:id="rId6" w:history="1">
        <w:r w:rsidRPr="005E51C4">
          <w:rPr>
            <w:rStyle w:val="Hyperlink"/>
          </w:rPr>
          <w:t>https://www.ebs.tga.gov.au</w:t>
        </w:r>
      </w:hyperlink>
      <w:r>
        <w:t>, Accessed 9 March 2016.</w:t>
      </w:r>
    </w:p>
  </w:footnote>
  <w:footnote w:id="9">
    <w:p w:rsidR="0017262D" w:rsidRPr="00C339FB" w:rsidRDefault="0017262D">
      <w:pPr>
        <w:pStyle w:val="FootnoteText"/>
      </w:pPr>
      <w:r>
        <w:rPr>
          <w:rStyle w:val="FootnoteReference"/>
        </w:rPr>
        <w:footnoteRef/>
      </w:r>
      <w:r>
        <w:t xml:space="preserve"> Slot B and Berge E. Factor Xa inhibitors versus vitamin K antiagonists for preventing cerebral or systemic embolism in patients with atrial fibrillation (Review). Cochrane Database of Systematic Reviews 2013; 8: Article CD008980.</w:t>
      </w:r>
    </w:p>
  </w:footnote>
  <w:footnote w:id="10">
    <w:p w:rsidR="0017262D" w:rsidRDefault="0017262D">
      <w:pPr>
        <w:pStyle w:val="FootnoteText"/>
      </w:pPr>
      <w:r>
        <w:rPr>
          <w:rStyle w:val="FootnoteReference"/>
        </w:rPr>
        <w:footnoteRef/>
      </w:r>
      <w:r>
        <w:t xml:space="preserve"> Australian Medicines Handbook 2016. Available at </w:t>
      </w:r>
      <w:hyperlink r:id="rId7" w:history="1">
        <w:r w:rsidRPr="00595F02">
          <w:rPr>
            <w:rStyle w:val="Hyperlink"/>
          </w:rPr>
          <w:t>https://amhonline.amh.net.au/</w:t>
        </w:r>
      </w:hyperlink>
      <w:r>
        <w:t xml:space="preserve"> </w:t>
      </w:r>
    </w:p>
  </w:footnote>
  <w:footnote w:id="11">
    <w:p w:rsidR="0017262D" w:rsidRDefault="0017262D">
      <w:pPr>
        <w:pStyle w:val="FootnoteText"/>
      </w:pPr>
      <w:r>
        <w:rPr>
          <w:rStyle w:val="FootnoteReference"/>
        </w:rPr>
        <w:footnoteRef/>
      </w:r>
      <w:r>
        <w:t xml:space="preserve">Baker R et al. Warfarin reversal: consensus guidelines on behalf of the Australasian Society of Thrombosis and Haemostasis. Medical Journal of Australia 2004; 181(9): 492-497. </w:t>
      </w:r>
    </w:p>
  </w:footnote>
  <w:footnote w:id="12">
    <w:p w:rsidR="0017262D" w:rsidRDefault="0017262D" w:rsidP="00AC2C20">
      <w:pPr>
        <w:pStyle w:val="FootnoteText"/>
      </w:pPr>
      <w:r>
        <w:rPr>
          <w:rStyle w:val="FootnoteReference"/>
        </w:rPr>
        <w:footnoteRef/>
      </w:r>
      <w:r>
        <w:t xml:space="preserve"> Gallus A. New oral anticoagulants – clinical applications. Aust Presc 2010;33 (42-7). </w:t>
      </w:r>
    </w:p>
  </w:footnote>
  <w:footnote w:id="13">
    <w:p w:rsidR="0017262D" w:rsidRDefault="0017262D">
      <w:pPr>
        <w:pStyle w:val="FootnoteText"/>
      </w:pPr>
      <w:r>
        <w:rPr>
          <w:rStyle w:val="FootnoteReference"/>
        </w:rPr>
        <w:footnoteRef/>
      </w:r>
      <w:r>
        <w:t xml:space="preserve"> Tideman et al. How to manage warfarin therapy. Aust Presc 2015;38(2): 44-48. </w:t>
      </w:r>
    </w:p>
  </w:footnote>
  <w:footnote w:id="14">
    <w:p w:rsidR="0017262D" w:rsidRDefault="0017262D" w:rsidP="006613D0">
      <w:pPr>
        <w:pStyle w:val="FootnoteText"/>
      </w:pPr>
      <w:r>
        <w:rPr>
          <w:rStyle w:val="FootnoteReference"/>
        </w:rPr>
        <w:footnoteRef/>
      </w:r>
      <w:r>
        <w:t xml:space="preserve">Therapeutics Goods Administration, Reasons for scheduling delegate’s final decisions April 2016. Available at: </w:t>
      </w:r>
      <w:hyperlink r:id="rId8" w:history="1">
        <w:r w:rsidRPr="00925FD1">
          <w:rPr>
            <w:rStyle w:val="Hyperlink"/>
          </w:rPr>
          <w:t>https://www.tga.gov.au/book-page/16-idarucizumab</w:t>
        </w:r>
      </w:hyperlink>
      <w:r>
        <w:t xml:space="preserve"> </w:t>
      </w:r>
    </w:p>
  </w:footnote>
  <w:footnote w:id="15">
    <w:p w:rsidR="0017262D" w:rsidRDefault="0017262D">
      <w:pPr>
        <w:pStyle w:val="FootnoteText"/>
      </w:pPr>
      <w:r>
        <w:rPr>
          <w:rStyle w:val="FootnoteReference"/>
        </w:rPr>
        <w:footnoteRef/>
      </w:r>
      <w:r>
        <w:t xml:space="preserve">Connors JM. Antidote for factor Xa anticoagulants. N Engl J Med 2015; 373: 2471-2472. </w:t>
      </w:r>
    </w:p>
  </w:footnote>
  <w:footnote w:id="16">
    <w:p w:rsidR="0017262D" w:rsidRDefault="0017262D">
      <w:pPr>
        <w:pStyle w:val="FootnoteText"/>
      </w:pPr>
      <w:r>
        <w:rPr>
          <w:rStyle w:val="FootnoteReference"/>
        </w:rPr>
        <w:footnoteRef/>
      </w:r>
      <w:r>
        <w:t xml:space="preserve">Kamble et al. Anti-thrombotic therapy and associated haemorrhage. American Heart Association 2015; 132:Article 18465. </w:t>
      </w:r>
    </w:p>
  </w:footnote>
  <w:footnote w:id="17">
    <w:p w:rsidR="0017262D" w:rsidRDefault="0017262D">
      <w:pPr>
        <w:pStyle w:val="FootnoteText"/>
      </w:pPr>
      <w:r>
        <w:rPr>
          <w:rStyle w:val="FootnoteReference"/>
        </w:rPr>
        <w:footnoteRef/>
      </w:r>
      <w:r>
        <w:t xml:space="preserve"> Camm J et al. XANTUS: A real-world, prospective, observational study of patients treated with rivaroxaban for stroke prevention in atrial fibrillation. Eur Heart J 2015. Available at: </w:t>
      </w:r>
      <w:r>
        <w:rPr>
          <w:rStyle w:val="apple-converted-space"/>
          <w:rFonts w:ascii="Helvetica" w:hAnsi="Helvetica"/>
          <w:color w:val="030303"/>
          <w:sz w:val="17"/>
          <w:szCs w:val="17"/>
          <w:bdr w:val="none" w:sz="0" w:space="0" w:color="auto" w:frame="1"/>
          <w:shd w:val="clear" w:color="auto" w:fill="FFFFFE"/>
        </w:rPr>
        <w:t> </w:t>
      </w:r>
      <w:hyperlink r:id="rId9" w:history="1">
        <w:r w:rsidRPr="00511DC4">
          <w:rPr>
            <w:rStyle w:val="Hyperlink"/>
            <w:color w:val="3818F8"/>
            <w:szCs w:val="18"/>
            <w:bdr w:val="none" w:sz="0" w:space="0" w:color="auto" w:frame="1"/>
            <w:shd w:val="clear" w:color="auto" w:fill="FFFFFE"/>
          </w:rPr>
          <w:t>http://dx.doi.org/10.1093/eurheartj/ehv466</w:t>
        </w:r>
      </w:hyperlink>
      <w:r w:rsidRPr="00511DC4">
        <w:rPr>
          <w:rStyle w:val="apple-converted-space"/>
          <w:rFonts w:ascii="Helvetica" w:hAnsi="Helvetica"/>
          <w:color w:val="0070C0"/>
          <w:sz w:val="21"/>
          <w:szCs w:val="21"/>
          <w:shd w:val="clear" w:color="auto" w:fill="FFFFFE"/>
        </w:rPr>
        <w:t xml:space="preserve"> </w:t>
      </w:r>
    </w:p>
  </w:footnote>
  <w:footnote w:id="18">
    <w:p w:rsidR="0017262D" w:rsidRDefault="0017262D">
      <w:pPr>
        <w:pStyle w:val="FootnoteText"/>
      </w:pPr>
      <w:r>
        <w:rPr>
          <w:rStyle w:val="FootnoteReference"/>
        </w:rPr>
        <w:footnoteRef/>
      </w:r>
      <w:r>
        <w:t xml:space="preserve"> Brill D and Colyer S. Second free anticoagulant scheme to launch. Australian Doctor 24 April 2012. Available at: </w:t>
      </w:r>
      <w:hyperlink r:id="rId10" w:history="1">
        <w:r w:rsidRPr="00A355BC">
          <w:rPr>
            <w:rStyle w:val="Hyperlink"/>
          </w:rPr>
          <w:t>http://www.australiandoctor.com.au/news/latest-news/second-free-anticoagulant-scheme-to-launch</w:t>
        </w:r>
      </w:hyperlink>
      <w:r>
        <w:t xml:space="preserve"> </w:t>
      </w:r>
    </w:p>
  </w:footnote>
  <w:footnote w:id="19">
    <w:p w:rsidR="0017262D" w:rsidRDefault="0017262D">
      <w:pPr>
        <w:pStyle w:val="FootnoteText"/>
      </w:pPr>
      <w:r>
        <w:rPr>
          <w:rStyle w:val="FootnoteReference"/>
        </w:rPr>
        <w:footnoteRef/>
      </w:r>
      <w:r>
        <w:t xml:space="preserve"> Colyer S. Free dabigatran scheme extended. Australian Doctor 26 April 2012. Available at: </w:t>
      </w:r>
      <w:hyperlink r:id="rId11" w:history="1">
        <w:r w:rsidRPr="008310B9">
          <w:rPr>
            <w:rStyle w:val="Hyperlink"/>
          </w:rPr>
          <w:t>http://www.australiandoctor.com.au/news/latest-news/free-dabigatran-scheme-extended</w:t>
        </w:r>
      </w:hyperlink>
      <w:r>
        <w:t xml:space="preserve"> </w:t>
      </w:r>
    </w:p>
  </w:footnote>
  <w:footnote w:id="20">
    <w:p w:rsidR="0017262D" w:rsidRDefault="0017262D">
      <w:pPr>
        <w:pStyle w:val="FootnoteText"/>
      </w:pPr>
      <w:r>
        <w:rPr>
          <w:rStyle w:val="FootnoteReference"/>
        </w:rPr>
        <w:footnoteRef/>
      </w:r>
      <w:r>
        <w:t xml:space="preserve"> Therapeutic Goods Administration, AusPAR for rivaroxaban October 2013. Available at: </w:t>
      </w:r>
      <w:hyperlink r:id="rId12" w:history="1">
        <w:r w:rsidRPr="00A355BC">
          <w:rPr>
            <w:rStyle w:val="Hyperlink"/>
          </w:rPr>
          <w:t>https://www.tga.gov.au/browse-auspars-product-name</w:t>
        </w:r>
      </w:hyperlink>
      <w:r>
        <w:t xml:space="preserve"> </w:t>
      </w:r>
    </w:p>
  </w:footnote>
  <w:footnote w:id="21">
    <w:p w:rsidR="0017262D" w:rsidRDefault="0017262D">
      <w:pPr>
        <w:pStyle w:val="FootnoteText"/>
      </w:pPr>
      <w:r>
        <w:rPr>
          <w:rStyle w:val="FootnoteReference"/>
        </w:rPr>
        <w:footnoteRef/>
      </w:r>
      <w:r>
        <w:t xml:space="preserve"> PBS Public Summary Documents by Product. Available at: </w:t>
      </w:r>
      <w:hyperlink r:id="rId13" w:history="1">
        <w:r w:rsidRPr="00A355BC">
          <w:rPr>
            <w:rStyle w:val="Hyperlink"/>
          </w:rPr>
          <w:t>http://www.pbs.gov.au/info/industry/listing/elements/pbac-meetings/psd/public-summary-documents-by-product</w:t>
        </w:r>
      </w:hyperlink>
      <w:r>
        <w:t xml:space="preserve"> </w:t>
      </w:r>
    </w:p>
  </w:footnote>
  <w:footnote w:id="22">
    <w:p w:rsidR="0017262D" w:rsidRDefault="0017262D">
      <w:pPr>
        <w:pStyle w:val="FootnoteText"/>
      </w:pPr>
      <w:r>
        <w:rPr>
          <w:rStyle w:val="FootnoteReference"/>
        </w:rPr>
        <w:footnoteRef/>
      </w:r>
      <w:r>
        <w:t xml:space="preserve"> PBS Reviews. Available at: </w:t>
      </w:r>
      <w:hyperlink r:id="rId14" w:history="1">
        <w:r w:rsidRPr="00A355BC">
          <w:rPr>
            <w:rStyle w:val="Hyperlink"/>
          </w:rPr>
          <w:t>https://www.pbs.gov.au/info/browse/reviews</w:t>
        </w:r>
      </w:hyperlink>
      <w:r>
        <w:t xml:space="preserve"> </w:t>
      </w:r>
    </w:p>
  </w:footnote>
  <w:footnote w:id="23">
    <w:p w:rsidR="0017262D" w:rsidRDefault="0017262D">
      <w:pPr>
        <w:pStyle w:val="FootnoteText"/>
      </w:pPr>
      <w:r>
        <w:rPr>
          <w:rStyle w:val="FootnoteReference"/>
        </w:rPr>
        <w:footnoteRef/>
      </w:r>
      <w:r>
        <w:t xml:space="preserve"> </w:t>
      </w:r>
      <w:r w:rsidRPr="00030F10">
        <w:t>Rivaroxaban SPAF Public Summary Document March 2013. Accessed on 15 April 2016. Available at</w:t>
      </w:r>
      <w:r>
        <w:t>:</w:t>
      </w:r>
      <w:r w:rsidRPr="00030F10">
        <w:t xml:space="preserve"> </w:t>
      </w:r>
      <w:hyperlink r:id="rId15" w:history="1">
        <w:r w:rsidRPr="00F6105A">
          <w:rPr>
            <w:rStyle w:val="Hyperlink"/>
          </w:rPr>
          <w:t>http://www.pbs.gov.au/info/industry/listing/elements/pbac-meetings/psd/2013-03/rivaroxaban-spaf</w:t>
        </w:r>
      </w:hyperlink>
      <w:r>
        <w:t xml:space="preserve"> </w:t>
      </w:r>
    </w:p>
  </w:footnote>
  <w:footnote w:id="24">
    <w:p w:rsidR="0017262D" w:rsidRDefault="0017262D">
      <w:pPr>
        <w:pStyle w:val="FootnoteText"/>
      </w:pPr>
      <w:r>
        <w:rPr>
          <w:rStyle w:val="FootnoteReference"/>
        </w:rPr>
        <w:footnoteRef/>
      </w:r>
      <w:r>
        <w:t xml:space="preserve"> PBS PBAC Positive Recommendations. Available at: </w:t>
      </w:r>
      <w:hyperlink r:id="rId16" w:history="1">
        <w:r w:rsidRPr="00A355BC">
          <w:rPr>
            <w:rStyle w:val="Hyperlink"/>
          </w:rPr>
          <w:t>http://www.pbs.gov.au/info/industry/listing/elements/pbac-meetings/pbac-outcomes/2013-03/positive-recommendations</w:t>
        </w:r>
      </w:hyperlink>
      <w:r>
        <w:t xml:space="preserve"> </w:t>
      </w:r>
    </w:p>
  </w:footnote>
  <w:footnote w:id="25">
    <w:p w:rsidR="0017262D" w:rsidRDefault="0017262D">
      <w:pPr>
        <w:pStyle w:val="FootnoteText"/>
      </w:pPr>
      <w:r>
        <w:rPr>
          <w:rStyle w:val="FootnoteReference"/>
        </w:rPr>
        <w:footnoteRef/>
      </w:r>
      <w:r>
        <w:t xml:space="preserve"> DUSC utilisation analysis Public Summary Document. Novel oral anticoagulants for non-atrial fibrillation indications October 2014. Available at: </w:t>
      </w:r>
      <w:hyperlink r:id="rId17" w:history="1">
        <w:r w:rsidRPr="00A92F5E">
          <w:rPr>
            <w:rStyle w:val="Hyperlink"/>
          </w:rPr>
          <w:t>http://www.pbs.gov.au/info/industry/listing/participants/public-release-docs/novel-oral-anticoagulants-10-2014</w:t>
        </w:r>
      </w:hyperlink>
      <w:r>
        <w:t xml:space="preserve"> </w:t>
      </w:r>
    </w:p>
  </w:footnote>
  <w:footnote w:id="26">
    <w:p w:rsidR="0017262D" w:rsidRPr="0019159E" w:rsidRDefault="0017262D" w:rsidP="00C21DE4">
      <w:pPr>
        <w:pStyle w:val="FootnoteText"/>
        <w:rPr>
          <w:szCs w:val="18"/>
        </w:rPr>
      </w:pPr>
      <w:r w:rsidRPr="0019159E">
        <w:rPr>
          <w:rStyle w:val="FootnoteReference"/>
          <w:szCs w:val="18"/>
        </w:rPr>
        <w:footnoteRef/>
      </w:r>
      <w:r w:rsidRPr="0019159E">
        <w:rPr>
          <w:szCs w:val="18"/>
        </w:rPr>
        <w:t xml:space="preserve"> PBS statistics. Australian Government Department of Human Services Medicare. Canberra. Available from &lt;</w:t>
      </w:r>
      <w:hyperlink r:id="rId18" w:history="1">
        <w:r w:rsidRPr="0019159E">
          <w:rPr>
            <w:rStyle w:val="Hyperlink"/>
            <w:szCs w:val="18"/>
          </w:rPr>
          <w:t>http://www.medicareaustralia.gov.au/provider/pbs/stats.jsp</w:t>
        </w:r>
      </w:hyperlink>
      <w:r w:rsidRPr="0019159E">
        <w:rPr>
          <w:szCs w:val="18"/>
        </w:rPr>
        <w:t>&gt;.</w:t>
      </w:r>
    </w:p>
  </w:footnote>
  <w:footnote w:id="27">
    <w:p w:rsidR="0017262D" w:rsidRDefault="0017262D">
      <w:pPr>
        <w:pStyle w:val="FootnoteText"/>
      </w:pPr>
      <w:r>
        <w:rPr>
          <w:rStyle w:val="FootnoteReference"/>
        </w:rPr>
        <w:footnoteRef/>
      </w:r>
      <w:r>
        <w:t xml:space="preserve"> </w:t>
      </w:r>
      <w:r w:rsidRPr="00EF24B9">
        <w:rPr>
          <w:szCs w:val="18"/>
        </w:rPr>
        <w:t>Jordan M et al. Use with caution in renal impairment: implications for drug dosing in the general practice setting. National Medicines Symposium 2016: Poster Abstracts (pp. 167-167). Australia: NPS.</w:t>
      </w:r>
    </w:p>
  </w:footnote>
  <w:footnote w:id="28">
    <w:p w:rsidR="0017262D" w:rsidRPr="00EF24B9" w:rsidRDefault="0017262D" w:rsidP="004738BE">
      <w:pPr>
        <w:pStyle w:val="FootnoteText"/>
        <w:rPr>
          <w:szCs w:val="18"/>
        </w:rPr>
      </w:pPr>
      <w:r>
        <w:rPr>
          <w:rStyle w:val="FootnoteReference"/>
        </w:rPr>
        <w:footnoteRef/>
      </w:r>
      <w:r>
        <w:t xml:space="preserve"> </w:t>
      </w:r>
      <w:r w:rsidRPr="00EF24B9">
        <w:rPr>
          <w:szCs w:val="18"/>
        </w:rPr>
        <w:t xml:space="preserve">Pattullo et al. New oral anticoagulants (NOACs) – appropriateness of prescribing in real-world setting. </w:t>
      </w:r>
      <w:r w:rsidRPr="00EF24B9">
        <w:rPr>
          <w:iCs/>
          <w:szCs w:val="18"/>
        </w:rPr>
        <w:t xml:space="preserve">Internal Medicine Journal </w:t>
      </w:r>
      <w:r w:rsidRPr="00EF24B9">
        <w:rPr>
          <w:szCs w:val="18"/>
        </w:rPr>
        <w:t>May 2016. DOI: 10.1111/imj.13118</w:t>
      </w:r>
    </w:p>
    <w:p w:rsidR="0017262D" w:rsidRDefault="0017262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37A" w:rsidRDefault="002E6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37A" w:rsidRDefault="002E63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37A" w:rsidRDefault="002E6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E58"/>
    <w:multiLevelType w:val="hybridMultilevel"/>
    <w:tmpl w:val="E90C240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nsid w:val="0B1B2D28"/>
    <w:multiLevelType w:val="hybridMultilevel"/>
    <w:tmpl w:val="7B4ED398"/>
    <w:lvl w:ilvl="0" w:tplc="0C090001">
      <w:start w:val="1"/>
      <w:numFmt w:val="bullet"/>
      <w:lvlText w:val=""/>
      <w:lvlJc w:val="left"/>
      <w:pPr>
        <w:ind w:left="426" w:hanging="360"/>
      </w:pPr>
      <w:rPr>
        <w:rFonts w:ascii="Symbol" w:hAnsi="Symbol" w:hint="default"/>
      </w:rPr>
    </w:lvl>
    <w:lvl w:ilvl="1" w:tplc="0F92C388">
      <w:start w:val="1"/>
      <w:numFmt w:val="bullet"/>
      <w:lvlText w:val="­"/>
      <w:lvlJc w:val="left"/>
      <w:pPr>
        <w:ind w:left="1146" w:hanging="360"/>
      </w:pPr>
      <w:rPr>
        <w:rFonts w:ascii="Courier New" w:hAnsi="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
    <w:nsid w:val="20A20ED4"/>
    <w:multiLevelType w:val="hybridMultilevel"/>
    <w:tmpl w:val="43906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673AF8"/>
    <w:multiLevelType w:val="hybridMultilevel"/>
    <w:tmpl w:val="58C87858"/>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5">
    <w:nsid w:val="3241317E"/>
    <w:multiLevelType w:val="hybridMultilevel"/>
    <w:tmpl w:val="F05A7620"/>
    <w:lvl w:ilvl="0" w:tplc="0C090001">
      <w:start w:val="1"/>
      <w:numFmt w:val="bullet"/>
      <w:lvlText w:val=""/>
      <w:lvlJc w:val="left"/>
      <w:pPr>
        <w:ind w:left="426" w:hanging="360"/>
      </w:pPr>
      <w:rPr>
        <w:rFonts w:ascii="Symbol" w:hAnsi="Symbol" w:hint="default"/>
      </w:rPr>
    </w:lvl>
    <w:lvl w:ilvl="1" w:tplc="0F92C388">
      <w:start w:val="1"/>
      <w:numFmt w:val="bullet"/>
      <w:lvlText w:val="­"/>
      <w:lvlJc w:val="left"/>
      <w:pPr>
        <w:ind w:left="1146" w:hanging="360"/>
      </w:pPr>
      <w:rPr>
        <w:rFonts w:ascii="Courier New" w:hAnsi="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
    <w:nsid w:val="597705D5"/>
    <w:multiLevelType w:val="multilevel"/>
    <w:tmpl w:val="90C2D2CA"/>
    <w:lvl w:ilvl="0">
      <w:start w:val="1"/>
      <w:numFmt w:val="bullet"/>
      <w:lvlText w:val=""/>
      <w:lvlJc w:val="left"/>
      <w:pPr>
        <w:tabs>
          <w:tab w:val="num" w:pos="44"/>
        </w:tabs>
        <w:ind w:left="44" w:hanging="360"/>
      </w:pPr>
      <w:rPr>
        <w:rFonts w:ascii="Symbol" w:hAnsi="Symbol" w:hint="default"/>
        <w:sz w:val="24"/>
      </w:rPr>
    </w:lvl>
    <w:lvl w:ilvl="1" w:tentative="1">
      <w:start w:val="1"/>
      <w:numFmt w:val="bullet"/>
      <w:lvlText w:val="o"/>
      <w:lvlJc w:val="left"/>
      <w:pPr>
        <w:tabs>
          <w:tab w:val="num" w:pos="764"/>
        </w:tabs>
        <w:ind w:left="764" w:hanging="360"/>
      </w:pPr>
      <w:rPr>
        <w:rFonts w:ascii="Courier New" w:hAnsi="Courier New" w:hint="default"/>
        <w:sz w:val="20"/>
      </w:rPr>
    </w:lvl>
    <w:lvl w:ilvl="2" w:tentative="1">
      <w:start w:val="1"/>
      <w:numFmt w:val="bullet"/>
      <w:lvlText w:val=""/>
      <w:lvlJc w:val="left"/>
      <w:pPr>
        <w:tabs>
          <w:tab w:val="num" w:pos="1484"/>
        </w:tabs>
        <w:ind w:left="1484" w:hanging="360"/>
      </w:pPr>
      <w:rPr>
        <w:rFonts w:ascii="Wingdings" w:hAnsi="Wingdings" w:hint="default"/>
        <w:sz w:val="20"/>
      </w:rPr>
    </w:lvl>
    <w:lvl w:ilvl="3" w:tentative="1">
      <w:start w:val="1"/>
      <w:numFmt w:val="bullet"/>
      <w:lvlText w:val=""/>
      <w:lvlJc w:val="left"/>
      <w:pPr>
        <w:tabs>
          <w:tab w:val="num" w:pos="2204"/>
        </w:tabs>
        <w:ind w:left="2204" w:hanging="360"/>
      </w:pPr>
      <w:rPr>
        <w:rFonts w:ascii="Wingdings" w:hAnsi="Wingdings" w:hint="default"/>
        <w:sz w:val="20"/>
      </w:rPr>
    </w:lvl>
    <w:lvl w:ilvl="4" w:tentative="1">
      <w:start w:val="1"/>
      <w:numFmt w:val="bullet"/>
      <w:lvlText w:val=""/>
      <w:lvlJc w:val="left"/>
      <w:pPr>
        <w:tabs>
          <w:tab w:val="num" w:pos="2924"/>
        </w:tabs>
        <w:ind w:left="2924" w:hanging="360"/>
      </w:pPr>
      <w:rPr>
        <w:rFonts w:ascii="Wingdings" w:hAnsi="Wingdings" w:hint="default"/>
        <w:sz w:val="20"/>
      </w:rPr>
    </w:lvl>
    <w:lvl w:ilvl="5" w:tentative="1">
      <w:start w:val="1"/>
      <w:numFmt w:val="bullet"/>
      <w:lvlText w:val=""/>
      <w:lvlJc w:val="left"/>
      <w:pPr>
        <w:tabs>
          <w:tab w:val="num" w:pos="3644"/>
        </w:tabs>
        <w:ind w:left="3644" w:hanging="360"/>
      </w:pPr>
      <w:rPr>
        <w:rFonts w:ascii="Wingdings" w:hAnsi="Wingdings" w:hint="default"/>
        <w:sz w:val="20"/>
      </w:rPr>
    </w:lvl>
    <w:lvl w:ilvl="6" w:tentative="1">
      <w:start w:val="1"/>
      <w:numFmt w:val="bullet"/>
      <w:lvlText w:val=""/>
      <w:lvlJc w:val="left"/>
      <w:pPr>
        <w:tabs>
          <w:tab w:val="num" w:pos="4364"/>
        </w:tabs>
        <w:ind w:left="4364" w:hanging="360"/>
      </w:pPr>
      <w:rPr>
        <w:rFonts w:ascii="Wingdings" w:hAnsi="Wingdings" w:hint="default"/>
        <w:sz w:val="20"/>
      </w:rPr>
    </w:lvl>
    <w:lvl w:ilvl="7" w:tentative="1">
      <w:start w:val="1"/>
      <w:numFmt w:val="bullet"/>
      <w:lvlText w:val=""/>
      <w:lvlJc w:val="left"/>
      <w:pPr>
        <w:tabs>
          <w:tab w:val="num" w:pos="5084"/>
        </w:tabs>
        <w:ind w:left="5084" w:hanging="360"/>
      </w:pPr>
      <w:rPr>
        <w:rFonts w:ascii="Wingdings" w:hAnsi="Wingdings" w:hint="default"/>
        <w:sz w:val="20"/>
      </w:rPr>
    </w:lvl>
    <w:lvl w:ilvl="8" w:tentative="1">
      <w:start w:val="1"/>
      <w:numFmt w:val="bullet"/>
      <w:lvlText w:val=""/>
      <w:lvlJc w:val="left"/>
      <w:pPr>
        <w:tabs>
          <w:tab w:val="num" w:pos="5804"/>
        </w:tabs>
        <w:ind w:left="5804" w:hanging="360"/>
      </w:pPr>
      <w:rPr>
        <w:rFonts w:ascii="Wingdings" w:hAnsi="Wingdings" w:hint="default"/>
        <w:sz w:val="20"/>
      </w:rPr>
    </w:lvl>
  </w:abstractNum>
  <w:abstractNum w:abstractNumId="7">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6BD2DDC"/>
    <w:multiLevelType w:val="hybridMultilevel"/>
    <w:tmpl w:val="01FC8CBC"/>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9">
    <w:nsid w:val="6A3E0CA3"/>
    <w:multiLevelType w:val="hybridMultilevel"/>
    <w:tmpl w:val="00BA4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53E2060"/>
    <w:multiLevelType w:val="hybridMultilevel"/>
    <w:tmpl w:val="C5164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8E81FDC"/>
    <w:multiLevelType w:val="hybridMultilevel"/>
    <w:tmpl w:val="D5C698E8"/>
    <w:lvl w:ilvl="0" w:tplc="A79EC4F8">
      <w:start w:val="1"/>
      <w:numFmt w:val="bullet"/>
      <w:pStyle w:val="Bullet0"/>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EDF0EDD"/>
    <w:multiLevelType w:val="multilevel"/>
    <w:tmpl w:val="F3FA6C9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num w:numId="1">
    <w:abstractNumId w:val="10"/>
  </w:num>
  <w:num w:numId="2">
    <w:abstractNumId w:val="7"/>
  </w:num>
  <w:num w:numId="3">
    <w:abstractNumId w:val="3"/>
  </w:num>
  <w:num w:numId="4">
    <w:abstractNumId w:val="12"/>
  </w:num>
  <w:num w:numId="5">
    <w:abstractNumId w:val="13"/>
  </w:num>
  <w:num w:numId="6">
    <w:abstractNumId w:val="11"/>
  </w:num>
  <w:num w:numId="7">
    <w:abstractNumId w:val="6"/>
  </w:num>
  <w:num w:numId="8">
    <w:abstractNumId w:val="9"/>
  </w:num>
  <w:num w:numId="9">
    <w:abstractNumId w:val="2"/>
  </w:num>
  <w:num w:numId="10">
    <w:abstractNumId w:val="0"/>
  </w:num>
  <w:num w:numId="11">
    <w:abstractNumId w:val="4"/>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7E85"/>
    <w:rsid w:val="00011F5F"/>
    <w:rsid w:val="00013465"/>
    <w:rsid w:val="00013B9E"/>
    <w:rsid w:val="00013D04"/>
    <w:rsid w:val="00021775"/>
    <w:rsid w:val="000226B3"/>
    <w:rsid w:val="00024549"/>
    <w:rsid w:val="00025AA8"/>
    <w:rsid w:val="00030F10"/>
    <w:rsid w:val="00032FE8"/>
    <w:rsid w:val="00033486"/>
    <w:rsid w:val="00036F7B"/>
    <w:rsid w:val="00037720"/>
    <w:rsid w:val="00040023"/>
    <w:rsid w:val="00050058"/>
    <w:rsid w:val="00050D1C"/>
    <w:rsid w:val="0005233C"/>
    <w:rsid w:val="00052E8A"/>
    <w:rsid w:val="000544B6"/>
    <w:rsid w:val="00056CA7"/>
    <w:rsid w:val="00056E2C"/>
    <w:rsid w:val="000573AB"/>
    <w:rsid w:val="000604AF"/>
    <w:rsid w:val="00060764"/>
    <w:rsid w:val="00065F53"/>
    <w:rsid w:val="00070995"/>
    <w:rsid w:val="00070D0A"/>
    <w:rsid w:val="00072A04"/>
    <w:rsid w:val="000731EA"/>
    <w:rsid w:val="00074BC9"/>
    <w:rsid w:val="0007681D"/>
    <w:rsid w:val="0008141F"/>
    <w:rsid w:val="00086C11"/>
    <w:rsid w:val="000916FD"/>
    <w:rsid w:val="00092958"/>
    <w:rsid w:val="00094DCF"/>
    <w:rsid w:val="00094F98"/>
    <w:rsid w:val="0009636B"/>
    <w:rsid w:val="00096EFF"/>
    <w:rsid w:val="000A2899"/>
    <w:rsid w:val="000A38FA"/>
    <w:rsid w:val="000A6CFD"/>
    <w:rsid w:val="000A6FF7"/>
    <w:rsid w:val="000B0982"/>
    <w:rsid w:val="000B118D"/>
    <w:rsid w:val="000B15A6"/>
    <w:rsid w:val="000B23D2"/>
    <w:rsid w:val="000B4314"/>
    <w:rsid w:val="000B796C"/>
    <w:rsid w:val="000C0699"/>
    <w:rsid w:val="000C1EB7"/>
    <w:rsid w:val="000C42BA"/>
    <w:rsid w:val="000C46BB"/>
    <w:rsid w:val="000C4D9D"/>
    <w:rsid w:val="000C6C67"/>
    <w:rsid w:val="000C7C4B"/>
    <w:rsid w:val="000C7D8B"/>
    <w:rsid w:val="000D0893"/>
    <w:rsid w:val="000D1227"/>
    <w:rsid w:val="000D267B"/>
    <w:rsid w:val="000D576D"/>
    <w:rsid w:val="000E1482"/>
    <w:rsid w:val="000E485D"/>
    <w:rsid w:val="000E72C6"/>
    <w:rsid w:val="000F017C"/>
    <w:rsid w:val="000F1893"/>
    <w:rsid w:val="000F2F51"/>
    <w:rsid w:val="000F4346"/>
    <w:rsid w:val="000F6C31"/>
    <w:rsid w:val="00101CE8"/>
    <w:rsid w:val="00111FF2"/>
    <w:rsid w:val="00113714"/>
    <w:rsid w:val="00113CF8"/>
    <w:rsid w:val="00113D74"/>
    <w:rsid w:val="00115D37"/>
    <w:rsid w:val="00117C5C"/>
    <w:rsid w:val="00120A81"/>
    <w:rsid w:val="00120D85"/>
    <w:rsid w:val="0012236D"/>
    <w:rsid w:val="00124D97"/>
    <w:rsid w:val="00127525"/>
    <w:rsid w:val="001310AE"/>
    <w:rsid w:val="001342C0"/>
    <w:rsid w:val="00134AA6"/>
    <w:rsid w:val="00137D9F"/>
    <w:rsid w:val="001407CA"/>
    <w:rsid w:val="001420B3"/>
    <w:rsid w:val="00142CF2"/>
    <w:rsid w:val="00144D0B"/>
    <w:rsid w:val="001473A0"/>
    <w:rsid w:val="00150100"/>
    <w:rsid w:val="0015691C"/>
    <w:rsid w:val="001613F9"/>
    <w:rsid w:val="001621F7"/>
    <w:rsid w:val="001624D7"/>
    <w:rsid w:val="0016564F"/>
    <w:rsid w:val="00166368"/>
    <w:rsid w:val="001663C1"/>
    <w:rsid w:val="0017262D"/>
    <w:rsid w:val="00176995"/>
    <w:rsid w:val="00177A07"/>
    <w:rsid w:val="00177B86"/>
    <w:rsid w:val="00182585"/>
    <w:rsid w:val="00185FA3"/>
    <w:rsid w:val="00186740"/>
    <w:rsid w:val="00186A0E"/>
    <w:rsid w:val="0019060E"/>
    <w:rsid w:val="00191182"/>
    <w:rsid w:val="0019159E"/>
    <w:rsid w:val="001917D4"/>
    <w:rsid w:val="00195C4C"/>
    <w:rsid w:val="0019664D"/>
    <w:rsid w:val="001A2D97"/>
    <w:rsid w:val="001A6103"/>
    <w:rsid w:val="001A7F1D"/>
    <w:rsid w:val="001B020C"/>
    <w:rsid w:val="001B2587"/>
    <w:rsid w:val="001B5D37"/>
    <w:rsid w:val="001B7294"/>
    <w:rsid w:val="001C2940"/>
    <w:rsid w:val="001C4016"/>
    <w:rsid w:val="001C548D"/>
    <w:rsid w:val="001C6A5D"/>
    <w:rsid w:val="001D6345"/>
    <w:rsid w:val="001E31A6"/>
    <w:rsid w:val="001E42C7"/>
    <w:rsid w:val="001E4CAB"/>
    <w:rsid w:val="001E51F4"/>
    <w:rsid w:val="001E64BB"/>
    <w:rsid w:val="001E660D"/>
    <w:rsid w:val="001E6E97"/>
    <w:rsid w:val="001F15EB"/>
    <w:rsid w:val="001F2F3E"/>
    <w:rsid w:val="001F4665"/>
    <w:rsid w:val="001F4906"/>
    <w:rsid w:val="001F6A21"/>
    <w:rsid w:val="001F7C4A"/>
    <w:rsid w:val="00204C8B"/>
    <w:rsid w:val="0020578A"/>
    <w:rsid w:val="00206EED"/>
    <w:rsid w:val="00207631"/>
    <w:rsid w:val="00211959"/>
    <w:rsid w:val="00214013"/>
    <w:rsid w:val="00215B02"/>
    <w:rsid w:val="00220FC1"/>
    <w:rsid w:val="00221705"/>
    <w:rsid w:val="00222E9A"/>
    <w:rsid w:val="0023179D"/>
    <w:rsid w:val="0023506D"/>
    <w:rsid w:val="0025389D"/>
    <w:rsid w:val="00253CBD"/>
    <w:rsid w:val="002540FB"/>
    <w:rsid w:val="00254453"/>
    <w:rsid w:val="00254E02"/>
    <w:rsid w:val="002575B3"/>
    <w:rsid w:val="00257A03"/>
    <w:rsid w:val="0026027A"/>
    <w:rsid w:val="002604B7"/>
    <w:rsid w:val="0026265F"/>
    <w:rsid w:val="00265117"/>
    <w:rsid w:val="00267215"/>
    <w:rsid w:val="002679A9"/>
    <w:rsid w:val="00267E2A"/>
    <w:rsid w:val="002724EA"/>
    <w:rsid w:val="00276BDD"/>
    <w:rsid w:val="00276CDC"/>
    <w:rsid w:val="00282E35"/>
    <w:rsid w:val="00284E0E"/>
    <w:rsid w:val="00286C3A"/>
    <w:rsid w:val="00286FFE"/>
    <w:rsid w:val="00290450"/>
    <w:rsid w:val="00291CC0"/>
    <w:rsid w:val="002927F1"/>
    <w:rsid w:val="00292826"/>
    <w:rsid w:val="002930F5"/>
    <w:rsid w:val="002A06B7"/>
    <w:rsid w:val="002A2C02"/>
    <w:rsid w:val="002A2DD9"/>
    <w:rsid w:val="002A7502"/>
    <w:rsid w:val="002A7E43"/>
    <w:rsid w:val="002B2474"/>
    <w:rsid w:val="002B4C0E"/>
    <w:rsid w:val="002C47DF"/>
    <w:rsid w:val="002C61CB"/>
    <w:rsid w:val="002C6E0C"/>
    <w:rsid w:val="002D144A"/>
    <w:rsid w:val="002D1B0C"/>
    <w:rsid w:val="002D55C4"/>
    <w:rsid w:val="002E0864"/>
    <w:rsid w:val="002E19A3"/>
    <w:rsid w:val="002E212B"/>
    <w:rsid w:val="002E2272"/>
    <w:rsid w:val="002E22E4"/>
    <w:rsid w:val="002E3337"/>
    <w:rsid w:val="002E637A"/>
    <w:rsid w:val="002E6D03"/>
    <w:rsid w:val="002F3C83"/>
    <w:rsid w:val="002F49A8"/>
    <w:rsid w:val="002F5E66"/>
    <w:rsid w:val="002F61CA"/>
    <w:rsid w:val="0030010D"/>
    <w:rsid w:val="00302A7B"/>
    <w:rsid w:val="00305851"/>
    <w:rsid w:val="00305EE3"/>
    <w:rsid w:val="00306DD2"/>
    <w:rsid w:val="00320D73"/>
    <w:rsid w:val="003217F0"/>
    <w:rsid w:val="00324375"/>
    <w:rsid w:val="00326AF2"/>
    <w:rsid w:val="00332892"/>
    <w:rsid w:val="00332F5A"/>
    <w:rsid w:val="0033429D"/>
    <w:rsid w:val="0033504C"/>
    <w:rsid w:val="00336816"/>
    <w:rsid w:val="003370D0"/>
    <w:rsid w:val="00337355"/>
    <w:rsid w:val="003402E4"/>
    <w:rsid w:val="00340ECB"/>
    <w:rsid w:val="00340F95"/>
    <w:rsid w:val="00342344"/>
    <w:rsid w:val="00345AC7"/>
    <w:rsid w:val="003531ED"/>
    <w:rsid w:val="003567A7"/>
    <w:rsid w:val="00356880"/>
    <w:rsid w:val="00356CA2"/>
    <w:rsid w:val="00360B9A"/>
    <w:rsid w:val="00361C9D"/>
    <w:rsid w:val="00365F47"/>
    <w:rsid w:val="0037196C"/>
    <w:rsid w:val="00371A22"/>
    <w:rsid w:val="00374786"/>
    <w:rsid w:val="00375710"/>
    <w:rsid w:val="00380D8C"/>
    <w:rsid w:val="0038244D"/>
    <w:rsid w:val="003847B1"/>
    <w:rsid w:val="0039017F"/>
    <w:rsid w:val="003901DD"/>
    <w:rsid w:val="00394AEE"/>
    <w:rsid w:val="00397D07"/>
    <w:rsid w:val="003A07EA"/>
    <w:rsid w:val="003A266E"/>
    <w:rsid w:val="003A3717"/>
    <w:rsid w:val="003A5857"/>
    <w:rsid w:val="003A5F64"/>
    <w:rsid w:val="003B25E5"/>
    <w:rsid w:val="003B3C1B"/>
    <w:rsid w:val="003B4213"/>
    <w:rsid w:val="003B5712"/>
    <w:rsid w:val="003B5CA4"/>
    <w:rsid w:val="003C2D98"/>
    <w:rsid w:val="003C336B"/>
    <w:rsid w:val="003C4E8D"/>
    <w:rsid w:val="003C7007"/>
    <w:rsid w:val="003D075F"/>
    <w:rsid w:val="003D3436"/>
    <w:rsid w:val="003D3A96"/>
    <w:rsid w:val="003D3B9C"/>
    <w:rsid w:val="003D5F1A"/>
    <w:rsid w:val="003D73D8"/>
    <w:rsid w:val="003D741C"/>
    <w:rsid w:val="003E045C"/>
    <w:rsid w:val="003E3428"/>
    <w:rsid w:val="003E7B1E"/>
    <w:rsid w:val="003F5AC0"/>
    <w:rsid w:val="0040282E"/>
    <w:rsid w:val="00404F03"/>
    <w:rsid w:val="00412051"/>
    <w:rsid w:val="00412F42"/>
    <w:rsid w:val="00415186"/>
    <w:rsid w:val="004151D6"/>
    <w:rsid w:val="00415A5C"/>
    <w:rsid w:val="00421898"/>
    <w:rsid w:val="00423B94"/>
    <w:rsid w:val="004277D4"/>
    <w:rsid w:val="00427DF1"/>
    <w:rsid w:val="004305F7"/>
    <w:rsid w:val="00431B45"/>
    <w:rsid w:val="004407DF"/>
    <w:rsid w:val="0044518E"/>
    <w:rsid w:val="0045134B"/>
    <w:rsid w:val="0046071B"/>
    <w:rsid w:val="00461968"/>
    <w:rsid w:val="00463731"/>
    <w:rsid w:val="0046400A"/>
    <w:rsid w:val="0046440E"/>
    <w:rsid w:val="004655C9"/>
    <w:rsid w:val="00467B25"/>
    <w:rsid w:val="00467ECA"/>
    <w:rsid w:val="00471CCB"/>
    <w:rsid w:val="00471D08"/>
    <w:rsid w:val="004730FD"/>
    <w:rsid w:val="004738BE"/>
    <w:rsid w:val="004765CA"/>
    <w:rsid w:val="00477941"/>
    <w:rsid w:val="00481108"/>
    <w:rsid w:val="004821C6"/>
    <w:rsid w:val="0049042B"/>
    <w:rsid w:val="00492666"/>
    <w:rsid w:val="00495473"/>
    <w:rsid w:val="004A0B6B"/>
    <w:rsid w:val="004A4118"/>
    <w:rsid w:val="004A458E"/>
    <w:rsid w:val="004A5E8C"/>
    <w:rsid w:val="004A6E0F"/>
    <w:rsid w:val="004B0198"/>
    <w:rsid w:val="004B23E7"/>
    <w:rsid w:val="004B2DAB"/>
    <w:rsid w:val="004B306F"/>
    <w:rsid w:val="004B4AB0"/>
    <w:rsid w:val="004B5B30"/>
    <w:rsid w:val="004C04DE"/>
    <w:rsid w:val="004C3186"/>
    <w:rsid w:val="004C5042"/>
    <w:rsid w:val="004C5C9C"/>
    <w:rsid w:val="004C6BAC"/>
    <w:rsid w:val="004C73A4"/>
    <w:rsid w:val="004D0A04"/>
    <w:rsid w:val="004D6737"/>
    <w:rsid w:val="004E343B"/>
    <w:rsid w:val="004E4422"/>
    <w:rsid w:val="004E6C1C"/>
    <w:rsid w:val="004E757F"/>
    <w:rsid w:val="004F0118"/>
    <w:rsid w:val="004F1E16"/>
    <w:rsid w:val="004F1F8D"/>
    <w:rsid w:val="004F214E"/>
    <w:rsid w:val="004F4ADE"/>
    <w:rsid w:val="004F77C8"/>
    <w:rsid w:val="00503998"/>
    <w:rsid w:val="00505C27"/>
    <w:rsid w:val="0050623B"/>
    <w:rsid w:val="00511DC4"/>
    <w:rsid w:val="005140AC"/>
    <w:rsid w:val="00515465"/>
    <w:rsid w:val="00515FE9"/>
    <w:rsid w:val="00523181"/>
    <w:rsid w:val="00524D13"/>
    <w:rsid w:val="005317AA"/>
    <w:rsid w:val="005339F6"/>
    <w:rsid w:val="0053470B"/>
    <w:rsid w:val="005348FC"/>
    <w:rsid w:val="00536370"/>
    <w:rsid w:val="005438AD"/>
    <w:rsid w:val="00544915"/>
    <w:rsid w:val="0054773A"/>
    <w:rsid w:val="00550CD5"/>
    <w:rsid w:val="00553316"/>
    <w:rsid w:val="00567147"/>
    <w:rsid w:val="00571FE4"/>
    <w:rsid w:val="00573C2D"/>
    <w:rsid w:val="00576A4D"/>
    <w:rsid w:val="00576B18"/>
    <w:rsid w:val="0058050D"/>
    <w:rsid w:val="00580A03"/>
    <w:rsid w:val="0058340D"/>
    <w:rsid w:val="00585313"/>
    <w:rsid w:val="00587724"/>
    <w:rsid w:val="00591512"/>
    <w:rsid w:val="005936E3"/>
    <w:rsid w:val="00597346"/>
    <w:rsid w:val="00597922"/>
    <w:rsid w:val="00597D7B"/>
    <w:rsid w:val="005A42F1"/>
    <w:rsid w:val="005A6118"/>
    <w:rsid w:val="005B3443"/>
    <w:rsid w:val="005B48B4"/>
    <w:rsid w:val="005B6A2F"/>
    <w:rsid w:val="005C295E"/>
    <w:rsid w:val="005C3FE6"/>
    <w:rsid w:val="005C4B6E"/>
    <w:rsid w:val="005C5884"/>
    <w:rsid w:val="005C6661"/>
    <w:rsid w:val="005C6E3B"/>
    <w:rsid w:val="005D0D59"/>
    <w:rsid w:val="005D334A"/>
    <w:rsid w:val="005D474B"/>
    <w:rsid w:val="005E085C"/>
    <w:rsid w:val="005E147D"/>
    <w:rsid w:val="005E1868"/>
    <w:rsid w:val="005E20D4"/>
    <w:rsid w:val="005E22C2"/>
    <w:rsid w:val="005E331C"/>
    <w:rsid w:val="005E3FE3"/>
    <w:rsid w:val="005E57BB"/>
    <w:rsid w:val="005F0017"/>
    <w:rsid w:val="005F2354"/>
    <w:rsid w:val="005F3CD4"/>
    <w:rsid w:val="005F43B6"/>
    <w:rsid w:val="006014F1"/>
    <w:rsid w:val="00602B5A"/>
    <w:rsid w:val="00606091"/>
    <w:rsid w:val="00606F20"/>
    <w:rsid w:val="00607D6B"/>
    <w:rsid w:val="00610BC4"/>
    <w:rsid w:val="00610EA6"/>
    <w:rsid w:val="00611480"/>
    <w:rsid w:val="00612382"/>
    <w:rsid w:val="0061357B"/>
    <w:rsid w:val="00613D3F"/>
    <w:rsid w:val="00614A7D"/>
    <w:rsid w:val="00616ECD"/>
    <w:rsid w:val="006177BA"/>
    <w:rsid w:val="006209E0"/>
    <w:rsid w:val="006236A3"/>
    <w:rsid w:val="00630AAB"/>
    <w:rsid w:val="00631607"/>
    <w:rsid w:val="00633009"/>
    <w:rsid w:val="006352A9"/>
    <w:rsid w:val="0063631C"/>
    <w:rsid w:val="0063757B"/>
    <w:rsid w:val="0063768E"/>
    <w:rsid w:val="006377CE"/>
    <w:rsid w:val="00643B6D"/>
    <w:rsid w:val="00644864"/>
    <w:rsid w:val="0064758C"/>
    <w:rsid w:val="00647659"/>
    <w:rsid w:val="0065084C"/>
    <w:rsid w:val="0065190C"/>
    <w:rsid w:val="006537D9"/>
    <w:rsid w:val="00654F0B"/>
    <w:rsid w:val="00657860"/>
    <w:rsid w:val="006613D0"/>
    <w:rsid w:val="006616CB"/>
    <w:rsid w:val="00664A48"/>
    <w:rsid w:val="0066576C"/>
    <w:rsid w:val="00665DEF"/>
    <w:rsid w:val="006679D8"/>
    <w:rsid w:val="00671688"/>
    <w:rsid w:val="00673FAC"/>
    <w:rsid w:val="00675102"/>
    <w:rsid w:val="0067578E"/>
    <w:rsid w:val="00675BB1"/>
    <w:rsid w:val="006775F1"/>
    <w:rsid w:val="006777B7"/>
    <w:rsid w:val="00684D7D"/>
    <w:rsid w:val="0068512F"/>
    <w:rsid w:val="006903B2"/>
    <w:rsid w:val="00691753"/>
    <w:rsid w:val="00692AA7"/>
    <w:rsid w:val="00692AFA"/>
    <w:rsid w:val="0069732F"/>
    <w:rsid w:val="00697FEC"/>
    <w:rsid w:val="006A07E2"/>
    <w:rsid w:val="006A0FBF"/>
    <w:rsid w:val="006A175F"/>
    <w:rsid w:val="006A44F5"/>
    <w:rsid w:val="006A5599"/>
    <w:rsid w:val="006A5920"/>
    <w:rsid w:val="006A7DE7"/>
    <w:rsid w:val="006B4537"/>
    <w:rsid w:val="006B5F85"/>
    <w:rsid w:val="006B6200"/>
    <w:rsid w:val="006B6929"/>
    <w:rsid w:val="006B709B"/>
    <w:rsid w:val="006C5103"/>
    <w:rsid w:val="006C54AF"/>
    <w:rsid w:val="006C5DCC"/>
    <w:rsid w:val="006D3ABD"/>
    <w:rsid w:val="006D4B9B"/>
    <w:rsid w:val="006E0181"/>
    <w:rsid w:val="006E2A66"/>
    <w:rsid w:val="006E5C55"/>
    <w:rsid w:val="006E7FE8"/>
    <w:rsid w:val="006F0B68"/>
    <w:rsid w:val="006F11AC"/>
    <w:rsid w:val="006F4B53"/>
    <w:rsid w:val="006F55B2"/>
    <w:rsid w:val="006F605B"/>
    <w:rsid w:val="006F6382"/>
    <w:rsid w:val="00700C0E"/>
    <w:rsid w:val="0070399B"/>
    <w:rsid w:val="0070570D"/>
    <w:rsid w:val="00705DAD"/>
    <w:rsid w:val="00706366"/>
    <w:rsid w:val="00707387"/>
    <w:rsid w:val="00711CFD"/>
    <w:rsid w:val="0071692E"/>
    <w:rsid w:val="007228FE"/>
    <w:rsid w:val="007247B9"/>
    <w:rsid w:val="00726109"/>
    <w:rsid w:val="00727D85"/>
    <w:rsid w:val="00727FE5"/>
    <w:rsid w:val="0073325B"/>
    <w:rsid w:val="007346C7"/>
    <w:rsid w:val="00736041"/>
    <w:rsid w:val="007408C7"/>
    <w:rsid w:val="00743678"/>
    <w:rsid w:val="00746176"/>
    <w:rsid w:val="007463FF"/>
    <w:rsid w:val="007465DA"/>
    <w:rsid w:val="00746B7B"/>
    <w:rsid w:val="0075003E"/>
    <w:rsid w:val="00752C7F"/>
    <w:rsid w:val="00754C60"/>
    <w:rsid w:val="00762158"/>
    <w:rsid w:val="0076718B"/>
    <w:rsid w:val="0077048B"/>
    <w:rsid w:val="00773D69"/>
    <w:rsid w:val="00773E28"/>
    <w:rsid w:val="00776598"/>
    <w:rsid w:val="00792948"/>
    <w:rsid w:val="00793630"/>
    <w:rsid w:val="00796E84"/>
    <w:rsid w:val="007A3623"/>
    <w:rsid w:val="007A3ADE"/>
    <w:rsid w:val="007A5733"/>
    <w:rsid w:val="007A5774"/>
    <w:rsid w:val="007A6223"/>
    <w:rsid w:val="007C274E"/>
    <w:rsid w:val="007C2F5D"/>
    <w:rsid w:val="007C48A3"/>
    <w:rsid w:val="007C7C38"/>
    <w:rsid w:val="007D3CBC"/>
    <w:rsid w:val="007D5FCA"/>
    <w:rsid w:val="007D70E2"/>
    <w:rsid w:val="007D743A"/>
    <w:rsid w:val="007D7DB1"/>
    <w:rsid w:val="007E1291"/>
    <w:rsid w:val="007E5D76"/>
    <w:rsid w:val="007F024A"/>
    <w:rsid w:val="007F027B"/>
    <w:rsid w:val="007F1A76"/>
    <w:rsid w:val="007F56A4"/>
    <w:rsid w:val="007F5E04"/>
    <w:rsid w:val="007F6B4A"/>
    <w:rsid w:val="00801D38"/>
    <w:rsid w:val="00801E74"/>
    <w:rsid w:val="00802776"/>
    <w:rsid w:val="00802E75"/>
    <w:rsid w:val="0080485E"/>
    <w:rsid w:val="0080628D"/>
    <w:rsid w:val="0081169E"/>
    <w:rsid w:val="008129E3"/>
    <w:rsid w:val="008142B4"/>
    <w:rsid w:val="008154EE"/>
    <w:rsid w:val="00815E8C"/>
    <w:rsid w:val="0082328A"/>
    <w:rsid w:val="0083021B"/>
    <w:rsid w:val="00832324"/>
    <w:rsid w:val="008341BA"/>
    <w:rsid w:val="00835337"/>
    <w:rsid w:val="00843858"/>
    <w:rsid w:val="00843D13"/>
    <w:rsid w:val="00844BB2"/>
    <w:rsid w:val="00846DCD"/>
    <w:rsid w:val="008510E3"/>
    <w:rsid w:val="00851D85"/>
    <w:rsid w:val="008527F9"/>
    <w:rsid w:val="008570CC"/>
    <w:rsid w:val="008573B8"/>
    <w:rsid w:val="00860CCB"/>
    <w:rsid w:val="00861109"/>
    <w:rsid w:val="0086207A"/>
    <w:rsid w:val="0086257A"/>
    <w:rsid w:val="00865114"/>
    <w:rsid w:val="0086663B"/>
    <w:rsid w:val="00872E1E"/>
    <w:rsid w:val="008740A3"/>
    <w:rsid w:val="0087562C"/>
    <w:rsid w:val="0087588D"/>
    <w:rsid w:val="00877335"/>
    <w:rsid w:val="0088003D"/>
    <w:rsid w:val="008829BC"/>
    <w:rsid w:val="008877D2"/>
    <w:rsid w:val="0089297B"/>
    <w:rsid w:val="0089383A"/>
    <w:rsid w:val="008966D7"/>
    <w:rsid w:val="008A04BB"/>
    <w:rsid w:val="008A2574"/>
    <w:rsid w:val="008A5E16"/>
    <w:rsid w:val="008B2E92"/>
    <w:rsid w:val="008B4590"/>
    <w:rsid w:val="008B59A8"/>
    <w:rsid w:val="008B67B0"/>
    <w:rsid w:val="008C3408"/>
    <w:rsid w:val="008C36CA"/>
    <w:rsid w:val="008D11A4"/>
    <w:rsid w:val="008D3E95"/>
    <w:rsid w:val="008D5026"/>
    <w:rsid w:val="008D63BB"/>
    <w:rsid w:val="008E3F8C"/>
    <w:rsid w:val="008E5F7C"/>
    <w:rsid w:val="008E697A"/>
    <w:rsid w:val="008E7FA1"/>
    <w:rsid w:val="008F18D6"/>
    <w:rsid w:val="00902FD0"/>
    <w:rsid w:val="009053D3"/>
    <w:rsid w:val="0090691F"/>
    <w:rsid w:val="00914D28"/>
    <w:rsid w:val="00921600"/>
    <w:rsid w:val="0093111F"/>
    <w:rsid w:val="00931397"/>
    <w:rsid w:val="0093236C"/>
    <w:rsid w:val="00932A2F"/>
    <w:rsid w:val="009341DC"/>
    <w:rsid w:val="00935689"/>
    <w:rsid w:val="00935C9D"/>
    <w:rsid w:val="00943250"/>
    <w:rsid w:val="00943F9C"/>
    <w:rsid w:val="00944E17"/>
    <w:rsid w:val="009453C9"/>
    <w:rsid w:val="00946A78"/>
    <w:rsid w:val="00946B16"/>
    <w:rsid w:val="00946DD5"/>
    <w:rsid w:val="00947B31"/>
    <w:rsid w:val="0095303B"/>
    <w:rsid w:val="00957DF3"/>
    <w:rsid w:val="009663B6"/>
    <w:rsid w:val="00974A47"/>
    <w:rsid w:val="00975C02"/>
    <w:rsid w:val="00977178"/>
    <w:rsid w:val="00977F24"/>
    <w:rsid w:val="00980286"/>
    <w:rsid w:val="00981969"/>
    <w:rsid w:val="00984B61"/>
    <w:rsid w:val="00987EE6"/>
    <w:rsid w:val="00990C9C"/>
    <w:rsid w:val="00990DCF"/>
    <w:rsid w:val="009941EF"/>
    <w:rsid w:val="00994FE0"/>
    <w:rsid w:val="009A011A"/>
    <w:rsid w:val="009A1C37"/>
    <w:rsid w:val="009A4CD6"/>
    <w:rsid w:val="009A537C"/>
    <w:rsid w:val="009B16F9"/>
    <w:rsid w:val="009B34E6"/>
    <w:rsid w:val="009B436A"/>
    <w:rsid w:val="009C0886"/>
    <w:rsid w:val="009C19EE"/>
    <w:rsid w:val="009C28D0"/>
    <w:rsid w:val="009C35F2"/>
    <w:rsid w:val="009C4679"/>
    <w:rsid w:val="009C69B3"/>
    <w:rsid w:val="009C772D"/>
    <w:rsid w:val="009C7782"/>
    <w:rsid w:val="009D1ED5"/>
    <w:rsid w:val="009D2438"/>
    <w:rsid w:val="009D4C13"/>
    <w:rsid w:val="009D4DCD"/>
    <w:rsid w:val="009E21A7"/>
    <w:rsid w:val="009E4606"/>
    <w:rsid w:val="009F11D5"/>
    <w:rsid w:val="009F2B32"/>
    <w:rsid w:val="009F42AC"/>
    <w:rsid w:val="009F51EE"/>
    <w:rsid w:val="00A03701"/>
    <w:rsid w:val="00A060A3"/>
    <w:rsid w:val="00A103ED"/>
    <w:rsid w:val="00A10AD7"/>
    <w:rsid w:val="00A11B4D"/>
    <w:rsid w:val="00A13C60"/>
    <w:rsid w:val="00A1534A"/>
    <w:rsid w:val="00A16337"/>
    <w:rsid w:val="00A21385"/>
    <w:rsid w:val="00A23C9B"/>
    <w:rsid w:val="00A246BC"/>
    <w:rsid w:val="00A269C2"/>
    <w:rsid w:val="00A333DD"/>
    <w:rsid w:val="00A341A3"/>
    <w:rsid w:val="00A35271"/>
    <w:rsid w:val="00A35800"/>
    <w:rsid w:val="00A35CF6"/>
    <w:rsid w:val="00A35F93"/>
    <w:rsid w:val="00A4089F"/>
    <w:rsid w:val="00A4112B"/>
    <w:rsid w:val="00A43AD0"/>
    <w:rsid w:val="00A4511B"/>
    <w:rsid w:val="00A462BC"/>
    <w:rsid w:val="00A4701D"/>
    <w:rsid w:val="00A52918"/>
    <w:rsid w:val="00A547B3"/>
    <w:rsid w:val="00A5603A"/>
    <w:rsid w:val="00A565BB"/>
    <w:rsid w:val="00A56F02"/>
    <w:rsid w:val="00A57F7B"/>
    <w:rsid w:val="00A66A98"/>
    <w:rsid w:val="00A70E82"/>
    <w:rsid w:val="00A70EFB"/>
    <w:rsid w:val="00A74E7D"/>
    <w:rsid w:val="00A7655B"/>
    <w:rsid w:val="00A80350"/>
    <w:rsid w:val="00A83924"/>
    <w:rsid w:val="00A84CAD"/>
    <w:rsid w:val="00A9003F"/>
    <w:rsid w:val="00A902C9"/>
    <w:rsid w:val="00A9083E"/>
    <w:rsid w:val="00A90E50"/>
    <w:rsid w:val="00A925D9"/>
    <w:rsid w:val="00A92BE1"/>
    <w:rsid w:val="00A95FA5"/>
    <w:rsid w:val="00A96D92"/>
    <w:rsid w:val="00AA15F5"/>
    <w:rsid w:val="00AA1B72"/>
    <w:rsid w:val="00AA2743"/>
    <w:rsid w:val="00AA3008"/>
    <w:rsid w:val="00AA391E"/>
    <w:rsid w:val="00AA7090"/>
    <w:rsid w:val="00AB1936"/>
    <w:rsid w:val="00AB3733"/>
    <w:rsid w:val="00AB3B65"/>
    <w:rsid w:val="00AB4BC7"/>
    <w:rsid w:val="00AB5814"/>
    <w:rsid w:val="00AB7590"/>
    <w:rsid w:val="00AB7897"/>
    <w:rsid w:val="00AC128D"/>
    <w:rsid w:val="00AC2C20"/>
    <w:rsid w:val="00AC3EAA"/>
    <w:rsid w:val="00AC4612"/>
    <w:rsid w:val="00AC5054"/>
    <w:rsid w:val="00AD39A1"/>
    <w:rsid w:val="00AD5637"/>
    <w:rsid w:val="00AE4BAC"/>
    <w:rsid w:val="00AE5F66"/>
    <w:rsid w:val="00AE7241"/>
    <w:rsid w:val="00AE736D"/>
    <w:rsid w:val="00AE76EE"/>
    <w:rsid w:val="00AF0AC0"/>
    <w:rsid w:val="00AF2745"/>
    <w:rsid w:val="00AF3457"/>
    <w:rsid w:val="00AF6C25"/>
    <w:rsid w:val="00B034FC"/>
    <w:rsid w:val="00B05310"/>
    <w:rsid w:val="00B05661"/>
    <w:rsid w:val="00B057F8"/>
    <w:rsid w:val="00B10A0B"/>
    <w:rsid w:val="00B11CC8"/>
    <w:rsid w:val="00B11E1B"/>
    <w:rsid w:val="00B21220"/>
    <w:rsid w:val="00B22D64"/>
    <w:rsid w:val="00B23548"/>
    <w:rsid w:val="00B25FEA"/>
    <w:rsid w:val="00B26A55"/>
    <w:rsid w:val="00B3011E"/>
    <w:rsid w:val="00B30CA1"/>
    <w:rsid w:val="00B30D85"/>
    <w:rsid w:val="00B31CCB"/>
    <w:rsid w:val="00B31DAE"/>
    <w:rsid w:val="00B323D9"/>
    <w:rsid w:val="00B35A4A"/>
    <w:rsid w:val="00B3641F"/>
    <w:rsid w:val="00B45481"/>
    <w:rsid w:val="00B45FCF"/>
    <w:rsid w:val="00B47AEE"/>
    <w:rsid w:val="00B61DA9"/>
    <w:rsid w:val="00B6217F"/>
    <w:rsid w:val="00B63FD7"/>
    <w:rsid w:val="00B640E0"/>
    <w:rsid w:val="00B64FDF"/>
    <w:rsid w:val="00B65CFE"/>
    <w:rsid w:val="00B744B7"/>
    <w:rsid w:val="00B75C6B"/>
    <w:rsid w:val="00B75F85"/>
    <w:rsid w:val="00B77099"/>
    <w:rsid w:val="00B816D9"/>
    <w:rsid w:val="00B82162"/>
    <w:rsid w:val="00B84EE4"/>
    <w:rsid w:val="00B86BF1"/>
    <w:rsid w:val="00B9120F"/>
    <w:rsid w:val="00B9151C"/>
    <w:rsid w:val="00B9216C"/>
    <w:rsid w:val="00B924A4"/>
    <w:rsid w:val="00B92DAB"/>
    <w:rsid w:val="00B944F2"/>
    <w:rsid w:val="00B95B32"/>
    <w:rsid w:val="00BA0A17"/>
    <w:rsid w:val="00BA4F81"/>
    <w:rsid w:val="00BA57CC"/>
    <w:rsid w:val="00BA6E1F"/>
    <w:rsid w:val="00BB0D1A"/>
    <w:rsid w:val="00BB1D3B"/>
    <w:rsid w:val="00BB515C"/>
    <w:rsid w:val="00BB6D35"/>
    <w:rsid w:val="00BC0521"/>
    <w:rsid w:val="00BC0CFC"/>
    <w:rsid w:val="00BC2B27"/>
    <w:rsid w:val="00BC35ED"/>
    <w:rsid w:val="00BC3A52"/>
    <w:rsid w:val="00BC3CC7"/>
    <w:rsid w:val="00BC71B7"/>
    <w:rsid w:val="00BC7A38"/>
    <w:rsid w:val="00BD0ECF"/>
    <w:rsid w:val="00BD132F"/>
    <w:rsid w:val="00BD52FC"/>
    <w:rsid w:val="00BD6E1D"/>
    <w:rsid w:val="00BE156A"/>
    <w:rsid w:val="00BE205A"/>
    <w:rsid w:val="00BE24B5"/>
    <w:rsid w:val="00BE2D53"/>
    <w:rsid w:val="00BE3663"/>
    <w:rsid w:val="00BE3802"/>
    <w:rsid w:val="00BE6291"/>
    <w:rsid w:val="00BE7854"/>
    <w:rsid w:val="00BF111F"/>
    <w:rsid w:val="00BF238E"/>
    <w:rsid w:val="00BF2D7D"/>
    <w:rsid w:val="00BF2F4A"/>
    <w:rsid w:val="00BF4FE6"/>
    <w:rsid w:val="00BF544D"/>
    <w:rsid w:val="00BF5CA1"/>
    <w:rsid w:val="00BF658C"/>
    <w:rsid w:val="00C0076F"/>
    <w:rsid w:val="00C0301C"/>
    <w:rsid w:val="00C050B6"/>
    <w:rsid w:val="00C10F12"/>
    <w:rsid w:val="00C14409"/>
    <w:rsid w:val="00C14DD4"/>
    <w:rsid w:val="00C1760B"/>
    <w:rsid w:val="00C20D10"/>
    <w:rsid w:val="00C21DE4"/>
    <w:rsid w:val="00C245EA"/>
    <w:rsid w:val="00C256F6"/>
    <w:rsid w:val="00C26C3E"/>
    <w:rsid w:val="00C3097E"/>
    <w:rsid w:val="00C31AA8"/>
    <w:rsid w:val="00C3361B"/>
    <w:rsid w:val="00C339FB"/>
    <w:rsid w:val="00C35ECC"/>
    <w:rsid w:val="00C360CE"/>
    <w:rsid w:val="00C361A8"/>
    <w:rsid w:val="00C409C4"/>
    <w:rsid w:val="00C41246"/>
    <w:rsid w:val="00C45E5F"/>
    <w:rsid w:val="00C46291"/>
    <w:rsid w:val="00C46F81"/>
    <w:rsid w:val="00C50CAB"/>
    <w:rsid w:val="00C50CD0"/>
    <w:rsid w:val="00C522DA"/>
    <w:rsid w:val="00C53CED"/>
    <w:rsid w:val="00C63412"/>
    <w:rsid w:val="00C66795"/>
    <w:rsid w:val="00C714D0"/>
    <w:rsid w:val="00C72626"/>
    <w:rsid w:val="00C76D71"/>
    <w:rsid w:val="00C840D0"/>
    <w:rsid w:val="00C8635A"/>
    <w:rsid w:val="00C86C1E"/>
    <w:rsid w:val="00C903D5"/>
    <w:rsid w:val="00C90EF4"/>
    <w:rsid w:val="00C95BEC"/>
    <w:rsid w:val="00CA015A"/>
    <w:rsid w:val="00CA494D"/>
    <w:rsid w:val="00CA5EB6"/>
    <w:rsid w:val="00CB003C"/>
    <w:rsid w:val="00CB52FD"/>
    <w:rsid w:val="00CB7271"/>
    <w:rsid w:val="00CC1AA3"/>
    <w:rsid w:val="00CC1EDA"/>
    <w:rsid w:val="00CC4890"/>
    <w:rsid w:val="00CC49B0"/>
    <w:rsid w:val="00CC51DD"/>
    <w:rsid w:val="00CC6A15"/>
    <w:rsid w:val="00CC73E6"/>
    <w:rsid w:val="00CD323C"/>
    <w:rsid w:val="00CD4486"/>
    <w:rsid w:val="00CE0005"/>
    <w:rsid w:val="00CE19C6"/>
    <w:rsid w:val="00CE30F9"/>
    <w:rsid w:val="00CE70A4"/>
    <w:rsid w:val="00CF09C5"/>
    <w:rsid w:val="00CF156D"/>
    <w:rsid w:val="00CF1612"/>
    <w:rsid w:val="00CF2C71"/>
    <w:rsid w:val="00CF5E22"/>
    <w:rsid w:val="00D00787"/>
    <w:rsid w:val="00D00A9A"/>
    <w:rsid w:val="00D0240E"/>
    <w:rsid w:val="00D02A7C"/>
    <w:rsid w:val="00D0466E"/>
    <w:rsid w:val="00D04B55"/>
    <w:rsid w:val="00D06A44"/>
    <w:rsid w:val="00D07332"/>
    <w:rsid w:val="00D146A2"/>
    <w:rsid w:val="00D151EB"/>
    <w:rsid w:val="00D16939"/>
    <w:rsid w:val="00D2007F"/>
    <w:rsid w:val="00D21D4C"/>
    <w:rsid w:val="00D24209"/>
    <w:rsid w:val="00D25427"/>
    <w:rsid w:val="00D300E0"/>
    <w:rsid w:val="00D3385F"/>
    <w:rsid w:val="00D33C05"/>
    <w:rsid w:val="00D3574F"/>
    <w:rsid w:val="00D35C8F"/>
    <w:rsid w:val="00D374CD"/>
    <w:rsid w:val="00D418A3"/>
    <w:rsid w:val="00D5181E"/>
    <w:rsid w:val="00D57CDE"/>
    <w:rsid w:val="00D61A6D"/>
    <w:rsid w:val="00D650CE"/>
    <w:rsid w:val="00D658EC"/>
    <w:rsid w:val="00D71108"/>
    <w:rsid w:val="00D71719"/>
    <w:rsid w:val="00D73FBB"/>
    <w:rsid w:val="00D7705F"/>
    <w:rsid w:val="00D776DA"/>
    <w:rsid w:val="00D800CA"/>
    <w:rsid w:val="00D809C8"/>
    <w:rsid w:val="00D8279A"/>
    <w:rsid w:val="00D85FFA"/>
    <w:rsid w:val="00D86C44"/>
    <w:rsid w:val="00D8758B"/>
    <w:rsid w:val="00D942B3"/>
    <w:rsid w:val="00D94863"/>
    <w:rsid w:val="00D94CC3"/>
    <w:rsid w:val="00D964DF"/>
    <w:rsid w:val="00D97A2C"/>
    <w:rsid w:val="00D97C57"/>
    <w:rsid w:val="00DA7D09"/>
    <w:rsid w:val="00DB1F6A"/>
    <w:rsid w:val="00DB3D30"/>
    <w:rsid w:val="00DB54C7"/>
    <w:rsid w:val="00DB60AA"/>
    <w:rsid w:val="00DC0A31"/>
    <w:rsid w:val="00DC218D"/>
    <w:rsid w:val="00DC2630"/>
    <w:rsid w:val="00DC40DB"/>
    <w:rsid w:val="00DC480B"/>
    <w:rsid w:val="00DC49E9"/>
    <w:rsid w:val="00DC55E4"/>
    <w:rsid w:val="00DC5BAA"/>
    <w:rsid w:val="00DC7731"/>
    <w:rsid w:val="00DC7D71"/>
    <w:rsid w:val="00DD188C"/>
    <w:rsid w:val="00DD29A3"/>
    <w:rsid w:val="00DD48EE"/>
    <w:rsid w:val="00DE0B96"/>
    <w:rsid w:val="00DE10B9"/>
    <w:rsid w:val="00DE3DB6"/>
    <w:rsid w:val="00DE5478"/>
    <w:rsid w:val="00DE6E15"/>
    <w:rsid w:val="00DF0B13"/>
    <w:rsid w:val="00DF1E6B"/>
    <w:rsid w:val="00DF2EB8"/>
    <w:rsid w:val="00DF4A94"/>
    <w:rsid w:val="00DF53EA"/>
    <w:rsid w:val="00DF5814"/>
    <w:rsid w:val="00DF6003"/>
    <w:rsid w:val="00DF6137"/>
    <w:rsid w:val="00DF62F3"/>
    <w:rsid w:val="00DF68B2"/>
    <w:rsid w:val="00DF7859"/>
    <w:rsid w:val="00E00095"/>
    <w:rsid w:val="00E00EDF"/>
    <w:rsid w:val="00E01458"/>
    <w:rsid w:val="00E06452"/>
    <w:rsid w:val="00E066C3"/>
    <w:rsid w:val="00E1033B"/>
    <w:rsid w:val="00E10D8C"/>
    <w:rsid w:val="00E1353A"/>
    <w:rsid w:val="00E1564B"/>
    <w:rsid w:val="00E16E9B"/>
    <w:rsid w:val="00E208A0"/>
    <w:rsid w:val="00E248B5"/>
    <w:rsid w:val="00E25B49"/>
    <w:rsid w:val="00E3698A"/>
    <w:rsid w:val="00E371EA"/>
    <w:rsid w:val="00E440C5"/>
    <w:rsid w:val="00E50EBC"/>
    <w:rsid w:val="00E5615C"/>
    <w:rsid w:val="00E57A82"/>
    <w:rsid w:val="00E607AE"/>
    <w:rsid w:val="00E62490"/>
    <w:rsid w:val="00E64429"/>
    <w:rsid w:val="00E6443F"/>
    <w:rsid w:val="00E677DD"/>
    <w:rsid w:val="00E67E60"/>
    <w:rsid w:val="00E7159E"/>
    <w:rsid w:val="00E72D12"/>
    <w:rsid w:val="00E7594B"/>
    <w:rsid w:val="00E77B2C"/>
    <w:rsid w:val="00E80582"/>
    <w:rsid w:val="00E8189F"/>
    <w:rsid w:val="00E83709"/>
    <w:rsid w:val="00E85318"/>
    <w:rsid w:val="00E85519"/>
    <w:rsid w:val="00E8666A"/>
    <w:rsid w:val="00E87212"/>
    <w:rsid w:val="00E91105"/>
    <w:rsid w:val="00E94115"/>
    <w:rsid w:val="00E95143"/>
    <w:rsid w:val="00E9665F"/>
    <w:rsid w:val="00EA4BE4"/>
    <w:rsid w:val="00EA7934"/>
    <w:rsid w:val="00EB1A9D"/>
    <w:rsid w:val="00EB1AE6"/>
    <w:rsid w:val="00EB223A"/>
    <w:rsid w:val="00EB3F91"/>
    <w:rsid w:val="00EB4688"/>
    <w:rsid w:val="00EB4A48"/>
    <w:rsid w:val="00EB6C07"/>
    <w:rsid w:val="00EC028D"/>
    <w:rsid w:val="00EC1141"/>
    <w:rsid w:val="00EC1A06"/>
    <w:rsid w:val="00EC266F"/>
    <w:rsid w:val="00EC41BA"/>
    <w:rsid w:val="00EC426A"/>
    <w:rsid w:val="00EC6A75"/>
    <w:rsid w:val="00ED1F52"/>
    <w:rsid w:val="00ED3428"/>
    <w:rsid w:val="00ED633B"/>
    <w:rsid w:val="00EE0333"/>
    <w:rsid w:val="00EE1ADB"/>
    <w:rsid w:val="00EE478C"/>
    <w:rsid w:val="00EE5426"/>
    <w:rsid w:val="00EE59FC"/>
    <w:rsid w:val="00EF06A5"/>
    <w:rsid w:val="00EF1569"/>
    <w:rsid w:val="00EF230C"/>
    <w:rsid w:val="00EF6616"/>
    <w:rsid w:val="00EF7509"/>
    <w:rsid w:val="00F00E51"/>
    <w:rsid w:val="00F02F8B"/>
    <w:rsid w:val="00F06601"/>
    <w:rsid w:val="00F101B0"/>
    <w:rsid w:val="00F1132C"/>
    <w:rsid w:val="00F15DD5"/>
    <w:rsid w:val="00F17D4B"/>
    <w:rsid w:val="00F22DD5"/>
    <w:rsid w:val="00F23139"/>
    <w:rsid w:val="00F27437"/>
    <w:rsid w:val="00F362F5"/>
    <w:rsid w:val="00F42BCB"/>
    <w:rsid w:val="00F44A06"/>
    <w:rsid w:val="00F44F59"/>
    <w:rsid w:val="00F45CFF"/>
    <w:rsid w:val="00F50152"/>
    <w:rsid w:val="00F513A2"/>
    <w:rsid w:val="00F51E05"/>
    <w:rsid w:val="00F5409E"/>
    <w:rsid w:val="00F626A7"/>
    <w:rsid w:val="00F629F8"/>
    <w:rsid w:val="00F63199"/>
    <w:rsid w:val="00F640D0"/>
    <w:rsid w:val="00F65BDF"/>
    <w:rsid w:val="00F66CD5"/>
    <w:rsid w:val="00F67A9A"/>
    <w:rsid w:val="00F70F4E"/>
    <w:rsid w:val="00F72837"/>
    <w:rsid w:val="00F73113"/>
    <w:rsid w:val="00F73371"/>
    <w:rsid w:val="00F73625"/>
    <w:rsid w:val="00F74FBD"/>
    <w:rsid w:val="00F75FC4"/>
    <w:rsid w:val="00F85981"/>
    <w:rsid w:val="00F87263"/>
    <w:rsid w:val="00F925BF"/>
    <w:rsid w:val="00F93725"/>
    <w:rsid w:val="00F93CFA"/>
    <w:rsid w:val="00F96262"/>
    <w:rsid w:val="00FA23C8"/>
    <w:rsid w:val="00FA4034"/>
    <w:rsid w:val="00FA4890"/>
    <w:rsid w:val="00FA7403"/>
    <w:rsid w:val="00FB1171"/>
    <w:rsid w:val="00FB1D9D"/>
    <w:rsid w:val="00FB40F2"/>
    <w:rsid w:val="00FB6649"/>
    <w:rsid w:val="00FB77FA"/>
    <w:rsid w:val="00FC2048"/>
    <w:rsid w:val="00FC3C70"/>
    <w:rsid w:val="00FC3DD6"/>
    <w:rsid w:val="00FC4A73"/>
    <w:rsid w:val="00FC559C"/>
    <w:rsid w:val="00FC7F0D"/>
    <w:rsid w:val="00FD1086"/>
    <w:rsid w:val="00FD1EAE"/>
    <w:rsid w:val="00FD25DA"/>
    <w:rsid w:val="00FD3AC5"/>
    <w:rsid w:val="00FD64DA"/>
    <w:rsid w:val="00FD67C5"/>
    <w:rsid w:val="00FE3C34"/>
    <w:rsid w:val="00FE5FCB"/>
    <w:rsid w:val="00FE645A"/>
    <w:rsid w:val="00FF0475"/>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Bullet0">
    <w:name w:val="Bullet+0"/>
    <w:basedOn w:val="Normal"/>
    <w:rsid w:val="0070570D"/>
    <w:pPr>
      <w:numPr>
        <w:numId w:val="4"/>
      </w:numPr>
      <w:tabs>
        <w:tab w:val="clear" w:pos="360"/>
        <w:tab w:val="left" w:pos="1080"/>
      </w:tabs>
      <w:spacing w:after="0"/>
      <w:ind w:left="1080"/>
    </w:pPr>
    <w:rPr>
      <w:rFonts w:ascii="Times New Roman" w:eastAsia="Times New Roman" w:hAnsi="Times New Roman" w:cs="Times New Roman"/>
      <w:color w:val="000000"/>
      <w:sz w:val="23"/>
      <w:szCs w:val="20"/>
    </w:rPr>
  </w:style>
  <w:style w:type="paragraph" w:customStyle="1" w:styleId="Bullet12">
    <w:name w:val="Bullet+12"/>
    <w:basedOn w:val="Normal"/>
    <w:rsid w:val="0070570D"/>
    <w:pPr>
      <w:tabs>
        <w:tab w:val="left" w:pos="1080"/>
      </w:tabs>
      <w:spacing w:after="240"/>
      <w:ind w:left="1080" w:hanging="360"/>
    </w:pPr>
    <w:rPr>
      <w:rFonts w:ascii="Times New Roman" w:eastAsia="Times New Roman" w:hAnsi="Times New Roman" w:cs="Times New Roman"/>
      <w:color w:val="000000"/>
      <w:sz w:val="23"/>
      <w:szCs w:val="20"/>
    </w:rPr>
  </w:style>
  <w:style w:type="paragraph" w:customStyle="1" w:styleId="Normalbeforebullet">
    <w:name w:val="Normal (before bullet)"/>
    <w:basedOn w:val="Normal"/>
    <w:rsid w:val="0070570D"/>
    <w:pPr>
      <w:keepNext/>
      <w:spacing w:after="120"/>
      <w:ind w:left="720"/>
    </w:pPr>
    <w:rPr>
      <w:rFonts w:ascii="Times New Roman" w:eastAsia="Times New Roman" w:hAnsi="Times New Roman" w:cs="Times New Roman"/>
      <w:color w:val="000000"/>
      <w:sz w:val="23"/>
      <w:szCs w:val="20"/>
    </w:rPr>
  </w:style>
  <w:style w:type="paragraph" w:styleId="NormalWeb">
    <w:name w:val="Normal (Web)"/>
    <w:basedOn w:val="Normal"/>
    <w:uiPriority w:val="99"/>
    <w:unhideWhenUsed/>
    <w:rsid w:val="009D4DC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15B02"/>
    <w:rPr>
      <w:color w:val="800080" w:themeColor="followedHyperlink"/>
      <w:u w:val="single"/>
    </w:rPr>
  </w:style>
  <w:style w:type="character" w:styleId="PlaceholderText">
    <w:name w:val="Placeholder Text"/>
    <w:basedOn w:val="DefaultParagraphFont"/>
    <w:uiPriority w:val="99"/>
    <w:semiHidden/>
    <w:rsid w:val="00981969"/>
    <w:rPr>
      <w:color w:val="808080"/>
    </w:rPr>
  </w:style>
  <w:style w:type="character" w:customStyle="1" w:styleId="highwire-cite-doi">
    <w:name w:val="highwire-cite-doi"/>
    <w:basedOn w:val="DefaultParagraphFont"/>
    <w:rsid w:val="00511DC4"/>
  </w:style>
  <w:style w:type="character" w:customStyle="1" w:styleId="apple-converted-space">
    <w:name w:val="apple-converted-space"/>
    <w:basedOn w:val="DefaultParagraphFont"/>
    <w:rsid w:val="00511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Bullet0">
    <w:name w:val="Bullet+0"/>
    <w:basedOn w:val="Normal"/>
    <w:rsid w:val="0070570D"/>
    <w:pPr>
      <w:numPr>
        <w:numId w:val="4"/>
      </w:numPr>
      <w:tabs>
        <w:tab w:val="clear" w:pos="360"/>
        <w:tab w:val="left" w:pos="1080"/>
      </w:tabs>
      <w:spacing w:after="0"/>
      <w:ind w:left="1080"/>
    </w:pPr>
    <w:rPr>
      <w:rFonts w:ascii="Times New Roman" w:eastAsia="Times New Roman" w:hAnsi="Times New Roman" w:cs="Times New Roman"/>
      <w:color w:val="000000"/>
      <w:sz w:val="23"/>
      <w:szCs w:val="20"/>
    </w:rPr>
  </w:style>
  <w:style w:type="paragraph" w:customStyle="1" w:styleId="Bullet12">
    <w:name w:val="Bullet+12"/>
    <w:basedOn w:val="Normal"/>
    <w:rsid w:val="0070570D"/>
    <w:pPr>
      <w:tabs>
        <w:tab w:val="left" w:pos="1080"/>
      </w:tabs>
      <w:spacing w:after="240"/>
      <w:ind w:left="1080" w:hanging="360"/>
    </w:pPr>
    <w:rPr>
      <w:rFonts w:ascii="Times New Roman" w:eastAsia="Times New Roman" w:hAnsi="Times New Roman" w:cs="Times New Roman"/>
      <w:color w:val="000000"/>
      <w:sz w:val="23"/>
      <w:szCs w:val="20"/>
    </w:rPr>
  </w:style>
  <w:style w:type="paragraph" w:customStyle="1" w:styleId="Normalbeforebullet">
    <w:name w:val="Normal (before bullet)"/>
    <w:basedOn w:val="Normal"/>
    <w:rsid w:val="0070570D"/>
    <w:pPr>
      <w:keepNext/>
      <w:spacing w:after="120"/>
      <w:ind w:left="720"/>
    </w:pPr>
    <w:rPr>
      <w:rFonts w:ascii="Times New Roman" w:eastAsia="Times New Roman" w:hAnsi="Times New Roman" w:cs="Times New Roman"/>
      <w:color w:val="000000"/>
      <w:sz w:val="23"/>
      <w:szCs w:val="20"/>
    </w:rPr>
  </w:style>
  <w:style w:type="paragraph" w:styleId="NormalWeb">
    <w:name w:val="Normal (Web)"/>
    <w:basedOn w:val="Normal"/>
    <w:uiPriority w:val="99"/>
    <w:unhideWhenUsed/>
    <w:rsid w:val="009D4DC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15B02"/>
    <w:rPr>
      <w:color w:val="800080" w:themeColor="followedHyperlink"/>
      <w:u w:val="single"/>
    </w:rPr>
  </w:style>
  <w:style w:type="character" w:styleId="PlaceholderText">
    <w:name w:val="Placeholder Text"/>
    <w:basedOn w:val="DefaultParagraphFont"/>
    <w:uiPriority w:val="99"/>
    <w:semiHidden/>
    <w:rsid w:val="00981969"/>
    <w:rPr>
      <w:color w:val="808080"/>
    </w:rPr>
  </w:style>
  <w:style w:type="character" w:customStyle="1" w:styleId="highwire-cite-doi">
    <w:name w:val="highwire-cite-doi"/>
    <w:basedOn w:val="DefaultParagraphFont"/>
    <w:rsid w:val="00511DC4"/>
  </w:style>
  <w:style w:type="character" w:customStyle="1" w:styleId="apple-converted-space">
    <w:name w:val="apple-converted-space"/>
    <w:basedOn w:val="DefaultParagraphFont"/>
    <w:rsid w:val="0051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7353">
      <w:bodyDiv w:val="1"/>
      <w:marLeft w:val="0"/>
      <w:marRight w:val="0"/>
      <w:marTop w:val="0"/>
      <w:marBottom w:val="0"/>
      <w:divBdr>
        <w:top w:val="none" w:sz="0" w:space="0" w:color="auto"/>
        <w:left w:val="none" w:sz="0" w:space="0" w:color="auto"/>
        <w:bottom w:val="none" w:sz="0" w:space="0" w:color="auto"/>
        <w:right w:val="none" w:sz="0" w:space="0" w:color="auto"/>
      </w:divBdr>
    </w:div>
    <w:div w:id="202836259">
      <w:bodyDiv w:val="1"/>
      <w:marLeft w:val="0"/>
      <w:marRight w:val="0"/>
      <w:marTop w:val="0"/>
      <w:marBottom w:val="0"/>
      <w:divBdr>
        <w:top w:val="none" w:sz="0" w:space="0" w:color="auto"/>
        <w:left w:val="none" w:sz="0" w:space="0" w:color="auto"/>
        <w:bottom w:val="none" w:sz="0" w:space="0" w:color="auto"/>
        <w:right w:val="none" w:sz="0" w:space="0" w:color="auto"/>
      </w:divBdr>
    </w:div>
    <w:div w:id="228734010">
      <w:bodyDiv w:val="1"/>
      <w:marLeft w:val="0"/>
      <w:marRight w:val="0"/>
      <w:marTop w:val="0"/>
      <w:marBottom w:val="0"/>
      <w:divBdr>
        <w:top w:val="none" w:sz="0" w:space="0" w:color="auto"/>
        <w:left w:val="none" w:sz="0" w:space="0" w:color="auto"/>
        <w:bottom w:val="none" w:sz="0" w:space="0" w:color="auto"/>
        <w:right w:val="none" w:sz="0" w:space="0" w:color="auto"/>
      </w:divBdr>
    </w:div>
    <w:div w:id="282229657">
      <w:bodyDiv w:val="1"/>
      <w:marLeft w:val="0"/>
      <w:marRight w:val="0"/>
      <w:marTop w:val="0"/>
      <w:marBottom w:val="0"/>
      <w:divBdr>
        <w:top w:val="none" w:sz="0" w:space="0" w:color="auto"/>
        <w:left w:val="none" w:sz="0" w:space="0" w:color="auto"/>
        <w:bottom w:val="none" w:sz="0" w:space="0" w:color="auto"/>
        <w:right w:val="none" w:sz="0" w:space="0" w:color="auto"/>
      </w:divBdr>
    </w:div>
    <w:div w:id="290984841">
      <w:bodyDiv w:val="1"/>
      <w:marLeft w:val="0"/>
      <w:marRight w:val="0"/>
      <w:marTop w:val="0"/>
      <w:marBottom w:val="0"/>
      <w:divBdr>
        <w:top w:val="none" w:sz="0" w:space="0" w:color="auto"/>
        <w:left w:val="none" w:sz="0" w:space="0" w:color="auto"/>
        <w:bottom w:val="none" w:sz="0" w:space="0" w:color="auto"/>
        <w:right w:val="none" w:sz="0" w:space="0" w:color="auto"/>
      </w:divBdr>
    </w:div>
    <w:div w:id="338771643">
      <w:bodyDiv w:val="1"/>
      <w:marLeft w:val="0"/>
      <w:marRight w:val="0"/>
      <w:marTop w:val="0"/>
      <w:marBottom w:val="0"/>
      <w:divBdr>
        <w:top w:val="none" w:sz="0" w:space="0" w:color="auto"/>
        <w:left w:val="none" w:sz="0" w:space="0" w:color="auto"/>
        <w:bottom w:val="none" w:sz="0" w:space="0" w:color="auto"/>
        <w:right w:val="none" w:sz="0" w:space="0" w:color="auto"/>
      </w:divBdr>
    </w:div>
    <w:div w:id="360008620">
      <w:bodyDiv w:val="1"/>
      <w:marLeft w:val="0"/>
      <w:marRight w:val="0"/>
      <w:marTop w:val="0"/>
      <w:marBottom w:val="0"/>
      <w:divBdr>
        <w:top w:val="none" w:sz="0" w:space="0" w:color="auto"/>
        <w:left w:val="none" w:sz="0" w:space="0" w:color="auto"/>
        <w:bottom w:val="none" w:sz="0" w:space="0" w:color="auto"/>
        <w:right w:val="none" w:sz="0" w:space="0" w:color="auto"/>
      </w:divBdr>
    </w:div>
    <w:div w:id="360135820">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02025502">
      <w:bodyDiv w:val="1"/>
      <w:marLeft w:val="0"/>
      <w:marRight w:val="0"/>
      <w:marTop w:val="0"/>
      <w:marBottom w:val="0"/>
      <w:divBdr>
        <w:top w:val="none" w:sz="0" w:space="0" w:color="auto"/>
        <w:left w:val="none" w:sz="0" w:space="0" w:color="auto"/>
        <w:bottom w:val="none" w:sz="0" w:space="0" w:color="auto"/>
        <w:right w:val="none" w:sz="0" w:space="0" w:color="auto"/>
      </w:divBdr>
    </w:div>
    <w:div w:id="456678771">
      <w:bodyDiv w:val="1"/>
      <w:marLeft w:val="0"/>
      <w:marRight w:val="0"/>
      <w:marTop w:val="0"/>
      <w:marBottom w:val="0"/>
      <w:divBdr>
        <w:top w:val="none" w:sz="0" w:space="0" w:color="auto"/>
        <w:left w:val="none" w:sz="0" w:space="0" w:color="auto"/>
        <w:bottom w:val="none" w:sz="0" w:space="0" w:color="auto"/>
        <w:right w:val="none" w:sz="0" w:space="0" w:color="auto"/>
      </w:divBdr>
    </w:div>
    <w:div w:id="463697981">
      <w:bodyDiv w:val="1"/>
      <w:marLeft w:val="0"/>
      <w:marRight w:val="0"/>
      <w:marTop w:val="0"/>
      <w:marBottom w:val="0"/>
      <w:divBdr>
        <w:top w:val="none" w:sz="0" w:space="0" w:color="auto"/>
        <w:left w:val="none" w:sz="0" w:space="0" w:color="auto"/>
        <w:bottom w:val="none" w:sz="0" w:space="0" w:color="auto"/>
        <w:right w:val="none" w:sz="0" w:space="0" w:color="auto"/>
      </w:divBdr>
    </w:div>
    <w:div w:id="484321448">
      <w:bodyDiv w:val="1"/>
      <w:marLeft w:val="0"/>
      <w:marRight w:val="0"/>
      <w:marTop w:val="0"/>
      <w:marBottom w:val="0"/>
      <w:divBdr>
        <w:top w:val="none" w:sz="0" w:space="0" w:color="auto"/>
        <w:left w:val="none" w:sz="0" w:space="0" w:color="auto"/>
        <w:bottom w:val="none" w:sz="0" w:space="0" w:color="auto"/>
        <w:right w:val="none" w:sz="0" w:space="0" w:color="auto"/>
      </w:divBdr>
    </w:div>
    <w:div w:id="523791978">
      <w:bodyDiv w:val="1"/>
      <w:marLeft w:val="0"/>
      <w:marRight w:val="0"/>
      <w:marTop w:val="0"/>
      <w:marBottom w:val="0"/>
      <w:divBdr>
        <w:top w:val="none" w:sz="0" w:space="0" w:color="auto"/>
        <w:left w:val="none" w:sz="0" w:space="0" w:color="auto"/>
        <w:bottom w:val="none" w:sz="0" w:space="0" w:color="auto"/>
        <w:right w:val="none" w:sz="0" w:space="0" w:color="auto"/>
      </w:divBdr>
    </w:div>
    <w:div w:id="558323504">
      <w:bodyDiv w:val="1"/>
      <w:marLeft w:val="0"/>
      <w:marRight w:val="0"/>
      <w:marTop w:val="0"/>
      <w:marBottom w:val="0"/>
      <w:divBdr>
        <w:top w:val="none" w:sz="0" w:space="0" w:color="auto"/>
        <w:left w:val="none" w:sz="0" w:space="0" w:color="auto"/>
        <w:bottom w:val="none" w:sz="0" w:space="0" w:color="auto"/>
        <w:right w:val="none" w:sz="0" w:space="0" w:color="auto"/>
      </w:divBdr>
    </w:div>
    <w:div w:id="579409687">
      <w:bodyDiv w:val="1"/>
      <w:marLeft w:val="0"/>
      <w:marRight w:val="0"/>
      <w:marTop w:val="0"/>
      <w:marBottom w:val="0"/>
      <w:divBdr>
        <w:top w:val="none" w:sz="0" w:space="0" w:color="auto"/>
        <w:left w:val="none" w:sz="0" w:space="0" w:color="auto"/>
        <w:bottom w:val="none" w:sz="0" w:space="0" w:color="auto"/>
        <w:right w:val="none" w:sz="0" w:space="0" w:color="auto"/>
      </w:divBdr>
    </w:div>
    <w:div w:id="635529399">
      <w:bodyDiv w:val="1"/>
      <w:marLeft w:val="0"/>
      <w:marRight w:val="0"/>
      <w:marTop w:val="0"/>
      <w:marBottom w:val="0"/>
      <w:divBdr>
        <w:top w:val="none" w:sz="0" w:space="0" w:color="auto"/>
        <w:left w:val="none" w:sz="0" w:space="0" w:color="auto"/>
        <w:bottom w:val="none" w:sz="0" w:space="0" w:color="auto"/>
        <w:right w:val="none" w:sz="0" w:space="0" w:color="auto"/>
      </w:divBdr>
    </w:div>
    <w:div w:id="678628180">
      <w:bodyDiv w:val="1"/>
      <w:marLeft w:val="0"/>
      <w:marRight w:val="0"/>
      <w:marTop w:val="0"/>
      <w:marBottom w:val="0"/>
      <w:divBdr>
        <w:top w:val="none" w:sz="0" w:space="0" w:color="auto"/>
        <w:left w:val="none" w:sz="0" w:space="0" w:color="auto"/>
        <w:bottom w:val="none" w:sz="0" w:space="0" w:color="auto"/>
        <w:right w:val="none" w:sz="0" w:space="0" w:color="auto"/>
      </w:divBdr>
    </w:div>
    <w:div w:id="682629510">
      <w:bodyDiv w:val="1"/>
      <w:marLeft w:val="0"/>
      <w:marRight w:val="0"/>
      <w:marTop w:val="0"/>
      <w:marBottom w:val="0"/>
      <w:divBdr>
        <w:top w:val="none" w:sz="0" w:space="0" w:color="auto"/>
        <w:left w:val="none" w:sz="0" w:space="0" w:color="auto"/>
        <w:bottom w:val="none" w:sz="0" w:space="0" w:color="auto"/>
        <w:right w:val="none" w:sz="0" w:space="0" w:color="auto"/>
      </w:divBdr>
    </w:div>
    <w:div w:id="689179871">
      <w:bodyDiv w:val="1"/>
      <w:marLeft w:val="0"/>
      <w:marRight w:val="0"/>
      <w:marTop w:val="0"/>
      <w:marBottom w:val="0"/>
      <w:divBdr>
        <w:top w:val="none" w:sz="0" w:space="0" w:color="auto"/>
        <w:left w:val="none" w:sz="0" w:space="0" w:color="auto"/>
        <w:bottom w:val="none" w:sz="0" w:space="0" w:color="auto"/>
        <w:right w:val="none" w:sz="0" w:space="0" w:color="auto"/>
      </w:divBdr>
    </w:div>
    <w:div w:id="707489564">
      <w:bodyDiv w:val="1"/>
      <w:marLeft w:val="0"/>
      <w:marRight w:val="0"/>
      <w:marTop w:val="0"/>
      <w:marBottom w:val="0"/>
      <w:divBdr>
        <w:top w:val="none" w:sz="0" w:space="0" w:color="auto"/>
        <w:left w:val="none" w:sz="0" w:space="0" w:color="auto"/>
        <w:bottom w:val="none" w:sz="0" w:space="0" w:color="auto"/>
        <w:right w:val="none" w:sz="0" w:space="0" w:color="auto"/>
      </w:divBdr>
    </w:div>
    <w:div w:id="804155392">
      <w:bodyDiv w:val="1"/>
      <w:marLeft w:val="0"/>
      <w:marRight w:val="0"/>
      <w:marTop w:val="0"/>
      <w:marBottom w:val="0"/>
      <w:divBdr>
        <w:top w:val="none" w:sz="0" w:space="0" w:color="auto"/>
        <w:left w:val="none" w:sz="0" w:space="0" w:color="auto"/>
        <w:bottom w:val="none" w:sz="0" w:space="0" w:color="auto"/>
        <w:right w:val="none" w:sz="0" w:space="0" w:color="auto"/>
      </w:divBdr>
    </w:div>
    <w:div w:id="835465042">
      <w:bodyDiv w:val="1"/>
      <w:marLeft w:val="0"/>
      <w:marRight w:val="0"/>
      <w:marTop w:val="0"/>
      <w:marBottom w:val="0"/>
      <w:divBdr>
        <w:top w:val="none" w:sz="0" w:space="0" w:color="auto"/>
        <w:left w:val="none" w:sz="0" w:space="0" w:color="auto"/>
        <w:bottom w:val="none" w:sz="0" w:space="0" w:color="auto"/>
        <w:right w:val="none" w:sz="0" w:space="0" w:color="auto"/>
      </w:divBdr>
    </w:div>
    <w:div w:id="838233197">
      <w:bodyDiv w:val="1"/>
      <w:marLeft w:val="0"/>
      <w:marRight w:val="0"/>
      <w:marTop w:val="0"/>
      <w:marBottom w:val="0"/>
      <w:divBdr>
        <w:top w:val="none" w:sz="0" w:space="0" w:color="auto"/>
        <w:left w:val="none" w:sz="0" w:space="0" w:color="auto"/>
        <w:bottom w:val="none" w:sz="0" w:space="0" w:color="auto"/>
        <w:right w:val="none" w:sz="0" w:space="0" w:color="auto"/>
      </w:divBdr>
    </w:div>
    <w:div w:id="1128090206">
      <w:bodyDiv w:val="1"/>
      <w:marLeft w:val="0"/>
      <w:marRight w:val="0"/>
      <w:marTop w:val="0"/>
      <w:marBottom w:val="0"/>
      <w:divBdr>
        <w:top w:val="none" w:sz="0" w:space="0" w:color="auto"/>
        <w:left w:val="none" w:sz="0" w:space="0" w:color="auto"/>
        <w:bottom w:val="none" w:sz="0" w:space="0" w:color="auto"/>
        <w:right w:val="none" w:sz="0" w:space="0" w:color="auto"/>
      </w:divBdr>
    </w:div>
    <w:div w:id="1256131531">
      <w:bodyDiv w:val="1"/>
      <w:marLeft w:val="0"/>
      <w:marRight w:val="0"/>
      <w:marTop w:val="0"/>
      <w:marBottom w:val="0"/>
      <w:divBdr>
        <w:top w:val="none" w:sz="0" w:space="0" w:color="auto"/>
        <w:left w:val="none" w:sz="0" w:space="0" w:color="auto"/>
        <w:bottom w:val="none" w:sz="0" w:space="0" w:color="auto"/>
        <w:right w:val="none" w:sz="0" w:space="0" w:color="auto"/>
      </w:divBdr>
    </w:div>
    <w:div w:id="1317539858">
      <w:bodyDiv w:val="1"/>
      <w:marLeft w:val="0"/>
      <w:marRight w:val="0"/>
      <w:marTop w:val="0"/>
      <w:marBottom w:val="0"/>
      <w:divBdr>
        <w:top w:val="none" w:sz="0" w:space="0" w:color="auto"/>
        <w:left w:val="none" w:sz="0" w:space="0" w:color="auto"/>
        <w:bottom w:val="none" w:sz="0" w:space="0" w:color="auto"/>
        <w:right w:val="none" w:sz="0" w:space="0" w:color="auto"/>
      </w:divBdr>
    </w:div>
    <w:div w:id="1391344134">
      <w:bodyDiv w:val="1"/>
      <w:marLeft w:val="0"/>
      <w:marRight w:val="0"/>
      <w:marTop w:val="0"/>
      <w:marBottom w:val="0"/>
      <w:divBdr>
        <w:top w:val="none" w:sz="0" w:space="0" w:color="auto"/>
        <w:left w:val="none" w:sz="0" w:space="0" w:color="auto"/>
        <w:bottom w:val="none" w:sz="0" w:space="0" w:color="auto"/>
        <w:right w:val="none" w:sz="0" w:space="0" w:color="auto"/>
      </w:divBdr>
    </w:div>
    <w:div w:id="1598559488">
      <w:bodyDiv w:val="1"/>
      <w:marLeft w:val="0"/>
      <w:marRight w:val="0"/>
      <w:marTop w:val="0"/>
      <w:marBottom w:val="0"/>
      <w:divBdr>
        <w:top w:val="none" w:sz="0" w:space="0" w:color="auto"/>
        <w:left w:val="none" w:sz="0" w:space="0" w:color="auto"/>
        <w:bottom w:val="none" w:sz="0" w:space="0" w:color="auto"/>
        <w:right w:val="none" w:sz="0" w:space="0" w:color="auto"/>
      </w:divBdr>
    </w:div>
    <w:div w:id="1648897335">
      <w:bodyDiv w:val="1"/>
      <w:marLeft w:val="0"/>
      <w:marRight w:val="0"/>
      <w:marTop w:val="0"/>
      <w:marBottom w:val="0"/>
      <w:divBdr>
        <w:top w:val="none" w:sz="0" w:space="0" w:color="auto"/>
        <w:left w:val="none" w:sz="0" w:space="0" w:color="auto"/>
        <w:bottom w:val="none" w:sz="0" w:space="0" w:color="auto"/>
        <w:right w:val="none" w:sz="0" w:space="0" w:color="auto"/>
      </w:divBdr>
    </w:div>
    <w:div w:id="1819373417">
      <w:bodyDiv w:val="1"/>
      <w:marLeft w:val="0"/>
      <w:marRight w:val="0"/>
      <w:marTop w:val="0"/>
      <w:marBottom w:val="0"/>
      <w:divBdr>
        <w:top w:val="none" w:sz="0" w:space="0" w:color="auto"/>
        <w:left w:val="none" w:sz="0" w:space="0" w:color="auto"/>
        <w:bottom w:val="none" w:sz="0" w:space="0" w:color="auto"/>
        <w:right w:val="none" w:sz="0" w:space="0" w:color="auto"/>
      </w:divBdr>
    </w:div>
    <w:div w:id="1843080251">
      <w:bodyDiv w:val="1"/>
      <w:marLeft w:val="0"/>
      <w:marRight w:val="0"/>
      <w:marTop w:val="0"/>
      <w:marBottom w:val="0"/>
      <w:divBdr>
        <w:top w:val="none" w:sz="0" w:space="0" w:color="auto"/>
        <w:left w:val="none" w:sz="0" w:space="0" w:color="auto"/>
        <w:bottom w:val="none" w:sz="0" w:space="0" w:color="auto"/>
        <w:right w:val="none" w:sz="0" w:space="0" w:color="auto"/>
      </w:divBdr>
    </w:div>
    <w:div w:id="1902137212">
      <w:bodyDiv w:val="1"/>
      <w:marLeft w:val="0"/>
      <w:marRight w:val="0"/>
      <w:marTop w:val="0"/>
      <w:marBottom w:val="0"/>
      <w:divBdr>
        <w:top w:val="none" w:sz="0" w:space="0" w:color="auto"/>
        <w:left w:val="none" w:sz="0" w:space="0" w:color="auto"/>
        <w:bottom w:val="none" w:sz="0" w:space="0" w:color="auto"/>
        <w:right w:val="none" w:sz="0" w:space="0" w:color="auto"/>
      </w:divBdr>
    </w:div>
    <w:div w:id="1903758005">
      <w:bodyDiv w:val="1"/>
      <w:marLeft w:val="0"/>
      <w:marRight w:val="0"/>
      <w:marTop w:val="0"/>
      <w:marBottom w:val="0"/>
      <w:divBdr>
        <w:top w:val="none" w:sz="0" w:space="0" w:color="auto"/>
        <w:left w:val="none" w:sz="0" w:space="0" w:color="auto"/>
        <w:bottom w:val="none" w:sz="0" w:space="0" w:color="auto"/>
        <w:right w:val="none" w:sz="0" w:space="0" w:color="auto"/>
      </w:divBdr>
    </w:div>
    <w:div w:id="1965035700">
      <w:bodyDiv w:val="1"/>
      <w:marLeft w:val="0"/>
      <w:marRight w:val="0"/>
      <w:marTop w:val="0"/>
      <w:marBottom w:val="0"/>
      <w:divBdr>
        <w:top w:val="none" w:sz="0" w:space="0" w:color="auto"/>
        <w:left w:val="none" w:sz="0" w:space="0" w:color="auto"/>
        <w:bottom w:val="none" w:sz="0" w:space="0" w:color="auto"/>
        <w:right w:val="none" w:sz="0" w:space="0" w:color="auto"/>
      </w:divBdr>
    </w:div>
    <w:div w:id="20879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www.pbs.gov.au/pbs/home"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pbs/hom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pbs.gov.au" TargetMode="External"/><Relationship Id="rId28" Type="http://schemas.openxmlformats.org/officeDocument/2006/relationships/header" Target="header3.xml"/><Relationship Id="rId10" Type="http://schemas.openxmlformats.org/officeDocument/2006/relationships/hyperlink" Target="http://www.pbs.gov.au/pbs/home" TargetMode="External"/><Relationship Id="rId19" Type="http://schemas.openxmlformats.org/officeDocument/2006/relationships/image" Target="media/image7.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ga-search.clients.funnelback.com/s/search.html?query=&amp;collection=tga-artg"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ga.gov.au/book-page/16-idarucizumab" TargetMode="External"/><Relationship Id="rId13" Type="http://schemas.openxmlformats.org/officeDocument/2006/relationships/hyperlink" Target="http://www.pbs.gov.au/info/industry/listing/elements/pbac-meetings/psd/public-summary-documents-by-product" TargetMode="External"/><Relationship Id="rId18" Type="http://schemas.openxmlformats.org/officeDocument/2006/relationships/hyperlink" Target="http://www.medicareaustralia.gov.au/provider/pbs/stats.jsp" TargetMode="External"/><Relationship Id="rId3" Type="http://schemas.openxmlformats.org/officeDocument/2006/relationships/hyperlink" Target="https://www.tga.gov.au/alert/apixaban-eliquis-dabigatran-pradaxa-and-rivaroxaban-xarelto-information-consumers" TargetMode="External"/><Relationship Id="rId7" Type="http://schemas.openxmlformats.org/officeDocument/2006/relationships/hyperlink" Target="https://amhonline.amh.net.au/" TargetMode="External"/><Relationship Id="rId12" Type="http://schemas.openxmlformats.org/officeDocument/2006/relationships/hyperlink" Target="https://www.tga.gov.au/browse-auspars-product-name" TargetMode="External"/><Relationship Id="rId17" Type="http://schemas.openxmlformats.org/officeDocument/2006/relationships/hyperlink" Target="http://www.pbs.gov.au/info/industry/listing/participants/public-release-docs/novel-oral-anticoagulants-10-2014" TargetMode="External"/><Relationship Id="rId2" Type="http://schemas.openxmlformats.org/officeDocument/2006/relationships/hyperlink" Target="https://www.tga.gov.au/alert/dabigatran-pradaxa-and-risk-bleeding-information-health-professionals" TargetMode="External"/><Relationship Id="rId16" Type="http://schemas.openxmlformats.org/officeDocument/2006/relationships/hyperlink" Target="http://www.pbs.gov.au/info/industry/listing/elements/pbac-meetings/pbac-outcomes/2013-03/positive-recommendations" TargetMode="External"/><Relationship Id="rId1" Type="http://schemas.openxmlformats.org/officeDocument/2006/relationships/hyperlink" Target="http://www.ebs.tga.gov.au" TargetMode="External"/><Relationship Id="rId6" Type="http://schemas.openxmlformats.org/officeDocument/2006/relationships/hyperlink" Target="https://www.ebs.tga.gov.au" TargetMode="External"/><Relationship Id="rId11" Type="http://schemas.openxmlformats.org/officeDocument/2006/relationships/hyperlink" Target="http://www.australiandoctor.com.au/news/latest-news/free-dabigatran-scheme-extended" TargetMode="External"/><Relationship Id="rId5" Type="http://schemas.openxmlformats.org/officeDocument/2006/relationships/hyperlink" Target="https://www.tga.gov.au/alert/new-oral-anticoagulants-apixaban-eliquis-dabigatran-pradaxa-and-rivaroxaban-xarelto" TargetMode="External"/><Relationship Id="rId15" Type="http://schemas.openxmlformats.org/officeDocument/2006/relationships/hyperlink" Target="http://www.pbs.gov.au/info/industry/listing/elements/pbac-meetings/psd/2013-03/rivaroxaban-spaf" TargetMode="External"/><Relationship Id="rId10" Type="http://schemas.openxmlformats.org/officeDocument/2006/relationships/hyperlink" Target="http://www.australiandoctor.com.au/news/latest-news/second-free-anticoagulant-scheme-to-launch" TargetMode="External"/><Relationship Id="rId4" Type="http://schemas.openxmlformats.org/officeDocument/2006/relationships/hyperlink" Target="https://www.tga.gov.au/alert/apixaban-eliquis-dabigatran-pradaxa-and-rivaroxaban-xarelto-information-health-professionals" TargetMode="External"/><Relationship Id="rId9" Type="http://schemas.openxmlformats.org/officeDocument/2006/relationships/hyperlink" Target="http://dx.doi.org/10.1093/eurheartj/ehv466" TargetMode="External"/><Relationship Id="rId14" Type="http://schemas.openxmlformats.org/officeDocument/2006/relationships/hyperlink" Target="https://www.pbs.gov.au/info/browse/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AFE5C-BDDB-45A8-893C-75BACC1A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8987</Words>
  <Characters>51228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2016-09-13T01:43:00Z</dcterms:created>
  <dcterms:modified xsi:type="dcterms:W3CDTF">2016-10-17T07:14:00Z</dcterms:modified>
</cp:coreProperties>
</file>