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7555F7CB" w:rsidR="00832324" w:rsidRPr="00B02785" w:rsidRDefault="00391EC0" w:rsidP="00F73113">
      <w:pPr>
        <w:pStyle w:val="Title"/>
      </w:pPr>
      <w:r w:rsidRPr="00B02785">
        <w:t>Metastatic p</w:t>
      </w:r>
      <w:r w:rsidR="002D353B" w:rsidRPr="00B02785">
        <w:t>rostate cancer: predicted versus actual analysis</w:t>
      </w:r>
      <w:r w:rsidR="001C4016" w:rsidRPr="00B02785">
        <w:t xml:space="preserve"> </w:t>
      </w:r>
    </w:p>
    <w:p w14:paraId="68F00614" w14:textId="799F8740" w:rsidR="00736041" w:rsidRPr="00B02785" w:rsidRDefault="009053D3" w:rsidP="00F73113">
      <w:pPr>
        <w:pStyle w:val="Title2"/>
      </w:pPr>
      <w:r w:rsidRPr="00B02785">
        <w:t>D</w:t>
      </w:r>
      <w:r w:rsidR="00832324" w:rsidRPr="00B02785">
        <w:t>rug utilisation sub-committee (DUSC)</w:t>
      </w:r>
    </w:p>
    <w:p w14:paraId="78148839" w14:textId="1C3F769C" w:rsidR="009053D3" w:rsidRPr="00B02785" w:rsidRDefault="002D353B" w:rsidP="00F73113">
      <w:pPr>
        <w:pStyle w:val="Meetingdate"/>
      </w:pPr>
      <w:r w:rsidRPr="00B02785">
        <w:t>June 2016</w:t>
      </w:r>
    </w:p>
    <w:p w14:paraId="1494B8AD" w14:textId="77777777" w:rsidR="005C6661" w:rsidRPr="00B02785" w:rsidRDefault="005C6661" w:rsidP="00CF5E22">
      <w:pPr>
        <w:pStyle w:val="Heading2"/>
      </w:pPr>
      <w:r w:rsidRPr="00B02785">
        <w:t>Abstract</w:t>
      </w:r>
    </w:p>
    <w:p w14:paraId="287D7939" w14:textId="77777777" w:rsidR="005C6661" w:rsidRPr="00B02785" w:rsidRDefault="005C6661" w:rsidP="00CF5E22">
      <w:pPr>
        <w:pStyle w:val="Heading3"/>
      </w:pPr>
      <w:r w:rsidRPr="00B02785">
        <w:t>Purpose</w:t>
      </w:r>
    </w:p>
    <w:p w14:paraId="5B6FD9FA" w14:textId="12B232F8" w:rsidR="00126F95" w:rsidRPr="00B02785" w:rsidRDefault="00126F95" w:rsidP="00126F95">
      <w:pPr>
        <w:rPr>
          <w:highlight w:val="yellow"/>
        </w:rPr>
      </w:pPr>
      <w:r w:rsidRPr="00B02785">
        <w:t xml:space="preserve">To compare the predicted versus actual use of </w:t>
      </w:r>
      <w:r w:rsidR="00496289" w:rsidRPr="00B02785">
        <w:t xml:space="preserve">cabazitaxel, abiraterone and enzalutamide for metastatic </w:t>
      </w:r>
      <w:r w:rsidR="006E7BC3" w:rsidRPr="00B02785">
        <w:t xml:space="preserve">castration resistant </w:t>
      </w:r>
      <w:r w:rsidR="00496289" w:rsidRPr="00B02785">
        <w:t>prostate cancer</w:t>
      </w:r>
      <w:r w:rsidRPr="00B02785">
        <w:t xml:space="preserve">. </w:t>
      </w:r>
    </w:p>
    <w:p w14:paraId="03538E7F" w14:textId="322BB850" w:rsidR="002D144A" w:rsidRPr="00B02785" w:rsidRDefault="002D144A" w:rsidP="00CF5E22">
      <w:pPr>
        <w:pStyle w:val="Heading3"/>
      </w:pPr>
      <w:r w:rsidRPr="00B02785">
        <w:t>Date of listing on the P</w:t>
      </w:r>
      <w:r w:rsidR="00A95FA5" w:rsidRPr="00B02785">
        <w:t xml:space="preserve">harmaceutical </w:t>
      </w:r>
      <w:r w:rsidRPr="00B02785">
        <w:t>B</w:t>
      </w:r>
      <w:r w:rsidR="00A95FA5" w:rsidRPr="00B02785">
        <w:t xml:space="preserve">enefits </w:t>
      </w:r>
      <w:r w:rsidRPr="00B02785">
        <w:t>S</w:t>
      </w:r>
      <w:r w:rsidR="00A95FA5" w:rsidRPr="00B02785">
        <w:t>cheme (PBS)</w:t>
      </w:r>
    </w:p>
    <w:p w14:paraId="644B3A30" w14:textId="77777777" w:rsidR="00AF6FB5" w:rsidRPr="00B02785" w:rsidRDefault="00AF6FB5" w:rsidP="00AF6FB5">
      <w:pPr>
        <w:pStyle w:val="ListParagraph"/>
        <w:numPr>
          <w:ilvl w:val="0"/>
          <w:numId w:val="11"/>
        </w:numPr>
      </w:pPr>
      <w:r w:rsidRPr="00B02785">
        <w:t>Cabazitaxel: 1 August 2012</w:t>
      </w:r>
    </w:p>
    <w:p w14:paraId="718CF969" w14:textId="77777777" w:rsidR="00126F95" w:rsidRPr="00B02785" w:rsidRDefault="00126F95" w:rsidP="00126F95">
      <w:pPr>
        <w:pStyle w:val="ListParagraph"/>
        <w:numPr>
          <w:ilvl w:val="0"/>
          <w:numId w:val="11"/>
        </w:numPr>
      </w:pPr>
      <w:r w:rsidRPr="00B02785">
        <w:t>Abiraterone: 1 August 2013</w:t>
      </w:r>
    </w:p>
    <w:p w14:paraId="484920DD" w14:textId="77777777" w:rsidR="00126F95" w:rsidRPr="00B02785" w:rsidRDefault="00126F95" w:rsidP="00126F95">
      <w:pPr>
        <w:pStyle w:val="ListParagraph"/>
        <w:numPr>
          <w:ilvl w:val="0"/>
          <w:numId w:val="11"/>
        </w:numPr>
      </w:pPr>
      <w:r w:rsidRPr="00B02785">
        <w:t>Enzalutamide: 1 December 2014</w:t>
      </w:r>
    </w:p>
    <w:p w14:paraId="526743BB" w14:textId="77777777" w:rsidR="005C6661" w:rsidRPr="00B02785" w:rsidRDefault="005C6661" w:rsidP="00CF5E22">
      <w:pPr>
        <w:pStyle w:val="Heading3"/>
      </w:pPr>
      <w:r w:rsidRPr="00B02785">
        <w:t>Data Source / methodology</w:t>
      </w:r>
    </w:p>
    <w:p w14:paraId="5E9E2FBA" w14:textId="7023FFCB" w:rsidR="005C6661" w:rsidRPr="00B02785" w:rsidRDefault="003E486E" w:rsidP="005C6661">
      <w:pPr>
        <w:pStyle w:val="NoSpacing"/>
      </w:pPr>
      <w:r w:rsidRPr="00B02785">
        <w:t xml:space="preserve">Data was extracted from the Department of Human Services (DHS) prescription database for all PBS listings for the treatment of </w:t>
      </w:r>
      <w:r w:rsidR="00986684" w:rsidRPr="00B02785">
        <w:t xml:space="preserve">metastatic castration resistant </w:t>
      </w:r>
      <w:r w:rsidRPr="00B02785">
        <w:t xml:space="preserve">prostate cancer and </w:t>
      </w:r>
      <w:r w:rsidRPr="00A2632F">
        <w:t xml:space="preserve">all PBS listings for docetaxel </w:t>
      </w:r>
      <w:r w:rsidR="00E650BB" w:rsidRPr="00A2632F">
        <w:t>identified as being for the treatment of prostate cancer</w:t>
      </w:r>
      <w:r w:rsidR="00E650BB">
        <w:t xml:space="preserve"> </w:t>
      </w:r>
      <w:r w:rsidRPr="00B02785">
        <w:t xml:space="preserve">based on the date of supply to the patient.   Data was extracted </w:t>
      </w:r>
      <w:r w:rsidR="00986684" w:rsidRPr="00B02785">
        <w:t xml:space="preserve">for the period </w:t>
      </w:r>
      <w:r w:rsidR="0094165D">
        <w:t>January 2000 to March 2016</w:t>
      </w:r>
      <w:r w:rsidRPr="00B02785">
        <w:t>, inclusive. Only records for males were included. The</w:t>
      </w:r>
      <w:r w:rsidR="00A645D3" w:rsidRPr="00B02785">
        <w:t xml:space="preserve"> analyses include the number of prescriptions dispensed, number of patients treated</w:t>
      </w:r>
      <w:r w:rsidR="005A39CC">
        <w:t xml:space="preserve">, </w:t>
      </w:r>
      <w:r w:rsidR="00A645D3" w:rsidRPr="00B02785">
        <w:t xml:space="preserve">and </w:t>
      </w:r>
      <w:r w:rsidR="00986684" w:rsidRPr="00B02785">
        <w:t xml:space="preserve">the </w:t>
      </w:r>
      <w:r w:rsidR="00A645D3" w:rsidRPr="00B02785">
        <w:t>length of time on treatment. An assessment of therapies used prior to commencing cabazitaxel, abiraterone or enzalutamide was also undertaken.</w:t>
      </w:r>
    </w:p>
    <w:p w14:paraId="7599E7C1" w14:textId="77777777" w:rsidR="005C6661" w:rsidRPr="00946BEE" w:rsidRDefault="005C6661" w:rsidP="00CF5E22">
      <w:pPr>
        <w:pStyle w:val="Heading3"/>
      </w:pPr>
      <w:r w:rsidRPr="00946BEE">
        <w:t>Key Findings</w:t>
      </w:r>
    </w:p>
    <w:p w14:paraId="497B5DF2" w14:textId="5EC324EA" w:rsidR="00FA113D" w:rsidRPr="003D3E55" w:rsidRDefault="00FA113D" w:rsidP="00CF6A7E">
      <w:pPr>
        <w:pStyle w:val="ListParagraph"/>
        <w:numPr>
          <w:ilvl w:val="0"/>
          <w:numId w:val="20"/>
        </w:numPr>
        <w:spacing w:after="0"/>
        <w:ind w:left="357" w:hanging="357"/>
        <w:contextualSpacing w:val="0"/>
        <w:rPr>
          <w:color w:val="000000" w:themeColor="text1"/>
        </w:rPr>
      </w:pPr>
      <w:r w:rsidRPr="003D3E55">
        <w:rPr>
          <w:color w:val="000000" w:themeColor="text1"/>
        </w:rPr>
        <w:t xml:space="preserve">The total number of patients receiving a medicine subsidised for use in the post-docetaxel </w:t>
      </w:r>
      <w:r w:rsidRPr="003D3E55">
        <w:t xml:space="preserve">metastatic castration resistant prostate cancer (mCRPC) </w:t>
      </w:r>
      <w:r w:rsidRPr="003D3E55">
        <w:rPr>
          <w:color w:val="000000" w:themeColor="text1"/>
        </w:rPr>
        <w:t xml:space="preserve">setting had increased substantially from </w:t>
      </w:r>
      <w:r w:rsidR="00A71ECE">
        <w:rPr>
          <w:color w:val="000000" w:themeColor="text1"/>
        </w:rPr>
        <w:t xml:space="preserve">1,418 patients in </w:t>
      </w:r>
      <w:r w:rsidRPr="003D3E55">
        <w:rPr>
          <w:color w:val="000000" w:themeColor="text1"/>
        </w:rPr>
        <w:t xml:space="preserve">2013 to </w:t>
      </w:r>
      <w:r w:rsidR="00A71ECE">
        <w:rPr>
          <w:color w:val="000000" w:themeColor="text1"/>
        </w:rPr>
        <w:t xml:space="preserve">4,165 patients in </w:t>
      </w:r>
      <w:r w:rsidRPr="003D3E55">
        <w:rPr>
          <w:color w:val="000000" w:themeColor="text1"/>
        </w:rPr>
        <w:t>2015.</w:t>
      </w:r>
      <w:r w:rsidR="00A71ECE">
        <w:rPr>
          <w:color w:val="000000" w:themeColor="text1"/>
        </w:rPr>
        <w:t xml:space="preserve"> The number of patients treated was higher than predicted.</w:t>
      </w:r>
    </w:p>
    <w:p w14:paraId="724DE735" w14:textId="3C506157" w:rsidR="00FA113D" w:rsidRDefault="00FA113D" w:rsidP="00CF6A7E">
      <w:pPr>
        <w:pStyle w:val="ListParagraph"/>
        <w:numPr>
          <w:ilvl w:val="0"/>
          <w:numId w:val="20"/>
        </w:numPr>
        <w:spacing w:after="0"/>
        <w:ind w:left="357" w:hanging="357"/>
        <w:contextualSpacing w:val="0"/>
        <w:rPr>
          <w:color w:val="000000" w:themeColor="text1"/>
        </w:rPr>
      </w:pPr>
      <w:r>
        <w:t>The prescribing practices for these medicines is evolving. The therapy received by patients has changed when comparing patients who initiate a PBS listing for mCRPC in 2013 versus 2015. Not all of the patterns of use met the current PBS restrictions.</w:t>
      </w:r>
    </w:p>
    <w:p w14:paraId="3C79C7DE" w14:textId="77777777" w:rsidR="00FA113D" w:rsidRPr="003D3E55" w:rsidRDefault="00FA113D" w:rsidP="00CF6A7E">
      <w:pPr>
        <w:pStyle w:val="ListParagraph"/>
        <w:numPr>
          <w:ilvl w:val="0"/>
          <w:numId w:val="20"/>
        </w:numPr>
        <w:spacing w:after="0"/>
        <w:ind w:left="357" w:hanging="357"/>
        <w:contextualSpacing w:val="0"/>
      </w:pPr>
      <w:r>
        <w:t>When reviewing the therapies received for patients initiating treatment after the entry of enzalutamide to the market:</w:t>
      </w:r>
    </w:p>
    <w:p w14:paraId="26F55B1A" w14:textId="52200C5A" w:rsidR="00FA113D" w:rsidRPr="003D3E55" w:rsidRDefault="00FA113D" w:rsidP="00CF6A7E">
      <w:pPr>
        <w:pStyle w:val="ListParagraph"/>
        <w:numPr>
          <w:ilvl w:val="0"/>
          <w:numId w:val="27"/>
        </w:numPr>
        <w:spacing w:after="0"/>
        <w:contextualSpacing w:val="0"/>
      </w:pPr>
      <w:r w:rsidRPr="003D3E55">
        <w:t>around one-quarter (24%) of patients were first initiated on either abiraterone or enzalutamide withou</w:t>
      </w:r>
      <w:r w:rsidR="00B85400">
        <w:t>t the prior use of docetaxel;</w:t>
      </w:r>
    </w:p>
    <w:p w14:paraId="2DB4CAEA" w14:textId="77777777" w:rsidR="00FA113D" w:rsidRPr="003D3E55" w:rsidRDefault="00FA113D" w:rsidP="00CF6A7E">
      <w:pPr>
        <w:pStyle w:val="ListParagraph"/>
        <w:numPr>
          <w:ilvl w:val="0"/>
          <w:numId w:val="27"/>
        </w:numPr>
        <w:spacing w:after="0"/>
        <w:contextualSpacing w:val="0"/>
      </w:pPr>
      <w:r w:rsidRPr="003D3E55">
        <w:lastRenderedPageBreak/>
        <w:t>around 10% of patients received a supply of cabazitaxel after abiraterone or enzalutamide; and</w:t>
      </w:r>
    </w:p>
    <w:p w14:paraId="0BD93E04" w14:textId="77777777" w:rsidR="00FA113D" w:rsidRPr="003D3E55" w:rsidRDefault="00FA113D" w:rsidP="00CF6A7E">
      <w:pPr>
        <w:pStyle w:val="ListParagraph"/>
        <w:numPr>
          <w:ilvl w:val="0"/>
          <w:numId w:val="27"/>
        </w:numPr>
        <w:spacing w:after="0"/>
        <w:contextualSpacing w:val="0"/>
      </w:pPr>
      <w:r w:rsidRPr="003D3E55">
        <w:t>11% of patients transitioned from one oral drug to another (either abiraterone or enzalutamide).</w:t>
      </w:r>
    </w:p>
    <w:p w14:paraId="38B57ECC" w14:textId="77777777" w:rsidR="00BB0D1A" w:rsidRPr="00B02785" w:rsidRDefault="00BB0D1A">
      <w:pPr>
        <w:spacing w:line="276" w:lineRule="auto"/>
        <w:rPr>
          <w:rFonts w:eastAsiaTheme="majorEastAsia" w:cstheme="majorBidi"/>
          <w:b/>
          <w:bCs/>
          <w:sz w:val="32"/>
          <w:szCs w:val="26"/>
        </w:rPr>
      </w:pPr>
      <w:r w:rsidRPr="00B02785">
        <w:br w:type="page"/>
      </w:r>
    </w:p>
    <w:p w14:paraId="5B262047" w14:textId="580CB941" w:rsidR="00E677DD" w:rsidRPr="00B02785" w:rsidRDefault="00E677DD" w:rsidP="00CF5E22">
      <w:pPr>
        <w:pStyle w:val="Heading1"/>
      </w:pPr>
      <w:r w:rsidRPr="00B02785">
        <w:lastRenderedPageBreak/>
        <w:t xml:space="preserve">Purpose </w:t>
      </w:r>
      <w:r w:rsidR="00EC54B4" w:rsidRPr="00467298">
        <w:t xml:space="preserve">and </w:t>
      </w:r>
      <w:r w:rsidR="00751BF3" w:rsidRPr="00B02785">
        <w:t>s</w:t>
      </w:r>
      <w:r w:rsidR="00EC54B4" w:rsidRPr="00B02785">
        <w:t>cope</w:t>
      </w:r>
    </w:p>
    <w:p w14:paraId="48A18699" w14:textId="4B85BEFB" w:rsidR="00EC54B4" w:rsidRPr="00B02785" w:rsidRDefault="000B76EF" w:rsidP="000B76EF">
      <w:r w:rsidRPr="00B02785">
        <w:t xml:space="preserve">The purpose of this </w:t>
      </w:r>
      <w:r w:rsidR="00AF6FB5" w:rsidRPr="00B02785">
        <w:t>report</w:t>
      </w:r>
      <w:r w:rsidRPr="00B02785">
        <w:t xml:space="preserve"> is to </w:t>
      </w:r>
      <w:r w:rsidR="00EC54B4" w:rsidRPr="00B02785">
        <w:t>compare the p</w:t>
      </w:r>
      <w:r w:rsidRPr="00B02785">
        <w:t xml:space="preserve">redicted </w:t>
      </w:r>
      <w:r w:rsidR="00EC54B4" w:rsidRPr="00B02785">
        <w:t>versus</w:t>
      </w:r>
      <w:r w:rsidRPr="00B02785">
        <w:t xml:space="preserve"> actual use of </w:t>
      </w:r>
      <w:r w:rsidR="00EC54B4" w:rsidRPr="00B02785">
        <w:t>cabazitaxel</w:t>
      </w:r>
      <w:r w:rsidRPr="00B02785">
        <w:t xml:space="preserve">, </w:t>
      </w:r>
      <w:r w:rsidR="00EC54B4" w:rsidRPr="00B02785">
        <w:t xml:space="preserve">abiraterone and </w:t>
      </w:r>
      <w:r w:rsidRPr="00B02785">
        <w:t>enzalutamide for the treatment of m</w:t>
      </w:r>
      <w:r w:rsidR="00EC54B4" w:rsidRPr="00B02785">
        <w:t>etastatic castration resistant prostate cancer (mCRPC)</w:t>
      </w:r>
      <w:r w:rsidRPr="00B02785">
        <w:t xml:space="preserve">. </w:t>
      </w:r>
    </w:p>
    <w:p w14:paraId="07254A68" w14:textId="5ACC3038" w:rsidR="000B76EF" w:rsidRPr="00B02785" w:rsidRDefault="008D44FF" w:rsidP="000B76EF">
      <w:r w:rsidRPr="00B02785">
        <w:t>At its February 2015 meeting, DUSC requested that the</w:t>
      </w:r>
      <w:r w:rsidR="00B04DDD" w:rsidRPr="00B02785">
        <w:t xml:space="preserve"> routine</w:t>
      </w:r>
      <w:r w:rsidRPr="00B02785">
        <w:t xml:space="preserve"> 24 month review of cabazitaxel utilisation be deferred until at least 24 months of data for abiraterone was available. </w:t>
      </w:r>
      <w:r w:rsidR="00EC54B4" w:rsidRPr="00B02785">
        <w:t xml:space="preserve"> </w:t>
      </w:r>
      <w:r w:rsidRPr="00B02785">
        <w:t xml:space="preserve">Cabazitaxel has </w:t>
      </w:r>
      <w:r w:rsidR="006215E5" w:rsidRPr="00B02785">
        <w:t xml:space="preserve">now </w:t>
      </w:r>
      <w:r w:rsidRPr="00B02785">
        <w:t xml:space="preserve">been available on the PBS for </w:t>
      </w:r>
      <w:r w:rsidR="00B04DDD" w:rsidRPr="00B02785">
        <w:t>more</w:t>
      </w:r>
      <w:r w:rsidRPr="00B02785">
        <w:t xml:space="preserve"> three years and abiraterone for more than two years. </w:t>
      </w:r>
      <w:r w:rsidR="00A25BB0" w:rsidRPr="00B02785">
        <w:t>E</w:t>
      </w:r>
      <w:r w:rsidR="000B76EF" w:rsidRPr="00B02785">
        <w:t>nzalutamide</w:t>
      </w:r>
      <w:r w:rsidR="00EC54B4" w:rsidRPr="00B02785">
        <w:t xml:space="preserve"> is also included in this review as it has </w:t>
      </w:r>
      <w:r w:rsidR="000B76EF" w:rsidRPr="00B02785">
        <w:t>be</w:t>
      </w:r>
      <w:r w:rsidR="00EC54B4" w:rsidRPr="00B02785">
        <w:t>en available for over a year</w:t>
      </w:r>
      <w:r w:rsidR="00A645D3" w:rsidRPr="00B02785">
        <w:t xml:space="preserve">. </w:t>
      </w:r>
      <w:r w:rsidR="00EC54B4" w:rsidRPr="00B02785">
        <w:t xml:space="preserve"> </w:t>
      </w:r>
      <w:r w:rsidRPr="00EA1E06">
        <w:t xml:space="preserve">As </w:t>
      </w:r>
      <w:r w:rsidR="006E7BC3" w:rsidRPr="00EA1E06">
        <w:t xml:space="preserve">eligibility for cabazitaxel, abiraterone and enzalutamide </w:t>
      </w:r>
      <w:r w:rsidR="00B04DDD" w:rsidRPr="00EA1E06">
        <w:t xml:space="preserve">supplied </w:t>
      </w:r>
      <w:r w:rsidRPr="00EA1E06">
        <w:t xml:space="preserve">through the PBS </w:t>
      </w:r>
      <w:r w:rsidR="006E7BC3" w:rsidRPr="00EA1E06">
        <w:t>requires a patie</w:t>
      </w:r>
      <w:r w:rsidR="008E082E" w:rsidRPr="00EA1E06">
        <w:t>nt to have failed treatment with docetaxel due to resistance or intolerance</w:t>
      </w:r>
      <w:r w:rsidR="006E7BC3" w:rsidRPr="00EA1E06">
        <w:t xml:space="preserve"> (</w:t>
      </w:r>
      <w:r w:rsidR="008E082E" w:rsidRPr="00EA1E06">
        <w:t>or since 1 November 2014 predicted to be unsuitable</w:t>
      </w:r>
      <w:r w:rsidR="006E7BC3" w:rsidRPr="00EA1E06">
        <w:t>) utilisation of d</w:t>
      </w:r>
      <w:r w:rsidR="00EC54B4" w:rsidRPr="00EA1E06">
        <w:t xml:space="preserve">ocetaxel </w:t>
      </w:r>
      <w:r w:rsidR="006E7BC3" w:rsidRPr="00EA1E06">
        <w:t>is also presented.</w:t>
      </w:r>
      <w:r w:rsidR="00A25BB0" w:rsidRPr="00B02785">
        <w:t xml:space="preserve"> </w:t>
      </w:r>
      <w:r w:rsidR="006215E5" w:rsidRPr="00B02785">
        <w:t xml:space="preserve"> </w:t>
      </w:r>
      <w:r w:rsidR="006E7BC3" w:rsidRPr="00B02785">
        <w:t xml:space="preserve"> </w:t>
      </w:r>
    </w:p>
    <w:p w14:paraId="0A7F0B57" w14:textId="034D22D5" w:rsidR="006537D9" w:rsidRPr="00B02785" w:rsidRDefault="00736041" w:rsidP="00CF5E22">
      <w:pPr>
        <w:pStyle w:val="Heading1"/>
      </w:pPr>
      <w:r w:rsidRPr="00B02785">
        <w:t>Background</w:t>
      </w:r>
    </w:p>
    <w:p w14:paraId="0183A567" w14:textId="413DF87B" w:rsidR="007247B9" w:rsidRPr="00B02785" w:rsidRDefault="007247B9" w:rsidP="00CF5E22">
      <w:pPr>
        <w:pStyle w:val="Heading2"/>
      </w:pPr>
      <w:r w:rsidRPr="00B02785">
        <w:t>Pharmacology</w:t>
      </w:r>
    </w:p>
    <w:p w14:paraId="0D860F7B" w14:textId="77777777" w:rsidR="008D7573" w:rsidRPr="00B02785" w:rsidRDefault="008D7573" w:rsidP="008D7573">
      <w:r w:rsidRPr="00B02785">
        <w:t>Cabazitaxel and docetaxel are antineoplastic agents which work by stopping cells from growing and multiplying.</w:t>
      </w:r>
      <w:r w:rsidRPr="00B02785">
        <w:rPr>
          <w:rStyle w:val="FootnoteReference"/>
        </w:rPr>
        <w:footnoteReference w:id="1"/>
      </w:r>
      <w:r w:rsidRPr="00B02785">
        <w:t>,</w:t>
      </w:r>
      <w:r w:rsidRPr="00B02785">
        <w:rPr>
          <w:rStyle w:val="FootnoteReference"/>
        </w:rPr>
        <w:footnoteReference w:id="2"/>
      </w:r>
    </w:p>
    <w:p w14:paraId="2B6A15AC" w14:textId="410A914C" w:rsidR="00496289" w:rsidRPr="00B02785" w:rsidRDefault="00496289" w:rsidP="00496289">
      <w:pPr>
        <w:rPr>
          <w:highlight w:val="yellow"/>
        </w:rPr>
      </w:pPr>
      <w:r w:rsidRPr="00B02785">
        <w:t xml:space="preserve">Abiraterone </w:t>
      </w:r>
      <w:r w:rsidR="00C84762" w:rsidRPr="00B02785">
        <w:t xml:space="preserve">is an </w:t>
      </w:r>
      <w:r w:rsidR="00F16A00" w:rsidRPr="00B02785">
        <w:t>a</w:t>
      </w:r>
      <w:r w:rsidR="00C84762" w:rsidRPr="00B02785">
        <w:t>ndrogen biosynthesis inhibitor</w:t>
      </w:r>
      <w:r w:rsidR="00993317" w:rsidRPr="00B02785">
        <w:t xml:space="preserve"> that</w:t>
      </w:r>
      <w:r w:rsidR="00F16A00" w:rsidRPr="00B02785">
        <w:t xml:space="preserve"> selectively inhibits 17α-hydroxylase/C17,20-lyase (CYP17)</w:t>
      </w:r>
      <w:r w:rsidR="009629A4" w:rsidRPr="00B02785">
        <w:t>,</w:t>
      </w:r>
      <w:r w:rsidR="00F16A00" w:rsidRPr="00B02785">
        <w:t xml:space="preserve"> </w:t>
      </w:r>
      <w:r w:rsidR="009629A4" w:rsidRPr="00B02785">
        <w:t>an enzyme</w:t>
      </w:r>
      <w:r w:rsidR="00F16A00" w:rsidRPr="00B02785">
        <w:t xml:space="preserve"> expressed in </w:t>
      </w:r>
      <w:r w:rsidR="00315A89" w:rsidRPr="00B02785">
        <w:t xml:space="preserve">and </w:t>
      </w:r>
      <w:r w:rsidR="00F16A00" w:rsidRPr="00B02785">
        <w:t>required for androgen biosynthesis in testicular, adrenal and in prostatic tumour tissues</w:t>
      </w:r>
      <w:r w:rsidR="00F16A00" w:rsidRPr="00D0256F">
        <w:t>.</w:t>
      </w:r>
      <w:r w:rsidR="003A1EFA">
        <w:rPr>
          <w:rStyle w:val="FootnoteReference"/>
        </w:rPr>
        <w:footnoteReference w:id="3"/>
      </w:r>
      <w:r w:rsidR="00F16A00" w:rsidRPr="00B02785">
        <w:t xml:space="preserve"> </w:t>
      </w:r>
      <w:r w:rsidR="00404FE9" w:rsidRPr="00B02785">
        <w:t xml:space="preserve"> </w:t>
      </w:r>
    </w:p>
    <w:p w14:paraId="347CDC6F" w14:textId="470D6DEC" w:rsidR="00391EC0" w:rsidRPr="00B02785" w:rsidRDefault="00391EC0" w:rsidP="00391EC0">
      <w:r w:rsidRPr="00B02785">
        <w:t>Enzalutamide is an androgen receptor signalling inhibitor that blocks the androgen receptor signalling pathway. Enzalutamide competitively inhibits binding of androgens to androgen receptors, and consequently inhibits the nuclear translocation of these receptors and inhibits the binding of androgen receptor to DNA.</w:t>
      </w:r>
      <w:r w:rsidR="003A1EFA">
        <w:rPr>
          <w:rStyle w:val="FootnoteReference"/>
        </w:rPr>
        <w:footnoteReference w:id="4"/>
      </w:r>
    </w:p>
    <w:p w14:paraId="6AC18C88" w14:textId="7A398934" w:rsidR="001420B3" w:rsidRPr="00B02785" w:rsidRDefault="00A52918" w:rsidP="00CF5E22">
      <w:pPr>
        <w:pStyle w:val="Heading2"/>
      </w:pPr>
      <w:r w:rsidRPr="00B02785">
        <w:t>Therapeutic Goods Administration (</w:t>
      </w:r>
      <w:r w:rsidR="001420B3" w:rsidRPr="00B02785">
        <w:t>TGA</w:t>
      </w:r>
      <w:r w:rsidRPr="00B02785">
        <w:t>)</w:t>
      </w:r>
      <w:r w:rsidR="001420B3" w:rsidRPr="00B02785">
        <w:t xml:space="preserve"> approved indications</w:t>
      </w:r>
    </w:p>
    <w:p w14:paraId="2C9A6BDA" w14:textId="77777777" w:rsidR="008D7573" w:rsidRPr="00B02785" w:rsidRDefault="008D7573" w:rsidP="008D7573">
      <w:r w:rsidRPr="00B02785">
        <w:t>Docetaxel is indicated for treatment of patients with androgen independent (hormone refractory) prostate cancer. It is also indicated for metastatic breast cancer, adjuvant treatment of breast cancer, non-small cell lung cancer, ovarian cancer and head and neck cancer.</w:t>
      </w:r>
    </w:p>
    <w:p w14:paraId="1D5384ED" w14:textId="4FE50AC6" w:rsidR="008D7573" w:rsidRPr="00B02785" w:rsidRDefault="008D7573" w:rsidP="00496289">
      <w:r w:rsidRPr="00B02785">
        <w:lastRenderedPageBreak/>
        <w:t>Cabazitaxel in combination with prednisone or prednisolone is indicated for the treatment of patients with hormone refractory metastatic prostate cancer previously treated with a docetaxel containing regimen.</w:t>
      </w:r>
    </w:p>
    <w:p w14:paraId="5A442977" w14:textId="77777777" w:rsidR="00391EC0" w:rsidRPr="00B02785" w:rsidRDefault="00391EC0" w:rsidP="00391EC0">
      <w:r w:rsidRPr="00B02785">
        <w:t>Abiraterone is indicated with prednisone or prednisolone for the treatment of patients with metastatic advanced prostate cancer (castration resistant prostate cancer, mCRPC):</w:t>
      </w:r>
    </w:p>
    <w:p w14:paraId="18D11E73" w14:textId="313D3C96" w:rsidR="00315A89" w:rsidRPr="00B02785" w:rsidRDefault="00391EC0" w:rsidP="00391EC0">
      <w:pPr>
        <w:pStyle w:val="ListParagraph"/>
        <w:numPr>
          <w:ilvl w:val="0"/>
          <w:numId w:val="9"/>
        </w:numPr>
      </w:pPr>
      <w:r w:rsidRPr="00B02785">
        <w:t>who are asymptomatic or mildly symptomatic after failure of androgen deprivation therapy (ADT)</w:t>
      </w:r>
      <w:r w:rsidR="00315A89" w:rsidRPr="00B02785">
        <w:t xml:space="preserve">. </w:t>
      </w:r>
      <w:r w:rsidR="00315A89" w:rsidRPr="005D4017">
        <w:t>This indication is not PBS subsidised.</w:t>
      </w:r>
      <w:r w:rsidRPr="00B02785">
        <w:t xml:space="preserve"> </w:t>
      </w:r>
    </w:p>
    <w:p w14:paraId="4C90A15B" w14:textId="4AA683C2" w:rsidR="00391EC0" w:rsidRPr="00B02785" w:rsidRDefault="00391EC0" w:rsidP="00391EC0">
      <w:pPr>
        <w:pStyle w:val="ListParagraph"/>
        <w:numPr>
          <w:ilvl w:val="0"/>
          <w:numId w:val="9"/>
        </w:numPr>
      </w:pPr>
      <w:r w:rsidRPr="00B02785">
        <w:t xml:space="preserve">who have received prior chemotherapy containing a taxane. </w:t>
      </w:r>
    </w:p>
    <w:p w14:paraId="638B0536" w14:textId="739AF349" w:rsidR="00391EC0" w:rsidRPr="00B02785" w:rsidRDefault="00391EC0" w:rsidP="00391EC0">
      <w:r w:rsidRPr="00B02785">
        <w:t>Enzalutamide is indicated for</w:t>
      </w:r>
      <w:r w:rsidR="00315A89" w:rsidRPr="00B02785">
        <w:t xml:space="preserve"> the treatment of patients with mCRPC</w:t>
      </w:r>
      <w:r w:rsidRPr="00B02785">
        <w:t>:</w:t>
      </w:r>
    </w:p>
    <w:p w14:paraId="6753CAB2" w14:textId="7A4612CD" w:rsidR="00391EC0" w:rsidRPr="00B02785" w:rsidRDefault="00391EC0" w:rsidP="00315A89">
      <w:pPr>
        <w:pStyle w:val="ListParagraph"/>
        <w:numPr>
          <w:ilvl w:val="0"/>
          <w:numId w:val="9"/>
        </w:numPr>
      </w:pPr>
      <w:r w:rsidRPr="00B02785">
        <w:t>following failure of androgen deprivation therapy in whom chemotherapy is not yet indicated.</w:t>
      </w:r>
      <w:r w:rsidR="00315A89" w:rsidRPr="00B02785">
        <w:t xml:space="preserve"> </w:t>
      </w:r>
      <w:r w:rsidR="00315A89" w:rsidRPr="005D4017">
        <w:t>This indication is not PBS subsidised.</w:t>
      </w:r>
    </w:p>
    <w:p w14:paraId="149405F4" w14:textId="20E06172" w:rsidR="00391EC0" w:rsidRPr="00B02785" w:rsidRDefault="00391EC0" w:rsidP="00391EC0">
      <w:pPr>
        <w:pStyle w:val="ListParagraph"/>
        <w:numPr>
          <w:ilvl w:val="0"/>
          <w:numId w:val="9"/>
        </w:numPr>
      </w:pPr>
      <w:r w:rsidRPr="00B02785">
        <w:t>who have previously received docetaxel.</w:t>
      </w:r>
    </w:p>
    <w:p w14:paraId="15E919C1" w14:textId="1B3BA560" w:rsidR="006B709B" w:rsidRPr="00B02785" w:rsidRDefault="006B709B" w:rsidP="00CF5E22">
      <w:pPr>
        <w:pStyle w:val="Heading2"/>
      </w:pPr>
      <w:r w:rsidRPr="00B02785">
        <w:t>Dosage and administration</w:t>
      </w:r>
    </w:p>
    <w:p w14:paraId="51E22FB7" w14:textId="33167C9D" w:rsidR="003370D0" w:rsidRPr="00B02785" w:rsidRDefault="00C33485" w:rsidP="003548A0">
      <w:pPr>
        <w:pStyle w:val="Tabletitle"/>
      </w:pPr>
      <w:r>
        <w:t>Table 1</w:t>
      </w:r>
      <w:r w:rsidR="003370D0" w:rsidRPr="00B02785">
        <w:t xml:space="preserve">: </w:t>
      </w:r>
      <w:r w:rsidR="004C71DF" w:rsidRPr="00B02785">
        <w:t>Dosage and administration of medicines for metastatic prostate cancer</w:t>
      </w:r>
    </w:p>
    <w:tbl>
      <w:tblPr>
        <w:tblStyle w:val="TableGrid"/>
        <w:tblW w:w="9039" w:type="dxa"/>
        <w:tblLook w:val="04A0" w:firstRow="1" w:lastRow="0" w:firstColumn="1" w:lastColumn="0" w:noHBand="0" w:noVBand="1"/>
        <w:tblCaption w:val="Dosage and administration of medicines for metastatic prostate cancer"/>
        <w:tblDescription w:val="A table of Dosage and administration of medicines for metastatic prostate cancer"/>
      </w:tblPr>
      <w:tblGrid>
        <w:gridCol w:w="2660"/>
        <w:gridCol w:w="6379"/>
      </w:tblGrid>
      <w:tr w:rsidR="00B46209" w:rsidRPr="00B02785" w14:paraId="266DACF8" w14:textId="77777777" w:rsidTr="008E2A01">
        <w:trPr>
          <w:tblHeader/>
        </w:trPr>
        <w:tc>
          <w:tcPr>
            <w:tcW w:w="2660" w:type="dxa"/>
            <w:shd w:val="clear" w:color="auto" w:fill="BFBFBF" w:themeFill="background1" w:themeFillShade="BF"/>
          </w:tcPr>
          <w:p w14:paraId="6A741A8A" w14:textId="5B071553" w:rsidR="00B46209" w:rsidRPr="00B02785" w:rsidRDefault="006E3C39" w:rsidP="009F7484">
            <w:pPr>
              <w:pStyle w:val="Tableheading"/>
              <w:rPr>
                <w:sz w:val="20"/>
                <w:szCs w:val="20"/>
              </w:rPr>
            </w:pPr>
            <w:r w:rsidRPr="00B02785">
              <w:rPr>
                <w:sz w:val="20"/>
                <w:szCs w:val="20"/>
              </w:rPr>
              <w:t>Drug</w:t>
            </w:r>
          </w:p>
        </w:tc>
        <w:tc>
          <w:tcPr>
            <w:tcW w:w="6379" w:type="dxa"/>
            <w:shd w:val="clear" w:color="auto" w:fill="BFBFBF" w:themeFill="background1" w:themeFillShade="BF"/>
          </w:tcPr>
          <w:p w14:paraId="032B1267" w14:textId="39C9F2DC" w:rsidR="00B46209" w:rsidRPr="00B02785" w:rsidRDefault="006E3C39" w:rsidP="00B379CB">
            <w:pPr>
              <w:pStyle w:val="Tableheading"/>
              <w:rPr>
                <w:sz w:val="20"/>
                <w:szCs w:val="20"/>
              </w:rPr>
            </w:pPr>
            <w:r w:rsidRPr="00B02785">
              <w:rPr>
                <w:sz w:val="20"/>
                <w:szCs w:val="20"/>
              </w:rPr>
              <w:t>Recommended d</w:t>
            </w:r>
            <w:r w:rsidR="00B46209" w:rsidRPr="00B02785">
              <w:rPr>
                <w:sz w:val="20"/>
                <w:szCs w:val="20"/>
              </w:rPr>
              <w:t xml:space="preserve">ose and frequency of administration </w:t>
            </w:r>
          </w:p>
        </w:tc>
      </w:tr>
      <w:tr w:rsidR="00B46209" w:rsidRPr="00B02785" w14:paraId="13C0568C" w14:textId="77777777" w:rsidTr="008E2A01">
        <w:tc>
          <w:tcPr>
            <w:tcW w:w="2660" w:type="dxa"/>
          </w:tcPr>
          <w:p w14:paraId="00478770" w14:textId="5D75A309" w:rsidR="00B46209" w:rsidRPr="00B02785" w:rsidRDefault="00B46209" w:rsidP="00B379CB">
            <w:pPr>
              <w:pStyle w:val="Tablewriting"/>
            </w:pPr>
            <w:r w:rsidRPr="00B02785">
              <w:t>CABAZITAXEL</w:t>
            </w:r>
          </w:p>
        </w:tc>
        <w:tc>
          <w:tcPr>
            <w:tcW w:w="6379" w:type="dxa"/>
          </w:tcPr>
          <w:p w14:paraId="53237EB2" w14:textId="2F4DA148" w:rsidR="00B46209" w:rsidRPr="00B02785" w:rsidRDefault="00B46209" w:rsidP="00F16A00">
            <w:pPr>
              <w:pStyle w:val="Tablewriting"/>
            </w:pPr>
            <w:r w:rsidRPr="00B02785">
              <w:t>25 mg/m</w:t>
            </w:r>
            <w:r w:rsidRPr="00B02785">
              <w:rPr>
                <w:vertAlign w:val="superscript"/>
              </w:rPr>
              <w:t>2</w:t>
            </w:r>
            <w:r w:rsidRPr="00B02785">
              <w:t xml:space="preserve"> administered as a 1-hour intravenous infusion every 3 weeks in combination with oral prednisone (or prednisolone) 10 mg administered daily throughout cabazitaxel treatment.</w:t>
            </w:r>
          </w:p>
        </w:tc>
      </w:tr>
      <w:tr w:rsidR="00B46209" w:rsidRPr="00B02785" w14:paraId="2BC20DA9" w14:textId="77777777" w:rsidTr="008E2A01">
        <w:tc>
          <w:tcPr>
            <w:tcW w:w="2660" w:type="dxa"/>
          </w:tcPr>
          <w:p w14:paraId="6CA06C74" w14:textId="789F873A" w:rsidR="00B46209" w:rsidRPr="00B02785" w:rsidRDefault="00B46209" w:rsidP="004C71DF">
            <w:pPr>
              <w:pStyle w:val="Tablewriting"/>
            </w:pPr>
            <w:r w:rsidRPr="00B02785">
              <w:t>ABIRATERONE ACETATE</w:t>
            </w:r>
          </w:p>
          <w:p w14:paraId="616DA22A" w14:textId="07C5E892" w:rsidR="00B46209" w:rsidRPr="00B02785" w:rsidRDefault="00B46209" w:rsidP="009F7484">
            <w:pPr>
              <w:pStyle w:val="Tablewriting"/>
            </w:pPr>
          </w:p>
        </w:tc>
        <w:tc>
          <w:tcPr>
            <w:tcW w:w="6379" w:type="dxa"/>
          </w:tcPr>
          <w:p w14:paraId="052E7BFF" w14:textId="4A983F44" w:rsidR="006E3C39" w:rsidRPr="00B02785" w:rsidRDefault="00B46209" w:rsidP="00B379CB">
            <w:pPr>
              <w:pStyle w:val="Tablewriting"/>
            </w:pPr>
            <w:r w:rsidRPr="00B02785">
              <w:t xml:space="preserve">1 g (four 250 mg tablets) </w:t>
            </w:r>
            <w:r w:rsidR="006E3C39" w:rsidRPr="00B02785">
              <w:t xml:space="preserve">swallowed whole </w:t>
            </w:r>
            <w:r w:rsidRPr="00B02785">
              <w:t xml:space="preserve">as a single daily dose that must not be taken with food. </w:t>
            </w:r>
          </w:p>
          <w:p w14:paraId="167BF065" w14:textId="77777777" w:rsidR="00B46209" w:rsidRPr="00B02785" w:rsidRDefault="00B46209" w:rsidP="00B379CB">
            <w:pPr>
              <w:pStyle w:val="Tablewriting"/>
            </w:pPr>
            <w:r w:rsidRPr="00B02785">
              <w:t xml:space="preserve">Abiraterone is used with low-dose prednisone or prednisolone. The recommended dosage of prednisone or prednisolone is 10 mg daily. </w:t>
            </w:r>
          </w:p>
        </w:tc>
      </w:tr>
      <w:tr w:rsidR="00B46209" w:rsidRPr="00B02785" w14:paraId="1B61803F" w14:textId="77777777" w:rsidTr="008E2A01">
        <w:tc>
          <w:tcPr>
            <w:tcW w:w="2660" w:type="dxa"/>
          </w:tcPr>
          <w:p w14:paraId="290946B8" w14:textId="77777777" w:rsidR="00B46209" w:rsidRPr="00B02785" w:rsidRDefault="00B46209" w:rsidP="004C71DF">
            <w:pPr>
              <w:pStyle w:val="Tablewriting"/>
            </w:pPr>
            <w:r w:rsidRPr="00B02785">
              <w:t>ENZALUTAMIDE</w:t>
            </w:r>
          </w:p>
          <w:p w14:paraId="63EAC5B3" w14:textId="5787397A" w:rsidR="00B46209" w:rsidRPr="00B02785" w:rsidRDefault="00B46209" w:rsidP="009F7484">
            <w:pPr>
              <w:pStyle w:val="Tablewriting"/>
            </w:pPr>
          </w:p>
        </w:tc>
        <w:tc>
          <w:tcPr>
            <w:tcW w:w="6379" w:type="dxa"/>
          </w:tcPr>
          <w:p w14:paraId="233AA1E4" w14:textId="7B8A7291" w:rsidR="00B46209" w:rsidRPr="00B02785" w:rsidRDefault="00B46209" w:rsidP="00B379CB">
            <w:pPr>
              <w:pStyle w:val="Tablewriting"/>
            </w:pPr>
            <w:r w:rsidRPr="00B02785">
              <w:t xml:space="preserve">160 mg (four 40 mg capsules) </w:t>
            </w:r>
            <w:r w:rsidR="00AA61AB" w:rsidRPr="00B02785">
              <w:t xml:space="preserve">swallowed whole </w:t>
            </w:r>
            <w:r w:rsidRPr="00B02785">
              <w:t>as a single oral daily dose</w:t>
            </w:r>
            <w:r w:rsidR="00AA61AB" w:rsidRPr="00B02785">
              <w:t xml:space="preserve"> with or without food</w:t>
            </w:r>
            <w:r w:rsidRPr="00B02785">
              <w:t>.</w:t>
            </w:r>
          </w:p>
        </w:tc>
      </w:tr>
      <w:tr w:rsidR="00B46209" w:rsidRPr="00B02785" w14:paraId="6D4491F2" w14:textId="77777777" w:rsidTr="008E2A01">
        <w:tc>
          <w:tcPr>
            <w:tcW w:w="2660" w:type="dxa"/>
          </w:tcPr>
          <w:p w14:paraId="30AC4E70" w14:textId="77777777" w:rsidR="00B46209" w:rsidRPr="00B02785" w:rsidRDefault="00B46209" w:rsidP="004C71DF">
            <w:pPr>
              <w:pStyle w:val="Tablewriting"/>
            </w:pPr>
            <w:r w:rsidRPr="00B02785">
              <w:t>DOCETAXEL</w:t>
            </w:r>
          </w:p>
          <w:p w14:paraId="4D9B9DCE" w14:textId="5E79CFD1" w:rsidR="00B46209" w:rsidRPr="00B02785" w:rsidRDefault="00B46209" w:rsidP="004C71DF">
            <w:pPr>
              <w:pStyle w:val="Tablewriting"/>
            </w:pPr>
          </w:p>
        </w:tc>
        <w:tc>
          <w:tcPr>
            <w:tcW w:w="6379" w:type="dxa"/>
          </w:tcPr>
          <w:p w14:paraId="6601C738" w14:textId="0226685C" w:rsidR="00B46209" w:rsidRPr="00B02785" w:rsidRDefault="00B46209" w:rsidP="004C71DF">
            <w:pPr>
              <w:pStyle w:val="Tablewriting"/>
            </w:pPr>
            <w:r w:rsidRPr="00B02785">
              <w:t>75 mg/m2 administered as a one hour infusion every three weeks. Prednisone or prednisolone 5 mg orally twice daily is administered continuously, commencing day 1 and continuing through each cycle.</w:t>
            </w:r>
          </w:p>
        </w:tc>
      </w:tr>
    </w:tbl>
    <w:p w14:paraId="08559CD9" w14:textId="1D591C2E" w:rsidR="00A35800" w:rsidRPr="00D0256F" w:rsidRDefault="003370D0" w:rsidP="00A35800">
      <w:pPr>
        <w:pStyle w:val="Notes"/>
      </w:pPr>
      <w:r w:rsidRPr="00D0256F">
        <w:t>Source:</w:t>
      </w:r>
      <w:r w:rsidR="00AA61AB" w:rsidRPr="00D0256F">
        <w:t xml:space="preserve"> Product Information</w:t>
      </w:r>
    </w:p>
    <w:p w14:paraId="6682A05C" w14:textId="3B4347B9" w:rsidR="00F17D4B" w:rsidRPr="00B02785" w:rsidRDefault="00AA61AB" w:rsidP="00F17D4B">
      <w:r w:rsidRPr="00B02785">
        <w:t>Further details are available in t</w:t>
      </w:r>
      <w:r w:rsidR="00F17D4B" w:rsidRPr="00B02785">
        <w:t>he Product Information (PI) and Consumer Medicine Information (CMI) available from</w:t>
      </w:r>
      <w:r w:rsidR="00D0256F">
        <w:t xml:space="preserve"> </w:t>
      </w:r>
      <w:hyperlink r:id="rId9" w:history="1">
        <w:r w:rsidR="00D0256F" w:rsidRPr="00B02785">
          <w:rPr>
            <w:rStyle w:val="Hyperlink"/>
          </w:rPr>
          <w:t>the TGA (</w:t>
        </w:r>
        <w:r w:rsidR="00D0256F">
          <w:rPr>
            <w:rStyle w:val="Hyperlink"/>
          </w:rPr>
          <w:t>Product</w:t>
        </w:r>
        <w:r w:rsidR="00D0256F" w:rsidRPr="00B02785">
          <w:rPr>
            <w:rStyle w:val="Hyperlink"/>
          </w:rPr>
          <w:t xml:space="preserve"> Information)</w:t>
        </w:r>
      </w:hyperlink>
      <w:r w:rsidR="00F17D4B" w:rsidRPr="00B02785">
        <w:t xml:space="preserve"> and </w:t>
      </w:r>
      <w:hyperlink r:id="rId10" w:history="1">
        <w:r w:rsidR="00F17D4B" w:rsidRPr="00B02785">
          <w:rPr>
            <w:rStyle w:val="Hyperlink"/>
          </w:rPr>
          <w:t>the TGA (Consumer Medicines Information)</w:t>
        </w:r>
      </w:hyperlink>
      <w:r w:rsidR="00F17D4B" w:rsidRPr="00B02785">
        <w:t>.</w:t>
      </w:r>
    </w:p>
    <w:p w14:paraId="143CC403" w14:textId="5A441729" w:rsidR="001420B3" w:rsidRPr="00B02785" w:rsidRDefault="001420B3" w:rsidP="003A1EFA">
      <w:pPr>
        <w:pStyle w:val="Heading2"/>
        <w:keepNext/>
      </w:pPr>
      <w:r w:rsidRPr="00B02785">
        <w:t>Clinical situation</w:t>
      </w:r>
    </w:p>
    <w:p w14:paraId="5AECECD1" w14:textId="18A905A4" w:rsidR="009E74F4" w:rsidRPr="00B02785" w:rsidRDefault="009E74F4" w:rsidP="001B58EF">
      <w:pPr>
        <w:autoSpaceDE w:val="0"/>
        <w:autoSpaceDN w:val="0"/>
        <w:adjustRightInd w:val="0"/>
        <w:spacing w:after="0"/>
      </w:pPr>
      <w:r w:rsidRPr="00A86EBB">
        <w:rPr>
          <w:snapToGrid w:val="0"/>
          <w:lang w:eastAsia="en-US"/>
        </w:rPr>
        <w:t>Metastatic castrat</w:t>
      </w:r>
      <w:r w:rsidR="00CB6410" w:rsidRPr="00A86EBB">
        <w:rPr>
          <w:snapToGrid w:val="0"/>
          <w:lang w:eastAsia="en-US"/>
        </w:rPr>
        <w:t>ion</w:t>
      </w:r>
      <w:r w:rsidRPr="00A86EBB">
        <w:rPr>
          <w:snapToGrid w:val="0"/>
          <w:lang w:eastAsia="en-US"/>
        </w:rPr>
        <w:t xml:space="preserve"> resistant prostate cancer (mCRPC) is advanced cancer of the prostate gland that has spread to the lymph nodes, bones or other organs of the body and is no longer sensitive to hormonal castration (surgical or medical).  </w:t>
      </w:r>
      <w:r w:rsidR="003123B1" w:rsidRPr="00A86EBB">
        <w:rPr>
          <w:snapToGrid w:val="0"/>
          <w:lang w:eastAsia="en-US"/>
        </w:rPr>
        <w:t>The clinical algorithm for the tre</w:t>
      </w:r>
      <w:r w:rsidR="001A5353" w:rsidRPr="00A86EBB">
        <w:rPr>
          <w:snapToGrid w:val="0"/>
          <w:lang w:eastAsia="en-US"/>
        </w:rPr>
        <w:t>atment of m</w:t>
      </w:r>
      <w:r w:rsidR="005F0F8C" w:rsidRPr="00A86EBB">
        <w:rPr>
          <w:snapToGrid w:val="0"/>
          <w:lang w:eastAsia="en-US"/>
        </w:rPr>
        <w:t>etastatic prostate cancer</w:t>
      </w:r>
      <w:r w:rsidR="001A5353" w:rsidRPr="00A86EBB">
        <w:rPr>
          <w:snapToGrid w:val="0"/>
          <w:lang w:eastAsia="en-US"/>
        </w:rPr>
        <w:t xml:space="preserve"> </w:t>
      </w:r>
      <w:r w:rsidR="001D5C73" w:rsidRPr="00A86EBB">
        <w:rPr>
          <w:snapToGrid w:val="0"/>
          <w:lang w:eastAsia="en-US"/>
        </w:rPr>
        <w:t>is evolving. When PBAC considered the existing listings, the</w:t>
      </w:r>
      <w:r w:rsidR="003123B1" w:rsidRPr="00A86EBB">
        <w:rPr>
          <w:snapToGrid w:val="0"/>
          <w:lang w:eastAsia="en-US"/>
        </w:rPr>
        <w:t xml:space="preserve"> previous </w:t>
      </w:r>
      <w:r w:rsidR="001D5C73" w:rsidRPr="00A86EBB">
        <w:rPr>
          <w:snapToGrid w:val="0"/>
          <w:lang w:eastAsia="en-US"/>
        </w:rPr>
        <w:t xml:space="preserve">treatment </w:t>
      </w:r>
      <w:r w:rsidR="003123B1" w:rsidRPr="00A86EBB">
        <w:rPr>
          <w:snapToGrid w:val="0"/>
          <w:lang w:eastAsia="en-US"/>
        </w:rPr>
        <w:t>guidelines</w:t>
      </w:r>
      <w:r w:rsidR="001D5C73" w:rsidRPr="00A86EBB">
        <w:rPr>
          <w:snapToGrid w:val="0"/>
          <w:lang w:eastAsia="en-US"/>
        </w:rPr>
        <w:t xml:space="preserve"> for mCRPC recommended </w:t>
      </w:r>
      <w:r w:rsidR="003123B1" w:rsidRPr="00A86EBB">
        <w:rPr>
          <w:snapToGrid w:val="0"/>
          <w:lang w:eastAsia="en-US"/>
        </w:rPr>
        <w:t xml:space="preserve">first-line therapy with </w:t>
      </w:r>
      <w:r w:rsidR="001D5C73" w:rsidRPr="00A86EBB">
        <w:rPr>
          <w:snapToGrid w:val="0"/>
          <w:lang w:eastAsia="en-US"/>
        </w:rPr>
        <w:t xml:space="preserve">docetaxel, </w:t>
      </w:r>
      <w:r w:rsidRPr="00A86EBB">
        <w:rPr>
          <w:snapToGrid w:val="0"/>
          <w:lang w:eastAsia="en-US"/>
        </w:rPr>
        <w:t xml:space="preserve">provided chemotherapy is suitable, followed by </w:t>
      </w:r>
      <w:r w:rsidR="001D5C73" w:rsidRPr="00A86EBB">
        <w:rPr>
          <w:snapToGrid w:val="0"/>
          <w:lang w:eastAsia="en-US"/>
        </w:rPr>
        <w:t xml:space="preserve">enzalutamide, </w:t>
      </w:r>
      <w:r w:rsidRPr="00A86EBB">
        <w:rPr>
          <w:snapToGrid w:val="0"/>
          <w:lang w:eastAsia="en-US"/>
        </w:rPr>
        <w:t xml:space="preserve">abiraterone or </w:t>
      </w:r>
      <w:r w:rsidRPr="00A86EBB">
        <w:rPr>
          <w:snapToGrid w:val="0"/>
          <w:lang w:eastAsia="en-US"/>
        </w:rPr>
        <w:lastRenderedPageBreak/>
        <w:t xml:space="preserve">cabazitaxel after </w:t>
      </w:r>
      <w:r w:rsidR="003123B1" w:rsidRPr="00A86EBB">
        <w:rPr>
          <w:snapToGrid w:val="0"/>
          <w:lang w:eastAsia="en-US"/>
        </w:rPr>
        <w:t>failure with docetaxel therapy</w:t>
      </w:r>
      <w:r w:rsidRPr="00A86EBB">
        <w:rPr>
          <w:snapToGrid w:val="0"/>
          <w:lang w:eastAsia="en-US"/>
        </w:rPr>
        <w:t>.</w:t>
      </w:r>
      <w:r w:rsidR="003123B1" w:rsidRPr="00A86EBB">
        <w:rPr>
          <w:snapToGrid w:val="0"/>
          <w:lang w:eastAsia="en-US"/>
        </w:rPr>
        <w:t xml:space="preserve"> </w:t>
      </w:r>
      <w:r w:rsidR="001A5353" w:rsidRPr="00A86EBB">
        <w:rPr>
          <w:snapToGrid w:val="0"/>
          <w:lang w:eastAsia="en-US"/>
        </w:rPr>
        <w:t>More r</w:t>
      </w:r>
      <w:r w:rsidR="008B33FE" w:rsidRPr="00A86EBB">
        <w:rPr>
          <w:snapToGrid w:val="0"/>
          <w:lang w:eastAsia="en-US"/>
        </w:rPr>
        <w:t>ecent guidelines</w:t>
      </w:r>
      <w:r w:rsidR="00E76979" w:rsidRPr="00A86EBB">
        <w:rPr>
          <w:snapToGrid w:val="0"/>
          <w:lang w:eastAsia="en-US"/>
        </w:rPr>
        <w:t xml:space="preserve"> for first-line treatment of mCRPC</w:t>
      </w:r>
      <w:r w:rsidR="008B33FE" w:rsidRPr="00A86EBB">
        <w:rPr>
          <w:snapToGrid w:val="0"/>
          <w:lang w:eastAsia="en-US"/>
        </w:rPr>
        <w:t xml:space="preserve"> issued by th</w:t>
      </w:r>
      <w:r w:rsidR="001B58EF" w:rsidRPr="00A86EBB">
        <w:rPr>
          <w:snapToGrid w:val="0"/>
          <w:lang w:eastAsia="en-US"/>
        </w:rPr>
        <w:t>e National Comprehensive Cancer Network®</w:t>
      </w:r>
      <w:r w:rsidR="00E76979" w:rsidRPr="00A86EBB">
        <w:rPr>
          <w:snapToGrid w:val="0"/>
          <w:lang w:eastAsia="en-US"/>
        </w:rPr>
        <w:t>(NCCN® 2015) recommend docetaxel with prednisolone where symptoms are present or enzalutamide or abiraterone with prednisolone when the cancer is not causing symptoms.</w:t>
      </w:r>
      <w:r w:rsidR="004B40F2" w:rsidRPr="00A86EBB">
        <w:rPr>
          <w:snapToGrid w:val="0"/>
          <w:lang w:eastAsia="en-US"/>
        </w:rPr>
        <w:t xml:space="preserve"> First-line immunotherapy, such as Sipuleucel-T, is also recommended when the cancer is causing few or no symptoms. For second-line therapy after abiraterone or enzalutamide, the NCCN® (2015) recommends further treatment with these agents or docetaxel with prednisolone. Other recommended</w:t>
      </w:r>
      <w:r w:rsidR="001D5C73" w:rsidRPr="00A86EBB">
        <w:rPr>
          <w:snapToGrid w:val="0"/>
          <w:lang w:eastAsia="en-US"/>
        </w:rPr>
        <w:t xml:space="preserve"> treatment</w:t>
      </w:r>
      <w:r w:rsidR="004B40F2" w:rsidRPr="00A86EBB">
        <w:rPr>
          <w:snapToGrid w:val="0"/>
          <w:lang w:eastAsia="en-US"/>
        </w:rPr>
        <w:t xml:space="preserve"> options include immunotherapy and secondary hormone therapy with antiandrogens, ketoconazole, corticosteroids or </w:t>
      </w:r>
      <w:r w:rsidR="00F84366">
        <w:rPr>
          <w:snapToGrid w:val="0"/>
          <w:lang w:eastAsia="en-US"/>
        </w:rPr>
        <w:t>d</w:t>
      </w:r>
      <w:r w:rsidR="00F84366" w:rsidRPr="00F84366">
        <w:rPr>
          <w:snapToGrid w:val="0"/>
          <w:lang w:eastAsia="en-US"/>
        </w:rPr>
        <w:t>iethylstilbestrol</w:t>
      </w:r>
      <w:r w:rsidR="00F84366">
        <w:rPr>
          <w:snapToGrid w:val="0"/>
          <w:lang w:eastAsia="en-US"/>
        </w:rPr>
        <w:t xml:space="preserve"> (DES)</w:t>
      </w:r>
      <w:r w:rsidR="004B40F2" w:rsidRPr="00A86EBB">
        <w:rPr>
          <w:snapToGrid w:val="0"/>
          <w:lang w:eastAsia="en-US"/>
        </w:rPr>
        <w:t xml:space="preserve">. </w:t>
      </w:r>
      <w:r w:rsidR="00063C23" w:rsidRPr="00A86EBB">
        <w:rPr>
          <w:snapToGrid w:val="0"/>
          <w:lang w:eastAsia="en-US"/>
        </w:rPr>
        <w:t xml:space="preserve">After first-line therapy with docetaxel, the NCCN® (2015) suggests the following treatment options: enzalutamide; abiraterone with prednisolone; cabazitaxel with prednisolone; docetaxel rechallenge; mitozantrone; immunotherapy (Sipuleucel-T); and secondary hormone therapy (antiandrogens, ketoconazole, corticosteroids or </w:t>
      </w:r>
      <w:r w:rsidR="00063C23" w:rsidRPr="00F50E7B">
        <w:rPr>
          <w:snapToGrid w:val="0"/>
          <w:lang w:eastAsia="en-US"/>
        </w:rPr>
        <w:t>DES</w:t>
      </w:r>
      <w:r w:rsidR="00063C23" w:rsidRPr="00A86EBB">
        <w:rPr>
          <w:snapToGrid w:val="0"/>
          <w:lang w:eastAsia="en-US"/>
        </w:rPr>
        <w:t>).</w:t>
      </w:r>
    </w:p>
    <w:p w14:paraId="46E2BB42" w14:textId="4B2DCFFF" w:rsidR="00DF0B13" w:rsidRPr="00B02785" w:rsidRDefault="00DF0B13" w:rsidP="00CF5E22">
      <w:pPr>
        <w:pStyle w:val="Heading2"/>
      </w:pPr>
      <w:r w:rsidRPr="00B02785">
        <w:t>PBS listing details</w:t>
      </w:r>
      <w:r w:rsidR="00D151EB" w:rsidRPr="00B02785">
        <w:t xml:space="preserve"> (as at </w:t>
      </w:r>
      <w:r w:rsidR="004C71DF" w:rsidRPr="00B02785">
        <w:t>March 2016)</w:t>
      </w:r>
    </w:p>
    <w:p w14:paraId="64AA0759" w14:textId="2813C3D4" w:rsidR="00496289" w:rsidRPr="00B02785" w:rsidRDefault="00C33485" w:rsidP="003548A0">
      <w:pPr>
        <w:pStyle w:val="Tabletitle"/>
      </w:pPr>
      <w:r>
        <w:t>Table 2</w:t>
      </w:r>
      <w:r w:rsidR="00496289" w:rsidRPr="00B02785">
        <w:t>: PBS listing of IV medicines</w:t>
      </w:r>
    </w:p>
    <w:tbl>
      <w:tblPr>
        <w:tblStyle w:val="TableGrid"/>
        <w:tblW w:w="9064" w:type="dxa"/>
        <w:tblLayout w:type="fixed"/>
        <w:tblLook w:val="04A0" w:firstRow="1" w:lastRow="0" w:firstColumn="1" w:lastColumn="0" w:noHBand="0" w:noVBand="1"/>
        <w:tblCaption w:val="PBS listing of IV medicines"/>
        <w:tblDescription w:val="A table of PBS listing of IV medicines"/>
      </w:tblPr>
      <w:tblGrid>
        <w:gridCol w:w="969"/>
        <w:gridCol w:w="2400"/>
        <w:gridCol w:w="1701"/>
        <w:gridCol w:w="850"/>
        <w:gridCol w:w="1040"/>
        <w:gridCol w:w="2104"/>
      </w:tblGrid>
      <w:tr w:rsidR="00496289" w:rsidRPr="00B02785" w14:paraId="7F34DB39" w14:textId="77777777" w:rsidTr="00F16A00">
        <w:trPr>
          <w:trHeight w:val="694"/>
          <w:tblHeader/>
        </w:trPr>
        <w:tc>
          <w:tcPr>
            <w:tcW w:w="969" w:type="dxa"/>
            <w:shd w:val="clear" w:color="auto" w:fill="BFBFBF" w:themeFill="background1" w:themeFillShade="BF"/>
          </w:tcPr>
          <w:p w14:paraId="69E8DFE2" w14:textId="77777777" w:rsidR="00496289" w:rsidRPr="00B02785" w:rsidRDefault="00496289" w:rsidP="00F16A00">
            <w:pPr>
              <w:pStyle w:val="Tableheading"/>
              <w:rPr>
                <w:sz w:val="20"/>
                <w:szCs w:val="20"/>
              </w:rPr>
            </w:pPr>
            <w:r w:rsidRPr="00B02785">
              <w:rPr>
                <w:sz w:val="20"/>
                <w:szCs w:val="20"/>
              </w:rPr>
              <w:t>Item</w:t>
            </w:r>
          </w:p>
        </w:tc>
        <w:tc>
          <w:tcPr>
            <w:tcW w:w="2400" w:type="dxa"/>
            <w:shd w:val="clear" w:color="auto" w:fill="BFBFBF" w:themeFill="background1" w:themeFillShade="BF"/>
          </w:tcPr>
          <w:p w14:paraId="25E1D94A" w14:textId="77777777" w:rsidR="00496289" w:rsidRPr="00B02785" w:rsidRDefault="00496289" w:rsidP="00F16A00">
            <w:pPr>
              <w:pStyle w:val="Tableheading"/>
              <w:rPr>
                <w:sz w:val="20"/>
                <w:szCs w:val="20"/>
              </w:rPr>
            </w:pPr>
            <w:r w:rsidRPr="00B02785">
              <w:rPr>
                <w:sz w:val="20"/>
                <w:szCs w:val="20"/>
              </w:rPr>
              <w:t>Name, form &amp; strength, pack size</w:t>
            </w:r>
          </w:p>
        </w:tc>
        <w:tc>
          <w:tcPr>
            <w:tcW w:w="1701" w:type="dxa"/>
            <w:shd w:val="clear" w:color="auto" w:fill="BFBFBF" w:themeFill="background1" w:themeFillShade="BF"/>
          </w:tcPr>
          <w:p w14:paraId="6459ACD8" w14:textId="77777777" w:rsidR="00496289" w:rsidRPr="00B02785" w:rsidRDefault="00496289" w:rsidP="00F16A00">
            <w:pPr>
              <w:pStyle w:val="Tableheading"/>
              <w:rPr>
                <w:sz w:val="20"/>
                <w:szCs w:val="20"/>
              </w:rPr>
            </w:pPr>
            <w:r w:rsidRPr="00B02785">
              <w:rPr>
                <w:sz w:val="20"/>
                <w:szCs w:val="20"/>
              </w:rPr>
              <w:t xml:space="preserve">Max. amount </w:t>
            </w:r>
          </w:p>
        </w:tc>
        <w:tc>
          <w:tcPr>
            <w:tcW w:w="850" w:type="dxa"/>
            <w:shd w:val="clear" w:color="auto" w:fill="BFBFBF" w:themeFill="background1" w:themeFillShade="BF"/>
          </w:tcPr>
          <w:p w14:paraId="5F48C6D0" w14:textId="77777777" w:rsidR="00496289" w:rsidRPr="00B02785" w:rsidRDefault="00496289" w:rsidP="00F16A00">
            <w:pPr>
              <w:pStyle w:val="Tableheading"/>
              <w:rPr>
                <w:sz w:val="20"/>
                <w:szCs w:val="20"/>
              </w:rPr>
            </w:pPr>
            <w:r w:rsidRPr="00B02785">
              <w:rPr>
                <w:sz w:val="20"/>
                <w:szCs w:val="20"/>
              </w:rPr>
              <w:t xml:space="preserve">Rpts </w:t>
            </w:r>
          </w:p>
        </w:tc>
        <w:tc>
          <w:tcPr>
            <w:tcW w:w="1040" w:type="dxa"/>
            <w:shd w:val="clear" w:color="auto" w:fill="BFBFBF" w:themeFill="background1" w:themeFillShade="BF"/>
          </w:tcPr>
          <w:p w14:paraId="06000C6E" w14:textId="77777777" w:rsidR="00496289" w:rsidRPr="00B02785" w:rsidRDefault="00496289" w:rsidP="00F16A00">
            <w:pPr>
              <w:pStyle w:val="Tableheading"/>
              <w:rPr>
                <w:sz w:val="20"/>
                <w:szCs w:val="20"/>
              </w:rPr>
            </w:pPr>
            <w:r w:rsidRPr="00B02785">
              <w:rPr>
                <w:sz w:val="20"/>
                <w:szCs w:val="20"/>
              </w:rPr>
              <w:t>DPMA</w:t>
            </w:r>
          </w:p>
        </w:tc>
        <w:tc>
          <w:tcPr>
            <w:tcW w:w="2104" w:type="dxa"/>
            <w:shd w:val="clear" w:color="auto" w:fill="BFBFBF" w:themeFill="background1" w:themeFillShade="BF"/>
          </w:tcPr>
          <w:p w14:paraId="4AE99CE5" w14:textId="77777777" w:rsidR="00496289" w:rsidRPr="00B02785" w:rsidRDefault="00496289" w:rsidP="00F16A00">
            <w:pPr>
              <w:pStyle w:val="Tableheading"/>
              <w:rPr>
                <w:sz w:val="20"/>
                <w:szCs w:val="20"/>
              </w:rPr>
            </w:pPr>
            <w:r w:rsidRPr="00B02785">
              <w:rPr>
                <w:sz w:val="20"/>
                <w:szCs w:val="20"/>
              </w:rPr>
              <w:t>Brand name and manufacturer</w:t>
            </w:r>
          </w:p>
        </w:tc>
      </w:tr>
      <w:tr w:rsidR="00496289" w:rsidRPr="00B02785" w14:paraId="54A5A593" w14:textId="77777777" w:rsidTr="00F16A00">
        <w:trPr>
          <w:trHeight w:val="546"/>
          <w:tblHeader/>
        </w:trPr>
        <w:tc>
          <w:tcPr>
            <w:tcW w:w="969" w:type="dxa"/>
            <w:shd w:val="clear" w:color="auto" w:fill="auto"/>
          </w:tcPr>
          <w:p w14:paraId="29CB1856" w14:textId="77777777" w:rsidR="00496289" w:rsidRPr="00B02785" w:rsidRDefault="00496289" w:rsidP="00F16A00">
            <w:pPr>
              <w:pStyle w:val="Tablewriting"/>
            </w:pPr>
            <w:r w:rsidRPr="00B02785">
              <w:t>4376H (Public)</w:t>
            </w:r>
          </w:p>
        </w:tc>
        <w:tc>
          <w:tcPr>
            <w:tcW w:w="2400" w:type="dxa"/>
            <w:vMerge w:val="restart"/>
            <w:shd w:val="clear" w:color="auto" w:fill="auto"/>
          </w:tcPr>
          <w:p w14:paraId="6F717408" w14:textId="77777777" w:rsidR="00496289" w:rsidRPr="00B02785" w:rsidRDefault="00496289" w:rsidP="00F16A00">
            <w:pPr>
              <w:pStyle w:val="Tablewriting"/>
            </w:pPr>
            <w:r w:rsidRPr="00B02785">
              <w:t>CABAZITAXEL</w:t>
            </w:r>
          </w:p>
          <w:p w14:paraId="6E7D3A1C" w14:textId="77777777" w:rsidR="00496289" w:rsidRPr="00B02785" w:rsidRDefault="00496289" w:rsidP="00F16A00">
            <w:pPr>
              <w:pStyle w:val="Tablewriting"/>
            </w:pPr>
            <w:r w:rsidRPr="00B02785">
              <w:t>Concentrated injection 60 mg (as acetone solvate) in 1.5 mL, with diluent</w:t>
            </w:r>
          </w:p>
        </w:tc>
        <w:tc>
          <w:tcPr>
            <w:tcW w:w="1701" w:type="dxa"/>
            <w:vMerge w:val="restart"/>
            <w:shd w:val="clear" w:color="auto" w:fill="auto"/>
          </w:tcPr>
          <w:p w14:paraId="552B30E4" w14:textId="77777777" w:rsidR="00496289" w:rsidRPr="00B02785" w:rsidRDefault="00496289" w:rsidP="00F16A00">
            <w:pPr>
              <w:pStyle w:val="Tablewriting"/>
            </w:pPr>
            <w:r w:rsidRPr="00B02785">
              <w:t>55 mg</w:t>
            </w:r>
          </w:p>
        </w:tc>
        <w:tc>
          <w:tcPr>
            <w:tcW w:w="850" w:type="dxa"/>
            <w:vMerge w:val="restart"/>
            <w:shd w:val="clear" w:color="auto" w:fill="auto"/>
          </w:tcPr>
          <w:p w14:paraId="74FF8A3E" w14:textId="77777777" w:rsidR="00496289" w:rsidRPr="00B02785" w:rsidRDefault="00496289" w:rsidP="00F16A00">
            <w:pPr>
              <w:pStyle w:val="Tablewriting"/>
            </w:pPr>
            <w:r w:rsidRPr="00B02785">
              <w:t>5</w:t>
            </w:r>
          </w:p>
        </w:tc>
        <w:tc>
          <w:tcPr>
            <w:tcW w:w="1040" w:type="dxa"/>
            <w:shd w:val="clear" w:color="auto" w:fill="auto"/>
          </w:tcPr>
          <w:p w14:paraId="0A67708D" w14:textId="68F19A9F" w:rsidR="00496289" w:rsidRPr="00B02785" w:rsidRDefault="00496289" w:rsidP="00F16A00">
            <w:pPr>
              <w:pStyle w:val="Tablewriting"/>
            </w:pPr>
            <w:r w:rsidRPr="00B02785">
              <w:t>$5</w:t>
            </w:r>
            <w:r w:rsidR="008E2A01" w:rsidRPr="00B02785">
              <w:t>,</w:t>
            </w:r>
            <w:r w:rsidRPr="00B02785">
              <w:t>897.41</w:t>
            </w:r>
          </w:p>
        </w:tc>
        <w:tc>
          <w:tcPr>
            <w:tcW w:w="2104" w:type="dxa"/>
            <w:vMerge w:val="restart"/>
            <w:shd w:val="clear" w:color="auto" w:fill="auto"/>
          </w:tcPr>
          <w:p w14:paraId="3D5586A6" w14:textId="77777777" w:rsidR="00496289" w:rsidRPr="00B02785" w:rsidRDefault="00496289" w:rsidP="00F16A00">
            <w:pPr>
              <w:pStyle w:val="Tablewriting"/>
            </w:pPr>
            <w:r w:rsidRPr="00B02785">
              <w:t>Jevtana®</w:t>
            </w:r>
          </w:p>
          <w:p w14:paraId="151B5557" w14:textId="77777777" w:rsidR="00496289" w:rsidRPr="00B02785" w:rsidRDefault="00496289" w:rsidP="00F16A00">
            <w:pPr>
              <w:pStyle w:val="Tablewriting"/>
            </w:pPr>
            <w:r w:rsidRPr="00B02785">
              <w:t>sanofi-aventis Australia Pty Ltd</w:t>
            </w:r>
          </w:p>
        </w:tc>
      </w:tr>
      <w:tr w:rsidR="00496289" w:rsidRPr="00B02785" w14:paraId="1921BDE7" w14:textId="77777777" w:rsidTr="00F16A00">
        <w:trPr>
          <w:trHeight w:val="546"/>
          <w:tblHeader/>
        </w:trPr>
        <w:tc>
          <w:tcPr>
            <w:tcW w:w="969" w:type="dxa"/>
            <w:shd w:val="clear" w:color="auto" w:fill="auto"/>
          </w:tcPr>
          <w:p w14:paraId="71CDD05E" w14:textId="77777777" w:rsidR="00496289" w:rsidRPr="00B02785" w:rsidRDefault="00496289" w:rsidP="00F16A00">
            <w:pPr>
              <w:pStyle w:val="Tablewriting"/>
            </w:pPr>
            <w:r w:rsidRPr="00B02785">
              <w:t>7236W (Private)</w:t>
            </w:r>
          </w:p>
        </w:tc>
        <w:tc>
          <w:tcPr>
            <w:tcW w:w="2400" w:type="dxa"/>
            <w:vMerge/>
            <w:shd w:val="clear" w:color="auto" w:fill="auto"/>
          </w:tcPr>
          <w:p w14:paraId="7FBF896D" w14:textId="77777777" w:rsidR="00496289" w:rsidRPr="00B02785" w:rsidRDefault="00496289" w:rsidP="00F16A00">
            <w:pPr>
              <w:pStyle w:val="Tablewriting"/>
            </w:pPr>
          </w:p>
        </w:tc>
        <w:tc>
          <w:tcPr>
            <w:tcW w:w="1701" w:type="dxa"/>
            <w:vMerge/>
            <w:shd w:val="clear" w:color="auto" w:fill="auto"/>
          </w:tcPr>
          <w:p w14:paraId="72080E5C" w14:textId="77777777" w:rsidR="00496289" w:rsidRPr="00B02785" w:rsidRDefault="00496289" w:rsidP="00F16A00">
            <w:pPr>
              <w:pStyle w:val="Tablewriting"/>
            </w:pPr>
          </w:p>
        </w:tc>
        <w:tc>
          <w:tcPr>
            <w:tcW w:w="850" w:type="dxa"/>
            <w:vMerge/>
            <w:shd w:val="clear" w:color="auto" w:fill="auto"/>
          </w:tcPr>
          <w:p w14:paraId="3A1BD1B0" w14:textId="77777777" w:rsidR="00496289" w:rsidRPr="00B02785" w:rsidRDefault="00496289" w:rsidP="00F16A00">
            <w:pPr>
              <w:pStyle w:val="Tablewriting"/>
            </w:pPr>
          </w:p>
        </w:tc>
        <w:tc>
          <w:tcPr>
            <w:tcW w:w="1040" w:type="dxa"/>
            <w:shd w:val="clear" w:color="auto" w:fill="auto"/>
          </w:tcPr>
          <w:p w14:paraId="584826ED" w14:textId="17C5A500" w:rsidR="00496289" w:rsidRPr="00B02785" w:rsidRDefault="00496289" w:rsidP="00F16A00">
            <w:pPr>
              <w:pStyle w:val="Tablewriting"/>
            </w:pPr>
            <w:r w:rsidRPr="00B02785">
              <w:t>$6</w:t>
            </w:r>
            <w:r w:rsidR="008E2A01" w:rsidRPr="00B02785">
              <w:t>,</w:t>
            </w:r>
            <w:r w:rsidRPr="00B02785">
              <w:t>016.41</w:t>
            </w:r>
          </w:p>
        </w:tc>
        <w:tc>
          <w:tcPr>
            <w:tcW w:w="2104" w:type="dxa"/>
            <w:vMerge/>
            <w:shd w:val="clear" w:color="auto" w:fill="auto"/>
          </w:tcPr>
          <w:p w14:paraId="630A31B4" w14:textId="77777777" w:rsidR="00496289" w:rsidRPr="00B02785" w:rsidRDefault="00496289" w:rsidP="00F16A00">
            <w:pPr>
              <w:pStyle w:val="Tablewriting"/>
            </w:pPr>
          </w:p>
        </w:tc>
      </w:tr>
      <w:tr w:rsidR="00496289" w:rsidRPr="00B02785" w14:paraId="79447E1E" w14:textId="77777777" w:rsidTr="00F16A00">
        <w:trPr>
          <w:trHeight w:val="546"/>
          <w:tblHeader/>
        </w:trPr>
        <w:tc>
          <w:tcPr>
            <w:tcW w:w="969" w:type="dxa"/>
            <w:shd w:val="clear" w:color="auto" w:fill="auto"/>
          </w:tcPr>
          <w:p w14:paraId="3E7F15E5" w14:textId="77777777" w:rsidR="00496289" w:rsidRPr="00B02785" w:rsidRDefault="00496289" w:rsidP="00F16A00">
            <w:pPr>
              <w:pStyle w:val="Tablewriting"/>
            </w:pPr>
            <w:r w:rsidRPr="00B02785">
              <w:t>10148D (Public)</w:t>
            </w:r>
          </w:p>
        </w:tc>
        <w:tc>
          <w:tcPr>
            <w:tcW w:w="2400" w:type="dxa"/>
            <w:shd w:val="clear" w:color="auto" w:fill="auto"/>
          </w:tcPr>
          <w:p w14:paraId="2C77B6E7" w14:textId="77777777" w:rsidR="00496289" w:rsidRPr="00B02785" w:rsidRDefault="00496289" w:rsidP="00F16A00">
            <w:pPr>
              <w:pStyle w:val="Tablewriting"/>
            </w:pPr>
            <w:r w:rsidRPr="00B02785">
              <w:t>DOCETAXEL</w:t>
            </w:r>
          </w:p>
          <w:p w14:paraId="2749502A" w14:textId="54BC81A4" w:rsidR="00496289" w:rsidRPr="00B02785" w:rsidRDefault="00496289" w:rsidP="00F16A00">
            <w:pPr>
              <w:pStyle w:val="Tablewriting"/>
            </w:pPr>
            <w:r w:rsidRPr="00B02785">
              <w:t>Various strengths and vial sizes</w:t>
            </w:r>
          </w:p>
          <w:p w14:paraId="2498C979" w14:textId="7949CB67" w:rsidR="00496289" w:rsidRPr="00B02785" w:rsidRDefault="00496289" w:rsidP="00F16A00">
            <w:pPr>
              <w:pStyle w:val="Tablewriting"/>
            </w:pPr>
          </w:p>
        </w:tc>
        <w:tc>
          <w:tcPr>
            <w:tcW w:w="1701" w:type="dxa"/>
            <w:shd w:val="clear" w:color="auto" w:fill="auto"/>
          </w:tcPr>
          <w:p w14:paraId="1475E5D3" w14:textId="77777777" w:rsidR="00496289" w:rsidRPr="00B02785" w:rsidRDefault="00496289" w:rsidP="00F16A00">
            <w:pPr>
              <w:pStyle w:val="Tablewriting"/>
            </w:pPr>
            <w:r w:rsidRPr="00B02785">
              <w:t>250 mg</w:t>
            </w:r>
          </w:p>
        </w:tc>
        <w:tc>
          <w:tcPr>
            <w:tcW w:w="850" w:type="dxa"/>
            <w:shd w:val="clear" w:color="auto" w:fill="auto"/>
          </w:tcPr>
          <w:p w14:paraId="09FE9258" w14:textId="77777777" w:rsidR="00496289" w:rsidRPr="00B02785" w:rsidRDefault="00496289" w:rsidP="00F16A00">
            <w:pPr>
              <w:pStyle w:val="Tablewriting"/>
            </w:pPr>
            <w:r w:rsidRPr="00B02785">
              <w:t>5</w:t>
            </w:r>
          </w:p>
        </w:tc>
        <w:tc>
          <w:tcPr>
            <w:tcW w:w="1040" w:type="dxa"/>
            <w:shd w:val="clear" w:color="auto" w:fill="auto"/>
          </w:tcPr>
          <w:p w14:paraId="0640E069" w14:textId="77777777" w:rsidR="00496289" w:rsidRPr="00B02785" w:rsidRDefault="00496289" w:rsidP="00F16A00">
            <w:pPr>
              <w:pStyle w:val="Tablewriting"/>
            </w:pPr>
            <w:r w:rsidRPr="00B02785">
              <w:t>$132.52</w:t>
            </w:r>
          </w:p>
        </w:tc>
        <w:tc>
          <w:tcPr>
            <w:tcW w:w="2104" w:type="dxa"/>
            <w:shd w:val="clear" w:color="auto" w:fill="auto"/>
          </w:tcPr>
          <w:p w14:paraId="01EDD698" w14:textId="6710A915" w:rsidR="00496289" w:rsidRPr="00B02785" w:rsidRDefault="00496289" w:rsidP="00F16A00">
            <w:pPr>
              <w:pStyle w:val="Tablewriting"/>
            </w:pPr>
            <w:r w:rsidRPr="00B02785">
              <w:t>DBL Docetaxe</w:t>
            </w:r>
            <w:r w:rsidR="00B02785" w:rsidRPr="00B02785">
              <w:t>l</w:t>
            </w:r>
            <w:r w:rsidR="001D5EE2" w:rsidRPr="00B02785">
              <w:sym w:font="Symbol" w:char="F0E2"/>
            </w:r>
            <w:r w:rsidRPr="00B02785">
              <w:br/>
              <w:t>Hospira Pty Limited</w:t>
            </w:r>
          </w:p>
          <w:p w14:paraId="1C4E2C69" w14:textId="19793917" w:rsidR="00496289" w:rsidRPr="00B02785" w:rsidRDefault="00496289" w:rsidP="00F16A00">
            <w:pPr>
              <w:pStyle w:val="Tablewriting"/>
            </w:pPr>
            <w:r w:rsidRPr="00B02785">
              <w:t>Docetaxel Sandoz</w:t>
            </w:r>
            <w:r w:rsidR="001D5EE2" w:rsidRPr="00B02785">
              <w:sym w:font="Symbol" w:char="F0E2"/>
            </w:r>
            <w:r w:rsidRPr="00B02785">
              <w:br/>
              <w:t>Sandoz Pty Ltd</w:t>
            </w:r>
          </w:p>
          <w:p w14:paraId="70CCBB90" w14:textId="321E50F1" w:rsidR="00496289" w:rsidRPr="00B02785" w:rsidRDefault="00496289" w:rsidP="00B379CB">
            <w:pPr>
              <w:pStyle w:val="Tablewriting"/>
            </w:pPr>
            <w:r w:rsidRPr="00B02785">
              <w:t>Oncotaxel</w:t>
            </w:r>
            <w:r w:rsidR="001D5EE2" w:rsidRPr="00B02785">
              <w:sym w:font="Symbol" w:char="F0E2"/>
            </w:r>
            <w:r w:rsidRPr="00B02785">
              <w:t xml:space="preserve"> </w:t>
            </w:r>
            <w:r w:rsidRPr="00B02785">
              <w:br/>
              <w:t>Amneal Pharmaceuticals Pty Ltd</w:t>
            </w:r>
          </w:p>
        </w:tc>
      </w:tr>
    </w:tbl>
    <w:p w14:paraId="5D76D8B6" w14:textId="14746E18" w:rsidR="004F7278" w:rsidRPr="00B02785" w:rsidRDefault="004F7278" w:rsidP="00F16A00">
      <w:pPr>
        <w:pStyle w:val="Tablewriting"/>
        <w:tabs>
          <w:tab w:val="left" w:pos="969"/>
          <w:tab w:val="left" w:pos="3369"/>
          <w:tab w:val="left" w:pos="5070"/>
          <w:tab w:val="left" w:pos="5920"/>
          <w:tab w:val="left" w:pos="6960"/>
        </w:tabs>
      </w:pPr>
      <w:r w:rsidRPr="00B02785">
        <w:t xml:space="preserve">Source: the </w:t>
      </w:r>
      <w:hyperlink r:id="rId11" w:history="1">
        <w:r w:rsidRPr="00B02785">
          <w:rPr>
            <w:rStyle w:val="Hyperlink"/>
          </w:rPr>
          <w:t>PBS website</w:t>
        </w:r>
      </w:hyperlink>
      <w:r w:rsidRPr="00B02785">
        <w:t xml:space="preserve">.  </w:t>
      </w:r>
    </w:p>
    <w:p w14:paraId="613A064E" w14:textId="695F3E76" w:rsidR="00391EC0" w:rsidRPr="00B02785" w:rsidRDefault="00C33485" w:rsidP="00AD666C">
      <w:pPr>
        <w:pStyle w:val="Tabletitle"/>
      </w:pPr>
      <w:r>
        <w:t>Table 3</w:t>
      </w:r>
      <w:r w:rsidR="00391EC0" w:rsidRPr="00B02785">
        <w:t>: PBS listing of oral medicines</w:t>
      </w:r>
    </w:p>
    <w:tbl>
      <w:tblPr>
        <w:tblStyle w:val="TableGrid"/>
        <w:tblW w:w="9064" w:type="dxa"/>
        <w:tblLayout w:type="fixed"/>
        <w:tblLook w:val="04A0" w:firstRow="1" w:lastRow="0" w:firstColumn="1" w:lastColumn="0" w:noHBand="0" w:noVBand="1"/>
        <w:tblCaption w:val="PBS listing of oral medicines"/>
        <w:tblDescription w:val="A table of PBS listing of oral medicines"/>
      </w:tblPr>
      <w:tblGrid>
        <w:gridCol w:w="969"/>
        <w:gridCol w:w="2400"/>
        <w:gridCol w:w="1701"/>
        <w:gridCol w:w="850"/>
        <w:gridCol w:w="1040"/>
        <w:gridCol w:w="2104"/>
      </w:tblGrid>
      <w:tr w:rsidR="00391EC0" w:rsidRPr="00B02785" w14:paraId="1C87E215" w14:textId="77777777" w:rsidTr="004C71DF">
        <w:trPr>
          <w:trHeight w:val="694"/>
          <w:tblHeader/>
        </w:trPr>
        <w:tc>
          <w:tcPr>
            <w:tcW w:w="969" w:type="dxa"/>
            <w:shd w:val="clear" w:color="auto" w:fill="BFBFBF" w:themeFill="background1" w:themeFillShade="BF"/>
          </w:tcPr>
          <w:p w14:paraId="0A10BEB3" w14:textId="77777777" w:rsidR="00391EC0" w:rsidRPr="00B02785" w:rsidRDefault="00391EC0" w:rsidP="00AD666C">
            <w:pPr>
              <w:pStyle w:val="Tableheading"/>
              <w:keepNext/>
              <w:rPr>
                <w:sz w:val="20"/>
                <w:szCs w:val="20"/>
              </w:rPr>
            </w:pPr>
            <w:r w:rsidRPr="00B02785">
              <w:rPr>
                <w:sz w:val="20"/>
                <w:szCs w:val="20"/>
              </w:rPr>
              <w:t>Item</w:t>
            </w:r>
          </w:p>
        </w:tc>
        <w:tc>
          <w:tcPr>
            <w:tcW w:w="2400" w:type="dxa"/>
            <w:shd w:val="clear" w:color="auto" w:fill="BFBFBF" w:themeFill="background1" w:themeFillShade="BF"/>
          </w:tcPr>
          <w:p w14:paraId="3F707CC5" w14:textId="77777777" w:rsidR="00391EC0" w:rsidRPr="00B02785" w:rsidRDefault="00391EC0" w:rsidP="00AD666C">
            <w:pPr>
              <w:pStyle w:val="Tableheading"/>
              <w:keepNext/>
              <w:rPr>
                <w:sz w:val="20"/>
                <w:szCs w:val="20"/>
              </w:rPr>
            </w:pPr>
            <w:r w:rsidRPr="00B02785">
              <w:rPr>
                <w:sz w:val="20"/>
                <w:szCs w:val="20"/>
              </w:rPr>
              <w:t>Name, form &amp; strength, pack size</w:t>
            </w:r>
          </w:p>
        </w:tc>
        <w:tc>
          <w:tcPr>
            <w:tcW w:w="1701" w:type="dxa"/>
            <w:shd w:val="clear" w:color="auto" w:fill="BFBFBF" w:themeFill="background1" w:themeFillShade="BF"/>
          </w:tcPr>
          <w:p w14:paraId="596F5DB1" w14:textId="77777777" w:rsidR="00391EC0" w:rsidRPr="00B02785" w:rsidRDefault="00391EC0" w:rsidP="00AD666C">
            <w:pPr>
              <w:pStyle w:val="Tableheading"/>
              <w:keepNext/>
              <w:rPr>
                <w:sz w:val="20"/>
                <w:szCs w:val="20"/>
              </w:rPr>
            </w:pPr>
            <w:r w:rsidRPr="00B02785">
              <w:rPr>
                <w:sz w:val="20"/>
                <w:szCs w:val="20"/>
              </w:rPr>
              <w:t xml:space="preserve">Max. quant. </w:t>
            </w:r>
          </w:p>
        </w:tc>
        <w:tc>
          <w:tcPr>
            <w:tcW w:w="850" w:type="dxa"/>
            <w:shd w:val="clear" w:color="auto" w:fill="BFBFBF" w:themeFill="background1" w:themeFillShade="BF"/>
          </w:tcPr>
          <w:p w14:paraId="206A3E1F" w14:textId="77777777" w:rsidR="00391EC0" w:rsidRPr="00B02785" w:rsidRDefault="00391EC0" w:rsidP="00AD666C">
            <w:pPr>
              <w:pStyle w:val="Tableheading"/>
              <w:keepNext/>
              <w:rPr>
                <w:sz w:val="20"/>
                <w:szCs w:val="20"/>
              </w:rPr>
            </w:pPr>
            <w:r w:rsidRPr="00B02785">
              <w:rPr>
                <w:sz w:val="20"/>
                <w:szCs w:val="20"/>
              </w:rPr>
              <w:t xml:space="preserve">Rpts </w:t>
            </w:r>
          </w:p>
        </w:tc>
        <w:tc>
          <w:tcPr>
            <w:tcW w:w="1040" w:type="dxa"/>
            <w:shd w:val="clear" w:color="auto" w:fill="BFBFBF" w:themeFill="background1" w:themeFillShade="BF"/>
          </w:tcPr>
          <w:p w14:paraId="26DDF78A" w14:textId="77777777" w:rsidR="00391EC0" w:rsidRPr="00B02785" w:rsidRDefault="00391EC0" w:rsidP="00AD666C">
            <w:pPr>
              <w:pStyle w:val="Tableheading"/>
              <w:keepNext/>
              <w:rPr>
                <w:sz w:val="20"/>
                <w:szCs w:val="20"/>
              </w:rPr>
            </w:pPr>
            <w:r w:rsidRPr="00B02785">
              <w:rPr>
                <w:sz w:val="20"/>
                <w:szCs w:val="20"/>
              </w:rPr>
              <w:t>DPMQ</w:t>
            </w:r>
          </w:p>
        </w:tc>
        <w:tc>
          <w:tcPr>
            <w:tcW w:w="2104" w:type="dxa"/>
            <w:shd w:val="clear" w:color="auto" w:fill="BFBFBF" w:themeFill="background1" w:themeFillShade="BF"/>
          </w:tcPr>
          <w:p w14:paraId="2C6E3F87" w14:textId="77777777" w:rsidR="00391EC0" w:rsidRPr="00B02785" w:rsidRDefault="00391EC0" w:rsidP="00AD666C">
            <w:pPr>
              <w:pStyle w:val="Tableheading"/>
              <w:keepNext/>
              <w:rPr>
                <w:sz w:val="20"/>
                <w:szCs w:val="20"/>
              </w:rPr>
            </w:pPr>
            <w:r w:rsidRPr="00B02785">
              <w:rPr>
                <w:sz w:val="20"/>
                <w:szCs w:val="20"/>
              </w:rPr>
              <w:t>Brand name and manufacturer</w:t>
            </w:r>
          </w:p>
        </w:tc>
      </w:tr>
      <w:tr w:rsidR="00391EC0" w:rsidRPr="00B02785" w14:paraId="770D1FAE" w14:textId="77777777" w:rsidTr="004C71DF">
        <w:trPr>
          <w:trHeight w:val="552"/>
          <w:tblHeader/>
        </w:trPr>
        <w:tc>
          <w:tcPr>
            <w:tcW w:w="969" w:type="dxa"/>
            <w:shd w:val="clear" w:color="auto" w:fill="auto"/>
          </w:tcPr>
          <w:p w14:paraId="23F8F069" w14:textId="77777777" w:rsidR="00391EC0" w:rsidRPr="00B02785" w:rsidRDefault="00391EC0" w:rsidP="00AD666C">
            <w:pPr>
              <w:pStyle w:val="Tablewriting"/>
              <w:keepNext/>
            </w:pPr>
            <w:r w:rsidRPr="00B02785">
              <w:t>2698B</w:t>
            </w:r>
          </w:p>
        </w:tc>
        <w:tc>
          <w:tcPr>
            <w:tcW w:w="2400" w:type="dxa"/>
            <w:shd w:val="clear" w:color="auto" w:fill="auto"/>
          </w:tcPr>
          <w:p w14:paraId="202BA923" w14:textId="77777777" w:rsidR="00391EC0" w:rsidRPr="00B02785" w:rsidRDefault="00391EC0" w:rsidP="00AD666C">
            <w:pPr>
              <w:pStyle w:val="Tablewriting"/>
              <w:keepNext/>
            </w:pPr>
            <w:r w:rsidRPr="00B02785">
              <w:t>ABIRATERONE</w:t>
            </w:r>
          </w:p>
          <w:p w14:paraId="46047802" w14:textId="77777777" w:rsidR="00391EC0" w:rsidRPr="00B02785" w:rsidRDefault="00391EC0" w:rsidP="00AD666C">
            <w:pPr>
              <w:pStyle w:val="Tablewriting"/>
              <w:keepNext/>
            </w:pPr>
            <w:r w:rsidRPr="00B02785">
              <w:t>abiraterone acetate 250 mg tablet</w:t>
            </w:r>
          </w:p>
        </w:tc>
        <w:tc>
          <w:tcPr>
            <w:tcW w:w="1701" w:type="dxa"/>
            <w:shd w:val="clear" w:color="auto" w:fill="auto"/>
          </w:tcPr>
          <w:p w14:paraId="347CCBD4" w14:textId="77777777" w:rsidR="00391EC0" w:rsidRPr="00B02785" w:rsidRDefault="00391EC0" w:rsidP="00AD666C">
            <w:pPr>
              <w:pStyle w:val="Tablewriting"/>
              <w:keepNext/>
            </w:pPr>
            <w:r w:rsidRPr="00B02785">
              <w:t>120</w:t>
            </w:r>
          </w:p>
        </w:tc>
        <w:tc>
          <w:tcPr>
            <w:tcW w:w="850" w:type="dxa"/>
            <w:shd w:val="clear" w:color="auto" w:fill="auto"/>
          </w:tcPr>
          <w:p w14:paraId="32A45B75" w14:textId="77777777" w:rsidR="00391EC0" w:rsidRPr="00B02785" w:rsidRDefault="00391EC0" w:rsidP="00AD666C">
            <w:pPr>
              <w:pStyle w:val="Tablewriting"/>
              <w:keepNext/>
            </w:pPr>
            <w:r w:rsidRPr="00B02785">
              <w:t>2</w:t>
            </w:r>
          </w:p>
        </w:tc>
        <w:tc>
          <w:tcPr>
            <w:tcW w:w="1040" w:type="dxa"/>
            <w:shd w:val="clear" w:color="auto" w:fill="auto"/>
          </w:tcPr>
          <w:p w14:paraId="6655705E" w14:textId="14579F4F" w:rsidR="00391EC0" w:rsidRPr="00B02785" w:rsidRDefault="00A42336" w:rsidP="00AD666C">
            <w:pPr>
              <w:pStyle w:val="Tablewriting"/>
              <w:keepNext/>
            </w:pPr>
            <w:r w:rsidRPr="00B02785">
              <w:t>$</w:t>
            </w:r>
            <w:r w:rsidR="00391EC0" w:rsidRPr="00B02785">
              <w:t>3</w:t>
            </w:r>
            <w:r w:rsidR="008E2A01" w:rsidRPr="00B02785">
              <w:t>,</w:t>
            </w:r>
            <w:r w:rsidR="00391EC0" w:rsidRPr="00B02785">
              <w:t>600.41</w:t>
            </w:r>
          </w:p>
        </w:tc>
        <w:tc>
          <w:tcPr>
            <w:tcW w:w="2104" w:type="dxa"/>
            <w:shd w:val="clear" w:color="auto" w:fill="auto"/>
          </w:tcPr>
          <w:p w14:paraId="76C4B052" w14:textId="77777777" w:rsidR="00391EC0" w:rsidRPr="00B02785" w:rsidRDefault="00391EC0" w:rsidP="00AD666C">
            <w:pPr>
              <w:pStyle w:val="Tablewriting"/>
              <w:keepNext/>
            </w:pPr>
            <w:r w:rsidRPr="00B02785">
              <w:t>Zytiga®</w:t>
            </w:r>
          </w:p>
          <w:p w14:paraId="72AD2263" w14:textId="77777777" w:rsidR="00391EC0" w:rsidRPr="00B02785" w:rsidRDefault="00391EC0" w:rsidP="00AD666C">
            <w:pPr>
              <w:pStyle w:val="Tablewriting"/>
              <w:keepNext/>
            </w:pPr>
            <w:r w:rsidRPr="00B02785">
              <w:t>Janssen-Cilag Pty Ltd</w:t>
            </w:r>
          </w:p>
        </w:tc>
      </w:tr>
      <w:tr w:rsidR="00391EC0" w:rsidRPr="00B02785" w14:paraId="3A3B383D" w14:textId="77777777" w:rsidTr="004C71DF">
        <w:trPr>
          <w:trHeight w:val="546"/>
          <w:tblHeader/>
        </w:trPr>
        <w:tc>
          <w:tcPr>
            <w:tcW w:w="969" w:type="dxa"/>
            <w:shd w:val="clear" w:color="auto" w:fill="auto"/>
          </w:tcPr>
          <w:p w14:paraId="4D854FD2" w14:textId="77777777" w:rsidR="00391EC0" w:rsidRPr="00B02785" w:rsidRDefault="00391EC0" w:rsidP="004C71DF">
            <w:pPr>
              <w:pStyle w:val="Tablewriting"/>
            </w:pPr>
            <w:r w:rsidRPr="00B02785">
              <w:t>10174L</w:t>
            </w:r>
          </w:p>
        </w:tc>
        <w:tc>
          <w:tcPr>
            <w:tcW w:w="2400" w:type="dxa"/>
            <w:shd w:val="clear" w:color="auto" w:fill="auto"/>
          </w:tcPr>
          <w:p w14:paraId="0E53FDA3" w14:textId="77777777" w:rsidR="00391EC0" w:rsidRPr="00B02785" w:rsidRDefault="00391EC0" w:rsidP="004C71DF">
            <w:pPr>
              <w:pStyle w:val="Tablewriting"/>
            </w:pPr>
            <w:r w:rsidRPr="00B02785">
              <w:t>ENZALUTAMIDE</w:t>
            </w:r>
          </w:p>
          <w:p w14:paraId="47362198" w14:textId="77777777" w:rsidR="00391EC0" w:rsidRPr="00B02785" w:rsidRDefault="00391EC0" w:rsidP="004C71DF">
            <w:pPr>
              <w:pStyle w:val="Tablewriting"/>
            </w:pPr>
            <w:r w:rsidRPr="00B02785">
              <w:t>enzalutamide 40 mg capsule</w:t>
            </w:r>
          </w:p>
        </w:tc>
        <w:tc>
          <w:tcPr>
            <w:tcW w:w="1701" w:type="dxa"/>
            <w:shd w:val="clear" w:color="auto" w:fill="auto"/>
          </w:tcPr>
          <w:p w14:paraId="02B393B9" w14:textId="77777777" w:rsidR="00391EC0" w:rsidRPr="00B02785" w:rsidRDefault="00391EC0" w:rsidP="004C71DF">
            <w:pPr>
              <w:pStyle w:val="Tablewriting"/>
            </w:pPr>
            <w:r w:rsidRPr="00B02785">
              <w:t>112</w:t>
            </w:r>
          </w:p>
        </w:tc>
        <w:tc>
          <w:tcPr>
            <w:tcW w:w="850" w:type="dxa"/>
            <w:shd w:val="clear" w:color="auto" w:fill="auto"/>
          </w:tcPr>
          <w:p w14:paraId="3E36C8F8" w14:textId="77777777" w:rsidR="00391EC0" w:rsidRPr="00B02785" w:rsidRDefault="00391EC0" w:rsidP="004C71DF">
            <w:pPr>
              <w:pStyle w:val="Tablewriting"/>
            </w:pPr>
            <w:r w:rsidRPr="00B02785">
              <w:t>2</w:t>
            </w:r>
          </w:p>
        </w:tc>
        <w:tc>
          <w:tcPr>
            <w:tcW w:w="1040" w:type="dxa"/>
            <w:shd w:val="clear" w:color="auto" w:fill="auto"/>
          </w:tcPr>
          <w:p w14:paraId="56C8A4BE" w14:textId="008756EB" w:rsidR="00391EC0" w:rsidRPr="00B02785" w:rsidRDefault="00A42336" w:rsidP="004C71DF">
            <w:pPr>
              <w:pStyle w:val="Tablewriting"/>
            </w:pPr>
            <w:r w:rsidRPr="00B02785">
              <w:t>$</w:t>
            </w:r>
            <w:r w:rsidR="00391EC0" w:rsidRPr="00B02785">
              <w:t>3</w:t>
            </w:r>
            <w:r w:rsidR="008E2A01" w:rsidRPr="00B02785">
              <w:t>,</w:t>
            </w:r>
            <w:r w:rsidR="00391EC0" w:rsidRPr="00B02785">
              <w:t>700.17</w:t>
            </w:r>
          </w:p>
        </w:tc>
        <w:tc>
          <w:tcPr>
            <w:tcW w:w="2104" w:type="dxa"/>
            <w:shd w:val="clear" w:color="auto" w:fill="auto"/>
          </w:tcPr>
          <w:p w14:paraId="6A64E4E9" w14:textId="77777777" w:rsidR="00391EC0" w:rsidRPr="00B02785" w:rsidRDefault="00391EC0" w:rsidP="004C71DF">
            <w:pPr>
              <w:pStyle w:val="Tablewriting"/>
            </w:pPr>
            <w:r w:rsidRPr="00B02785">
              <w:t>Xtandi®</w:t>
            </w:r>
          </w:p>
          <w:p w14:paraId="3BAEC152" w14:textId="77777777" w:rsidR="00391EC0" w:rsidRPr="00B02785" w:rsidRDefault="00391EC0" w:rsidP="004C71DF">
            <w:pPr>
              <w:pStyle w:val="Tablewriting"/>
            </w:pPr>
            <w:r w:rsidRPr="00B02785">
              <w:t>Astellas Pharma Australia Pty Ltd</w:t>
            </w:r>
          </w:p>
        </w:tc>
      </w:tr>
    </w:tbl>
    <w:p w14:paraId="69CCDD9E" w14:textId="397F1788" w:rsidR="00391EC0" w:rsidRPr="00B02785" w:rsidRDefault="00391EC0" w:rsidP="00391EC0">
      <w:pPr>
        <w:pStyle w:val="Notes"/>
      </w:pPr>
      <w:r w:rsidRPr="00B02785">
        <w:t xml:space="preserve">Source: the </w:t>
      </w:r>
      <w:hyperlink r:id="rId12" w:history="1">
        <w:r w:rsidRPr="00B02785">
          <w:rPr>
            <w:rStyle w:val="Hyperlink"/>
          </w:rPr>
          <w:t>PBS website</w:t>
        </w:r>
      </w:hyperlink>
      <w:r w:rsidRPr="00B02785">
        <w:t xml:space="preserve">.  </w:t>
      </w:r>
      <w:r w:rsidR="00F60A91">
        <w:t>Special pricing arrangements apply.</w:t>
      </w:r>
    </w:p>
    <w:p w14:paraId="1AFA1485" w14:textId="040CA1EB" w:rsidR="004C3186" w:rsidRPr="00B02785" w:rsidRDefault="003114A0" w:rsidP="003548A0">
      <w:pPr>
        <w:pStyle w:val="Tabletitle"/>
      </w:pPr>
      <w:r>
        <w:lastRenderedPageBreak/>
        <w:t xml:space="preserve">Table 4: </w:t>
      </w:r>
      <w:r w:rsidR="000B68EC" w:rsidRPr="00B02785">
        <w:t xml:space="preserve">Abridged </w:t>
      </w:r>
      <w:r w:rsidR="004C3186" w:rsidRPr="00B02785">
        <w:t>Restriction</w:t>
      </w:r>
      <w:r w:rsidR="000B68EC" w:rsidRPr="00B02785">
        <w:t>s (as at 1 April 2016)</w:t>
      </w:r>
    </w:p>
    <w:tbl>
      <w:tblPr>
        <w:tblStyle w:val="TableGrid"/>
        <w:tblW w:w="0" w:type="auto"/>
        <w:tblLook w:val="04A0" w:firstRow="1" w:lastRow="0" w:firstColumn="1" w:lastColumn="0" w:noHBand="0" w:noVBand="1"/>
        <w:tblCaption w:val="Abridged Restrictions (as at 1 April 2016)"/>
        <w:tblDescription w:val="A table of Abridged Restrictions (as at 1 April 2016)"/>
      </w:tblPr>
      <w:tblGrid>
        <w:gridCol w:w="1384"/>
        <w:gridCol w:w="7789"/>
      </w:tblGrid>
      <w:tr w:rsidR="00391EC0" w:rsidRPr="00B02785" w14:paraId="5941180B" w14:textId="77777777" w:rsidTr="00AD666C">
        <w:trPr>
          <w:tblHeader/>
        </w:trPr>
        <w:tc>
          <w:tcPr>
            <w:tcW w:w="1384" w:type="dxa"/>
            <w:shd w:val="clear" w:color="auto" w:fill="BFBFBF" w:themeFill="background1" w:themeFillShade="BF"/>
          </w:tcPr>
          <w:p w14:paraId="0268AC9D" w14:textId="77777777" w:rsidR="00391EC0" w:rsidRPr="00B02785" w:rsidRDefault="00391EC0" w:rsidP="004C71DF">
            <w:pPr>
              <w:pStyle w:val="Tablewriting"/>
              <w:rPr>
                <w:b/>
              </w:rPr>
            </w:pPr>
            <w:r w:rsidRPr="00B02785">
              <w:rPr>
                <w:b/>
              </w:rPr>
              <w:t xml:space="preserve">Medicine </w:t>
            </w:r>
          </w:p>
        </w:tc>
        <w:tc>
          <w:tcPr>
            <w:tcW w:w="7789" w:type="dxa"/>
            <w:shd w:val="clear" w:color="auto" w:fill="BFBFBF" w:themeFill="background1" w:themeFillShade="BF"/>
          </w:tcPr>
          <w:p w14:paraId="04B2C520" w14:textId="2196DF6F" w:rsidR="00391EC0" w:rsidRPr="00B02785" w:rsidRDefault="00D54092" w:rsidP="004C71DF">
            <w:pPr>
              <w:pStyle w:val="Tablewriting"/>
              <w:rPr>
                <w:b/>
              </w:rPr>
            </w:pPr>
            <w:r w:rsidRPr="00B02785">
              <w:rPr>
                <w:b/>
              </w:rPr>
              <w:t xml:space="preserve">Abridged </w:t>
            </w:r>
            <w:r w:rsidR="00391EC0" w:rsidRPr="00B02785">
              <w:rPr>
                <w:b/>
              </w:rPr>
              <w:t>PBS restriction</w:t>
            </w:r>
          </w:p>
        </w:tc>
      </w:tr>
      <w:tr w:rsidR="00496289" w:rsidRPr="00B02785" w14:paraId="501C1166" w14:textId="77777777" w:rsidTr="008E2A01">
        <w:tc>
          <w:tcPr>
            <w:tcW w:w="1384" w:type="dxa"/>
          </w:tcPr>
          <w:p w14:paraId="50779289" w14:textId="77777777" w:rsidR="00496289" w:rsidRPr="00B02785" w:rsidRDefault="00496289" w:rsidP="00F16A00">
            <w:pPr>
              <w:pStyle w:val="Tablewriting"/>
            </w:pPr>
            <w:r w:rsidRPr="00B02785">
              <w:t>Docetaxel</w:t>
            </w:r>
          </w:p>
        </w:tc>
        <w:tc>
          <w:tcPr>
            <w:tcW w:w="7789" w:type="dxa"/>
          </w:tcPr>
          <w:p w14:paraId="163D7E1E" w14:textId="77777777" w:rsidR="00496289" w:rsidRPr="00B02785" w:rsidRDefault="00496289" w:rsidP="00F16A00">
            <w:pPr>
              <w:pStyle w:val="Tablewriting"/>
            </w:pPr>
            <w:r w:rsidRPr="00B02785">
              <w:t>The PBS listing of docetaxel is unrestricted.</w:t>
            </w:r>
          </w:p>
        </w:tc>
      </w:tr>
      <w:tr w:rsidR="00496289" w:rsidRPr="00B02785" w14:paraId="02D51D46" w14:textId="77777777" w:rsidTr="008E2A01">
        <w:tc>
          <w:tcPr>
            <w:tcW w:w="1384" w:type="dxa"/>
          </w:tcPr>
          <w:p w14:paraId="2BFA7DB3" w14:textId="77777777" w:rsidR="00496289" w:rsidRPr="00B02785" w:rsidRDefault="00496289" w:rsidP="00F16A00">
            <w:pPr>
              <w:pStyle w:val="Tablewriting"/>
            </w:pPr>
            <w:r w:rsidRPr="00B02785">
              <w:t>Cabazitaxel</w:t>
            </w:r>
          </w:p>
        </w:tc>
        <w:tc>
          <w:tcPr>
            <w:tcW w:w="7789" w:type="dxa"/>
          </w:tcPr>
          <w:p w14:paraId="43B4F9B2" w14:textId="195F23FF" w:rsidR="00496289" w:rsidRPr="00B02785" w:rsidRDefault="000B68EC" w:rsidP="00F16A00">
            <w:pPr>
              <w:pStyle w:val="Tablewriting"/>
            </w:pPr>
            <w:r w:rsidRPr="00B02785">
              <w:t>Authority Required (STREAMLINED)</w:t>
            </w:r>
            <w:r w:rsidR="00496289" w:rsidRPr="00B02785">
              <w:t xml:space="preserve"> for castration resistant metastatic carcinoma of the prostate.</w:t>
            </w:r>
          </w:p>
          <w:p w14:paraId="10DBE7F3" w14:textId="77777777" w:rsidR="00496289" w:rsidRPr="00B02785" w:rsidRDefault="00496289" w:rsidP="00F16A00">
            <w:pPr>
              <w:pStyle w:val="Tablewriting"/>
            </w:pPr>
            <w:r w:rsidRPr="00B02785">
              <w:t>The treatment:</w:t>
            </w:r>
          </w:p>
          <w:p w14:paraId="5F5E174A" w14:textId="77777777" w:rsidR="00496289" w:rsidRPr="00B02785" w:rsidRDefault="00496289" w:rsidP="00F16A00">
            <w:pPr>
              <w:pStyle w:val="Tablewriting"/>
              <w:numPr>
                <w:ilvl w:val="0"/>
                <w:numId w:val="10"/>
              </w:numPr>
            </w:pPr>
            <w:r w:rsidRPr="00B02785">
              <w:t>must be in combination with prednisone or prednisolone,</w:t>
            </w:r>
          </w:p>
          <w:p w14:paraId="37B04CB2" w14:textId="77777777" w:rsidR="00496289" w:rsidRPr="00B02785" w:rsidRDefault="00496289" w:rsidP="00F16A00">
            <w:pPr>
              <w:pStyle w:val="Tablewriting"/>
              <w:numPr>
                <w:ilvl w:val="0"/>
                <w:numId w:val="10"/>
              </w:numPr>
            </w:pPr>
            <w:r w:rsidRPr="00B02785">
              <w:t xml:space="preserve"> must not be used in combination with abiraterone</w:t>
            </w:r>
          </w:p>
          <w:p w14:paraId="017B2834" w14:textId="77777777" w:rsidR="00496289" w:rsidRPr="00B02785" w:rsidRDefault="00496289" w:rsidP="00F16A00">
            <w:pPr>
              <w:pStyle w:val="Tablewriting"/>
            </w:pPr>
            <w:r w:rsidRPr="00B02785">
              <w:t>Additionally, the patient:</w:t>
            </w:r>
          </w:p>
          <w:p w14:paraId="6CC1F6B4" w14:textId="77777777" w:rsidR="00496289" w:rsidRPr="00B02785" w:rsidRDefault="00496289" w:rsidP="00F16A00">
            <w:pPr>
              <w:pStyle w:val="Tablewriting"/>
              <w:numPr>
                <w:ilvl w:val="0"/>
                <w:numId w:val="10"/>
              </w:numPr>
            </w:pPr>
            <w:r w:rsidRPr="00B02785">
              <w:t>must have failed treatment with docetaxel due to resistance or intolerance,</w:t>
            </w:r>
          </w:p>
          <w:p w14:paraId="682250D9" w14:textId="77777777" w:rsidR="00496289" w:rsidRPr="00B02785" w:rsidRDefault="00496289" w:rsidP="00F16A00">
            <w:pPr>
              <w:pStyle w:val="Tablewriting"/>
              <w:numPr>
                <w:ilvl w:val="0"/>
                <w:numId w:val="10"/>
              </w:numPr>
            </w:pPr>
            <w:r w:rsidRPr="00B02785">
              <w:t>must have a WHO performance status of 2 or less, and</w:t>
            </w:r>
          </w:p>
          <w:p w14:paraId="07848AFF" w14:textId="71F4AB4D" w:rsidR="00496289" w:rsidRPr="00B02785" w:rsidRDefault="00496289" w:rsidP="00F16A00">
            <w:pPr>
              <w:pStyle w:val="Tablewriting"/>
              <w:numPr>
                <w:ilvl w:val="0"/>
                <w:numId w:val="10"/>
              </w:numPr>
            </w:pPr>
            <w:r w:rsidRPr="00B02785">
              <w:t>must not receive PBS-subsidised cabazitaxel if progressive disease develops while on cabazitaxel.</w:t>
            </w:r>
          </w:p>
        </w:tc>
      </w:tr>
      <w:tr w:rsidR="00391EC0" w:rsidRPr="00B02785" w14:paraId="2E73D8E5" w14:textId="77777777" w:rsidTr="008E2A01">
        <w:tc>
          <w:tcPr>
            <w:tcW w:w="1384" w:type="dxa"/>
          </w:tcPr>
          <w:p w14:paraId="31445068" w14:textId="77777777" w:rsidR="00391EC0" w:rsidRPr="00B02785" w:rsidRDefault="00391EC0" w:rsidP="004C71DF">
            <w:pPr>
              <w:pStyle w:val="Tablewriting"/>
            </w:pPr>
            <w:r w:rsidRPr="00B02785">
              <w:t>Abiraterone</w:t>
            </w:r>
          </w:p>
        </w:tc>
        <w:tc>
          <w:tcPr>
            <w:tcW w:w="7789" w:type="dxa"/>
          </w:tcPr>
          <w:p w14:paraId="3D98D50A" w14:textId="05EC364F" w:rsidR="00905B8D" w:rsidRPr="00B02785" w:rsidRDefault="000B68EC" w:rsidP="00905B8D">
            <w:pPr>
              <w:pStyle w:val="Tablewriting"/>
            </w:pPr>
            <w:r w:rsidRPr="00B02785">
              <w:t xml:space="preserve">Authority </w:t>
            </w:r>
            <w:r w:rsidR="00D54092" w:rsidRPr="00B02785">
              <w:t>R</w:t>
            </w:r>
            <w:r w:rsidRPr="00B02785">
              <w:t>equired</w:t>
            </w:r>
            <w:r w:rsidR="00905B8D" w:rsidRPr="00B02785">
              <w:t xml:space="preserve"> for castration resistant metastatic carcinoma of the prostate.</w:t>
            </w:r>
          </w:p>
          <w:p w14:paraId="24CD85FE" w14:textId="77777777" w:rsidR="00391EC0" w:rsidRPr="00B02785" w:rsidRDefault="00391EC0" w:rsidP="004C71DF">
            <w:pPr>
              <w:pStyle w:val="Tablewriting"/>
            </w:pPr>
            <w:r w:rsidRPr="00B02785">
              <w:t xml:space="preserve">The treatment: </w:t>
            </w:r>
          </w:p>
          <w:p w14:paraId="7B9A1D70" w14:textId="77777777" w:rsidR="00391EC0" w:rsidRPr="00B02785" w:rsidRDefault="00391EC0" w:rsidP="00391EC0">
            <w:pPr>
              <w:pStyle w:val="Tablewriting"/>
              <w:numPr>
                <w:ilvl w:val="0"/>
                <w:numId w:val="10"/>
              </w:numPr>
            </w:pPr>
            <w:r w:rsidRPr="00B02785">
              <w:t>must be in combination with prednisone or prednisolone, and</w:t>
            </w:r>
          </w:p>
          <w:p w14:paraId="62684C6B" w14:textId="77777777" w:rsidR="00391EC0" w:rsidRPr="00B02785" w:rsidRDefault="00391EC0" w:rsidP="00391EC0">
            <w:pPr>
              <w:pStyle w:val="Tablewriting"/>
              <w:numPr>
                <w:ilvl w:val="0"/>
                <w:numId w:val="10"/>
              </w:numPr>
            </w:pPr>
            <w:r w:rsidRPr="00B02785">
              <w:t>must not be used in combination with chemotherapy</w:t>
            </w:r>
          </w:p>
          <w:p w14:paraId="564892F1" w14:textId="77777777" w:rsidR="00391EC0" w:rsidRPr="00B02785" w:rsidRDefault="00391EC0" w:rsidP="004C71DF">
            <w:pPr>
              <w:pStyle w:val="Tablewriting"/>
            </w:pPr>
            <w:r w:rsidRPr="00B02785">
              <w:t xml:space="preserve">Additionally, the patient: </w:t>
            </w:r>
          </w:p>
          <w:p w14:paraId="3939FADF" w14:textId="77777777" w:rsidR="00391EC0" w:rsidRPr="00B02785" w:rsidRDefault="00391EC0" w:rsidP="00391EC0">
            <w:pPr>
              <w:pStyle w:val="Tablewriting"/>
              <w:numPr>
                <w:ilvl w:val="0"/>
                <w:numId w:val="10"/>
              </w:numPr>
            </w:pPr>
            <w:r w:rsidRPr="00B02785">
              <w:t>must have failed treatment with docetaxel due to resistance or intolerance; OR must be unsuitable for docetaxel treatment on the basis of predicted intolerance to docetaxel,</w:t>
            </w:r>
          </w:p>
          <w:p w14:paraId="005A1641" w14:textId="77777777" w:rsidR="00391EC0" w:rsidRPr="00B02785" w:rsidRDefault="00391EC0" w:rsidP="00391EC0">
            <w:pPr>
              <w:pStyle w:val="Tablewriting"/>
              <w:numPr>
                <w:ilvl w:val="0"/>
                <w:numId w:val="10"/>
              </w:numPr>
            </w:pPr>
            <w:r w:rsidRPr="00B02785">
              <w:t>must have a WHO performance status of 2 or less,</w:t>
            </w:r>
          </w:p>
          <w:p w14:paraId="1B147BE8" w14:textId="77777777" w:rsidR="00391EC0" w:rsidRPr="00B02785" w:rsidRDefault="00391EC0" w:rsidP="00391EC0">
            <w:pPr>
              <w:pStyle w:val="Tablewriting"/>
              <w:numPr>
                <w:ilvl w:val="0"/>
                <w:numId w:val="10"/>
              </w:numPr>
            </w:pPr>
            <w:r w:rsidRPr="00B02785">
              <w:t>must not receive PBS-subsidised abiraterone if progressive disease develops while on abiraterone,</w:t>
            </w:r>
          </w:p>
          <w:p w14:paraId="2D158AA0" w14:textId="0570EC90" w:rsidR="00391EC0" w:rsidRPr="00B02785" w:rsidRDefault="00391EC0" w:rsidP="00B379CB">
            <w:pPr>
              <w:pStyle w:val="Tablewriting"/>
              <w:numPr>
                <w:ilvl w:val="0"/>
                <w:numId w:val="10"/>
              </w:numPr>
            </w:pPr>
            <w:r w:rsidRPr="00B02785">
              <w:t>must not have received prior treatment with enzalutamide; OR</w:t>
            </w:r>
            <w:r w:rsidR="00D54092" w:rsidRPr="00B02785">
              <w:t xml:space="preserve"> </w:t>
            </w:r>
            <w:r w:rsidRPr="00B02785">
              <w:t>must have developed intolerance to enzalutamide of a severity necessitating permanent treatment withdrawal.</w:t>
            </w:r>
          </w:p>
        </w:tc>
      </w:tr>
      <w:tr w:rsidR="00391EC0" w:rsidRPr="00B02785" w14:paraId="39187D81" w14:textId="77777777" w:rsidTr="008E2A01">
        <w:tc>
          <w:tcPr>
            <w:tcW w:w="1384" w:type="dxa"/>
          </w:tcPr>
          <w:p w14:paraId="2D548895" w14:textId="77777777" w:rsidR="00391EC0" w:rsidRPr="00B02785" w:rsidRDefault="00391EC0" w:rsidP="004C71DF">
            <w:pPr>
              <w:pStyle w:val="Tablewriting"/>
            </w:pPr>
            <w:r w:rsidRPr="00B02785">
              <w:t xml:space="preserve">Enzalutamide </w:t>
            </w:r>
          </w:p>
        </w:tc>
        <w:tc>
          <w:tcPr>
            <w:tcW w:w="7789" w:type="dxa"/>
          </w:tcPr>
          <w:p w14:paraId="7DB5AC1D" w14:textId="42B56915" w:rsidR="00905B8D" w:rsidRPr="00B02785" w:rsidRDefault="000B68EC" w:rsidP="00905B8D">
            <w:pPr>
              <w:pStyle w:val="Tablewriting"/>
            </w:pPr>
            <w:r w:rsidRPr="00B02785">
              <w:t xml:space="preserve">Authority </w:t>
            </w:r>
            <w:r w:rsidR="00D54092" w:rsidRPr="00B02785">
              <w:t>R</w:t>
            </w:r>
            <w:r w:rsidRPr="00B02785">
              <w:t xml:space="preserve">equired </w:t>
            </w:r>
            <w:r w:rsidR="00905B8D" w:rsidRPr="00B02785">
              <w:t>castration resistant metastatic carcinoma of the prostate.</w:t>
            </w:r>
          </w:p>
          <w:p w14:paraId="1F08893C" w14:textId="77777777" w:rsidR="00391EC0" w:rsidRPr="00B02785" w:rsidRDefault="00391EC0" w:rsidP="004C71DF">
            <w:pPr>
              <w:pStyle w:val="Tablewriting"/>
            </w:pPr>
            <w:r w:rsidRPr="00B02785">
              <w:t xml:space="preserve">The treatment must not be used in combination with chemotherapy, and the patient: </w:t>
            </w:r>
          </w:p>
          <w:p w14:paraId="258572C1" w14:textId="77777777" w:rsidR="00391EC0" w:rsidRPr="00B02785" w:rsidRDefault="00391EC0" w:rsidP="00391EC0">
            <w:pPr>
              <w:pStyle w:val="Tablewriting"/>
              <w:numPr>
                <w:ilvl w:val="0"/>
                <w:numId w:val="10"/>
              </w:numPr>
            </w:pPr>
            <w:r w:rsidRPr="00B02785">
              <w:t>must have failed treatment with docetaxel due to resistance or intolerance; OR must be unsuitable for docetaxel treatment on the basis of predicted intolerance to docetaxel,</w:t>
            </w:r>
          </w:p>
          <w:p w14:paraId="0B90132F" w14:textId="77777777" w:rsidR="00391EC0" w:rsidRPr="00B02785" w:rsidRDefault="00391EC0" w:rsidP="00391EC0">
            <w:pPr>
              <w:pStyle w:val="Tablewriting"/>
              <w:numPr>
                <w:ilvl w:val="0"/>
                <w:numId w:val="10"/>
              </w:numPr>
            </w:pPr>
            <w:r w:rsidRPr="00B02785">
              <w:t>must have a WHO performance status of 2 or less,</w:t>
            </w:r>
          </w:p>
          <w:p w14:paraId="313CA6FA" w14:textId="77777777" w:rsidR="00391EC0" w:rsidRPr="00B02785" w:rsidRDefault="00391EC0" w:rsidP="00391EC0">
            <w:pPr>
              <w:pStyle w:val="Tablewriting"/>
              <w:numPr>
                <w:ilvl w:val="0"/>
                <w:numId w:val="10"/>
              </w:numPr>
            </w:pPr>
            <w:r w:rsidRPr="00B02785">
              <w:t>must not receive PBS-subsidised treatment with this drug if progressive disease develops while on this drug,</w:t>
            </w:r>
          </w:p>
          <w:p w14:paraId="7EDE816F" w14:textId="77777777" w:rsidR="00391EC0" w:rsidRPr="00B02785" w:rsidRDefault="00391EC0" w:rsidP="00391EC0">
            <w:pPr>
              <w:pStyle w:val="Tablewriting"/>
              <w:numPr>
                <w:ilvl w:val="0"/>
                <w:numId w:val="10"/>
              </w:numPr>
            </w:pPr>
            <w:r w:rsidRPr="00B02785">
              <w:t>must not have received prior treatment with abiraterone; OR must have developed intolerance to abiraterone of a severity necessitating permanent treatment withdrawal.</w:t>
            </w:r>
          </w:p>
        </w:tc>
      </w:tr>
    </w:tbl>
    <w:p w14:paraId="6BCB1DE1" w14:textId="51B059A5" w:rsidR="000C3E68" w:rsidRPr="00B02785" w:rsidRDefault="004F7278" w:rsidP="004F7278">
      <w:pPr>
        <w:pStyle w:val="Notes"/>
      </w:pPr>
      <w:r w:rsidRPr="00B02785">
        <w:t xml:space="preserve">Source: the </w:t>
      </w:r>
      <w:hyperlink r:id="rId13" w:history="1">
        <w:r w:rsidRPr="00B02785">
          <w:rPr>
            <w:rStyle w:val="Hyperlink"/>
          </w:rPr>
          <w:t>PBS website</w:t>
        </w:r>
      </w:hyperlink>
      <w:r w:rsidRPr="00B02785">
        <w:t xml:space="preserve">.  </w:t>
      </w:r>
    </w:p>
    <w:p w14:paraId="22433632" w14:textId="3BCF31EA" w:rsidR="006775F1" w:rsidRDefault="006775F1" w:rsidP="00A35800">
      <w:pPr>
        <w:rPr>
          <w:rStyle w:val="Hyperlink"/>
        </w:rPr>
      </w:pPr>
      <w:r w:rsidRPr="00B02785">
        <w:t xml:space="preserve">For </w:t>
      </w:r>
      <w:r w:rsidR="00D54092" w:rsidRPr="00B02785">
        <w:t xml:space="preserve">full </w:t>
      </w:r>
      <w:r w:rsidR="00835337" w:rsidRPr="00B02785">
        <w:t>details of the current PBS listing refer to the</w:t>
      </w:r>
      <w:r w:rsidR="00C33485">
        <w:t xml:space="preserve"> </w:t>
      </w:r>
      <w:hyperlink r:id="rId14" w:history="1">
        <w:r w:rsidR="00C33485" w:rsidRPr="00B02785">
          <w:rPr>
            <w:rStyle w:val="Hyperlink"/>
          </w:rPr>
          <w:t>PBS website</w:t>
        </w:r>
      </w:hyperlink>
      <w:r w:rsidR="00C33485">
        <w:rPr>
          <w:rStyle w:val="Hyperlink"/>
        </w:rPr>
        <w:t>.</w:t>
      </w:r>
    </w:p>
    <w:p w14:paraId="544BF944" w14:textId="77777777" w:rsidR="005A188B" w:rsidRDefault="005A188B" w:rsidP="00A35800">
      <w:pPr>
        <w:rPr>
          <w:rStyle w:val="Hyperlink"/>
        </w:rPr>
      </w:pPr>
    </w:p>
    <w:p w14:paraId="01A687F0" w14:textId="77777777" w:rsidR="005A188B" w:rsidRPr="00B02785" w:rsidRDefault="005A188B" w:rsidP="00A35800"/>
    <w:p w14:paraId="39EF75ED" w14:textId="2C3A269F" w:rsidR="00675BB1" w:rsidRPr="00B02785" w:rsidRDefault="003114A0" w:rsidP="003548A0">
      <w:pPr>
        <w:pStyle w:val="Tabletitle"/>
      </w:pPr>
      <w:r>
        <w:lastRenderedPageBreak/>
        <w:t xml:space="preserve">Table 5: </w:t>
      </w:r>
      <w:r w:rsidR="00391EC0" w:rsidRPr="00B02785">
        <w:t xml:space="preserve">Date of </w:t>
      </w:r>
      <w:r w:rsidR="00356A82" w:rsidRPr="00467298">
        <w:t xml:space="preserve">first </w:t>
      </w:r>
      <w:r w:rsidR="00CB6410" w:rsidRPr="00676F61">
        <w:t xml:space="preserve">PBS </w:t>
      </w:r>
      <w:r w:rsidR="00391EC0" w:rsidRPr="00B02785">
        <w:t xml:space="preserve">listing </w:t>
      </w:r>
      <w:r w:rsidR="00CB6410" w:rsidRPr="00B02785">
        <w:t xml:space="preserve">and changes to listing </w:t>
      </w:r>
      <w:r w:rsidR="00EE19C1" w:rsidRPr="00B02785">
        <w:t xml:space="preserve">for </w:t>
      </w:r>
      <w:r w:rsidR="00CB6410" w:rsidRPr="00B02785">
        <w:t>mCRPC</w:t>
      </w:r>
      <w:r w:rsidR="00F131AD">
        <w:t xml:space="preserve"> medicines</w:t>
      </w:r>
    </w:p>
    <w:tbl>
      <w:tblPr>
        <w:tblStyle w:val="TableGrid"/>
        <w:tblW w:w="0" w:type="auto"/>
        <w:tblLook w:val="04A0" w:firstRow="1" w:lastRow="0" w:firstColumn="1" w:lastColumn="0" w:noHBand="0" w:noVBand="1"/>
        <w:tblCaption w:val="Date of first PBS listing and changes to listing for mCRPC medicines"/>
        <w:tblDescription w:val="A table of Date of first PBS listing and changes to listing for mCRPC medicines"/>
      </w:tblPr>
      <w:tblGrid>
        <w:gridCol w:w="1668"/>
        <w:gridCol w:w="1984"/>
        <w:gridCol w:w="5521"/>
      </w:tblGrid>
      <w:tr w:rsidR="00105026" w:rsidRPr="00F60A91" w14:paraId="3A248784" w14:textId="77777777" w:rsidTr="00EF2359">
        <w:trPr>
          <w:tblHeader/>
        </w:trPr>
        <w:tc>
          <w:tcPr>
            <w:tcW w:w="1668" w:type="dxa"/>
            <w:shd w:val="clear" w:color="auto" w:fill="BFBFBF" w:themeFill="background1" w:themeFillShade="BF"/>
          </w:tcPr>
          <w:p w14:paraId="677AB4CC" w14:textId="31EA4D02" w:rsidR="00105026" w:rsidRPr="00F60A91" w:rsidRDefault="00105026" w:rsidP="00A35800">
            <w:pPr>
              <w:rPr>
                <w:b/>
                <w:sz w:val="20"/>
                <w:szCs w:val="20"/>
              </w:rPr>
            </w:pPr>
            <w:r w:rsidRPr="00F60A91">
              <w:rPr>
                <w:b/>
                <w:sz w:val="20"/>
                <w:szCs w:val="20"/>
              </w:rPr>
              <w:t>Drug</w:t>
            </w:r>
          </w:p>
        </w:tc>
        <w:tc>
          <w:tcPr>
            <w:tcW w:w="1984" w:type="dxa"/>
            <w:shd w:val="clear" w:color="auto" w:fill="BFBFBF" w:themeFill="background1" w:themeFillShade="BF"/>
          </w:tcPr>
          <w:p w14:paraId="6976F3B0" w14:textId="049907D1" w:rsidR="00105026" w:rsidRPr="00F60A91" w:rsidRDefault="00105026" w:rsidP="00A35800">
            <w:pPr>
              <w:rPr>
                <w:b/>
                <w:sz w:val="20"/>
                <w:szCs w:val="20"/>
              </w:rPr>
            </w:pPr>
            <w:r w:rsidRPr="00F60A91">
              <w:rPr>
                <w:b/>
                <w:sz w:val="20"/>
                <w:szCs w:val="20"/>
              </w:rPr>
              <w:t>Date</w:t>
            </w:r>
          </w:p>
        </w:tc>
        <w:tc>
          <w:tcPr>
            <w:tcW w:w="5521" w:type="dxa"/>
            <w:shd w:val="clear" w:color="auto" w:fill="BFBFBF" w:themeFill="background1" w:themeFillShade="BF"/>
          </w:tcPr>
          <w:p w14:paraId="136F9144" w14:textId="3AA8361B" w:rsidR="00105026" w:rsidRPr="00F60A91" w:rsidRDefault="00CB6410" w:rsidP="00CB6410">
            <w:pPr>
              <w:rPr>
                <w:b/>
                <w:sz w:val="20"/>
                <w:szCs w:val="20"/>
              </w:rPr>
            </w:pPr>
            <w:r w:rsidRPr="00F60A91">
              <w:rPr>
                <w:b/>
                <w:sz w:val="20"/>
                <w:szCs w:val="20"/>
              </w:rPr>
              <w:t>PBS listing or change to listing</w:t>
            </w:r>
          </w:p>
        </w:tc>
      </w:tr>
      <w:tr w:rsidR="00105026" w:rsidRPr="00F60A91" w14:paraId="044BD0A8" w14:textId="77777777" w:rsidTr="001C3484">
        <w:tc>
          <w:tcPr>
            <w:tcW w:w="1668" w:type="dxa"/>
          </w:tcPr>
          <w:p w14:paraId="266F9411" w14:textId="535A4361" w:rsidR="00105026" w:rsidRPr="00F60A91" w:rsidRDefault="00105026" w:rsidP="00A35800">
            <w:pPr>
              <w:rPr>
                <w:sz w:val="20"/>
                <w:szCs w:val="20"/>
              </w:rPr>
            </w:pPr>
            <w:r w:rsidRPr="00F60A91">
              <w:rPr>
                <w:sz w:val="20"/>
                <w:szCs w:val="20"/>
              </w:rPr>
              <w:t>Docetaxel</w:t>
            </w:r>
          </w:p>
        </w:tc>
        <w:tc>
          <w:tcPr>
            <w:tcW w:w="1984" w:type="dxa"/>
          </w:tcPr>
          <w:p w14:paraId="21902419" w14:textId="77A5D78E" w:rsidR="00105026" w:rsidRPr="00F60A91" w:rsidRDefault="00D41D5A" w:rsidP="00A35800">
            <w:pPr>
              <w:rPr>
                <w:sz w:val="20"/>
                <w:szCs w:val="20"/>
              </w:rPr>
            </w:pPr>
            <w:r w:rsidRPr="00F60A91">
              <w:rPr>
                <w:sz w:val="20"/>
                <w:szCs w:val="20"/>
              </w:rPr>
              <w:t>1 November 2007</w:t>
            </w:r>
          </w:p>
        </w:tc>
        <w:tc>
          <w:tcPr>
            <w:tcW w:w="5521" w:type="dxa"/>
          </w:tcPr>
          <w:p w14:paraId="31C59758" w14:textId="1D4BC877" w:rsidR="00105026" w:rsidRPr="00F60A91" w:rsidRDefault="00D41D5A" w:rsidP="00CB6410">
            <w:pPr>
              <w:rPr>
                <w:sz w:val="20"/>
                <w:szCs w:val="20"/>
              </w:rPr>
            </w:pPr>
            <w:r w:rsidRPr="00F60A91">
              <w:rPr>
                <w:sz w:val="20"/>
                <w:szCs w:val="20"/>
              </w:rPr>
              <w:t xml:space="preserve">Listed </w:t>
            </w:r>
            <w:r w:rsidR="00F10AC5" w:rsidRPr="00F60A91">
              <w:rPr>
                <w:sz w:val="20"/>
                <w:szCs w:val="20"/>
              </w:rPr>
              <w:t xml:space="preserve">for </w:t>
            </w:r>
            <w:r w:rsidR="001C3484" w:rsidRPr="00F60A91">
              <w:rPr>
                <w:sz w:val="20"/>
                <w:szCs w:val="20"/>
              </w:rPr>
              <w:t>mCRPC</w:t>
            </w:r>
            <w:r w:rsidR="000F4DE9" w:rsidRPr="00F60A91">
              <w:rPr>
                <w:sz w:val="20"/>
                <w:szCs w:val="20"/>
              </w:rPr>
              <w:t xml:space="preserve"> as Authority Required</w:t>
            </w:r>
          </w:p>
        </w:tc>
      </w:tr>
      <w:tr w:rsidR="00D41D5A" w:rsidRPr="00F60A91" w14:paraId="4C60CC92" w14:textId="77777777" w:rsidTr="001C3484">
        <w:tc>
          <w:tcPr>
            <w:tcW w:w="1668" w:type="dxa"/>
          </w:tcPr>
          <w:p w14:paraId="6001BD17" w14:textId="5D9409AC" w:rsidR="00D41D5A" w:rsidRPr="00F60A91" w:rsidRDefault="00D41D5A" w:rsidP="00A35800">
            <w:pPr>
              <w:rPr>
                <w:sz w:val="20"/>
                <w:szCs w:val="20"/>
              </w:rPr>
            </w:pPr>
            <w:r w:rsidRPr="00F60A91">
              <w:rPr>
                <w:sz w:val="20"/>
                <w:szCs w:val="20"/>
              </w:rPr>
              <w:t>Cabazitaxel</w:t>
            </w:r>
          </w:p>
        </w:tc>
        <w:tc>
          <w:tcPr>
            <w:tcW w:w="1984" w:type="dxa"/>
          </w:tcPr>
          <w:p w14:paraId="3DBFF9B1" w14:textId="2F374D86" w:rsidR="00D41D5A" w:rsidRPr="00F60A91" w:rsidRDefault="00D41D5A" w:rsidP="00A35800">
            <w:pPr>
              <w:rPr>
                <w:sz w:val="20"/>
                <w:szCs w:val="20"/>
              </w:rPr>
            </w:pPr>
            <w:r w:rsidRPr="00F60A91">
              <w:rPr>
                <w:sz w:val="20"/>
                <w:szCs w:val="20"/>
              </w:rPr>
              <w:t>1 August 2012</w:t>
            </w:r>
          </w:p>
        </w:tc>
        <w:tc>
          <w:tcPr>
            <w:tcW w:w="5521" w:type="dxa"/>
          </w:tcPr>
          <w:p w14:paraId="08DAC914" w14:textId="0F5E0B44" w:rsidR="00D41D5A" w:rsidRPr="00F60A91" w:rsidRDefault="00F10AC5" w:rsidP="00CB6410">
            <w:pPr>
              <w:rPr>
                <w:sz w:val="20"/>
                <w:szCs w:val="20"/>
              </w:rPr>
            </w:pPr>
            <w:r w:rsidRPr="00F60A91">
              <w:rPr>
                <w:sz w:val="20"/>
                <w:szCs w:val="20"/>
              </w:rPr>
              <w:t xml:space="preserve">Listed </w:t>
            </w:r>
            <w:r w:rsidR="00F76046" w:rsidRPr="00F60A91">
              <w:rPr>
                <w:sz w:val="20"/>
                <w:szCs w:val="20"/>
              </w:rPr>
              <w:t>as Authority Required for Private Hospital use and Authority required (STREAMLINED) for Public Hospital use</w:t>
            </w:r>
          </w:p>
        </w:tc>
      </w:tr>
      <w:tr w:rsidR="00F10AC5" w:rsidRPr="00F60A91" w14:paraId="69D62EB6" w14:textId="77777777" w:rsidTr="001C3484">
        <w:tc>
          <w:tcPr>
            <w:tcW w:w="1668" w:type="dxa"/>
          </w:tcPr>
          <w:p w14:paraId="5A063FE4" w14:textId="009A4E36" w:rsidR="00F10AC5" w:rsidRPr="00F60A91" w:rsidRDefault="00F10AC5" w:rsidP="00A35800">
            <w:pPr>
              <w:rPr>
                <w:sz w:val="20"/>
                <w:szCs w:val="20"/>
              </w:rPr>
            </w:pPr>
            <w:r w:rsidRPr="00F60A91">
              <w:rPr>
                <w:sz w:val="20"/>
                <w:szCs w:val="20"/>
              </w:rPr>
              <w:t>Docetaxel</w:t>
            </w:r>
          </w:p>
        </w:tc>
        <w:tc>
          <w:tcPr>
            <w:tcW w:w="1984" w:type="dxa"/>
          </w:tcPr>
          <w:p w14:paraId="3CCE04BD" w14:textId="6C8D3795" w:rsidR="00F10AC5" w:rsidRPr="00F60A91" w:rsidRDefault="00F10AC5" w:rsidP="00A35800">
            <w:pPr>
              <w:rPr>
                <w:sz w:val="20"/>
                <w:szCs w:val="20"/>
              </w:rPr>
            </w:pPr>
            <w:r w:rsidRPr="00F60A91">
              <w:rPr>
                <w:sz w:val="20"/>
                <w:szCs w:val="20"/>
              </w:rPr>
              <w:t>1 December 2011</w:t>
            </w:r>
          </w:p>
        </w:tc>
        <w:tc>
          <w:tcPr>
            <w:tcW w:w="5521" w:type="dxa"/>
          </w:tcPr>
          <w:p w14:paraId="4698AA9D" w14:textId="26ADF4C3" w:rsidR="00F10AC5" w:rsidRPr="00F60A91" w:rsidRDefault="00F10AC5" w:rsidP="00A35800">
            <w:pPr>
              <w:rPr>
                <w:sz w:val="20"/>
                <w:szCs w:val="20"/>
              </w:rPr>
            </w:pPr>
            <w:r w:rsidRPr="00F60A91">
              <w:rPr>
                <w:sz w:val="20"/>
                <w:szCs w:val="20"/>
              </w:rPr>
              <w:t>Listing changed from Authority Required to Authority required (STREAMLINED) when the Efficient Funding of Chemotherapy measure was introduced</w:t>
            </w:r>
          </w:p>
        </w:tc>
      </w:tr>
      <w:tr w:rsidR="00F10AC5" w:rsidRPr="00F60A91" w14:paraId="073361B6" w14:textId="77777777" w:rsidTr="001C3484">
        <w:tc>
          <w:tcPr>
            <w:tcW w:w="1668" w:type="dxa"/>
          </w:tcPr>
          <w:p w14:paraId="4E088550" w14:textId="59384008" w:rsidR="00F10AC5" w:rsidRPr="00F60A91" w:rsidRDefault="00F10AC5" w:rsidP="00A35800">
            <w:pPr>
              <w:rPr>
                <w:sz w:val="20"/>
                <w:szCs w:val="20"/>
              </w:rPr>
            </w:pPr>
            <w:r w:rsidRPr="00F60A91">
              <w:rPr>
                <w:sz w:val="20"/>
                <w:szCs w:val="20"/>
              </w:rPr>
              <w:t>Abiraterone</w:t>
            </w:r>
          </w:p>
        </w:tc>
        <w:tc>
          <w:tcPr>
            <w:tcW w:w="1984" w:type="dxa"/>
          </w:tcPr>
          <w:p w14:paraId="37EF3B75" w14:textId="5DFD6698" w:rsidR="00F10AC5" w:rsidRPr="00F60A91" w:rsidRDefault="00F10AC5" w:rsidP="00A35800">
            <w:pPr>
              <w:rPr>
                <w:sz w:val="20"/>
                <w:szCs w:val="20"/>
              </w:rPr>
            </w:pPr>
            <w:r w:rsidRPr="00F60A91">
              <w:rPr>
                <w:sz w:val="20"/>
                <w:szCs w:val="20"/>
              </w:rPr>
              <w:t>1 August 2013</w:t>
            </w:r>
          </w:p>
        </w:tc>
        <w:tc>
          <w:tcPr>
            <w:tcW w:w="5521" w:type="dxa"/>
          </w:tcPr>
          <w:p w14:paraId="6FC8D8D5" w14:textId="2D39798C" w:rsidR="00F10AC5" w:rsidRPr="00F60A91" w:rsidRDefault="00F10AC5" w:rsidP="00CB6410">
            <w:pPr>
              <w:rPr>
                <w:sz w:val="20"/>
                <w:szCs w:val="20"/>
              </w:rPr>
            </w:pPr>
            <w:r w:rsidRPr="00F60A91">
              <w:rPr>
                <w:sz w:val="20"/>
                <w:szCs w:val="20"/>
              </w:rPr>
              <w:t xml:space="preserve">Listed </w:t>
            </w:r>
            <w:r w:rsidR="000F4DE9" w:rsidRPr="00F60A91">
              <w:rPr>
                <w:sz w:val="20"/>
                <w:szCs w:val="20"/>
              </w:rPr>
              <w:t>as Authority Required</w:t>
            </w:r>
          </w:p>
        </w:tc>
      </w:tr>
      <w:tr w:rsidR="00F10AC5" w:rsidRPr="00F60A91" w14:paraId="2E2DDAFE" w14:textId="77777777" w:rsidTr="001C3484">
        <w:tc>
          <w:tcPr>
            <w:tcW w:w="1668" w:type="dxa"/>
          </w:tcPr>
          <w:p w14:paraId="13E47ED0" w14:textId="14C188B0" w:rsidR="00F10AC5" w:rsidRPr="00F60A91" w:rsidRDefault="00F10AC5" w:rsidP="00A35800">
            <w:pPr>
              <w:rPr>
                <w:sz w:val="20"/>
                <w:szCs w:val="20"/>
              </w:rPr>
            </w:pPr>
            <w:r w:rsidRPr="00F60A91">
              <w:rPr>
                <w:sz w:val="20"/>
                <w:szCs w:val="20"/>
              </w:rPr>
              <w:t>Docetaxel</w:t>
            </w:r>
          </w:p>
        </w:tc>
        <w:tc>
          <w:tcPr>
            <w:tcW w:w="1984" w:type="dxa"/>
          </w:tcPr>
          <w:p w14:paraId="3FE1A6E9" w14:textId="5FA573C5" w:rsidR="00F10AC5" w:rsidRPr="00F60A91" w:rsidRDefault="00F10AC5" w:rsidP="00A35800">
            <w:pPr>
              <w:rPr>
                <w:sz w:val="20"/>
                <w:szCs w:val="20"/>
              </w:rPr>
            </w:pPr>
            <w:r w:rsidRPr="00F60A91">
              <w:rPr>
                <w:sz w:val="20"/>
                <w:szCs w:val="20"/>
              </w:rPr>
              <w:t>1 November 2014</w:t>
            </w:r>
          </w:p>
        </w:tc>
        <w:tc>
          <w:tcPr>
            <w:tcW w:w="5521" w:type="dxa"/>
          </w:tcPr>
          <w:p w14:paraId="4ECD1F12" w14:textId="1D952CF9" w:rsidR="00F10AC5" w:rsidRPr="00F60A91" w:rsidRDefault="00F10AC5" w:rsidP="00A35800">
            <w:pPr>
              <w:rPr>
                <w:sz w:val="20"/>
                <w:szCs w:val="20"/>
              </w:rPr>
            </w:pPr>
            <w:r w:rsidRPr="00F60A91">
              <w:rPr>
                <w:sz w:val="20"/>
                <w:szCs w:val="20"/>
              </w:rPr>
              <w:t>Listing changed from Authority required (STREAMLINED) to unrestricted</w:t>
            </w:r>
          </w:p>
        </w:tc>
      </w:tr>
      <w:tr w:rsidR="00F10AC5" w:rsidRPr="00F60A91" w14:paraId="6D06989F" w14:textId="77777777" w:rsidTr="001C3484">
        <w:tc>
          <w:tcPr>
            <w:tcW w:w="1668" w:type="dxa"/>
          </w:tcPr>
          <w:p w14:paraId="2521A501" w14:textId="0046F8FF" w:rsidR="00F10AC5" w:rsidRPr="00F60A91" w:rsidRDefault="00F10AC5" w:rsidP="00A35800">
            <w:pPr>
              <w:rPr>
                <w:sz w:val="20"/>
                <w:szCs w:val="20"/>
              </w:rPr>
            </w:pPr>
            <w:r w:rsidRPr="00F60A91">
              <w:rPr>
                <w:sz w:val="20"/>
                <w:szCs w:val="20"/>
              </w:rPr>
              <w:t>Abiraterone</w:t>
            </w:r>
          </w:p>
        </w:tc>
        <w:tc>
          <w:tcPr>
            <w:tcW w:w="1984" w:type="dxa"/>
          </w:tcPr>
          <w:p w14:paraId="16C3D1BC" w14:textId="31CEF0AE" w:rsidR="00F10AC5" w:rsidRPr="00F60A91" w:rsidRDefault="00F10AC5" w:rsidP="00A35800">
            <w:pPr>
              <w:rPr>
                <w:sz w:val="20"/>
                <w:szCs w:val="20"/>
              </w:rPr>
            </w:pPr>
            <w:r w:rsidRPr="00F60A91">
              <w:rPr>
                <w:sz w:val="20"/>
                <w:szCs w:val="20"/>
              </w:rPr>
              <w:t>1 November 2014</w:t>
            </w:r>
          </w:p>
        </w:tc>
        <w:tc>
          <w:tcPr>
            <w:tcW w:w="5521" w:type="dxa"/>
          </w:tcPr>
          <w:p w14:paraId="7151DFE0" w14:textId="7AF47FD4" w:rsidR="00F10AC5" w:rsidRPr="00F60A91" w:rsidRDefault="00F10AC5" w:rsidP="00F10AC5">
            <w:pPr>
              <w:rPr>
                <w:sz w:val="20"/>
                <w:szCs w:val="20"/>
              </w:rPr>
            </w:pPr>
            <w:r w:rsidRPr="00F60A91">
              <w:rPr>
                <w:sz w:val="20"/>
                <w:szCs w:val="20"/>
              </w:rPr>
              <w:t>Deletion of note that “Patients who have received PBS-subsidised abiraterone or cabazitaxel are not eligible for PBS-subsidised docetaxel”</w:t>
            </w:r>
          </w:p>
        </w:tc>
      </w:tr>
      <w:tr w:rsidR="00F10AC5" w:rsidRPr="00F60A91" w14:paraId="5C7B4F8B" w14:textId="77777777" w:rsidTr="001C3484">
        <w:tc>
          <w:tcPr>
            <w:tcW w:w="1668" w:type="dxa"/>
          </w:tcPr>
          <w:p w14:paraId="3119FC88" w14:textId="56FCF5FA" w:rsidR="00F10AC5" w:rsidRPr="00F60A91" w:rsidRDefault="00F10AC5" w:rsidP="00A35800">
            <w:pPr>
              <w:rPr>
                <w:sz w:val="20"/>
                <w:szCs w:val="20"/>
              </w:rPr>
            </w:pPr>
            <w:r w:rsidRPr="00F60A91">
              <w:rPr>
                <w:sz w:val="20"/>
                <w:szCs w:val="20"/>
              </w:rPr>
              <w:t>Abiraterone</w:t>
            </w:r>
          </w:p>
        </w:tc>
        <w:tc>
          <w:tcPr>
            <w:tcW w:w="1984" w:type="dxa"/>
          </w:tcPr>
          <w:p w14:paraId="4CF9AF1E" w14:textId="41756A76" w:rsidR="00F10AC5" w:rsidRPr="00F60A91" w:rsidRDefault="00F10AC5" w:rsidP="00A35800">
            <w:pPr>
              <w:rPr>
                <w:sz w:val="20"/>
                <w:szCs w:val="20"/>
              </w:rPr>
            </w:pPr>
            <w:r w:rsidRPr="00F60A91">
              <w:rPr>
                <w:sz w:val="20"/>
                <w:szCs w:val="20"/>
              </w:rPr>
              <w:t>1 December 2014</w:t>
            </w:r>
          </w:p>
        </w:tc>
        <w:tc>
          <w:tcPr>
            <w:tcW w:w="5521" w:type="dxa"/>
          </w:tcPr>
          <w:p w14:paraId="21BFF734" w14:textId="0D179DFA" w:rsidR="00F10AC5" w:rsidRPr="00F60A91" w:rsidRDefault="00F10AC5" w:rsidP="007A557E">
            <w:pPr>
              <w:rPr>
                <w:sz w:val="20"/>
                <w:szCs w:val="20"/>
              </w:rPr>
            </w:pPr>
            <w:r w:rsidRPr="00F60A91">
              <w:rPr>
                <w:sz w:val="20"/>
                <w:szCs w:val="20"/>
              </w:rPr>
              <w:t xml:space="preserve">Clinical criteria  </w:t>
            </w:r>
            <w:r w:rsidR="007A557E" w:rsidRPr="00F60A91">
              <w:rPr>
                <w:sz w:val="20"/>
                <w:szCs w:val="20"/>
              </w:rPr>
              <w:t xml:space="preserve">amended </w:t>
            </w:r>
            <w:r w:rsidRPr="00F60A91">
              <w:rPr>
                <w:sz w:val="20"/>
                <w:szCs w:val="20"/>
              </w:rPr>
              <w:t>to include</w:t>
            </w:r>
            <w:r w:rsidR="007A557E" w:rsidRPr="00F60A91">
              <w:rPr>
                <w:sz w:val="20"/>
                <w:szCs w:val="20"/>
              </w:rPr>
              <w:t xml:space="preserve"> p</w:t>
            </w:r>
            <w:r w:rsidRPr="00F60A91">
              <w:rPr>
                <w:sz w:val="20"/>
                <w:szCs w:val="20"/>
              </w:rPr>
              <w:t>atient</w:t>
            </w:r>
            <w:r w:rsidR="007A557E" w:rsidRPr="00F60A91">
              <w:rPr>
                <w:sz w:val="20"/>
                <w:szCs w:val="20"/>
              </w:rPr>
              <w:t xml:space="preserve">s </w:t>
            </w:r>
            <w:r w:rsidRPr="00F60A91">
              <w:rPr>
                <w:sz w:val="20"/>
                <w:szCs w:val="20"/>
              </w:rPr>
              <w:t>unsuitable for docetaxel treatment on the basis of predicted intolerance to docetaxel</w:t>
            </w:r>
          </w:p>
        </w:tc>
      </w:tr>
      <w:tr w:rsidR="00F10AC5" w:rsidRPr="00F60A91" w14:paraId="7A2D0A15" w14:textId="77777777" w:rsidTr="001C3484">
        <w:tc>
          <w:tcPr>
            <w:tcW w:w="1668" w:type="dxa"/>
          </w:tcPr>
          <w:p w14:paraId="303719DE" w14:textId="3DC4861E" w:rsidR="00F10AC5" w:rsidRPr="00F60A91" w:rsidRDefault="00F10AC5" w:rsidP="00A35800">
            <w:pPr>
              <w:rPr>
                <w:sz w:val="20"/>
                <w:szCs w:val="20"/>
              </w:rPr>
            </w:pPr>
            <w:r w:rsidRPr="00F60A91">
              <w:rPr>
                <w:sz w:val="20"/>
                <w:szCs w:val="20"/>
              </w:rPr>
              <w:t>Enzalutamide</w:t>
            </w:r>
          </w:p>
        </w:tc>
        <w:tc>
          <w:tcPr>
            <w:tcW w:w="1984" w:type="dxa"/>
          </w:tcPr>
          <w:p w14:paraId="4CE81A16" w14:textId="375A0949" w:rsidR="00F10AC5" w:rsidRPr="00F60A91" w:rsidRDefault="00F10AC5" w:rsidP="00A35800">
            <w:pPr>
              <w:rPr>
                <w:sz w:val="20"/>
                <w:szCs w:val="20"/>
              </w:rPr>
            </w:pPr>
            <w:r w:rsidRPr="00F60A91">
              <w:rPr>
                <w:sz w:val="20"/>
                <w:szCs w:val="20"/>
              </w:rPr>
              <w:t>1 December 2014</w:t>
            </w:r>
          </w:p>
        </w:tc>
        <w:tc>
          <w:tcPr>
            <w:tcW w:w="5521" w:type="dxa"/>
          </w:tcPr>
          <w:p w14:paraId="7F3D9FEC" w14:textId="0D769C8B" w:rsidR="00F10AC5" w:rsidRPr="00F60A91" w:rsidRDefault="00F10AC5" w:rsidP="007A557E">
            <w:pPr>
              <w:rPr>
                <w:sz w:val="20"/>
                <w:szCs w:val="20"/>
              </w:rPr>
            </w:pPr>
            <w:r w:rsidRPr="00F60A91">
              <w:rPr>
                <w:sz w:val="20"/>
                <w:szCs w:val="20"/>
              </w:rPr>
              <w:t xml:space="preserve">Listed </w:t>
            </w:r>
            <w:r w:rsidR="000F4DE9" w:rsidRPr="00F60A91">
              <w:rPr>
                <w:sz w:val="20"/>
                <w:szCs w:val="20"/>
              </w:rPr>
              <w:t>as Authority Required</w:t>
            </w:r>
          </w:p>
        </w:tc>
      </w:tr>
      <w:tr w:rsidR="00F10AC5" w:rsidRPr="00F60A91" w14:paraId="261294FC" w14:textId="77777777" w:rsidTr="001C3484">
        <w:tc>
          <w:tcPr>
            <w:tcW w:w="1668" w:type="dxa"/>
          </w:tcPr>
          <w:p w14:paraId="2CE8B04E" w14:textId="6B84C05C" w:rsidR="00F10AC5" w:rsidRPr="00F60A91" w:rsidRDefault="001C3484" w:rsidP="00A35800">
            <w:pPr>
              <w:rPr>
                <w:sz w:val="20"/>
                <w:szCs w:val="20"/>
              </w:rPr>
            </w:pPr>
            <w:r w:rsidRPr="00F60A91">
              <w:rPr>
                <w:sz w:val="20"/>
                <w:szCs w:val="20"/>
              </w:rPr>
              <w:t>Cabazitaxel</w:t>
            </w:r>
          </w:p>
        </w:tc>
        <w:tc>
          <w:tcPr>
            <w:tcW w:w="1984" w:type="dxa"/>
          </w:tcPr>
          <w:p w14:paraId="75C070BB" w14:textId="5ED47012" w:rsidR="00F10AC5" w:rsidRPr="00F60A91" w:rsidRDefault="001C3484" w:rsidP="00A35800">
            <w:pPr>
              <w:rPr>
                <w:sz w:val="20"/>
                <w:szCs w:val="20"/>
              </w:rPr>
            </w:pPr>
            <w:r w:rsidRPr="00F60A91">
              <w:rPr>
                <w:sz w:val="20"/>
                <w:szCs w:val="20"/>
              </w:rPr>
              <w:t xml:space="preserve">1 February 2015 </w:t>
            </w:r>
          </w:p>
        </w:tc>
        <w:tc>
          <w:tcPr>
            <w:tcW w:w="5521" w:type="dxa"/>
          </w:tcPr>
          <w:p w14:paraId="72B1B250" w14:textId="3EF9297F" w:rsidR="00F10AC5" w:rsidRPr="00F60A91" w:rsidRDefault="001C3484" w:rsidP="00A35800">
            <w:pPr>
              <w:rPr>
                <w:sz w:val="20"/>
                <w:szCs w:val="20"/>
              </w:rPr>
            </w:pPr>
            <w:r w:rsidRPr="00F60A91">
              <w:rPr>
                <w:sz w:val="20"/>
                <w:szCs w:val="20"/>
              </w:rPr>
              <w:t>Listing for use in Private Hospitals changed from Authority Required to Authority required (STREAMLINED)</w:t>
            </w:r>
          </w:p>
        </w:tc>
      </w:tr>
    </w:tbl>
    <w:p w14:paraId="68A8947F" w14:textId="77777777" w:rsidR="003A1EFA" w:rsidRPr="00B02785" w:rsidRDefault="003A1EFA" w:rsidP="003A1EFA">
      <w:pPr>
        <w:pStyle w:val="Notes"/>
      </w:pPr>
      <w:r w:rsidRPr="00B02785">
        <w:t xml:space="preserve">Source: the </w:t>
      </w:r>
      <w:hyperlink r:id="rId15" w:history="1">
        <w:r w:rsidRPr="00B02785">
          <w:rPr>
            <w:rStyle w:val="Hyperlink"/>
          </w:rPr>
          <w:t>PBS website</w:t>
        </w:r>
      </w:hyperlink>
      <w:r w:rsidRPr="00B02785">
        <w:t xml:space="preserve">.  </w:t>
      </w:r>
    </w:p>
    <w:p w14:paraId="64C94A85" w14:textId="11A11212" w:rsidR="00BF544D" w:rsidRPr="00B02785" w:rsidRDefault="00BF544D" w:rsidP="00BF544D">
      <w:r w:rsidRPr="00B02785">
        <w:t xml:space="preserve">Current PBS listing details are available from the </w:t>
      </w:r>
      <w:hyperlink r:id="rId16" w:history="1">
        <w:r w:rsidRPr="00B02785">
          <w:rPr>
            <w:rStyle w:val="Hyperlink"/>
          </w:rPr>
          <w:t>PBS website</w:t>
        </w:r>
      </w:hyperlink>
      <w:r w:rsidRPr="00B02785">
        <w:t>.</w:t>
      </w:r>
    </w:p>
    <w:p w14:paraId="383E312E" w14:textId="724CF700" w:rsidR="00736041" w:rsidRPr="00B02785" w:rsidRDefault="00394AEE" w:rsidP="00CF5E22">
      <w:pPr>
        <w:pStyle w:val="Heading2"/>
      </w:pPr>
      <w:r w:rsidRPr="00B02785">
        <w:t>Relevant aspects of</w:t>
      </w:r>
      <w:r w:rsidR="00736041" w:rsidRPr="00B02785">
        <w:t xml:space="preserve"> consideration</w:t>
      </w:r>
      <w:r w:rsidRPr="00467298">
        <w:t xml:space="preserve"> by the Pharmaceutical Benefits Advisory Committee (PBAC)</w:t>
      </w:r>
    </w:p>
    <w:p w14:paraId="6C7724ED" w14:textId="27F4503A" w:rsidR="008D7573" w:rsidRPr="00B02785" w:rsidRDefault="008D7573" w:rsidP="008D7573">
      <w:pPr>
        <w:pStyle w:val="Heading3"/>
      </w:pPr>
      <w:r w:rsidRPr="00B02785">
        <w:t>Docetaxel</w:t>
      </w:r>
    </w:p>
    <w:p w14:paraId="1C9AD32E" w14:textId="4D17EDB9" w:rsidR="002B2866" w:rsidRPr="00B02785" w:rsidRDefault="002B2866" w:rsidP="008D7573">
      <w:pPr>
        <w:rPr>
          <w:color w:val="000000"/>
          <w:lang w:eastAsia="en-US"/>
        </w:rPr>
      </w:pPr>
      <w:r w:rsidRPr="00B02785">
        <w:t>The PBAC (July 2007) recommended the listing of docetaxel on the PBS as an authority required benefit for the t</w:t>
      </w:r>
      <w:r w:rsidRPr="00B02785">
        <w:rPr>
          <w:lang w:eastAsia="en-US"/>
        </w:rPr>
        <w:t xml:space="preserve">reatment </w:t>
      </w:r>
      <w:r w:rsidRPr="00B02785">
        <w:rPr>
          <w:color w:val="000000"/>
          <w:lang w:eastAsia="en-US"/>
        </w:rPr>
        <w:t xml:space="preserve">of androgen independent (hormone refractory) </w:t>
      </w:r>
      <w:r w:rsidR="000B68EC" w:rsidRPr="00B02785">
        <w:rPr>
          <w:color w:val="000000"/>
          <w:lang w:eastAsia="en-US"/>
        </w:rPr>
        <w:t xml:space="preserve">metastatic </w:t>
      </w:r>
      <w:r w:rsidRPr="00B02785">
        <w:rPr>
          <w:color w:val="000000"/>
          <w:lang w:eastAsia="en-US"/>
        </w:rPr>
        <w:t>carcinoma of the prostate in a patient with a Karnofsky performance-status score of at least 60%. It was recommended that docetaxel must be used as first-line chemotherapy and administered in three weekly cycles with a maximum of 10 cycles of treatment.</w:t>
      </w:r>
    </w:p>
    <w:p w14:paraId="6672CB15" w14:textId="2854288F" w:rsidR="009C1F52" w:rsidRDefault="009E74F4" w:rsidP="008D7573">
      <w:pPr>
        <w:rPr>
          <w:rFonts w:cs="Times New Roman"/>
          <w:color w:val="000000" w:themeColor="text1"/>
        </w:rPr>
      </w:pPr>
      <w:r w:rsidRPr="00B02785">
        <w:t xml:space="preserve">The PBAC (July 2014) considered a request from the Department to </w:t>
      </w:r>
      <w:r w:rsidRPr="00B02785">
        <w:rPr>
          <w:rFonts w:cs="Times New Roman"/>
        </w:rPr>
        <w:t xml:space="preserve">change the listing for docetaxel from Authority required (STREAMLINED) listings to unrestricted benefit listings </w:t>
      </w:r>
      <w:r w:rsidRPr="002500C2">
        <w:rPr>
          <w:rFonts w:cs="Times New Roman"/>
          <w:color w:val="000000" w:themeColor="text1"/>
        </w:rPr>
        <w:t xml:space="preserve">for all </w:t>
      </w:r>
      <w:r w:rsidR="00BB217F" w:rsidRPr="002500C2">
        <w:rPr>
          <w:rFonts w:cs="Times New Roman"/>
          <w:color w:val="000000" w:themeColor="text1"/>
        </w:rPr>
        <w:t xml:space="preserve">its listed </w:t>
      </w:r>
      <w:r w:rsidRPr="002500C2">
        <w:rPr>
          <w:rFonts w:cs="Times New Roman"/>
          <w:color w:val="000000" w:themeColor="text1"/>
        </w:rPr>
        <w:t>indications following the substantial price reductions for this</w:t>
      </w:r>
      <w:r w:rsidR="00BB217F" w:rsidRPr="002500C2">
        <w:rPr>
          <w:rFonts w:cs="Times New Roman"/>
          <w:color w:val="000000" w:themeColor="text1"/>
        </w:rPr>
        <w:t xml:space="preserve"> drug</w:t>
      </w:r>
      <w:r w:rsidRPr="002500C2">
        <w:rPr>
          <w:rFonts w:cs="Times New Roman"/>
          <w:color w:val="000000" w:themeColor="text1"/>
        </w:rPr>
        <w:t xml:space="preserve"> since the PBAC’s original recommendations for its listings.  </w:t>
      </w:r>
    </w:p>
    <w:p w14:paraId="168813D1" w14:textId="6DCD69A2" w:rsidR="002B2866" w:rsidRPr="00B02785" w:rsidRDefault="00BB217F" w:rsidP="008D7573">
      <w:r w:rsidRPr="002500C2">
        <w:rPr>
          <w:rFonts w:cs="Times New Roman"/>
          <w:color w:val="000000" w:themeColor="text1"/>
        </w:rPr>
        <w:t xml:space="preserve">The </w:t>
      </w:r>
      <w:r w:rsidRPr="00B02785">
        <w:rPr>
          <w:rFonts w:cs="Times New Roman"/>
        </w:rPr>
        <w:t xml:space="preserve">PBAC recommended amending the listings for all docetaxel to unrestricted benefit listings. This </w:t>
      </w:r>
      <w:r w:rsidR="001378DC" w:rsidRPr="00B02785">
        <w:rPr>
          <w:rFonts w:cs="Times New Roman"/>
        </w:rPr>
        <w:t xml:space="preserve">listing </w:t>
      </w:r>
      <w:r w:rsidRPr="00B02785">
        <w:rPr>
          <w:rFonts w:cs="Times New Roman"/>
        </w:rPr>
        <w:t>change came into effect from 1 November 2014.</w:t>
      </w:r>
    </w:p>
    <w:p w14:paraId="2275EB15" w14:textId="77777777" w:rsidR="008D7573" w:rsidRPr="00B02785" w:rsidRDefault="008D7573" w:rsidP="008D7573">
      <w:pPr>
        <w:pStyle w:val="Heading3"/>
      </w:pPr>
      <w:r w:rsidRPr="00B02785">
        <w:t>Cabazitaxel</w:t>
      </w:r>
    </w:p>
    <w:p w14:paraId="68768161" w14:textId="224E52C9" w:rsidR="00F131AD" w:rsidRPr="002500C2" w:rsidRDefault="00496289" w:rsidP="002D78AF">
      <w:r w:rsidRPr="00B02785">
        <w:t>Cabazitaxel was rejected by the PBAC at its July 2011 and November 2011 meetings on the basis of a high and uncertain cost-effectiveness ratio</w:t>
      </w:r>
      <w:r w:rsidR="002D78AF" w:rsidRPr="00B02785">
        <w:t xml:space="preserve">. </w:t>
      </w:r>
      <w:r w:rsidR="00F131AD">
        <w:t xml:space="preserve">In terms of utilisation, the PBAC </w:t>
      </w:r>
      <w:r w:rsidR="00F131AD" w:rsidRPr="002500C2">
        <w:t xml:space="preserve">considered that it was highly likely that lower doses would be required in clinical practice due to toxicity and therefore considerable wastage would result from only a 60mg vial </w:t>
      </w:r>
      <w:r w:rsidR="00F131AD" w:rsidRPr="002500C2">
        <w:lastRenderedPageBreak/>
        <w:t>being available. The PBAC also considered that uptake of cabazitaxel was overestimated because the significant adverse events for many patients will limit the suitability of this treatment.</w:t>
      </w:r>
    </w:p>
    <w:p w14:paraId="79071E70" w14:textId="254E5E80" w:rsidR="002D78AF" w:rsidRPr="00B02785" w:rsidRDefault="002D78AF" w:rsidP="002D78AF">
      <w:r w:rsidRPr="00B02785">
        <w:t xml:space="preserve">For further details refer to the </w:t>
      </w:r>
      <w:hyperlink r:id="rId17" w:history="1">
        <w:r w:rsidRPr="00B02785">
          <w:rPr>
            <w:rStyle w:val="Hyperlink"/>
          </w:rPr>
          <w:t>Public Summary Document</w:t>
        </w:r>
      </w:hyperlink>
      <w:r w:rsidRPr="00B02785">
        <w:t xml:space="preserve"> from the July 2011 PBAC meeting.</w:t>
      </w:r>
    </w:p>
    <w:p w14:paraId="20C84E23" w14:textId="49A9A1C0" w:rsidR="008D7573" w:rsidRPr="00B02785" w:rsidRDefault="002D78AF" w:rsidP="008D7573">
      <w:r w:rsidRPr="00B02785">
        <w:t>Cabazitaxel was subsequently recommended at the March 2012 PBAC meeting for treatment of hormone refractory metastatic carcinoma of the prostate in patients previously treated with a docetaxel containing regimen on the basis of acceptable cost-effectiveness compared with mitozantrone.</w:t>
      </w:r>
    </w:p>
    <w:p w14:paraId="0C4481F6" w14:textId="3B3A754D" w:rsidR="00044B14" w:rsidRPr="00B02785" w:rsidRDefault="00044B14" w:rsidP="00044B14">
      <w:pPr>
        <w:pStyle w:val="Heading3"/>
      </w:pPr>
      <w:r w:rsidRPr="00B02785">
        <w:t>Abiraterone</w:t>
      </w:r>
    </w:p>
    <w:p w14:paraId="7E991AAC" w14:textId="77BA786F" w:rsidR="00044B14" w:rsidRPr="00B02785" w:rsidRDefault="009513C1" w:rsidP="009513C1">
      <w:r w:rsidRPr="00B02785">
        <w:t xml:space="preserve">Abiraterone was considered by the PBAC at its November 2011, March 2012, July 2012, November 2012 and July 2014 meetings. </w:t>
      </w:r>
      <w:r w:rsidR="00044B14" w:rsidRPr="00B02785">
        <w:t xml:space="preserve">At its July 2012 meeting, the PBAC recommended listing abiraterone 250 mg tablets on the PBS as an Authority Required listing for the treatment, in combination with prednisone or prednisolone, of </w:t>
      </w:r>
      <w:r w:rsidR="00811BF1" w:rsidRPr="00B02785">
        <w:t>mCRPC</w:t>
      </w:r>
      <w:r w:rsidR="00044B14" w:rsidRPr="00B02785">
        <w:t xml:space="preserve"> in a patient who has failed treatment with docetaxel on a cost-minimisation basis with cabazitaxel and cost-effectiveness basis when compared with best supportive care. </w:t>
      </w:r>
    </w:p>
    <w:p w14:paraId="5554BCEE" w14:textId="52A1352A" w:rsidR="00044B14" w:rsidRPr="00B02785" w:rsidRDefault="00044B14" w:rsidP="00D94863">
      <w:r w:rsidRPr="00B02785">
        <w:t>The PBAC recalled its concerns from March 2012, that there would be considerable risk of use of abiraterone in patients prior to using docetaxel (given the current absence of evidence of health gain of abiraterone further up the treatment algorithm) as well as a risk that patients may be treated with both abiraterone and cabazitaxel either sequentially or in combination.  To manage these risks, the PBAC reaffirmed its decision that abiraterone should be included in the same risk-sharing arrangement as cabazitaxel, with estimates of use based on a shared subsidisation cap specified for the existing risk-sharing arrangement for cabazitaxel adjusted for the additional price advantage for oral versus I.V. treatment and considering the differences in length of treatment for these agents.  The PBAC considered that the re-submission's assumption of a 75% market uptake for abiraterone was subject to much uncertainty.</w:t>
      </w:r>
    </w:p>
    <w:p w14:paraId="70539E18" w14:textId="063C47DB" w:rsidR="00D94863" w:rsidRPr="00B02785" w:rsidRDefault="00D94863" w:rsidP="00D94863">
      <w:r w:rsidRPr="00B02785">
        <w:t xml:space="preserve">For further details refer to the </w:t>
      </w:r>
      <w:hyperlink r:id="rId18" w:history="1">
        <w:r w:rsidRPr="00B02785">
          <w:rPr>
            <w:rStyle w:val="Hyperlink"/>
          </w:rPr>
          <w:t>Public Summary Document</w:t>
        </w:r>
      </w:hyperlink>
      <w:r w:rsidRPr="00B02785">
        <w:t xml:space="preserve">  from the</w:t>
      </w:r>
      <w:r w:rsidR="00044B14" w:rsidRPr="00B02785">
        <w:t xml:space="preserve"> July 2012</w:t>
      </w:r>
      <w:r w:rsidRPr="00B02785">
        <w:t xml:space="preserve"> PBAC meeting.</w:t>
      </w:r>
    </w:p>
    <w:p w14:paraId="3A9B22AF" w14:textId="18FEC4D2" w:rsidR="00811BF1" w:rsidRDefault="00811BF1" w:rsidP="00D94863">
      <w:r w:rsidRPr="00B02785">
        <w:t>At the July 2014 meeting, the PBAC noted comments from clinicians that for a small number of patients the current abiraterone restriction, requiring failure of, or intolerance to, docetaxel is a hurdle in gaining access to treatment where a single administration of docetaxel would inevitably demonstrate the patient was intolerant to docetaxel. PBAC considered a solution may be to amend the current restriction to allow PBS subsidised abiraterone where a patient is considered “unsuitable for docetaxel treatment on the basis of demonstrated or predicted intolerance to docetaxel”. PBAC considered this to be a minor change that may provide access to a small number of patients who are currently disadvantaged by the requirement to demonstrate intolerance. The proposed amendment of the restriction would not expand the market and would be adequately dealt with under existing risk share arrangements.</w:t>
      </w:r>
    </w:p>
    <w:p w14:paraId="0B5BDF03" w14:textId="4CB2CC46" w:rsidR="00044B14" w:rsidRPr="00B02785" w:rsidRDefault="00044B14" w:rsidP="00044B14">
      <w:pPr>
        <w:pStyle w:val="Heading3"/>
      </w:pPr>
      <w:r w:rsidRPr="00B02785">
        <w:lastRenderedPageBreak/>
        <w:t>Enzalutamide</w:t>
      </w:r>
    </w:p>
    <w:p w14:paraId="3C3B7F95" w14:textId="77777777" w:rsidR="00FF4041" w:rsidRDefault="003877B8" w:rsidP="00891B1E">
      <w:r w:rsidRPr="00B02785">
        <w:t>At its July 2014 meeting, t</w:t>
      </w:r>
      <w:r w:rsidR="00891B1E" w:rsidRPr="00B02785">
        <w:t xml:space="preserve">he PBAC recommended an Authority required listing for enzalutamide for the treatment of </w:t>
      </w:r>
      <w:r w:rsidR="00811BF1" w:rsidRPr="00B02785">
        <w:t>mCRPC</w:t>
      </w:r>
      <w:r w:rsidR="00891B1E" w:rsidRPr="00B02785">
        <w:t xml:space="preserve"> after treatment failure with docetaxel, on a cost-minimisation basis with abiraterone. The equi-effective doses are enzalutamide 160 mg and abiraterone 1000 mg. The PBAC accepted that abiraterone was the appropriate comparator given the intended place of enzalutamide in the current treatment of metastatic prostate</w:t>
      </w:r>
      <w:r w:rsidR="00811BF1" w:rsidRPr="00B02785">
        <w:t xml:space="preserve"> cancer</w:t>
      </w:r>
      <w:r w:rsidR="00891B1E" w:rsidRPr="00B02785">
        <w:t xml:space="preserve">. The PBAC noted that there are now a number of new effective agents for metastatic prostate cancer and therefore the treatment algorithm may continue to evolve over the short-medium term. </w:t>
      </w:r>
    </w:p>
    <w:p w14:paraId="4C4DE06D" w14:textId="26FEB8D4" w:rsidR="00FF4041" w:rsidRPr="00B02785" w:rsidRDefault="00FF4041" w:rsidP="00891B1E">
      <w:r w:rsidRPr="00FF4041">
        <w:t>The PBAC considered that given the lack of evidence of efficacy of enzalutamide in patients who have previously received abiraterone, a note should be included in the restrictions to prevent subsidised use in this patient population.</w:t>
      </w:r>
    </w:p>
    <w:p w14:paraId="2A3ADC0B" w14:textId="7B87D82D" w:rsidR="00044B14" w:rsidRPr="00B02785" w:rsidRDefault="00044B14" w:rsidP="00891B1E">
      <w:r w:rsidRPr="00B02785">
        <w:t>The PBAC noted the submission and pre-PBAC response expressed concerns that the current risk share arrangement for cabazitaxel and abiraterone underestimates the patient pool in the post-docetaxel setting. The PBAC did not consider that the submission had provided evidence to support this claim, and recommended that enzalutamide join the same risk share as abiraterone.</w:t>
      </w:r>
    </w:p>
    <w:p w14:paraId="00D89EBD" w14:textId="7F2C02FE" w:rsidR="00044B14" w:rsidRPr="00B02785" w:rsidRDefault="00044B14" w:rsidP="00044B14">
      <w:r w:rsidRPr="00B02785">
        <w:t xml:space="preserve">For further details refer to the </w:t>
      </w:r>
      <w:hyperlink r:id="rId19" w:history="1">
        <w:r w:rsidRPr="00B02785">
          <w:rPr>
            <w:rStyle w:val="Hyperlink"/>
          </w:rPr>
          <w:t>Public Summary Document</w:t>
        </w:r>
      </w:hyperlink>
      <w:r w:rsidRPr="00B02785">
        <w:t xml:space="preserve"> from the July 2014 PBAC meeting.</w:t>
      </w:r>
    </w:p>
    <w:p w14:paraId="0B0CD697" w14:textId="10FC629E" w:rsidR="00DF3575" w:rsidRPr="00B02785" w:rsidRDefault="00DF3575" w:rsidP="00636A58">
      <w:pPr>
        <w:pStyle w:val="Heading3"/>
      </w:pPr>
      <w:r w:rsidRPr="00B02785">
        <w:t>Abiraterone and Enzalutamide</w:t>
      </w:r>
      <w:r w:rsidR="001A2A3D" w:rsidRPr="00B02785">
        <w:t xml:space="preserve"> </w:t>
      </w:r>
      <w:r w:rsidR="005B3AD0" w:rsidRPr="00B02785">
        <w:t xml:space="preserve">Prior to Treatment with Docetaxel </w:t>
      </w:r>
    </w:p>
    <w:p w14:paraId="158E0747" w14:textId="05FA46D1" w:rsidR="001273A8" w:rsidRPr="00B02785" w:rsidRDefault="001A2A3D" w:rsidP="00722DA8">
      <w:pPr>
        <w:jc w:val="both"/>
      </w:pPr>
      <w:r w:rsidRPr="00B02785">
        <w:t>The PBAC considered</w:t>
      </w:r>
      <w:r w:rsidR="00811BF1" w:rsidRPr="00B02785">
        <w:t xml:space="preserve"> submissions for </w:t>
      </w:r>
      <w:r w:rsidRPr="00B02785">
        <w:t>abiraterone (July 2014) and enzalutamide (November</w:t>
      </w:r>
      <w:r w:rsidR="006F2CE6">
        <w:t> </w:t>
      </w:r>
      <w:r w:rsidRPr="00B02785">
        <w:t xml:space="preserve">2015) to allow treatment </w:t>
      </w:r>
      <w:r w:rsidR="00D97502" w:rsidRPr="00B02785">
        <w:t xml:space="preserve">of patients who have progressed following treatment with androgen deprivation therapy (ADT) </w:t>
      </w:r>
      <w:r w:rsidR="008C2161" w:rsidRPr="00B02785">
        <w:t xml:space="preserve">but have not yet received treatment </w:t>
      </w:r>
      <w:r w:rsidR="00B02785" w:rsidRPr="00B02785">
        <w:t>with docetaxel</w:t>
      </w:r>
      <w:r w:rsidRPr="00B02785">
        <w:t xml:space="preserve">.  </w:t>
      </w:r>
    </w:p>
    <w:p w14:paraId="3F30E2AE" w14:textId="435D8A17" w:rsidR="00722DA8" w:rsidRPr="00B02785" w:rsidRDefault="001273A8" w:rsidP="00722DA8">
      <w:pPr>
        <w:jc w:val="both"/>
      </w:pPr>
      <w:r w:rsidRPr="00B02785">
        <w:t>The submission for abiraterone was rejected because:</w:t>
      </w:r>
    </w:p>
    <w:p w14:paraId="0A097C47" w14:textId="534619ED" w:rsidR="00722DA8" w:rsidRPr="00B02785" w:rsidRDefault="00722DA8" w:rsidP="00636A58">
      <w:pPr>
        <w:pStyle w:val="ListParagraph"/>
        <w:numPr>
          <w:ilvl w:val="0"/>
          <w:numId w:val="11"/>
        </w:numPr>
      </w:pPr>
      <w:r w:rsidRPr="00B02785">
        <w:t>“watchful waiting” was not considered an appropriate comparator for establishing cost-effectiveness in this setting;</w:t>
      </w:r>
    </w:p>
    <w:p w14:paraId="28F172DB" w14:textId="77777777" w:rsidR="00722DA8" w:rsidRPr="00B02785" w:rsidRDefault="00722DA8" w:rsidP="00636A58">
      <w:pPr>
        <w:pStyle w:val="ListParagraph"/>
        <w:numPr>
          <w:ilvl w:val="0"/>
          <w:numId w:val="11"/>
        </w:numPr>
      </w:pPr>
      <w:r w:rsidRPr="00B02785">
        <w:t xml:space="preserve">the post-hoc subgroup analysis for defining the PBS eligible population was inadequately justified; </w:t>
      </w:r>
    </w:p>
    <w:p w14:paraId="51D004D6" w14:textId="77777777" w:rsidR="00722DA8" w:rsidRPr="00B02785" w:rsidRDefault="00722DA8" w:rsidP="00636A58">
      <w:pPr>
        <w:pStyle w:val="ListParagraph"/>
        <w:numPr>
          <w:ilvl w:val="0"/>
          <w:numId w:val="11"/>
        </w:numPr>
      </w:pPr>
      <w:r w:rsidRPr="00B02785">
        <w:t>the ICERs for both the post-hoc sub group and particularly the more appropriate ITT population were unacceptably high; and</w:t>
      </w:r>
    </w:p>
    <w:p w14:paraId="2E529130" w14:textId="7AE11D40" w:rsidR="009406BF" w:rsidRPr="00B02785" w:rsidRDefault="00722DA8" w:rsidP="00636A58">
      <w:pPr>
        <w:pStyle w:val="ListParagraph"/>
        <w:numPr>
          <w:ilvl w:val="0"/>
          <w:numId w:val="11"/>
        </w:numPr>
      </w:pPr>
      <w:r w:rsidRPr="00B02785">
        <w:t xml:space="preserve">the total PBS cost of treatment with abiraterone shifting from post-docetaxel to post-ADT was uncertain. </w:t>
      </w:r>
    </w:p>
    <w:p w14:paraId="33FEEC7C" w14:textId="144814E5" w:rsidR="009406BF" w:rsidRPr="00B02785" w:rsidRDefault="009406BF" w:rsidP="009406BF">
      <w:r w:rsidRPr="00B02785">
        <w:t xml:space="preserve">For further details refer to the </w:t>
      </w:r>
      <w:hyperlink r:id="rId20" w:history="1">
        <w:r w:rsidR="002500C2" w:rsidRPr="00B02785">
          <w:rPr>
            <w:rStyle w:val="Hyperlink"/>
          </w:rPr>
          <w:t>Public Summary Document</w:t>
        </w:r>
      </w:hyperlink>
      <w:r w:rsidRPr="00B02785">
        <w:t xml:space="preserve"> from the July 2014 PBAC meeting.</w:t>
      </w:r>
    </w:p>
    <w:p w14:paraId="1A98A99A" w14:textId="09635930" w:rsidR="00722DA8" w:rsidRPr="00B02785" w:rsidRDefault="009406BF" w:rsidP="00044B14">
      <w:r w:rsidRPr="00B02785">
        <w:t xml:space="preserve">The </w:t>
      </w:r>
      <w:r w:rsidR="001273A8" w:rsidRPr="00B02785">
        <w:t>submission for enzalutamide</w:t>
      </w:r>
      <w:r w:rsidR="008C2161" w:rsidRPr="00467298">
        <w:t xml:space="preserve"> was </w:t>
      </w:r>
      <w:r w:rsidR="008C2161" w:rsidRPr="00B02785">
        <w:t xml:space="preserve">rejected because </w:t>
      </w:r>
      <w:r w:rsidR="00B02785" w:rsidRPr="00B02785">
        <w:t>it was</w:t>
      </w:r>
      <w:r w:rsidR="008C2161" w:rsidRPr="00B02785">
        <w:t xml:space="preserve"> </w:t>
      </w:r>
      <w:r w:rsidRPr="00B02785">
        <w:t>focused on a claim of survival advantage, which was small and uncertain, rather than on outcomes that clinicians and patients considered to be of most value.</w:t>
      </w:r>
    </w:p>
    <w:p w14:paraId="025A56BD" w14:textId="22BB6C8D" w:rsidR="000B76EF" w:rsidRPr="00B02785" w:rsidRDefault="009406BF" w:rsidP="00044B14">
      <w:r w:rsidRPr="00B02785">
        <w:lastRenderedPageBreak/>
        <w:t xml:space="preserve">For further details refer to the </w:t>
      </w:r>
      <w:hyperlink r:id="rId21" w:history="1">
        <w:r w:rsidRPr="00B02785">
          <w:rPr>
            <w:rStyle w:val="Hyperlink"/>
          </w:rPr>
          <w:t>Public Summary Document</w:t>
        </w:r>
      </w:hyperlink>
      <w:r w:rsidRPr="00B02785">
        <w:t xml:space="preserve"> from the </w:t>
      </w:r>
      <w:r w:rsidRPr="00467298">
        <w:t>November 2015 PBAC meeting.</w:t>
      </w:r>
    </w:p>
    <w:p w14:paraId="72C2CA24" w14:textId="4A28B89A" w:rsidR="000F2F51" w:rsidRPr="00B02785" w:rsidRDefault="00ED633B" w:rsidP="00CF5E22">
      <w:pPr>
        <w:pStyle w:val="Heading2"/>
      </w:pPr>
      <w:r w:rsidRPr="00B02785">
        <w:t>A</w:t>
      </w:r>
      <w:r w:rsidR="000F2F51" w:rsidRPr="00B02785">
        <w:t xml:space="preserve">pproach </w:t>
      </w:r>
      <w:r w:rsidRPr="00B02785">
        <w:t xml:space="preserve">taken to </w:t>
      </w:r>
      <w:r w:rsidR="000F2F51" w:rsidRPr="00B02785">
        <w:t>estimat</w:t>
      </w:r>
      <w:r w:rsidRPr="00B02785">
        <w:t>e</w:t>
      </w:r>
      <w:r w:rsidR="000F2F51" w:rsidRPr="00B02785">
        <w:t xml:space="preserve"> utilisation</w:t>
      </w:r>
    </w:p>
    <w:p w14:paraId="08606267" w14:textId="4F84C7A7" w:rsidR="00C37A8B" w:rsidRPr="003548A0" w:rsidRDefault="00C37A8B" w:rsidP="003548A0">
      <w:pPr>
        <w:pStyle w:val="Heading3"/>
      </w:pPr>
      <w:r w:rsidRPr="003548A0">
        <w:t>Cabazitaxel and abiraterone</w:t>
      </w:r>
      <w:r w:rsidR="00C61354" w:rsidRPr="003548A0">
        <w:t xml:space="preserve"> (Based on model agreed with Sponsor of abiraterone)</w:t>
      </w:r>
    </w:p>
    <w:p w14:paraId="221C4D70" w14:textId="0D73C8F6" w:rsidR="001B184F" w:rsidRDefault="001B184F" w:rsidP="001B184F">
      <w:r w:rsidRPr="00B02785">
        <w:t>The initial eligible population for the 2012 calendar year was estimated by averaging the number of patients su</w:t>
      </w:r>
      <w:r w:rsidR="00061D89">
        <w:t>pplied with docetaxel for mCRPC.</w:t>
      </w:r>
    </w:p>
    <w:p w14:paraId="7C11A932" w14:textId="2DF1504C" w:rsidR="00CA4808" w:rsidRPr="00B02785" w:rsidRDefault="00EB57FC" w:rsidP="002D353B">
      <w:r w:rsidRPr="00B02785">
        <w:t>To derive a growth rate for the eligible population, the number of deaths attributed to prostate cancer was firstly estimated by applying the mortality rate for prostate cancer to the ABS projected male population by age group. The number of hormone resistan</w:t>
      </w:r>
      <w:r w:rsidR="008F25B5" w:rsidRPr="00B02785">
        <w:t>t</w:t>
      </w:r>
      <w:r w:rsidRPr="00B02785">
        <w:t xml:space="preserve"> prostate cancer patients was then estimated by dividing the number of prostate cancer </w:t>
      </w:r>
      <w:r w:rsidRPr="00616C14">
        <w:t xml:space="preserve">deaths by an assumption for the number of patients who die from the disease (90%). </w:t>
      </w:r>
      <w:r w:rsidRPr="00B02785">
        <w:t xml:space="preserve">Year-on-year growth in the </w:t>
      </w:r>
      <w:r w:rsidR="000468D0">
        <w:t>eligible</w:t>
      </w:r>
      <w:r w:rsidR="000468D0" w:rsidRPr="00B02785">
        <w:t xml:space="preserve"> </w:t>
      </w:r>
      <w:r w:rsidRPr="00B02785">
        <w:t xml:space="preserve">population was then </w:t>
      </w:r>
      <w:r w:rsidR="00AC5323">
        <w:t>derived as presented in Tables 6 and 7</w:t>
      </w:r>
      <w:r w:rsidR="00426783" w:rsidRPr="00B02785">
        <w:t xml:space="preserve"> (model step B)</w:t>
      </w:r>
      <w:r w:rsidRPr="00B02785">
        <w:t>.</w:t>
      </w:r>
    </w:p>
    <w:p w14:paraId="417039DC" w14:textId="0B46E290" w:rsidR="00881F8B" w:rsidRDefault="008F25B5" w:rsidP="002D353B">
      <w:r w:rsidRPr="00B02785">
        <w:t>Based on the opinion of advisory board members and other key opinion leaders i</w:t>
      </w:r>
      <w:r w:rsidR="00294E48" w:rsidRPr="00B02785">
        <w:t xml:space="preserve">t was assumed that 50% of the eligible population would be candidates for chemotherapy with the remainder being ineligible for chemotherapy. The derivation of the number of patients eligible for first-line PBS therapy for these groups are </w:t>
      </w:r>
      <w:r w:rsidR="00AC5323">
        <w:t>presented separately in Tables 6 and</w:t>
      </w:r>
      <w:r w:rsidR="000468D0">
        <w:t> </w:t>
      </w:r>
      <w:r w:rsidR="00AC5323">
        <w:t>7</w:t>
      </w:r>
      <w:r w:rsidR="00294E48" w:rsidRPr="00B02785">
        <w:t>, respectively.</w:t>
      </w:r>
    </w:p>
    <w:p w14:paraId="540C9F72" w14:textId="34447CCE" w:rsidR="00731971" w:rsidRPr="00B02785" w:rsidRDefault="00AC5323" w:rsidP="003548A0">
      <w:pPr>
        <w:pStyle w:val="Tabletitle"/>
      </w:pPr>
      <w:r>
        <w:t>Table 6</w:t>
      </w:r>
      <w:r w:rsidR="00F60A91">
        <w:t>:</w:t>
      </w:r>
      <w:r w:rsidR="00294E48" w:rsidRPr="00B02785">
        <w:t xml:space="preserve"> </w:t>
      </w:r>
      <w:r w:rsidR="00731971" w:rsidRPr="00B02785">
        <w:t xml:space="preserve">Derivation of the </w:t>
      </w:r>
      <w:r w:rsidR="00655EFD" w:rsidRPr="00B02785">
        <w:t>chemotherapy-</w:t>
      </w:r>
      <w:r w:rsidR="00731971" w:rsidRPr="00B02785">
        <w:t>eligible</w:t>
      </w:r>
      <w:r w:rsidR="00655EFD" w:rsidRPr="00B02785">
        <w:t xml:space="preserve"> population</w:t>
      </w:r>
    </w:p>
    <w:tbl>
      <w:tblPr>
        <w:tblStyle w:val="TableGrid"/>
        <w:tblW w:w="0" w:type="auto"/>
        <w:tblLook w:val="04A0" w:firstRow="1" w:lastRow="0" w:firstColumn="1" w:lastColumn="0" w:noHBand="0" w:noVBand="1"/>
        <w:tblCaption w:val="Derivation of the chemotherapy-eligible population"/>
        <w:tblDescription w:val="A table of Derivation of the chemotherapy-eligible population. There are redactions."/>
      </w:tblPr>
      <w:tblGrid>
        <w:gridCol w:w="2670"/>
        <w:gridCol w:w="1351"/>
        <w:gridCol w:w="736"/>
        <w:gridCol w:w="736"/>
        <w:gridCol w:w="736"/>
        <w:gridCol w:w="736"/>
        <w:gridCol w:w="736"/>
        <w:gridCol w:w="736"/>
        <w:gridCol w:w="736"/>
      </w:tblGrid>
      <w:tr w:rsidR="00386076" w:rsidRPr="00F60A91" w14:paraId="2721FF58" w14:textId="77777777" w:rsidTr="00EF2359">
        <w:trPr>
          <w:tblHeader/>
        </w:trPr>
        <w:tc>
          <w:tcPr>
            <w:tcW w:w="2670" w:type="dxa"/>
            <w:shd w:val="clear" w:color="auto" w:fill="BFBFBF" w:themeFill="background1" w:themeFillShade="BF"/>
          </w:tcPr>
          <w:p w14:paraId="609EEAD3" w14:textId="77777777" w:rsidR="00731971" w:rsidRPr="00F60A91" w:rsidRDefault="00731971" w:rsidP="002D353B">
            <w:pPr>
              <w:rPr>
                <w:sz w:val="20"/>
                <w:szCs w:val="20"/>
              </w:rPr>
            </w:pPr>
          </w:p>
        </w:tc>
        <w:tc>
          <w:tcPr>
            <w:tcW w:w="1351" w:type="dxa"/>
            <w:shd w:val="clear" w:color="auto" w:fill="BFBFBF" w:themeFill="background1" w:themeFillShade="BF"/>
          </w:tcPr>
          <w:p w14:paraId="4BA380EF" w14:textId="6E974077" w:rsidR="00731971" w:rsidRPr="00F60A91" w:rsidRDefault="00731971" w:rsidP="004E2A8D">
            <w:pPr>
              <w:jc w:val="center"/>
              <w:rPr>
                <w:b/>
                <w:sz w:val="20"/>
                <w:szCs w:val="20"/>
              </w:rPr>
            </w:pPr>
            <w:r w:rsidRPr="00F60A91">
              <w:rPr>
                <w:b/>
                <w:sz w:val="20"/>
                <w:szCs w:val="20"/>
              </w:rPr>
              <w:t>Model step</w:t>
            </w:r>
          </w:p>
        </w:tc>
        <w:tc>
          <w:tcPr>
            <w:tcW w:w="736" w:type="dxa"/>
            <w:shd w:val="clear" w:color="auto" w:fill="BFBFBF" w:themeFill="background1" w:themeFillShade="BF"/>
          </w:tcPr>
          <w:p w14:paraId="2F4E393B" w14:textId="37C45BEF" w:rsidR="00731971" w:rsidRPr="00F60A91" w:rsidRDefault="00731971" w:rsidP="004E2A8D">
            <w:pPr>
              <w:jc w:val="center"/>
              <w:rPr>
                <w:b/>
                <w:sz w:val="20"/>
                <w:szCs w:val="20"/>
              </w:rPr>
            </w:pPr>
            <w:r w:rsidRPr="00F60A91">
              <w:rPr>
                <w:b/>
                <w:sz w:val="20"/>
                <w:szCs w:val="20"/>
              </w:rPr>
              <w:t>2012</w:t>
            </w:r>
          </w:p>
        </w:tc>
        <w:tc>
          <w:tcPr>
            <w:tcW w:w="736" w:type="dxa"/>
            <w:shd w:val="clear" w:color="auto" w:fill="BFBFBF" w:themeFill="background1" w:themeFillShade="BF"/>
          </w:tcPr>
          <w:p w14:paraId="5A963A52" w14:textId="60BC351B" w:rsidR="00731971" w:rsidRPr="00F60A91" w:rsidRDefault="00731971" w:rsidP="004E2A8D">
            <w:pPr>
              <w:jc w:val="center"/>
              <w:rPr>
                <w:b/>
                <w:sz w:val="20"/>
                <w:szCs w:val="20"/>
              </w:rPr>
            </w:pPr>
            <w:r w:rsidRPr="00F60A91">
              <w:rPr>
                <w:b/>
                <w:sz w:val="20"/>
                <w:szCs w:val="20"/>
              </w:rPr>
              <w:t>2013</w:t>
            </w:r>
          </w:p>
        </w:tc>
        <w:tc>
          <w:tcPr>
            <w:tcW w:w="736" w:type="dxa"/>
            <w:shd w:val="clear" w:color="auto" w:fill="BFBFBF" w:themeFill="background1" w:themeFillShade="BF"/>
          </w:tcPr>
          <w:p w14:paraId="50485266" w14:textId="66F8BC22" w:rsidR="00731971" w:rsidRPr="00F60A91" w:rsidRDefault="00731971" w:rsidP="004E2A8D">
            <w:pPr>
              <w:jc w:val="center"/>
              <w:rPr>
                <w:b/>
                <w:sz w:val="20"/>
                <w:szCs w:val="20"/>
              </w:rPr>
            </w:pPr>
            <w:r w:rsidRPr="00F60A91">
              <w:rPr>
                <w:b/>
                <w:sz w:val="20"/>
                <w:szCs w:val="20"/>
              </w:rPr>
              <w:t>2014</w:t>
            </w:r>
          </w:p>
        </w:tc>
        <w:tc>
          <w:tcPr>
            <w:tcW w:w="736" w:type="dxa"/>
            <w:shd w:val="clear" w:color="auto" w:fill="BFBFBF" w:themeFill="background1" w:themeFillShade="BF"/>
          </w:tcPr>
          <w:p w14:paraId="018E0181" w14:textId="6F564FB9" w:rsidR="00731971" w:rsidRPr="00F60A91" w:rsidRDefault="00731971" w:rsidP="004E2A8D">
            <w:pPr>
              <w:jc w:val="center"/>
              <w:rPr>
                <w:b/>
                <w:sz w:val="20"/>
                <w:szCs w:val="20"/>
              </w:rPr>
            </w:pPr>
            <w:r w:rsidRPr="00F60A91">
              <w:rPr>
                <w:b/>
                <w:sz w:val="20"/>
                <w:szCs w:val="20"/>
              </w:rPr>
              <w:t>2015</w:t>
            </w:r>
          </w:p>
        </w:tc>
        <w:tc>
          <w:tcPr>
            <w:tcW w:w="736" w:type="dxa"/>
            <w:shd w:val="clear" w:color="auto" w:fill="BFBFBF" w:themeFill="background1" w:themeFillShade="BF"/>
          </w:tcPr>
          <w:p w14:paraId="3FDC5B4D" w14:textId="5D3D5135" w:rsidR="00731971" w:rsidRPr="00F60A91" w:rsidRDefault="00731971" w:rsidP="004E2A8D">
            <w:pPr>
              <w:jc w:val="center"/>
              <w:rPr>
                <w:b/>
                <w:sz w:val="20"/>
                <w:szCs w:val="20"/>
              </w:rPr>
            </w:pPr>
            <w:r w:rsidRPr="00F60A91">
              <w:rPr>
                <w:b/>
                <w:sz w:val="20"/>
                <w:szCs w:val="20"/>
              </w:rPr>
              <w:t>2016</w:t>
            </w:r>
          </w:p>
        </w:tc>
        <w:tc>
          <w:tcPr>
            <w:tcW w:w="736" w:type="dxa"/>
            <w:shd w:val="clear" w:color="auto" w:fill="BFBFBF" w:themeFill="background1" w:themeFillShade="BF"/>
          </w:tcPr>
          <w:p w14:paraId="03A75D9D" w14:textId="146158C4" w:rsidR="00731971" w:rsidRPr="00F60A91" w:rsidRDefault="00731971" w:rsidP="004E2A8D">
            <w:pPr>
              <w:jc w:val="center"/>
              <w:rPr>
                <w:b/>
                <w:sz w:val="20"/>
                <w:szCs w:val="20"/>
              </w:rPr>
            </w:pPr>
            <w:r w:rsidRPr="00F60A91">
              <w:rPr>
                <w:b/>
                <w:sz w:val="20"/>
                <w:szCs w:val="20"/>
              </w:rPr>
              <w:t>2017</w:t>
            </w:r>
          </w:p>
        </w:tc>
        <w:tc>
          <w:tcPr>
            <w:tcW w:w="736" w:type="dxa"/>
            <w:shd w:val="clear" w:color="auto" w:fill="BFBFBF" w:themeFill="background1" w:themeFillShade="BF"/>
          </w:tcPr>
          <w:p w14:paraId="46BEF74C" w14:textId="75970A00" w:rsidR="00731971" w:rsidRPr="00F60A91" w:rsidRDefault="00731971" w:rsidP="004E2A8D">
            <w:pPr>
              <w:jc w:val="center"/>
              <w:rPr>
                <w:b/>
                <w:sz w:val="20"/>
                <w:szCs w:val="20"/>
              </w:rPr>
            </w:pPr>
            <w:r w:rsidRPr="00F60A91">
              <w:rPr>
                <w:b/>
                <w:sz w:val="20"/>
                <w:szCs w:val="20"/>
              </w:rPr>
              <w:t>2018</w:t>
            </w:r>
          </w:p>
        </w:tc>
      </w:tr>
      <w:tr w:rsidR="004843C3" w:rsidRPr="00F60A91" w14:paraId="7D083FEE" w14:textId="77777777" w:rsidTr="00881F8B">
        <w:tc>
          <w:tcPr>
            <w:tcW w:w="2670" w:type="dxa"/>
          </w:tcPr>
          <w:p w14:paraId="5E4D998D" w14:textId="7A366F0B" w:rsidR="00731971" w:rsidRPr="00EE012E" w:rsidRDefault="00731971" w:rsidP="002D353B">
            <w:pPr>
              <w:rPr>
                <w:sz w:val="20"/>
                <w:szCs w:val="20"/>
              </w:rPr>
            </w:pPr>
            <w:r w:rsidRPr="00EE012E">
              <w:rPr>
                <w:sz w:val="20"/>
                <w:szCs w:val="20"/>
              </w:rPr>
              <w:t>Sponsor estimate</w:t>
            </w:r>
          </w:p>
        </w:tc>
        <w:tc>
          <w:tcPr>
            <w:tcW w:w="1351" w:type="dxa"/>
          </w:tcPr>
          <w:p w14:paraId="6208941B" w14:textId="3B9110A3" w:rsidR="00731971" w:rsidRPr="00EE012E" w:rsidRDefault="00731971" w:rsidP="004B2F7F">
            <w:pPr>
              <w:jc w:val="center"/>
              <w:rPr>
                <w:sz w:val="20"/>
                <w:szCs w:val="20"/>
              </w:rPr>
            </w:pPr>
            <w:r w:rsidRPr="00EE012E">
              <w:rPr>
                <w:sz w:val="20"/>
                <w:szCs w:val="20"/>
              </w:rPr>
              <w:t>A</w:t>
            </w:r>
          </w:p>
        </w:tc>
        <w:tc>
          <w:tcPr>
            <w:tcW w:w="736" w:type="dxa"/>
          </w:tcPr>
          <w:p w14:paraId="14CA0819" w14:textId="329E4DF0" w:rsidR="00731971" w:rsidRPr="00F60A91" w:rsidRDefault="00881F8B" w:rsidP="004B2F7F">
            <w:pPr>
              <w:jc w:val="center"/>
              <w:rPr>
                <w:sz w:val="20"/>
                <w:szCs w:val="20"/>
                <w:highlight w:val="yellow"/>
              </w:rPr>
            </w:pPr>
            <w:r w:rsidRPr="00881F8B">
              <w:rPr>
                <w:sz w:val="20"/>
                <w:szCs w:val="20"/>
                <w:highlight w:val="black"/>
              </w:rPr>
              <w:t>XXXXX</w:t>
            </w:r>
          </w:p>
        </w:tc>
        <w:tc>
          <w:tcPr>
            <w:tcW w:w="736" w:type="dxa"/>
            <w:shd w:val="clear" w:color="auto" w:fill="D9D9D9" w:themeFill="background1" w:themeFillShade="D9"/>
          </w:tcPr>
          <w:p w14:paraId="7E26C07F" w14:textId="66F65FE7" w:rsidR="00731971" w:rsidRPr="00F60A91" w:rsidRDefault="00731971" w:rsidP="004B2F7F">
            <w:pPr>
              <w:jc w:val="center"/>
              <w:rPr>
                <w:sz w:val="20"/>
                <w:szCs w:val="20"/>
              </w:rPr>
            </w:pPr>
          </w:p>
        </w:tc>
        <w:tc>
          <w:tcPr>
            <w:tcW w:w="736" w:type="dxa"/>
            <w:shd w:val="clear" w:color="auto" w:fill="D9D9D9" w:themeFill="background1" w:themeFillShade="D9"/>
          </w:tcPr>
          <w:p w14:paraId="2FB3CF89" w14:textId="77777777" w:rsidR="00731971" w:rsidRPr="00F60A91" w:rsidRDefault="00731971" w:rsidP="004B2F7F">
            <w:pPr>
              <w:jc w:val="center"/>
              <w:rPr>
                <w:sz w:val="20"/>
                <w:szCs w:val="20"/>
              </w:rPr>
            </w:pPr>
          </w:p>
        </w:tc>
        <w:tc>
          <w:tcPr>
            <w:tcW w:w="736" w:type="dxa"/>
            <w:shd w:val="clear" w:color="auto" w:fill="D9D9D9" w:themeFill="background1" w:themeFillShade="D9"/>
          </w:tcPr>
          <w:p w14:paraId="202D76F0" w14:textId="77777777" w:rsidR="00731971" w:rsidRPr="00F60A91" w:rsidRDefault="00731971" w:rsidP="004B2F7F">
            <w:pPr>
              <w:jc w:val="center"/>
              <w:rPr>
                <w:sz w:val="20"/>
                <w:szCs w:val="20"/>
              </w:rPr>
            </w:pPr>
          </w:p>
        </w:tc>
        <w:tc>
          <w:tcPr>
            <w:tcW w:w="736" w:type="dxa"/>
            <w:shd w:val="clear" w:color="auto" w:fill="D9D9D9" w:themeFill="background1" w:themeFillShade="D9"/>
          </w:tcPr>
          <w:p w14:paraId="0B38A98F" w14:textId="77777777" w:rsidR="00731971" w:rsidRPr="00F60A91" w:rsidRDefault="00731971" w:rsidP="004B2F7F">
            <w:pPr>
              <w:jc w:val="center"/>
              <w:rPr>
                <w:sz w:val="20"/>
                <w:szCs w:val="20"/>
              </w:rPr>
            </w:pPr>
          </w:p>
        </w:tc>
        <w:tc>
          <w:tcPr>
            <w:tcW w:w="736" w:type="dxa"/>
            <w:shd w:val="clear" w:color="auto" w:fill="D9D9D9" w:themeFill="background1" w:themeFillShade="D9"/>
          </w:tcPr>
          <w:p w14:paraId="17CD9AA9" w14:textId="77777777" w:rsidR="00731971" w:rsidRPr="00F60A91" w:rsidRDefault="00731971" w:rsidP="004B2F7F">
            <w:pPr>
              <w:jc w:val="center"/>
              <w:rPr>
                <w:sz w:val="20"/>
                <w:szCs w:val="20"/>
              </w:rPr>
            </w:pPr>
          </w:p>
        </w:tc>
        <w:tc>
          <w:tcPr>
            <w:tcW w:w="736" w:type="dxa"/>
            <w:shd w:val="clear" w:color="auto" w:fill="D9D9D9" w:themeFill="background1" w:themeFillShade="D9"/>
          </w:tcPr>
          <w:p w14:paraId="45B2F25A" w14:textId="77777777" w:rsidR="00731971" w:rsidRPr="00F60A91" w:rsidRDefault="00731971" w:rsidP="004B2F7F">
            <w:pPr>
              <w:jc w:val="center"/>
              <w:rPr>
                <w:sz w:val="20"/>
                <w:szCs w:val="20"/>
              </w:rPr>
            </w:pPr>
          </w:p>
        </w:tc>
      </w:tr>
      <w:tr w:rsidR="00731971" w:rsidRPr="00F60A91" w14:paraId="303BCBC5" w14:textId="77777777" w:rsidTr="00881F8B">
        <w:tc>
          <w:tcPr>
            <w:tcW w:w="2670" w:type="dxa"/>
          </w:tcPr>
          <w:p w14:paraId="40899A7A" w14:textId="0E009637" w:rsidR="00731971" w:rsidRPr="00EE012E" w:rsidRDefault="00731971" w:rsidP="002D353B">
            <w:pPr>
              <w:rPr>
                <w:sz w:val="20"/>
                <w:szCs w:val="20"/>
              </w:rPr>
            </w:pPr>
            <w:r w:rsidRPr="00EE012E">
              <w:rPr>
                <w:sz w:val="20"/>
                <w:szCs w:val="20"/>
              </w:rPr>
              <w:t>Population growth rate</w:t>
            </w:r>
          </w:p>
        </w:tc>
        <w:tc>
          <w:tcPr>
            <w:tcW w:w="1351" w:type="dxa"/>
          </w:tcPr>
          <w:p w14:paraId="79F80E50" w14:textId="47381D59" w:rsidR="00731971" w:rsidRPr="00EE012E" w:rsidRDefault="00731971" w:rsidP="004B2F7F">
            <w:pPr>
              <w:jc w:val="center"/>
              <w:rPr>
                <w:sz w:val="20"/>
                <w:szCs w:val="20"/>
              </w:rPr>
            </w:pPr>
            <w:r w:rsidRPr="00EE012E">
              <w:rPr>
                <w:sz w:val="20"/>
                <w:szCs w:val="20"/>
              </w:rPr>
              <w:t>B</w:t>
            </w:r>
          </w:p>
        </w:tc>
        <w:tc>
          <w:tcPr>
            <w:tcW w:w="736" w:type="dxa"/>
          </w:tcPr>
          <w:p w14:paraId="543F49BB" w14:textId="57A1A080" w:rsidR="00731971" w:rsidRPr="00F60A91" w:rsidRDefault="00731971" w:rsidP="004B2F7F">
            <w:pPr>
              <w:jc w:val="center"/>
              <w:rPr>
                <w:sz w:val="20"/>
                <w:szCs w:val="20"/>
              </w:rPr>
            </w:pPr>
            <w:r w:rsidRPr="00F60A91">
              <w:rPr>
                <w:sz w:val="20"/>
                <w:szCs w:val="20"/>
              </w:rPr>
              <w:t>-</w:t>
            </w:r>
          </w:p>
        </w:tc>
        <w:tc>
          <w:tcPr>
            <w:tcW w:w="736" w:type="dxa"/>
          </w:tcPr>
          <w:p w14:paraId="3C4A04A8" w14:textId="25A55F21" w:rsidR="00731971" w:rsidRPr="00F60A91" w:rsidRDefault="00731971" w:rsidP="004B2F7F">
            <w:pPr>
              <w:jc w:val="center"/>
              <w:rPr>
                <w:sz w:val="20"/>
                <w:szCs w:val="20"/>
              </w:rPr>
            </w:pPr>
            <w:r w:rsidRPr="00F60A91">
              <w:rPr>
                <w:sz w:val="20"/>
                <w:szCs w:val="20"/>
              </w:rPr>
              <w:t>103%</w:t>
            </w:r>
          </w:p>
        </w:tc>
        <w:tc>
          <w:tcPr>
            <w:tcW w:w="736" w:type="dxa"/>
          </w:tcPr>
          <w:p w14:paraId="7EA16297" w14:textId="3E81B8B9" w:rsidR="00731971" w:rsidRPr="00F60A91" w:rsidRDefault="00731971" w:rsidP="004B2F7F">
            <w:pPr>
              <w:jc w:val="center"/>
              <w:rPr>
                <w:sz w:val="20"/>
                <w:szCs w:val="20"/>
              </w:rPr>
            </w:pPr>
            <w:r w:rsidRPr="00F60A91">
              <w:rPr>
                <w:sz w:val="20"/>
                <w:szCs w:val="20"/>
              </w:rPr>
              <w:t>104%</w:t>
            </w:r>
          </w:p>
        </w:tc>
        <w:tc>
          <w:tcPr>
            <w:tcW w:w="736" w:type="dxa"/>
          </w:tcPr>
          <w:p w14:paraId="10503897" w14:textId="119858FE" w:rsidR="00731971" w:rsidRPr="00F60A91" w:rsidRDefault="00731971" w:rsidP="004B2F7F">
            <w:pPr>
              <w:jc w:val="center"/>
              <w:rPr>
                <w:sz w:val="20"/>
                <w:szCs w:val="20"/>
              </w:rPr>
            </w:pPr>
            <w:r w:rsidRPr="00F60A91">
              <w:rPr>
                <w:sz w:val="20"/>
                <w:szCs w:val="20"/>
              </w:rPr>
              <w:t>104%</w:t>
            </w:r>
          </w:p>
        </w:tc>
        <w:tc>
          <w:tcPr>
            <w:tcW w:w="736" w:type="dxa"/>
          </w:tcPr>
          <w:p w14:paraId="7097A463" w14:textId="1C9ABC34" w:rsidR="00731971" w:rsidRPr="00F60A91" w:rsidRDefault="00731971" w:rsidP="004B2F7F">
            <w:pPr>
              <w:jc w:val="center"/>
              <w:rPr>
                <w:sz w:val="20"/>
                <w:szCs w:val="20"/>
              </w:rPr>
            </w:pPr>
            <w:r w:rsidRPr="00F60A91">
              <w:rPr>
                <w:sz w:val="20"/>
                <w:szCs w:val="20"/>
              </w:rPr>
              <w:t>104%</w:t>
            </w:r>
          </w:p>
        </w:tc>
        <w:tc>
          <w:tcPr>
            <w:tcW w:w="736" w:type="dxa"/>
          </w:tcPr>
          <w:p w14:paraId="048A5843" w14:textId="7732C5A5" w:rsidR="00731971" w:rsidRPr="00F60A91" w:rsidRDefault="00731971" w:rsidP="004B2F7F">
            <w:pPr>
              <w:jc w:val="center"/>
              <w:rPr>
                <w:sz w:val="20"/>
                <w:szCs w:val="20"/>
              </w:rPr>
            </w:pPr>
            <w:r w:rsidRPr="00F60A91">
              <w:rPr>
                <w:sz w:val="20"/>
                <w:szCs w:val="20"/>
              </w:rPr>
              <w:t>104%</w:t>
            </w:r>
          </w:p>
        </w:tc>
        <w:tc>
          <w:tcPr>
            <w:tcW w:w="736" w:type="dxa"/>
          </w:tcPr>
          <w:p w14:paraId="4A68C434" w14:textId="71D531F7" w:rsidR="00731971" w:rsidRPr="00F60A91" w:rsidRDefault="00731971" w:rsidP="004B2F7F">
            <w:pPr>
              <w:jc w:val="center"/>
              <w:rPr>
                <w:sz w:val="20"/>
                <w:szCs w:val="20"/>
              </w:rPr>
            </w:pPr>
            <w:r w:rsidRPr="00F60A91">
              <w:rPr>
                <w:sz w:val="20"/>
                <w:szCs w:val="20"/>
              </w:rPr>
              <w:t>103%</w:t>
            </w:r>
          </w:p>
        </w:tc>
      </w:tr>
      <w:tr w:rsidR="004843C3" w:rsidRPr="00F60A91" w14:paraId="4CE3FE6C" w14:textId="77777777" w:rsidTr="00881F8B">
        <w:tc>
          <w:tcPr>
            <w:tcW w:w="2670" w:type="dxa"/>
          </w:tcPr>
          <w:p w14:paraId="010505FC" w14:textId="78359E80" w:rsidR="00731971" w:rsidRPr="00EE012E" w:rsidRDefault="00731971" w:rsidP="002D353B">
            <w:pPr>
              <w:rPr>
                <w:sz w:val="20"/>
                <w:szCs w:val="20"/>
              </w:rPr>
            </w:pPr>
            <w:r w:rsidRPr="00EE012E">
              <w:rPr>
                <w:sz w:val="20"/>
                <w:szCs w:val="20"/>
              </w:rPr>
              <w:t>Eligible population</w:t>
            </w:r>
          </w:p>
        </w:tc>
        <w:tc>
          <w:tcPr>
            <w:tcW w:w="1351" w:type="dxa"/>
          </w:tcPr>
          <w:p w14:paraId="38C3379D" w14:textId="72C850BC" w:rsidR="00731971" w:rsidRPr="00EE012E" w:rsidRDefault="00211A85" w:rsidP="004B2F7F">
            <w:pPr>
              <w:jc w:val="center"/>
              <w:rPr>
                <w:sz w:val="20"/>
                <w:szCs w:val="20"/>
              </w:rPr>
            </w:pPr>
            <w:r w:rsidRPr="00EE012E">
              <w:rPr>
                <w:sz w:val="20"/>
                <w:szCs w:val="20"/>
              </w:rPr>
              <w:t xml:space="preserve">C = </w:t>
            </w:r>
            <w:r w:rsidR="00731971" w:rsidRPr="00EE012E">
              <w:rPr>
                <w:sz w:val="20"/>
                <w:szCs w:val="20"/>
              </w:rPr>
              <w:t>A x B</w:t>
            </w:r>
          </w:p>
        </w:tc>
        <w:tc>
          <w:tcPr>
            <w:tcW w:w="736" w:type="dxa"/>
          </w:tcPr>
          <w:p w14:paraId="6233D4C3" w14:textId="2E7221EE" w:rsidR="00731971" w:rsidRPr="00881F8B" w:rsidRDefault="00881F8B" w:rsidP="004B2F7F">
            <w:pPr>
              <w:jc w:val="center"/>
              <w:rPr>
                <w:sz w:val="20"/>
                <w:szCs w:val="20"/>
                <w:highlight w:val="black"/>
              </w:rPr>
            </w:pPr>
            <w:r w:rsidRPr="00881F8B">
              <w:rPr>
                <w:sz w:val="20"/>
                <w:szCs w:val="20"/>
                <w:highlight w:val="black"/>
              </w:rPr>
              <w:t>XXXXX</w:t>
            </w:r>
          </w:p>
        </w:tc>
        <w:tc>
          <w:tcPr>
            <w:tcW w:w="736" w:type="dxa"/>
          </w:tcPr>
          <w:p w14:paraId="34395C2D" w14:textId="36A62FBF" w:rsidR="00731971" w:rsidRPr="00881F8B" w:rsidRDefault="00881F8B" w:rsidP="004B2F7F">
            <w:pPr>
              <w:jc w:val="center"/>
              <w:rPr>
                <w:sz w:val="20"/>
                <w:szCs w:val="20"/>
                <w:highlight w:val="black"/>
              </w:rPr>
            </w:pPr>
            <w:r w:rsidRPr="00881F8B">
              <w:rPr>
                <w:sz w:val="20"/>
                <w:szCs w:val="20"/>
                <w:highlight w:val="black"/>
              </w:rPr>
              <w:t>XXXXX</w:t>
            </w:r>
          </w:p>
        </w:tc>
        <w:tc>
          <w:tcPr>
            <w:tcW w:w="736" w:type="dxa"/>
          </w:tcPr>
          <w:p w14:paraId="1791FCFF" w14:textId="48CC3B74" w:rsidR="00731971" w:rsidRPr="00881F8B" w:rsidRDefault="00881F8B" w:rsidP="004B2F7F">
            <w:pPr>
              <w:jc w:val="center"/>
              <w:rPr>
                <w:sz w:val="20"/>
                <w:szCs w:val="20"/>
                <w:highlight w:val="black"/>
              </w:rPr>
            </w:pPr>
            <w:r w:rsidRPr="00881F8B">
              <w:rPr>
                <w:sz w:val="20"/>
                <w:szCs w:val="20"/>
                <w:highlight w:val="black"/>
              </w:rPr>
              <w:t>XXXXX</w:t>
            </w:r>
          </w:p>
        </w:tc>
        <w:tc>
          <w:tcPr>
            <w:tcW w:w="736" w:type="dxa"/>
          </w:tcPr>
          <w:p w14:paraId="56A38386" w14:textId="65E7BBB8" w:rsidR="00731971" w:rsidRPr="00881F8B" w:rsidRDefault="00881F8B" w:rsidP="004B2F7F">
            <w:pPr>
              <w:jc w:val="center"/>
              <w:rPr>
                <w:sz w:val="20"/>
                <w:szCs w:val="20"/>
                <w:highlight w:val="black"/>
              </w:rPr>
            </w:pPr>
            <w:r w:rsidRPr="00881F8B">
              <w:rPr>
                <w:sz w:val="20"/>
                <w:szCs w:val="20"/>
                <w:highlight w:val="black"/>
              </w:rPr>
              <w:t>XXXXX</w:t>
            </w:r>
          </w:p>
        </w:tc>
        <w:tc>
          <w:tcPr>
            <w:tcW w:w="736" w:type="dxa"/>
          </w:tcPr>
          <w:p w14:paraId="59F9910E" w14:textId="15F05979" w:rsidR="00731971" w:rsidRPr="00881F8B" w:rsidRDefault="00881F8B" w:rsidP="004B2F7F">
            <w:pPr>
              <w:jc w:val="center"/>
              <w:rPr>
                <w:sz w:val="20"/>
                <w:szCs w:val="20"/>
                <w:highlight w:val="black"/>
              </w:rPr>
            </w:pPr>
            <w:r w:rsidRPr="00881F8B">
              <w:rPr>
                <w:sz w:val="20"/>
                <w:szCs w:val="20"/>
                <w:highlight w:val="black"/>
              </w:rPr>
              <w:t>XXXXX</w:t>
            </w:r>
          </w:p>
        </w:tc>
        <w:tc>
          <w:tcPr>
            <w:tcW w:w="736" w:type="dxa"/>
          </w:tcPr>
          <w:p w14:paraId="563EBD12" w14:textId="1D539F3D" w:rsidR="00731971" w:rsidRPr="00881F8B" w:rsidRDefault="00881F8B" w:rsidP="004B2F7F">
            <w:pPr>
              <w:jc w:val="center"/>
              <w:rPr>
                <w:sz w:val="20"/>
                <w:szCs w:val="20"/>
                <w:highlight w:val="black"/>
              </w:rPr>
            </w:pPr>
            <w:r w:rsidRPr="00881F8B">
              <w:rPr>
                <w:sz w:val="20"/>
                <w:szCs w:val="20"/>
                <w:highlight w:val="black"/>
              </w:rPr>
              <w:t>XXXXX</w:t>
            </w:r>
          </w:p>
        </w:tc>
        <w:tc>
          <w:tcPr>
            <w:tcW w:w="736" w:type="dxa"/>
          </w:tcPr>
          <w:p w14:paraId="3FE84676" w14:textId="1481EB75" w:rsidR="00731971" w:rsidRPr="00881F8B" w:rsidRDefault="00881F8B" w:rsidP="004B2F7F">
            <w:pPr>
              <w:jc w:val="center"/>
              <w:rPr>
                <w:sz w:val="20"/>
                <w:szCs w:val="20"/>
                <w:highlight w:val="black"/>
              </w:rPr>
            </w:pPr>
            <w:r w:rsidRPr="00881F8B">
              <w:rPr>
                <w:sz w:val="20"/>
                <w:szCs w:val="20"/>
                <w:highlight w:val="black"/>
              </w:rPr>
              <w:t>XXXXX</w:t>
            </w:r>
          </w:p>
        </w:tc>
      </w:tr>
      <w:tr w:rsidR="004843C3" w:rsidRPr="00F60A91" w14:paraId="3845CAEE" w14:textId="77777777" w:rsidTr="00881F8B">
        <w:tc>
          <w:tcPr>
            <w:tcW w:w="2670" w:type="dxa"/>
          </w:tcPr>
          <w:p w14:paraId="61A4621A" w14:textId="1EAC5973" w:rsidR="00211A85" w:rsidRPr="00EE012E" w:rsidRDefault="00211A85" w:rsidP="002D353B">
            <w:pPr>
              <w:rPr>
                <w:sz w:val="20"/>
                <w:szCs w:val="20"/>
              </w:rPr>
            </w:pPr>
            <w:r w:rsidRPr="00EE012E">
              <w:rPr>
                <w:sz w:val="20"/>
                <w:szCs w:val="20"/>
              </w:rPr>
              <w:t>Proportion eligible for chemotherapy</w:t>
            </w:r>
          </w:p>
        </w:tc>
        <w:tc>
          <w:tcPr>
            <w:tcW w:w="1351" w:type="dxa"/>
          </w:tcPr>
          <w:p w14:paraId="7A547CB9" w14:textId="4378DFC6" w:rsidR="00211A85" w:rsidRPr="00EE012E" w:rsidRDefault="00211A85" w:rsidP="004B2F7F">
            <w:pPr>
              <w:jc w:val="center"/>
              <w:rPr>
                <w:sz w:val="20"/>
                <w:szCs w:val="20"/>
              </w:rPr>
            </w:pPr>
            <w:r w:rsidRPr="00EE012E">
              <w:rPr>
                <w:sz w:val="20"/>
                <w:szCs w:val="20"/>
              </w:rPr>
              <w:t>D</w:t>
            </w:r>
          </w:p>
        </w:tc>
        <w:tc>
          <w:tcPr>
            <w:tcW w:w="736" w:type="dxa"/>
          </w:tcPr>
          <w:p w14:paraId="4281C0AF" w14:textId="23402337" w:rsidR="00211A85" w:rsidRPr="00F60A91" w:rsidRDefault="00211A85" w:rsidP="004B2F7F">
            <w:pPr>
              <w:jc w:val="center"/>
              <w:rPr>
                <w:sz w:val="20"/>
                <w:szCs w:val="20"/>
              </w:rPr>
            </w:pPr>
            <w:r w:rsidRPr="00F60A91">
              <w:rPr>
                <w:sz w:val="20"/>
                <w:szCs w:val="20"/>
              </w:rPr>
              <w:t>50%</w:t>
            </w:r>
          </w:p>
        </w:tc>
        <w:tc>
          <w:tcPr>
            <w:tcW w:w="736" w:type="dxa"/>
          </w:tcPr>
          <w:p w14:paraId="1641BA06" w14:textId="377BE4BC" w:rsidR="00211A85" w:rsidRPr="00F60A91" w:rsidRDefault="00211A85" w:rsidP="004B2F7F">
            <w:pPr>
              <w:jc w:val="center"/>
              <w:rPr>
                <w:sz w:val="20"/>
                <w:szCs w:val="20"/>
              </w:rPr>
            </w:pPr>
            <w:r w:rsidRPr="00F60A91">
              <w:rPr>
                <w:sz w:val="20"/>
                <w:szCs w:val="20"/>
              </w:rPr>
              <w:t>50%</w:t>
            </w:r>
          </w:p>
        </w:tc>
        <w:tc>
          <w:tcPr>
            <w:tcW w:w="736" w:type="dxa"/>
          </w:tcPr>
          <w:p w14:paraId="728A328C" w14:textId="2702CC6D" w:rsidR="00211A85" w:rsidRPr="00F60A91" w:rsidRDefault="00211A85" w:rsidP="004B2F7F">
            <w:pPr>
              <w:jc w:val="center"/>
              <w:rPr>
                <w:sz w:val="20"/>
                <w:szCs w:val="20"/>
              </w:rPr>
            </w:pPr>
            <w:r w:rsidRPr="00F60A91">
              <w:rPr>
                <w:sz w:val="20"/>
                <w:szCs w:val="20"/>
              </w:rPr>
              <w:t>50%</w:t>
            </w:r>
          </w:p>
        </w:tc>
        <w:tc>
          <w:tcPr>
            <w:tcW w:w="736" w:type="dxa"/>
          </w:tcPr>
          <w:p w14:paraId="3AC211CE" w14:textId="31693A0E" w:rsidR="00211A85" w:rsidRPr="00F60A91" w:rsidRDefault="00211A85" w:rsidP="004B2F7F">
            <w:pPr>
              <w:jc w:val="center"/>
              <w:rPr>
                <w:sz w:val="20"/>
                <w:szCs w:val="20"/>
              </w:rPr>
            </w:pPr>
            <w:r w:rsidRPr="00F60A91">
              <w:rPr>
                <w:sz w:val="20"/>
                <w:szCs w:val="20"/>
              </w:rPr>
              <w:t>50%</w:t>
            </w:r>
          </w:p>
        </w:tc>
        <w:tc>
          <w:tcPr>
            <w:tcW w:w="736" w:type="dxa"/>
          </w:tcPr>
          <w:p w14:paraId="4231E9B9" w14:textId="2CE4F75D" w:rsidR="00211A85" w:rsidRPr="00F60A91" w:rsidRDefault="00211A85" w:rsidP="004B2F7F">
            <w:pPr>
              <w:jc w:val="center"/>
              <w:rPr>
                <w:sz w:val="20"/>
                <w:szCs w:val="20"/>
              </w:rPr>
            </w:pPr>
            <w:r w:rsidRPr="00F60A91">
              <w:rPr>
                <w:sz w:val="20"/>
                <w:szCs w:val="20"/>
              </w:rPr>
              <w:t>50%</w:t>
            </w:r>
          </w:p>
        </w:tc>
        <w:tc>
          <w:tcPr>
            <w:tcW w:w="736" w:type="dxa"/>
          </w:tcPr>
          <w:p w14:paraId="0FE0288A" w14:textId="66F2812D" w:rsidR="00211A85" w:rsidRPr="00F60A91" w:rsidRDefault="00211A85" w:rsidP="004B2F7F">
            <w:pPr>
              <w:jc w:val="center"/>
              <w:rPr>
                <w:sz w:val="20"/>
                <w:szCs w:val="20"/>
              </w:rPr>
            </w:pPr>
            <w:r w:rsidRPr="00F60A91">
              <w:rPr>
                <w:sz w:val="20"/>
                <w:szCs w:val="20"/>
              </w:rPr>
              <w:t>50%</w:t>
            </w:r>
          </w:p>
        </w:tc>
        <w:tc>
          <w:tcPr>
            <w:tcW w:w="736" w:type="dxa"/>
          </w:tcPr>
          <w:p w14:paraId="257FF0CE" w14:textId="005285C0" w:rsidR="00211A85" w:rsidRPr="00F60A91" w:rsidRDefault="00211A85" w:rsidP="004B2F7F">
            <w:pPr>
              <w:jc w:val="center"/>
              <w:rPr>
                <w:sz w:val="20"/>
                <w:szCs w:val="20"/>
              </w:rPr>
            </w:pPr>
            <w:r w:rsidRPr="00F60A91">
              <w:rPr>
                <w:sz w:val="20"/>
                <w:szCs w:val="20"/>
              </w:rPr>
              <w:t>50%</w:t>
            </w:r>
          </w:p>
        </w:tc>
      </w:tr>
      <w:tr w:rsidR="00881F8B" w:rsidRPr="00F60A91" w14:paraId="14BA906A" w14:textId="77777777" w:rsidTr="00881F8B">
        <w:tc>
          <w:tcPr>
            <w:tcW w:w="2670" w:type="dxa"/>
          </w:tcPr>
          <w:p w14:paraId="6886D9DC" w14:textId="78E1C786" w:rsidR="00881F8B" w:rsidRPr="00EE012E" w:rsidRDefault="00881F8B" w:rsidP="002D353B">
            <w:pPr>
              <w:rPr>
                <w:sz w:val="20"/>
                <w:szCs w:val="20"/>
              </w:rPr>
            </w:pPr>
            <w:r w:rsidRPr="00EE012E">
              <w:rPr>
                <w:sz w:val="20"/>
                <w:szCs w:val="20"/>
              </w:rPr>
              <w:t>Number eligible for chemotherapy</w:t>
            </w:r>
          </w:p>
        </w:tc>
        <w:tc>
          <w:tcPr>
            <w:tcW w:w="1351" w:type="dxa"/>
          </w:tcPr>
          <w:p w14:paraId="1860BF1E" w14:textId="0F2D8301" w:rsidR="00881F8B" w:rsidRPr="00EE012E" w:rsidRDefault="00881F8B" w:rsidP="004B2F7F">
            <w:pPr>
              <w:jc w:val="center"/>
              <w:rPr>
                <w:sz w:val="20"/>
                <w:szCs w:val="20"/>
              </w:rPr>
            </w:pPr>
            <w:r w:rsidRPr="00EE012E">
              <w:rPr>
                <w:sz w:val="20"/>
                <w:szCs w:val="20"/>
              </w:rPr>
              <w:t>E = C x D</w:t>
            </w:r>
          </w:p>
        </w:tc>
        <w:tc>
          <w:tcPr>
            <w:tcW w:w="736" w:type="dxa"/>
          </w:tcPr>
          <w:p w14:paraId="08B1D052" w14:textId="5417888C" w:rsidR="00881F8B" w:rsidRPr="00881F8B" w:rsidRDefault="00881F8B" w:rsidP="004B2F7F">
            <w:pPr>
              <w:jc w:val="center"/>
              <w:rPr>
                <w:sz w:val="20"/>
                <w:szCs w:val="20"/>
                <w:highlight w:val="black"/>
              </w:rPr>
            </w:pPr>
            <w:r w:rsidRPr="00881F8B">
              <w:rPr>
                <w:sz w:val="20"/>
                <w:szCs w:val="20"/>
                <w:highlight w:val="black"/>
              </w:rPr>
              <w:t>XXX</w:t>
            </w:r>
          </w:p>
        </w:tc>
        <w:tc>
          <w:tcPr>
            <w:tcW w:w="736" w:type="dxa"/>
          </w:tcPr>
          <w:p w14:paraId="52908E7B" w14:textId="7477E560" w:rsidR="00881F8B" w:rsidRPr="00881F8B" w:rsidRDefault="00881F8B" w:rsidP="004B2F7F">
            <w:pPr>
              <w:jc w:val="center"/>
              <w:rPr>
                <w:sz w:val="20"/>
                <w:szCs w:val="20"/>
                <w:highlight w:val="black"/>
              </w:rPr>
            </w:pPr>
            <w:r w:rsidRPr="00881F8B">
              <w:rPr>
                <w:sz w:val="20"/>
                <w:szCs w:val="20"/>
                <w:highlight w:val="black"/>
              </w:rPr>
              <w:t>XXX</w:t>
            </w:r>
          </w:p>
        </w:tc>
        <w:tc>
          <w:tcPr>
            <w:tcW w:w="736" w:type="dxa"/>
          </w:tcPr>
          <w:p w14:paraId="0EB6E173" w14:textId="541CA9B4" w:rsidR="00881F8B" w:rsidRPr="00881F8B" w:rsidRDefault="00881F8B" w:rsidP="004B2F7F">
            <w:pPr>
              <w:jc w:val="center"/>
              <w:rPr>
                <w:sz w:val="20"/>
                <w:szCs w:val="20"/>
                <w:highlight w:val="black"/>
              </w:rPr>
            </w:pPr>
            <w:r w:rsidRPr="00881F8B">
              <w:rPr>
                <w:sz w:val="20"/>
                <w:szCs w:val="20"/>
                <w:highlight w:val="black"/>
              </w:rPr>
              <w:t>XXX</w:t>
            </w:r>
          </w:p>
        </w:tc>
        <w:tc>
          <w:tcPr>
            <w:tcW w:w="736" w:type="dxa"/>
          </w:tcPr>
          <w:p w14:paraId="18F3A74F" w14:textId="2E330971" w:rsidR="00881F8B" w:rsidRPr="00881F8B" w:rsidRDefault="00881F8B" w:rsidP="004B2F7F">
            <w:pPr>
              <w:jc w:val="center"/>
              <w:rPr>
                <w:sz w:val="20"/>
                <w:szCs w:val="20"/>
                <w:highlight w:val="black"/>
              </w:rPr>
            </w:pPr>
            <w:r w:rsidRPr="00881F8B">
              <w:rPr>
                <w:sz w:val="20"/>
                <w:szCs w:val="20"/>
                <w:highlight w:val="black"/>
              </w:rPr>
              <w:t>XXX</w:t>
            </w:r>
          </w:p>
        </w:tc>
        <w:tc>
          <w:tcPr>
            <w:tcW w:w="736" w:type="dxa"/>
          </w:tcPr>
          <w:p w14:paraId="566653D2" w14:textId="078DC1DD" w:rsidR="00881F8B" w:rsidRPr="00881F8B" w:rsidRDefault="00881F8B" w:rsidP="004B2F7F">
            <w:pPr>
              <w:jc w:val="center"/>
              <w:rPr>
                <w:sz w:val="20"/>
                <w:szCs w:val="20"/>
                <w:highlight w:val="black"/>
              </w:rPr>
            </w:pPr>
            <w:r w:rsidRPr="00881F8B">
              <w:rPr>
                <w:sz w:val="20"/>
                <w:szCs w:val="20"/>
                <w:highlight w:val="black"/>
              </w:rPr>
              <w:t>XXX</w:t>
            </w:r>
          </w:p>
        </w:tc>
        <w:tc>
          <w:tcPr>
            <w:tcW w:w="736" w:type="dxa"/>
          </w:tcPr>
          <w:p w14:paraId="2EAA7C20" w14:textId="5BAD0B60" w:rsidR="00881F8B" w:rsidRPr="00881F8B" w:rsidRDefault="00881F8B" w:rsidP="004B2F7F">
            <w:pPr>
              <w:jc w:val="center"/>
              <w:rPr>
                <w:sz w:val="20"/>
                <w:szCs w:val="20"/>
                <w:highlight w:val="black"/>
              </w:rPr>
            </w:pPr>
            <w:r w:rsidRPr="00881F8B">
              <w:rPr>
                <w:sz w:val="20"/>
                <w:szCs w:val="20"/>
                <w:highlight w:val="black"/>
              </w:rPr>
              <w:t>XXX</w:t>
            </w:r>
          </w:p>
        </w:tc>
        <w:tc>
          <w:tcPr>
            <w:tcW w:w="736" w:type="dxa"/>
          </w:tcPr>
          <w:p w14:paraId="5D68B37C" w14:textId="7002EC60" w:rsidR="00881F8B" w:rsidRPr="00881F8B" w:rsidRDefault="00881F8B" w:rsidP="004B2F7F">
            <w:pPr>
              <w:jc w:val="center"/>
              <w:rPr>
                <w:sz w:val="20"/>
                <w:szCs w:val="20"/>
                <w:highlight w:val="black"/>
              </w:rPr>
            </w:pPr>
            <w:r w:rsidRPr="00881F8B">
              <w:rPr>
                <w:sz w:val="20"/>
                <w:szCs w:val="20"/>
                <w:highlight w:val="black"/>
              </w:rPr>
              <w:t>XXX</w:t>
            </w:r>
          </w:p>
        </w:tc>
      </w:tr>
      <w:tr w:rsidR="004843C3" w:rsidRPr="00F60A91" w14:paraId="1F1A6CD0" w14:textId="77777777" w:rsidTr="00881F8B">
        <w:tc>
          <w:tcPr>
            <w:tcW w:w="2670" w:type="dxa"/>
          </w:tcPr>
          <w:p w14:paraId="5442E95B" w14:textId="26EADF15" w:rsidR="00211A85" w:rsidRPr="00EE012E" w:rsidRDefault="00211A85" w:rsidP="00211A85">
            <w:pPr>
              <w:rPr>
                <w:sz w:val="20"/>
                <w:szCs w:val="20"/>
              </w:rPr>
            </w:pPr>
            <w:r w:rsidRPr="00EE012E">
              <w:rPr>
                <w:sz w:val="20"/>
                <w:szCs w:val="20"/>
              </w:rPr>
              <w:t>Proportion chemotherapy-eligible willing to be treated</w:t>
            </w:r>
          </w:p>
        </w:tc>
        <w:tc>
          <w:tcPr>
            <w:tcW w:w="1351" w:type="dxa"/>
          </w:tcPr>
          <w:p w14:paraId="25FF2067" w14:textId="2D4DD159" w:rsidR="00211A85" w:rsidRPr="00EE012E" w:rsidRDefault="00211A85" w:rsidP="004B2F7F">
            <w:pPr>
              <w:jc w:val="center"/>
              <w:rPr>
                <w:sz w:val="20"/>
                <w:szCs w:val="20"/>
              </w:rPr>
            </w:pPr>
            <w:r w:rsidRPr="00EE012E">
              <w:rPr>
                <w:sz w:val="20"/>
                <w:szCs w:val="20"/>
              </w:rPr>
              <w:t>F</w:t>
            </w:r>
          </w:p>
        </w:tc>
        <w:tc>
          <w:tcPr>
            <w:tcW w:w="736" w:type="dxa"/>
          </w:tcPr>
          <w:p w14:paraId="72B17DB3" w14:textId="1D650B44" w:rsidR="00211A85" w:rsidRPr="00F60A91" w:rsidRDefault="00211A85" w:rsidP="004B2F7F">
            <w:pPr>
              <w:jc w:val="center"/>
              <w:rPr>
                <w:sz w:val="20"/>
                <w:szCs w:val="20"/>
              </w:rPr>
            </w:pPr>
            <w:r w:rsidRPr="00F60A91">
              <w:rPr>
                <w:sz w:val="20"/>
                <w:szCs w:val="20"/>
              </w:rPr>
              <w:t>96%</w:t>
            </w:r>
          </w:p>
        </w:tc>
        <w:tc>
          <w:tcPr>
            <w:tcW w:w="736" w:type="dxa"/>
          </w:tcPr>
          <w:p w14:paraId="478AC8D0" w14:textId="5E7E9B1F" w:rsidR="00211A85" w:rsidRPr="00F60A91" w:rsidRDefault="00211A85" w:rsidP="004B2F7F">
            <w:pPr>
              <w:jc w:val="center"/>
              <w:rPr>
                <w:sz w:val="20"/>
                <w:szCs w:val="20"/>
              </w:rPr>
            </w:pPr>
            <w:r w:rsidRPr="00F60A91">
              <w:rPr>
                <w:sz w:val="20"/>
                <w:szCs w:val="20"/>
              </w:rPr>
              <w:t>96%</w:t>
            </w:r>
          </w:p>
        </w:tc>
        <w:tc>
          <w:tcPr>
            <w:tcW w:w="736" w:type="dxa"/>
          </w:tcPr>
          <w:p w14:paraId="3246B2A6" w14:textId="3A11D8D1" w:rsidR="00211A85" w:rsidRPr="00F60A91" w:rsidRDefault="00211A85" w:rsidP="004B2F7F">
            <w:pPr>
              <w:jc w:val="center"/>
              <w:rPr>
                <w:sz w:val="20"/>
                <w:szCs w:val="20"/>
              </w:rPr>
            </w:pPr>
            <w:r w:rsidRPr="00F60A91">
              <w:rPr>
                <w:sz w:val="20"/>
                <w:szCs w:val="20"/>
              </w:rPr>
              <w:t>96%</w:t>
            </w:r>
          </w:p>
        </w:tc>
        <w:tc>
          <w:tcPr>
            <w:tcW w:w="736" w:type="dxa"/>
          </w:tcPr>
          <w:p w14:paraId="5D405109" w14:textId="59B79A9F" w:rsidR="00211A85" w:rsidRPr="00F60A91" w:rsidRDefault="00211A85" w:rsidP="004B2F7F">
            <w:pPr>
              <w:jc w:val="center"/>
              <w:rPr>
                <w:sz w:val="20"/>
                <w:szCs w:val="20"/>
              </w:rPr>
            </w:pPr>
            <w:r w:rsidRPr="00F60A91">
              <w:rPr>
                <w:sz w:val="20"/>
                <w:szCs w:val="20"/>
              </w:rPr>
              <w:t>96%</w:t>
            </w:r>
          </w:p>
        </w:tc>
        <w:tc>
          <w:tcPr>
            <w:tcW w:w="736" w:type="dxa"/>
          </w:tcPr>
          <w:p w14:paraId="0771B218" w14:textId="73B3B7A6" w:rsidR="00211A85" w:rsidRPr="00F60A91" w:rsidRDefault="00211A85" w:rsidP="004B2F7F">
            <w:pPr>
              <w:jc w:val="center"/>
              <w:rPr>
                <w:sz w:val="20"/>
                <w:szCs w:val="20"/>
              </w:rPr>
            </w:pPr>
            <w:r w:rsidRPr="00F60A91">
              <w:rPr>
                <w:sz w:val="20"/>
                <w:szCs w:val="20"/>
              </w:rPr>
              <w:t>96%</w:t>
            </w:r>
          </w:p>
        </w:tc>
        <w:tc>
          <w:tcPr>
            <w:tcW w:w="736" w:type="dxa"/>
          </w:tcPr>
          <w:p w14:paraId="2FCA04CF" w14:textId="50995F1A" w:rsidR="00211A85" w:rsidRPr="00F60A91" w:rsidRDefault="00211A85" w:rsidP="004B2F7F">
            <w:pPr>
              <w:jc w:val="center"/>
              <w:rPr>
                <w:sz w:val="20"/>
                <w:szCs w:val="20"/>
              </w:rPr>
            </w:pPr>
            <w:r w:rsidRPr="00F60A91">
              <w:rPr>
                <w:sz w:val="20"/>
                <w:szCs w:val="20"/>
              </w:rPr>
              <w:t>96%</w:t>
            </w:r>
          </w:p>
        </w:tc>
        <w:tc>
          <w:tcPr>
            <w:tcW w:w="736" w:type="dxa"/>
          </w:tcPr>
          <w:p w14:paraId="7427349D" w14:textId="26E255C4" w:rsidR="00211A85" w:rsidRPr="00F60A91" w:rsidRDefault="00211A85" w:rsidP="004B2F7F">
            <w:pPr>
              <w:jc w:val="center"/>
              <w:rPr>
                <w:sz w:val="20"/>
                <w:szCs w:val="20"/>
              </w:rPr>
            </w:pPr>
            <w:r w:rsidRPr="00F60A91">
              <w:rPr>
                <w:sz w:val="20"/>
                <w:szCs w:val="20"/>
              </w:rPr>
              <w:t>96%</w:t>
            </w:r>
          </w:p>
        </w:tc>
      </w:tr>
      <w:tr w:rsidR="00881F8B" w:rsidRPr="00F60A91" w14:paraId="0FF9F5BB" w14:textId="77777777" w:rsidTr="00881F8B">
        <w:tc>
          <w:tcPr>
            <w:tcW w:w="2670" w:type="dxa"/>
          </w:tcPr>
          <w:p w14:paraId="53CD321E" w14:textId="284F884C" w:rsidR="00881F8B" w:rsidRPr="00EE012E" w:rsidRDefault="00881F8B" w:rsidP="00211A85">
            <w:pPr>
              <w:rPr>
                <w:sz w:val="20"/>
                <w:szCs w:val="20"/>
              </w:rPr>
            </w:pPr>
            <w:r w:rsidRPr="00EE012E">
              <w:rPr>
                <w:sz w:val="20"/>
                <w:szCs w:val="20"/>
              </w:rPr>
              <w:t>Number chemotherapy-eligible willing to be treated</w:t>
            </w:r>
          </w:p>
        </w:tc>
        <w:tc>
          <w:tcPr>
            <w:tcW w:w="1351" w:type="dxa"/>
          </w:tcPr>
          <w:p w14:paraId="0208787A" w14:textId="20E5D208" w:rsidR="00881F8B" w:rsidRPr="00EE012E" w:rsidRDefault="00881F8B" w:rsidP="004B2F7F">
            <w:pPr>
              <w:jc w:val="center"/>
              <w:rPr>
                <w:sz w:val="20"/>
                <w:szCs w:val="20"/>
              </w:rPr>
            </w:pPr>
            <w:r w:rsidRPr="00EE012E">
              <w:rPr>
                <w:sz w:val="20"/>
                <w:szCs w:val="20"/>
              </w:rPr>
              <w:t>G = E x F</w:t>
            </w:r>
          </w:p>
        </w:tc>
        <w:tc>
          <w:tcPr>
            <w:tcW w:w="736" w:type="dxa"/>
          </w:tcPr>
          <w:p w14:paraId="3B107A5B" w14:textId="6A837153" w:rsidR="00881F8B" w:rsidRPr="00881F8B" w:rsidRDefault="00881F8B" w:rsidP="004B2F7F">
            <w:pPr>
              <w:jc w:val="center"/>
              <w:rPr>
                <w:sz w:val="20"/>
                <w:szCs w:val="20"/>
                <w:highlight w:val="black"/>
              </w:rPr>
            </w:pPr>
            <w:r w:rsidRPr="00881F8B">
              <w:rPr>
                <w:sz w:val="20"/>
                <w:szCs w:val="20"/>
                <w:highlight w:val="black"/>
              </w:rPr>
              <w:t>XXX</w:t>
            </w:r>
          </w:p>
        </w:tc>
        <w:tc>
          <w:tcPr>
            <w:tcW w:w="736" w:type="dxa"/>
          </w:tcPr>
          <w:p w14:paraId="1A02900D" w14:textId="31CD2027" w:rsidR="00881F8B" w:rsidRPr="00881F8B" w:rsidRDefault="00881F8B" w:rsidP="004B2F7F">
            <w:pPr>
              <w:jc w:val="center"/>
              <w:rPr>
                <w:sz w:val="20"/>
                <w:szCs w:val="20"/>
                <w:highlight w:val="black"/>
              </w:rPr>
            </w:pPr>
            <w:r w:rsidRPr="00881F8B">
              <w:rPr>
                <w:sz w:val="20"/>
                <w:szCs w:val="20"/>
                <w:highlight w:val="black"/>
              </w:rPr>
              <w:t>XXX</w:t>
            </w:r>
          </w:p>
        </w:tc>
        <w:tc>
          <w:tcPr>
            <w:tcW w:w="736" w:type="dxa"/>
          </w:tcPr>
          <w:p w14:paraId="6F5D113F" w14:textId="1F822477" w:rsidR="00881F8B" w:rsidRPr="00881F8B" w:rsidRDefault="00881F8B" w:rsidP="004B2F7F">
            <w:pPr>
              <w:jc w:val="center"/>
              <w:rPr>
                <w:sz w:val="20"/>
                <w:szCs w:val="20"/>
                <w:highlight w:val="black"/>
              </w:rPr>
            </w:pPr>
            <w:r w:rsidRPr="00881F8B">
              <w:rPr>
                <w:sz w:val="20"/>
                <w:szCs w:val="20"/>
                <w:highlight w:val="black"/>
              </w:rPr>
              <w:t>XXX</w:t>
            </w:r>
          </w:p>
        </w:tc>
        <w:tc>
          <w:tcPr>
            <w:tcW w:w="736" w:type="dxa"/>
          </w:tcPr>
          <w:p w14:paraId="606B9C84" w14:textId="2CE969A4" w:rsidR="00881F8B" w:rsidRPr="00881F8B" w:rsidRDefault="00881F8B" w:rsidP="004B2F7F">
            <w:pPr>
              <w:jc w:val="center"/>
              <w:rPr>
                <w:sz w:val="20"/>
                <w:szCs w:val="20"/>
                <w:highlight w:val="black"/>
              </w:rPr>
            </w:pPr>
            <w:r w:rsidRPr="00881F8B">
              <w:rPr>
                <w:sz w:val="20"/>
                <w:szCs w:val="20"/>
                <w:highlight w:val="black"/>
              </w:rPr>
              <w:t>XXX</w:t>
            </w:r>
          </w:p>
        </w:tc>
        <w:tc>
          <w:tcPr>
            <w:tcW w:w="736" w:type="dxa"/>
          </w:tcPr>
          <w:p w14:paraId="1B604CBF" w14:textId="7019A228" w:rsidR="00881F8B" w:rsidRPr="00881F8B" w:rsidRDefault="00881F8B" w:rsidP="004B2F7F">
            <w:pPr>
              <w:jc w:val="center"/>
              <w:rPr>
                <w:sz w:val="20"/>
                <w:szCs w:val="20"/>
                <w:highlight w:val="black"/>
              </w:rPr>
            </w:pPr>
            <w:r w:rsidRPr="00881F8B">
              <w:rPr>
                <w:sz w:val="20"/>
                <w:szCs w:val="20"/>
                <w:highlight w:val="black"/>
              </w:rPr>
              <w:t>XXX</w:t>
            </w:r>
          </w:p>
        </w:tc>
        <w:tc>
          <w:tcPr>
            <w:tcW w:w="736" w:type="dxa"/>
          </w:tcPr>
          <w:p w14:paraId="586CF83A" w14:textId="0F1EF143" w:rsidR="00881F8B" w:rsidRPr="00881F8B" w:rsidRDefault="00881F8B" w:rsidP="004B2F7F">
            <w:pPr>
              <w:jc w:val="center"/>
              <w:rPr>
                <w:sz w:val="20"/>
                <w:szCs w:val="20"/>
                <w:highlight w:val="black"/>
              </w:rPr>
            </w:pPr>
            <w:r w:rsidRPr="00881F8B">
              <w:rPr>
                <w:sz w:val="20"/>
                <w:szCs w:val="20"/>
                <w:highlight w:val="black"/>
              </w:rPr>
              <w:t>XXX</w:t>
            </w:r>
          </w:p>
        </w:tc>
        <w:tc>
          <w:tcPr>
            <w:tcW w:w="736" w:type="dxa"/>
          </w:tcPr>
          <w:p w14:paraId="677BB5CA" w14:textId="74F56152" w:rsidR="00881F8B" w:rsidRPr="00881F8B" w:rsidRDefault="00881F8B" w:rsidP="00881F8B">
            <w:pPr>
              <w:tabs>
                <w:tab w:val="center" w:pos="260"/>
              </w:tabs>
              <w:rPr>
                <w:sz w:val="20"/>
                <w:szCs w:val="20"/>
                <w:highlight w:val="black"/>
              </w:rPr>
            </w:pPr>
            <w:r w:rsidRPr="00881F8B">
              <w:rPr>
                <w:sz w:val="20"/>
                <w:szCs w:val="20"/>
                <w:highlight w:val="black"/>
              </w:rPr>
              <w:tab/>
              <w:t>XXX</w:t>
            </w:r>
          </w:p>
        </w:tc>
      </w:tr>
      <w:tr w:rsidR="004843C3" w:rsidRPr="00F60A91" w14:paraId="5C82213A" w14:textId="77777777" w:rsidTr="00881F8B">
        <w:tc>
          <w:tcPr>
            <w:tcW w:w="2670" w:type="dxa"/>
          </w:tcPr>
          <w:p w14:paraId="0354B744" w14:textId="4013E16C" w:rsidR="00211A85" w:rsidRPr="00EE012E" w:rsidRDefault="00211A85" w:rsidP="00211A85">
            <w:pPr>
              <w:rPr>
                <w:sz w:val="20"/>
                <w:szCs w:val="20"/>
              </w:rPr>
            </w:pPr>
            <w:r w:rsidRPr="00EE012E">
              <w:rPr>
                <w:sz w:val="20"/>
                <w:szCs w:val="20"/>
              </w:rPr>
              <w:t>Proportion chemotherapy-eligible who are treated</w:t>
            </w:r>
          </w:p>
        </w:tc>
        <w:tc>
          <w:tcPr>
            <w:tcW w:w="1351" w:type="dxa"/>
          </w:tcPr>
          <w:p w14:paraId="6407653F" w14:textId="55BBB703" w:rsidR="00211A85" w:rsidRPr="00EE012E" w:rsidRDefault="00211A85" w:rsidP="004B2F7F">
            <w:pPr>
              <w:jc w:val="center"/>
              <w:rPr>
                <w:sz w:val="20"/>
                <w:szCs w:val="20"/>
              </w:rPr>
            </w:pPr>
            <w:r w:rsidRPr="00EE012E">
              <w:rPr>
                <w:sz w:val="20"/>
                <w:szCs w:val="20"/>
              </w:rPr>
              <w:t>H</w:t>
            </w:r>
          </w:p>
        </w:tc>
        <w:tc>
          <w:tcPr>
            <w:tcW w:w="736" w:type="dxa"/>
          </w:tcPr>
          <w:p w14:paraId="6F276288" w14:textId="50ADA611" w:rsidR="00211A85" w:rsidRPr="00F60A91" w:rsidRDefault="00211A85" w:rsidP="004B2F7F">
            <w:pPr>
              <w:jc w:val="center"/>
              <w:rPr>
                <w:sz w:val="20"/>
                <w:szCs w:val="20"/>
              </w:rPr>
            </w:pPr>
            <w:r w:rsidRPr="00F60A91">
              <w:rPr>
                <w:sz w:val="20"/>
                <w:szCs w:val="20"/>
              </w:rPr>
              <w:t>55%</w:t>
            </w:r>
          </w:p>
        </w:tc>
        <w:tc>
          <w:tcPr>
            <w:tcW w:w="736" w:type="dxa"/>
          </w:tcPr>
          <w:p w14:paraId="0AC40EEA" w14:textId="30C8CCBE" w:rsidR="00211A85" w:rsidRPr="00F60A91" w:rsidRDefault="00211A85" w:rsidP="004B2F7F">
            <w:pPr>
              <w:jc w:val="center"/>
              <w:rPr>
                <w:sz w:val="20"/>
                <w:szCs w:val="20"/>
              </w:rPr>
            </w:pPr>
            <w:r w:rsidRPr="00F60A91">
              <w:rPr>
                <w:sz w:val="20"/>
                <w:szCs w:val="20"/>
              </w:rPr>
              <w:t>95%</w:t>
            </w:r>
          </w:p>
        </w:tc>
        <w:tc>
          <w:tcPr>
            <w:tcW w:w="736" w:type="dxa"/>
          </w:tcPr>
          <w:p w14:paraId="1E7CD624" w14:textId="22636473" w:rsidR="00211A85" w:rsidRPr="00F60A91" w:rsidRDefault="00211A85" w:rsidP="004B2F7F">
            <w:pPr>
              <w:jc w:val="center"/>
              <w:rPr>
                <w:sz w:val="20"/>
                <w:szCs w:val="20"/>
              </w:rPr>
            </w:pPr>
            <w:r w:rsidRPr="00F60A91">
              <w:rPr>
                <w:sz w:val="20"/>
                <w:szCs w:val="20"/>
              </w:rPr>
              <w:t>100%</w:t>
            </w:r>
          </w:p>
        </w:tc>
        <w:tc>
          <w:tcPr>
            <w:tcW w:w="736" w:type="dxa"/>
          </w:tcPr>
          <w:p w14:paraId="362FE038" w14:textId="5A1157EF" w:rsidR="00211A85" w:rsidRPr="00F60A91" w:rsidRDefault="00211A85" w:rsidP="004B2F7F">
            <w:pPr>
              <w:jc w:val="center"/>
              <w:rPr>
                <w:sz w:val="20"/>
                <w:szCs w:val="20"/>
              </w:rPr>
            </w:pPr>
            <w:r w:rsidRPr="00F60A91">
              <w:rPr>
                <w:sz w:val="20"/>
                <w:szCs w:val="20"/>
              </w:rPr>
              <w:t>100%</w:t>
            </w:r>
          </w:p>
        </w:tc>
        <w:tc>
          <w:tcPr>
            <w:tcW w:w="736" w:type="dxa"/>
          </w:tcPr>
          <w:p w14:paraId="65B9A693" w14:textId="66674297" w:rsidR="00211A85" w:rsidRPr="00F60A91" w:rsidRDefault="00211A85" w:rsidP="004B2F7F">
            <w:pPr>
              <w:jc w:val="center"/>
              <w:rPr>
                <w:sz w:val="20"/>
                <w:szCs w:val="20"/>
              </w:rPr>
            </w:pPr>
            <w:r w:rsidRPr="00F60A91">
              <w:rPr>
                <w:sz w:val="20"/>
                <w:szCs w:val="20"/>
              </w:rPr>
              <w:t>100%</w:t>
            </w:r>
          </w:p>
        </w:tc>
        <w:tc>
          <w:tcPr>
            <w:tcW w:w="736" w:type="dxa"/>
          </w:tcPr>
          <w:p w14:paraId="1E383444" w14:textId="227281BC" w:rsidR="00211A85" w:rsidRPr="00F60A91" w:rsidRDefault="00211A85" w:rsidP="004B2F7F">
            <w:pPr>
              <w:jc w:val="center"/>
              <w:rPr>
                <w:sz w:val="20"/>
                <w:szCs w:val="20"/>
              </w:rPr>
            </w:pPr>
            <w:r w:rsidRPr="00F60A91">
              <w:rPr>
                <w:sz w:val="20"/>
                <w:szCs w:val="20"/>
              </w:rPr>
              <w:t>100%</w:t>
            </w:r>
          </w:p>
        </w:tc>
        <w:tc>
          <w:tcPr>
            <w:tcW w:w="736" w:type="dxa"/>
          </w:tcPr>
          <w:p w14:paraId="6D39C687" w14:textId="1DE7CBD6" w:rsidR="00211A85" w:rsidRPr="00F60A91" w:rsidRDefault="00211A85" w:rsidP="004B2F7F">
            <w:pPr>
              <w:jc w:val="center"/>
              <w:rPr>
                <w:sz w:val="20"/>
                <w:szCs w:val="20"/>
              </w:rPr>
            </w:pPr>
            <w:r w:rsidRPr="00F60A91">
              <w:rPr>
                <w:sz w:val="20"/>
                <w:szCs w:val="20"/>
              </w:rPr>
              <w:t>100%</w:t>
            </w:r>
          </w:p>
        </w:tc>
      </w:tr>
      <w:tr w:rsidR="00881F8B" w:rsidRPr="00F60A91" w14:paraId="54E3AC43" w14:textId="77777777" w:rsidTr="00881F8B">
        <w:tc>
          <w:tcPr>
            <w:tcW w:w="2670" w:type="dxa"/>
          </w:tcPr>
          <w:p w14:paraId="6EDD0B51" w14:textId="4A7E5586" w:rsidR="00881F8B" w:rsidRPr="00EE012E" w:rsidRDefault="00881F8B" w:rsidP="002D353B">
            <w:pPr>
              <w:rPr>
                <w:b/>
                <w:sz w:val="20"/>
                <w:szCs w:val="20"/>
              </w:rPr>
            </w:pPr>
            <w:r w:rsidRPr="00EE012E">
              <w:rPr>
                <w:b/>
                <w:sz w:val="20"/>
                <w:szCs w:val="20"/>
              </w:rPr>
              <w:t>Estimated eligible population</w:t>
            </w:r>
          </w:p>
        </w:tc>
        <w:tc>
          <w:tcPr>
            <w:tcW w:w="1351" w:type="dxa"/>
          </w:tcPr>
          <w:p w14:paraId="31082327" w14:textId="1B98DDB0" w:rsidR="00881F8B" w:rsidRPr="00EE012E" w:rsidRDefault="00881F8B" w:rsidP="004B2F7F">
            <w:pPr>
              <w:jc w:val="center"/>
              <w:rPr>
                <w:b/>
                <w:sz w:val="20"/>
                <w:szCs w:val="20"/>
              </w:rPr>
            </w:pPr>
            <w:r w:rsidRPr="00EE012E">
              <w:rPr>
                <w:b/>
                <w:sz w:val="20"/>
                <w:szCs w:val="20"/>
              </w:rPr>
              <w:t>I</w:t>
            </w:r>
          </w:p>
        </w:tc>
        <w:tc>
          <w:tcPr>
            <w:tcW w:w="736" w:type="dxa"/>
          </w:tcPr>
          <w:p w14:paraId="20396B42" w14:textId="7EC5FEE3" w:rsidR="00881F8B" w:rsidRPr="00881F8B" w:rsidRDefault="00881F8B" w:rsidP="004B2F7F">
            <w:pPr>
              <w:jc w:val="center"/>
              <w:rPr>
                <w:b/>
                <w:sz w:val="20"/>
                <w:szCs w:val="20"/>
                <w:highlight w:val="black"/>
              </w:rPr>
            </w:pPr>
            <w:r w:rsidRPr="00881F8B">
              <w:rPr>
                <w:b/>
                <w:sz w:val="20"/>
                <w:szCs w:val="20"/>
                <w:highlight w:val="black"/>
              </w:rPr>
              <w:t>XXX</w:t>
            </w:r>
          </w:p>
        </w:tc>
        <w:tc>
          <w:tcPr>
            <w:tcW w:w="736" w:type="dxa"/>
          </w:tcPr>
          <w:p w14:paraId="55D47F85" w14:textId="5983C47B" w:rsidR="00881F8B" w:rsidRPr="00881F8B" w:rsidRDefault="00881F8B" w:rsidP="004B2F7F">
            <w:pPr>
              <w:jc w:val="center"/>
              <w:rPr>
                <w:b/>
                <w:sz w:val="20"/>
                <w:szCs w:val="20"/>
                <w:highlight w:val="black"/>
              </w:rPr>
            </w:pPr>
            <w:r w:rsidRPr="00881F8B">
              <w:rPr>
                <w:b/>
                <w:sz w:val="20"/>
                <w:szCs w:val="20"/>
                <w:highlight w:val="black"/>
              </w:rPr>
              <w:t>XXX</w:t>
            </w:r>
          </w:p>
        </w:tc>
        <w:tc>
          <w:tcPr>
            <w:tcW w:w="736" w:type="dxa"/>
          </w:tcPr>
          <w:p w14:paraId="542CE22A" w14:textId="685F3AF1" w:rsidR="00881F8B" w:rsidRPr="00881F8B" w:rsidRDefault="00881F8B" w:rsidP="004B2F7F">
            <w:pPr>
              <w:jc w:val="center"/>
              <w:rPr>
                <w:b/>
                <w:sz w:val="20"/>
                <w:szCs w:val="20"/>
                <w:highlight w:val="black"/>
              </w:rPr>
            </w:pPr>
            <w:r w:rsidRPr="00881F8B">
              <w:rPr>
                <w:b/>
                <w:sz w:val="20"/>
                <w:szCs w:val="20"/>
                <w:highlight w:val="black"/>
              </w:rPr>
              <w:t>XXX</w:t>
            </w:r>
          </w:p>
        </w:tc>
        <w:tc>
          <w:tcPr>
            <w:tcW w:w="736" w:type="dxa"/>
          </w:tcPr>
          <w:p w14:paraId="58ED3EB9" w14:textId="4A480EEB" w:rsidR="00881F8B" w:rsidRPr="00881F8B" w:rsidRDefault="00881F8B" w:rsidP="004B2F7F">
            <w:pPr>
              <w:jc w:val="center"/>
              <w:rPr>
                <w:b/>
                <w:sz w:val="20"/>
                <w:szCs w:val="20"/>
                <w:highlight w:val="black"/>
              </w:rPr>
            </w:pPr>
            <w:r w:rsidRPr="00881F8B">
              <w:rPr>
                <w:b/>
                <w:sz w:val="20"/>
                <w:szCs w:val="20"/>
                <w:highlight w:val="black"/>
              </w:rPr>
              <w:t>XXX</w:t>
            </w:r>
          </w:p>
        </w:tc>
        <w:tc>
          <w:tcPr>
            <w:tcW w:w="736" w:type="dxa"/>
          </w:tcPr>
          <w:p w14:paraId="208C1467" w14:textId="1513F321" w:rsidR="00881F8B" w:rsidRPr="00881F8B" w:rsidRDefault="00881F8B" w:rsidP="004B2F7F">
            <w:pPr>
              <w:jc w:val="center"/>
              <w:rPr>
                <w:b/>
                <w:sz w:val="20"/>
                <w:szCs w:val="20"/>
                <w:highlight w:val="black"/>
              </w:rPr>
            </w:pPr>
            <w:r w:rsidRPr="00881F8B">
              <w:rPr>
                <w:b/>
                <w:sz w:val="20"/>
                <w:szCs w:val="20"/>
                <w:highlight w:val="black"/>
              </w:rPr>
              <w:t>XXX</w:t>
            </w:r>
          </w:p>
        </w:tc>
        <w:tc>
          <w:tcPr>
            <w:tcW w:w="736" w:type="dxa"/>
          </w:tcPr>
          <w:p w14:paraId="38F77B0D" w14:textId="2336017B" w:rsidR="00881F8B" w:rsidRPr="00881F8B" w:rsidRDefault="00881F8B" w:rsidP="004B2F7F">
            <w:pPr>
              <w:jc w:val="center"/>
              <w:rPr>
                <w:b/>
                <w:sz w:val="20"/>
                <w:szCs w:val="20"/>
                <w:highlight w:val="black"/>
              </w:rPr>
            </w:pPr>
            <w:r w:rsidRPr="00881F8B">
              <w:rPr>
                <w:b/>
                <w:sz w:val="20"/>
                <w:szCs w:val="20"/>
                <w:highlight w:val="black"/>
              </w:rPr>
              <w:t>XXX</w:t>
            </w:r>
          </w:p>
        </w:tc>
        <w:tc>
          <w:tcPr>
            <w:tcW w:w="736" w:type="dxa"/>
          </w:tcPr>
          <w:p w14:paraId="09386E14" w14:textId="5C354427" w:rsidR="00881F8B" w:rsidRPr="00881F8B" w:rsidRDefault="00881F8B" w:rsidP="004B2F7F">
            <w:pPr>
              <w:jc w:val="center"/>
              <w:rPr>
                <w:b/>
                <w:sz w:val="20"/>
                <w:szCs w:val="20"/>
                <w:highlight w:val="black"/>
              </w:rPr>
            </w:pPr>
            <w:r w:rsidRPr="00881F8B">
              <w:rPr>
                <w:b/>
                <w:sz w:val="20"/>
                <w:szCs w:val="20"/>
                <w:highlight w:val="black"/>
              </w:rPr>
              <w:t>XXX</w:t>
            </w:r>
          </w:p>
        </w:tc>
      </w:tr>
    </w:tbl>
    <w:p w14:paraId="31DBD1DE" w14:textId="77777777" w:rsidR="00C73DD4" w:rsidRDefault="00C73DD4" w:rsidP="00274A43">
      <w:pPr>
        <w:rPr>
          <w:b/>
        </w:rPr>
      </w:pPr>
    </w:p>
    <w:p w14:paraId="07A599DE" w14:textId="26982AC1" w:rsidR="00274A43" w:rsidRPr="00B02785" w:rsidRDefault="00AC5323" w:rsidP="003548A0">
      <w:pPr>
        <w:pStyle w:val="Tabletitle"/>
      </w:pPr>
      <w:r>
        <w:t>Table 7</w:t>
      </w:r>
      <w:r w:rsidR="00294E48" w:rsidRPr="00B02785">
        <w:t xml:space="preserve">. </w:t>
      </w:r>
      <w:r w:rsidR="00274A43" w:rsidRPr="00B02785">
        <w:t>Derivation of the chemotherapy-ineligible population</w:t>
      </w:r>
    </w:p>
    <w:tbl>
      <w:tblPr>
        <w:tblStyle w:val="TableGrid"/>
        <w:tblW w:w="0" w:type="auto"/>
        <w:tblLook w:val="04A0" w:firstRow="1" w:lastRow="0" w:firstColumn="1" w:lastColumn="0" w:noHBand="0" w:noVBand="1"/>
        <w:tblCaption w:val="Derivation of the chemotherapy-ineligible population"/>
        <w:tblDescription w:val="A table of Derivation of the chemotherapy-ineligible population. There are redactions."/>
      </w:tblPr>
      <w:tblGrid>
        <w:gridCol w:w="2670"/>
        <w:gridCol w:w="1351"/>
        <w:gridCol w:w="736"/>
        <w:gridCol w:w="736"/>
        <w:gridCol w:w="736"/>
        <w:gridCol w:w="736"/>
        <w:gridCol w:w="736"/>
        <w:gridCol w:w="736"/>
        <w:gridCol w:w="736"/>
      </w:tblGrid>
      <w:tr w:rsidR="00DB12D4" w:rsidRPr="00F60A91" w14:paraId="52ACD3A0" w14:textId="77777777" w:rsidTr="00EF2359">
        <w:trPr>
          <w:tblHeader/>
        </w:trPr>
        <w:tc>
          <w:tcPr>
            <w:tcW w:w="2670" w:type="dxa"/>
            <w:tcBorders>
              <w:top w:val="single" w:sz="4" w:space="0" w:color="auto"/>
              <w:left w:val="single" w:sz="4" w:space="0" w:color="auto"/>
            </w:tcBorders>
            <w:shd w:val="clear" w:color="auto" w:fill="BFBFBF" w:themeFill="background1" w:themeFillShade="BF"/>
          </w:tcPr>
          <w:p w14:paraId="770C9703" w14:textId="77777777" w:rsidR="00274A43" w:rsidRPr="00F60A91" w:rsidRDefault="00274A43" w:rsidP="00642F8C">
            <w:pPr>
              <w:rPr>
                <w:sz w:val="20"/>
                <w:szCs w:val="20"/>
              </w:rPr>
            </w:pPr>
          </w:p>
        </w:tc>
        <w:tc>
          <w:tcPr>
            <w:tcW w:w="1351" w:type="dxa"/>
            <w:shd w:val="clear" w:color="auto" w:fill="BFBFBF" w:themeFill="background1" w:themeFillShade="BF"/>
          </w:tcPr>
          <w:p w14:paraId="390A453A" w14:textId="77777777" w:rsidR="00274A43" w:rsidRPr="00F60A91" w:rsidRDefault="00274A43" w:rsidP="00642F8C">
            <w:pPr>
              <w:jc w:val="center"/>
              <w:rPr>
                <w:b/>
                <w:sz w:val="20"/>
                <w:szCs w:val="20"/>
              </w:rPr>
            </w:pPr>
            <w:r w:rsidRPr="00F60A91">
              <w:rPr>
                <w:b/>
                <w:sz w:val="20"/>
                <w:szCs w:val="20"/>
              </w:rPr>
              <w:t>Model step</w:t>
            </w:r>
          </w:p>
        </w:tc>
        <w:tc>
          <w:tcPr>
            <w:tcW w:w="736" w:type="dxa"/>
            <w:shd w:val="clear" w:color="auto" w:fill="BFBFBF" w:themeFill="background1" w:themeFillShade="BF"/>
          </w:tcPr>
          <w:p w14:paraId="5A0E9491" w14:textId="77777777" w:rsidR="00274A43" w:rsidRPr="00F60A91" w:rsidRDefault="00274A43" w:rsidP="00642F8C">
            <w:pPr>
              <w:jc w:val="center"/>
              <w:rPr>
                <w:b/>
                <w:sz w:val="20"/>
                <w:szCs w:val="20"/>
              </w:rPr>
            </w:pPr>
            <w:r w:rsidRPr="00F60A91">
              <w:rPr>
                <w:b/>
                <w:sz w:val="20"/>
                <w:szCs w:val="20"/>
              </w:rPr>
              <w:t>2012</w:t>
            </w:r>
          </w:p>
        </w:tc>
        <w:tc>
          <w:tcPr>
            <w:tcW w:w="736" w:type="dxa"/>
            <w:shd w:val="clear" w:color="auto" w:fill="BFBFBF" w:themeFill="background1" w:themeFillShade="BF"/>
          </w:tcPr>
          <w:p w14:paraId="7C6657FD" w14:textId="77777777" w:rsidR="00274A43" w:rsidRPr="00F60A91" w:rsidRDefault="00274A43" w:rsidP="00642F8C">
            <w:pPr>
              <w:jc w:val="center"/>
              <w:rPr>
                <w:b/>
                <w:sz w:val="20"/>
                <w:szCs w:val="20"/>
              </w:rPr>
            </w:pPr>
            <w:r w:rsidRPr="00F60A91">
              <w:rPr>
                <w:b/>
                <w:sz w:val="20"/>
                <w:szCs w:val="20"/>
              </w:rPr>
              <w:t>2013</w:t>
            </w:r>
          </w:p>
        </w:tc>
        <w:tc>
          <w:tcPr>
            <w:tcW w:w="736" w:type="dxa"/>
            <w:shd w:val="clear" w:color="auto" w:fill="BFBFBF" w:themeFill="background1" w:themeFillShade="BF"/>
          </w:tcPr>
          <w:p w14:paraId="7D4A7287" w14:textId="77777777" w:rsidR="00274A43" w:rsidRPr="00F60A91" w:rsidRDefault="00274A43" w:rsidP="00642F8C">
            <w:pPr>
              <w:jc w:val="center"/>
              <w:rPr>
                <w:b/>
                <w:sz w:val="20"/>
                <w:szCs w:val="20"/>
              </w:rPr>
            </w:pPr>
            <w:r w:rsidRPr="00F60A91">
              <w:rPr>
                <w:b/>
                <w:sz w:val="20"/>
                <w:szCs w:val="20"/>
              </w:rPr>
              <w:t>2014</w:t>
            </w:r>
          </w:p>
        </w:tc>
        <w:tc>
          <w:tcPr>
            <w:tcW w:w="736" w:type="dxa"/>
            <w:shd w:val="clear" w:color="auto" w:fill="BFBFBF" w:themeFill="background1" w:themeFillShade="BF"/>
          </w:tcPr>
          <w:p w14:paraId="2C189B5B" w14:textId="77777777" w:rsidR="00274A43" w:rsidRPr="00F60A91" w:rsidRDefault="00274A43" w:rsidP="00642F8C">
            <w:pPr>
              <w:jc w:val="center"/>
              <w:rPr>
                <w:b/>
                <w:sz w:val="20"/>
                <w:szCs w:val="20"/>
              </w:rPr>
            </w:pPr>
            <w:r w:rsidRPr="00F60A91">
              <w:rPr>
                <w:b/>
                <w:sz w:val="20"/>
                <w:szCs w:val="20"/>
              </w:rPr>
              <w:t>2015</w:t>
            </w:r>
          </w:p>
        </w:tc>
        <w:tc>
          <w:tcPr>
            <w:tcW w:w="736" w:type="dxa"/>
            <w:shd w:val="clear" w:color="auto" w:fill="BFBFBF" w:themeFill="background1" w:themeFillShade="BF"/>
          </w:tcPr>
          <w:p w14:paraId="470CC4B4" w14:textId="77777777" w:rsidR="00274A43" w:rsidRPr="00F60A91" w:rsidRDefault="00274A43" w:rsidP="00642F8C">
            <w:pPr>
              <w:jc w:val="center"/>
              <w:rPr>
                <w:b/>
                <w:sz w:val="20"/>
                <w:szCs w:val="20"/>
              </w:rPr>
            </w:pPr>
            <w:r w:rsidRPr="00F60A91">
              <w:rPr>
                <w:b/>
                <w:sz w:val="20"/>
                <w:szCs w:val="20"/>
              </w:rPr>
              <w:t>2016</w:t>
            </w:r>
          </w:p>
        </w:tc>
        <w:tc>
          <w:tcPr>
            <w:tcW w:w="736" w:type="dxa"/>
            <w:shd w:val="clear" w:color="auto" w:fill="BFBFBF" w:themeFill="background1" w:themeFillShade="BF"/>
          </w:tcPr>
          <w:p w14:paraId="4FE314A4" w14:textId="77777777" w:rsidR="00274A43" w:rsidRPr="00F60A91" w:rsidRDefault="00274A43" w:rsidP="00642F8C">
            <w:pPr>
              <w:jc w:val="center"/>
              <w:rPr>
                <w:b/>
                <w:sz w:val="20"/>
                <w:szCs w:val="20"/>
              </w:rPr>
            </w:pPr>
            <w:r w:rsidRPr="00F60A91">
              <w:rPr>
                <w:b/>
                <w:sz w:val="20"/>
                <w:szCs w:val="20"/>
              </w:rPr>
              <w:t>2017</w:t>
            </w:r>
          </w:p>
        </w:tc>
        <w:tc>
          <w:tcPr>
            <w:tcW w:w="736" w:type="dxa"/>
            <w:shd w:val="clear" w:color="auto" w:fill="BFBFBF" w:themeFill="background1" w:themeFillShade="BF"/>
          </w:tcPr>
          <w:p w14:paraId="559BBCF5" w14:textId="77777777" w:rsidR="00274A43" w:rsidRPr="00F60A91" w:rsidRDefault="00274A43" w:rsidP="00642F8C">
            <w:pPr>
              <w:jc w:val="center"/>
              <w:rPr>
                <w:b/>
                <w:sz w:val="20"/>
                <w:szCs w:val="20"/>
              </w:rPr>
            </w:pPr>
            <w:r w:rsidRPr="00F60A91">
              <w:rPr>
                <w:b/>
                <w:sz w:val="20"/>
                <w:szCs w:val="20"/>
              </w:rPr>
              <w:t>2018</w:t>
            </w:r>
          </w:p>
        </w:tc>
      </w:tr>
      <w:tr w:rsidR="00274A43" w:rsidRPr="00F60A91" w14:paraId="4C32FFFB" w14:textId="77777777" w:rsidTr="00881F8B">
        <w:tc>
          <w:tcPr>
            <w:tcW w:w="2670" w:type="dxa"/>
          </w:tcPr>
          <w:p w14:paraId="4B3F8C0C" w14:textId="77777777" w:rsidR="00274A43" w:rsidRPr="00EE012E" w:rsidRDefault="00274A43" w:rsidP="00642F8C">
            <w:pPr>
              <w:rPr>
                <w:sz w:val="20"/>
                <w:szCs w:val="20"/>
              </w:rPr>
            </w:pPr>
            <w:r w:rsidRPr="00EE012E">
              <w:rPr>
                <w:sz w:val="20"/>
                <w:szCs w:val="20"/>
              </w:rPr>
              <w:t>Sponsor estimate</w:t>
            </w:r>
          </w:p>
        </w:tc>
        <w:tc>
          <w:tcPr>
            <w:tcW w:w="1351" w:type="dxa"/>
          </w:tcPr>
          <w:p w14:paraId="5FEC89EA" w14:textId="77777777" w:rsidR="00274A43" w:rsidRPr="00EE012E" w:rsidRDefault="00274A43" w:rsidP="00642F8C">
            <w:pPr>
              <w:jc w:val="center"/>
              <w:rPr>
                <w:sz w:val="20"/>
                <w:szCs w:val="20"/>
              </w:rPr>
            </w:pPr>
            <w:r w:rsidRPr="00EE012E">
              <w:rPr>
                <w:sz w:val="20"/>
                <w:szCs w:val="20"/>
              </w:rPr>
              <w:t>A</w:t>
            </w:r>
          </w:p>
        </w:tc>
        <w:tc>
          <w:tcPr>
            <w:tcW w:w="736" w:type="dxa"/>
          </w:tcPr>
          <w:p w14:paraId="1073C2E2" w14:textId="23B18EBB" w:rsidR="00274A43" w:rsidRPr="00F60A91" w:rsidRDefault="00881F8B" w:rsidP="00642F8C">
            <w:pPr>
              <w:jc w:val="center"/>
              <w:rPr>
                <w:sz w:val="20"/>
                <w:szCs w:val="20"/>
                <w:highlight w:val="yellow"/>
              </w:rPr>
            </w:pPr>
            <w:r w:rsidRPr="00881F8B">
              <w:rPr>
                <w:sz w:val="20"/>
                <w:szCs w:val="20"/>
                <w:highlight w:val="black"/>
              </w:rPr>
              <w:t>XXXXX</w:t>
            </w:r>
          </w:p>
        </w:tc>
        <w:tc>
          <w:tcPr>
            <w:tcW w:w="736" w:type="dxa"/>
            <w:shd w:val="clear" w:color="auto" w:fill="D9D9D9" w:themeFill="background1" w:themeFillShade="D9"/>
          </w:tcPr>
          <w:p w14:paraId="440808A8" w14:textId="77777777" w:rsidR="00274A43" w:rsidRPr="00F60A91" w:rsidRDefault="00274A43" w:rsidP="00642F8C">
            <w:pPr>
              <w:jc w:val="center"/>
              <w:rPr>
                <w:sz w:val="20"/>
                <w:szCs w:val="20"/>
              </w:rPr>
            </w:pPr>
          </w:p>
        </w:tc>
        <w:tc>
          <w:tcPr>
            <w:tcW w:w="736" w:type="dxa"/>
            <w:shd w:val="clear" w:color="auto" w:fill="D9D9D9" w:themeFill="background1" w:themeFillShade="D9"/>
          </w:tcPr>
          <w:p w14:paraId="0340E37C" w14:textId="77777777" w:rsidR="00274A43" w:rsidRPr="00F60A91" w:rsidRDefault="00274A43" w:rsidP="00642F8C">
            <w:pPr>
              <w:jc w:val="center"/>
              <w:rPr>
                <w:sz w:val="20"/>
                <w:szCs w:val="20"/>
              </w:rPr>
            </w:pPr>
          </w:p>
        </w:tc>
        <w:tc>
          <w:tcPr>
            <w:tcW w:w="736" w:type="dxa"/>
            <w:shd w:val="clear" w:color="auto" w:fill="D9D9D9" w:themeFill="background1" w:themeFillShade="D9"/>
          </w:tcPr>
          <w:p w14:paraId="6B63C657" w14:textId="77777777" w:rsidR="00274A43" w:rsidRPr="00F60A91" w:rsidRDefault="00274A43" w:rsidP="00642F8C">
            <w:pPr>
              <w:jc w:val="center"/>
              <w:rPr>
                <w:sz w:val="20"/>
                <w:szCs w:val="20"/>
              </w:rPr>
            </w:pPr>
          </w:p>
        </w:tc>
        <w:tc>
          <w:tcPr>
            <w:tcW w:w="736" w:type="dxa"/>
            <w:shd w:val="clear" w:color="auto" w:fill="D9D9D9" w:themeFill="background1" w:themeFillShade="D9"/>
          </w:tcPr>
          <w:p w14:paraId="6DBCDD95" w14:textId="77777777" w:rsidR="00274A43" w:rsidRPr="00F60A91" w:rsidRDefault="00274A43" w:rsidP="00642F8C">
            <w:pPr>
              <w:jc w:val="center"/>
              <w:rPr>
                <w:sz w:val="20"/>
                <w:szCs w:val="20"/>
              </w:rPr>
            </w:pPr>
          </w:p>
        </w:tc>
        <w:tc>
          <w:tcPr>
            <w:tcW w:w="736" w:type="dxa"/>
            <w:shd w:val="clear" w:color="auto" w:fill="D9D9D9" w:themeFill="background1" w:themeFillShade="D9"/>
          </w:tcPr>
          <w:p w14:paraId="018D9624" w14:textId="77777777" w:rsidR="00274A43" w:rsidRPr="00F60A91" w:rsidRDefault="00274A43" w:rsidP="00642F8C">
            <w:pPr>
              <w:jc w:val="center"/>
              <w:rPr>
                <w:sz w:val="20"/>
                <w:szCs w:val="20"/>
              </w:rPr>
            </w:pPr>
          </w:p>
        </w:tc>
        <w:tc>
          <w:tcPr>
            <w:tcW w:w="736" w:type="dxa"/>
            <w:shd w:val="clear" w:color="auto" w:fill="D9D9D9" w:themeFill="background1" w:themeFillShade="D9"/>
          </w:tcPr>
          <w:p w14:paraId="2FC5A40B" w14:textId="77777777" w:rsidR="00274A43" w:rsidRPr="00F60A91" w:rsidRDefault="00274A43" w:rsidP="00642F8C">
            <w:pPr>
              <w:jc w:val="center"/>
              <w:rPr>
                <w:sz w:val="20"/>
                <w:szCs w:val="20"/>
              </w:rPr>
            </w:pPr>
          </w:p>
        </w:tc>
      </w:tr>
      <w:tr w:rsidR="00DB12D4" w:rsidRPr="00F60A91" w14:paraId="196DD23B" w14:textId="77777777" w:rsidTr="00881F8B">
        <w:tc>
          <w:tcPr>
            <w:tcW w:w="2670" w:type="dxa"/>
          </w:tcPr>
          <w:p w14:paraId="5B93182F" w14:textId="77777777" w:rsidR="00274A43" w:rsidRPr="00EE012E" w:rsidRDefault="00274A43" w:rsidP="00642F8C">
            <w:pPr>
              <w:rPr>
                <w:sz w:val="20"/>
                <w:szCs w:val="20"/>
              </w:rPr>
            </w:pPr>
            <w:r w:rsidRPr="00EE012E">
              <w:rPr>
                <w:sz w:val="20"/>
                <w:szCs w:val="20"/>
              </w:rPr>
              <w:t>Population growth rate</w:t>
            </w:r>
          </w:p>
        </w:tc>
        <w:tc>
          <w:tcPr>
            <w:tcW w:w="1351" w:type="dxa"/>
          </w:tcPr>
          <w:p w14:paraId="3513BD0F" w14:textId="77777777" w:rsidR="00274A43" w:rsidRPr="00EE012E" w:rsidRDefault="00274A43" w:rsidP="00642F8C">
            <w:pPr>
              <w:jc w:val="center"/>
              <w:rPr>
                <w:sz w:val="20"/>
                <w:szCs w:val="20"/>
              </w:rPr>
            </w:pPr>
            <w:r w:rsidRPr="00EE012E">
              <w:rPr>
                <w:sz w:val="20"/>
                <w:szCs w:val="20"/>
              </w:rPr>
              <w:t>B</w:t>
            </w:r>
          </w:p>
        </w:tc>
        <w:tc>
          <w:tcPr>
            <w:tcW w:w="736" w:type="dxa"/>
          </w:tcPr>
          <w:p w14:paraId="5148B733" w14:textId="77777777" w:rsidR="00274A43" w:rsidRPr="00F60A91" w:rsidRDefault="00274A43" w:rsidP="00642F8C">
            <w:pPr>
              <w:jc w:val="center"/>
              <w:rPr>
                <w:sz w:val="20"/>
                <w:szCs w:val="20"/>
              </w:rPr>
            </w:pPr>
            <w:r w:rsidRPr="00F60A91">
              <w:rPr>
                <w:sz w:val="20"/>
                <w:szCs w:val="20"/>
              </w:rPr>
              <w:t>-</w:t>
            </w:r>
          </w:p>
        </w:tc>
        <w:tc>
          <w:tcPr>
            <w:tcW w:w="736" w:type="dxa"/>
          </w:tcPr>
          <w:p w14:paraId="6DA8F5B1" w14:textId="77777777" w:rsidR="00274A43" w:rsidRPr="00F60A91" w:rsidRDefault="00274A43" w:rsidP="00642F8C">
            <w:pPr>
              <w:jc w:val="center"/>
              <w:rPr>
                <w:sz w:val="20"/>
                <w:szCs w:val="20"/>
              </w:rPr>
            </w:pPr>
            <w:r w:rsidRPr="00F60A91">
              <w:rPr>
                <w:sz w:val="20"/>
                <w:szCs w:val="20"/>
              </w:rPr>
              <w:t>103%</w:t>
            </w:r>
          </w:p>
        </w:tc>
        <w:tc>
          <w:tcPr>
            <w:tcW w:w="736" w:type="dxa"/>
          </w:tcPr>
          <w:p w14:paraId="05E68329" w14:textId="77777777" w:rsidR="00274A43" w:rsidRPr="00F60A91" w:rsidRDefault="00274A43" w:rsidP="00642F8C">
            <w:pPr>
              <w:jc w:val="center"/>
              <w:rPr>
                <w:sz w:val="20"/>
                <w:szCs w:val="20"/>
              </w:rPr>
            </w:pPr>
            <w:r w:rsidRPr="00F60A91">
              <w:rPr>
                <w:sz w:val="20"/>
                <w:szCs w:val="20"/>
              </w:rPr>
              <w:t>104%</w:t>
            </w:r>
          </w:p>
        </w:tc>
        <w:tc>
          <w:tcPr>
            <w:tcW w:w="736" w:type="dxa"/>
          </w:tcPr>
          <w:p w14:paraId="7742791C" w14:textId="77777777" w:rsidR="00274A43" w:rsidRPr="00F60A91" w:rsidRDefault="00274A43" w:rsidP="00642F8C">
            <w:pPr>
              <w:jc w:val="center"/>
              <w:rPr>
                <w:sz w:val="20"/>
                <w:szCs w:val="20"/>
              </w:rPr>
            </w:pPr>
            <w:r w:rsidRPr="00F60A91">
              <w:rPr>
                <w:sz w:val="20"/>
                <w:szCs w:val="20"/>
              </w:rPr>
              <w:t>104%</w:t>
            </w:r>
          </w:p>
        </w:tc>
        <w:tc>
          <w:tcPr>
            <w:tcW w:w="736" w:type="dxa"/>
          </w:tcPr>
          <w:p w14:paraId="4C2D105F" w14:textId="77777777" w:rsidR="00274A43" w:rsidRPr="00F60A91" w:rsidRDefault="00274A43" w:rsidP="00642F8C">
            <w:pPr>
              <w:jc w:val="center"/>
              <w:rPr>
                <w:sz w:val="20"/>
                <w:szCs w:val="20"/>
              </w:rPr>
            </w:pPr>
            <w:r w:rsidRPr="00F60A91">
              <w:rPr>
                <w:sz w:val="20"/>
                <w:szCs w:val="20"/>
              </w:rPr>
              <w:t>104%</w:t>
            </w:r>
          </w:p>
        </w:tc>
        <w:tc>
          <w:tcPr>
            <w:tcW w:w="736" w:type="dxa"/>
          </w:tcPr>
          <w:p w14:paraId="77D9E73F" w14:textId="77777777" w:rsidR="00274A43" w:rsidRPr="00F60A91" w:rsidRDefault="00274A43" w:rsidP="00642F8C">
            <w:pPr>
              <w:jc w:val="center"/>
              <w:rPr>
                <w:sz w:val="20"/>
                <w:szCs w:val="20"/>
              </w:rPr>
            </w:pPr>
            <w:r w:rsidRPr="00F60A91">
              <w:rPr>
                <w:sz w:val="20"/>
                <w:szCs w:val="20"/>
              </w:rPr>
              <w:t>104%</w:t>
            </w:r>
          </w:p>
        </w:tc>
        <w:tc>
          <w:tcPr>
            <w:tcW w:w="736" w:type="dxa"/>
          </w:tcPr>
          <w:p w14:paraId="7D895AD0" w14:textId="77777777" w:rsidR="00274A43" w:rsidRPr="00F60A91" w:rsidRDefault="00274A43" w:rsidP="00642F8C">
            <w:pPr>
              <w:jc w:val="center"/>
              <w:rPr>
                <w:sz w:val="20"/>
                <w:szCs w:val="20"/>
              </w:rPr>
            </w:pPr>
            <w:r w:rsidRPr="00F60A91">
              <w:rPr>
                <w:sz w:val="20"/>
                <w:szCs w:val="20"/>
              </w:rPr>
              <w:t>103%</w:t>
            </w:r>
          </w:p>
        </w:tc>
      </w:tr>
      <w:tr w:rsidR="00881F8B" w:rsidRPr="00F60A91" w14:paraId="6B8C8DC1" w14:textId="77777777" w:rsidTr="00881F8B">
        <w:tc>
          <w:tcPr>
            <w:tcW w:w="2670" w:type="dxa"/>
          </w:tcPr>
          <w:p w14:paraId="2526CDDE" w14:textId="77777777" w:rsidR="00881F8B" w:rsidRPr="00EE012E" w:rsidRDefault="00881F8B" w:rsidP="00642F8C">
            <w:pPr>
              <w:rPr>
                <w:sz w:val="20"/>
                <w:szCs w:val="20"/>
              </w:rPr>
            </w:pPr>
            <w:r w:rsidRPr="00EE012E">
              <w:rPr>
                <w:sz w:val="20"/>
                <w:szCs w:val="20"/>
              </w:rPr>
              <w:t>Eligible population</w:t>
            </w:r>
          </w:p>
        </w:tc>
        <w:tc>
          <w:tcPr>
            <w:tcW w:w="1351" w:type="dxa"/>
          </w:tcPr>
          <w:p w14:paraId="5CB48C79" w14:textId="77777777" w:rsidR="00881F8B" w:rsidRPr="00EE012E" w:rsidRDefault="00881F8B" w:rsidP="00642F8C">
            <w:pPr>
              <w:jc w:val="center"/>
              <w:rPr>
                <w:sz w:val="20"/>
                <w:szCs w:val="20"/>
              </w:rPr>
            </w:pPr>
            <w:r w:rsidRPr="00EE012E">
              <w:rPr>
                <w:sz w:val="20"/>
                <w:szCs w:val="20"/>
              </w:rPr>
              <w:t>C = A x B</w:t>
            </w:r>
          </w:p>
        </w:tc>
        <w:tc>
          <w:tcPr>
            <w:tcW w:w="736" w:type="dxa"/>
          </w:tcPr>
          <w:p w14:paraId="157DDB19" w14:textId="18F96E14" w:rsidR="00881F8B" w:rsidRPr="00881F8B" w:rsidRDefault="00881F8B" w:rsidP="00642F8C">
            <w:pPr>
              <w:jc w:val="center"/>
              <w:rPr>
                <w:sz w:val="20"/>
                <w:szCs w:val="20"/>
                <w:highlight w:val="black"/>
              </w:rPr>
            </w:pPr>
            <w:r w:rsidRPr="00881F8B">
              <w:rPr>
                <w:sz w:val="20"/>
                <w:szCs w:val="20"/>
                <w:highlight w:val="black"/>
              </w:rPr>
              <w:t>XXXXX</w:t>
            </w:r>
          </w:p>
        </w:tc>
        <w:tc>
          <w:tcPr>
            <w:tcW w:w="736" w:type="dxa"/>
          </w:tcPr>
          <w:p w14:paraId="184AF918" w14:textId="7AD3555B" w:rsidR="00881F8B" w:rsidRPr="00881F8B" w:rsidRDefault="00881F8B" w:rsidP="00642F8C">
            <w:pPr>
              <w:jc w:val="center"/>
              <w:rPr>
                <w:sz w:val="20"/>
                <w:szCs w:val="20"/>
                <w:highlight w:val="black"/>
              </w:rPr>
            </w:pPr>
            <w:r w:rsidRPr="00881F8B">
              <w:rPr>
                <w:sz w:val="20"/>
                <w:szCs w:val="20"/>
                <w:highlight w:val="black"/>
              </w:rPr>
              <w:t>XXXXX</w:t>
            </w:r>
          </w:p>
        </w:tc>
        <w:tc>
          <w:tcPr>
            <w:tcW w:w="736" w:type="dxa"/>
          </w:tcPr>
          <w:p w14:paraId="0F42CB3D" w14:textId="489F1058" w:rsidR="00881F8B" w:rsidRPr="00881F8B" w:rsidRDefault="00881F8B" w:rsidP="00642F8C">
            <w:pPr>
              <w:jc w:val="center"/>
              <w:rPr>
                <w:sz w:val="20"/>
                <w:szCs w:val="20"/>
                <w:highlight w:val="black"/>
              </w:rPr>
            </w:pPr>
            <w:r w:rsidRPr="00881F8B">
              <w:rPr>
                <w:sz w:val="20"/>
                <w:szCs w:val="20"/>
                <w:highlight w:val="black"/>
              </w:rPr>
              <w:t>XXXXX</w:t>
            </w:r>
          </w:p>
        </w:tc>
        <w:tc>
          <w:tcPr>
            <w:tcW w:w="736" w:type="dxa"/>
          </w:tcPr>
          <w:p w14:paraId="107B9B82" w14:textId="36E0F265" w:rsidR="00881F8B" w:rsidRPr="00881F8B" w:rsidRDefault="00881F8B" w:rsidP="00642F8C">
            <w:pPr>
              <w:jc w:val="center"/>
              <w:rPr>
                <w:sz w:val="20"/>
                <w:szCs w:val="20"/>
                <w:highlight w:val="black"/>
              </w:rPr>
            </w:pPr>
            <w:r w:rsidRPr="00881F8B">
              <w:rPr>
                <w:sz w:val="20"/>
                <w:szCs w:val="20"/>
                <w:highlight w:val="black"/>
              </w:rPr>
              <w:t>XXXXX</w:t>
            </w:r>
          </w:p>
        </w:tc>
        <w:tc>
          <w:tcPr>
            <w:tcW w:w="736" w:type="dxa"/>
          </w:tcPr>
          <w:p w14:paraId="7109947A" w14:textId="51FBEC96" w:rsidR="00881F8B" w:rsidRPr="00881F8B" w:rsidRDefault="00881F8B" w:rsidP="00642F8C">
            <w:pPr>
              <w:jc w:val="center"/>
              <w:rPr>
                <w:sz w:val="20"/>
                <w:szCs w:val="20"/>
                <w:highlight w:val="black"/>
              </w:rPr>
            </w:pPr>
            <w:r w:rsidRPr="00881F8B">
              <w:rPr>
                <w:sz w:val="20"/>
                <w:szCs w:val="20"/>
                <w:highlight w:val="black"/>
              </w:rPr>
              <w:t>XXXXX</w:t>
            </w:r>
          </w:p>
        </w:tc>
        <w:tc>
          <w:tcPr>
            <w:tcW w:w="736" w:type="dxa"/>
          </w:tcPr>
          <w:p w14:paraId="17920CC0" w14:textId="2899FA15" w:rsidR="00881F8B" w:rsidRPr="00881F8B" w:rsidRDefault="00881F8B" w:rsidP="00642F8C">
            <w:pPr>
              <w:jc w:val="center"/>
              <w:rPr>
                <w:sz w:val="20"/>
                <w:szCs w:val="20"/>
                <w:highlight w:val="black"/>
              </w:rPr>
            </w:pPr>
            <w:r w:rsidRPr="00881F8B">
              <w:rPr>
                <w:sz w:val="20"/>
                <w:szCs w:val="20"/>
                <w:highlight w:val="black"/>
              </w:rPr>
              <w:t>XXXXX</w:t>
            </w:r>
          </w:p>
        </w:tc>
        <w:tc>
          <w:tcPr>
            <w:tcW w:w="736" w:type="dxa"/>
          </w:tcPr>
          <w:p w14:paraId="58FFE1F6" w14:textId="627F4E70" w:rsidR="00881F8B" w:rsidRPr="00881F8B" w:rsidRDefault="00881F8B" w:rsidP="00642F8C">
            <w:pPr>
              <w:jc w:val="center"/>
              <w:rPr>
                <w:sz w:val="20"/>
                <w:szCs w:val="20"/>
                <w:highlight w:val="black"/>
              </w:rPr>
            </w:pPr>
            <w:r w:rsidRPr="00881F8B">
              <w:rPr>
                <w:sz w:val="20"/>
                <w:szCs w:val="20"/>
                <w:highlight w:val="black"/>
              </w:rPr>
              <w:t>XXXXX</w:t>
            </w:r>
          </w:p>
        </w:tc>
      </w:tr>
      <w:tr w:rsidR="00DB12D4" w:rsidRPr="00F60A91" w14:paraId="011408AD" w14:textId="77777777" w:rsidTr="00881F8B">
        <w:tc>
          <w:tcPr>
            <w:tcW w:w="2670" w:type="dxa"/>
          </w:tcPr>
          <w:p w14:paraId="0A271AD4" w14:textId="535F5C33" w:rsidR="00274A43" w:rsidRPr="00EE012E" w:rsidRDefault="00274A43" w:rsidP="00642F8C">
            <w:pPr>
              <w:rPr>
                <w:sz w:val="20"/>
                <w:szCs w:val="20"/>
              </w:rPr>
            </w:pPr>
            <w:r w:rsidRPr="00EE012E">
              <w:rPr>
                <w:sz w:val="20"/>
                <w:szCs w:val="20"/>
              </w:rPr>
              <w:t>Proportion ineligible for chemotherapy</w:t>
            </w:r>
          </w:p>
        </w:tc>
        <w:tc>
          <w:tcPr>
            <w:tcW w:w="1351" w:type="dxa"/>
          </w:tcPr>
          <w:p w14:paraId="193CF848" w14:textId="77777777" w:rsidR="00274A43" w:rsidRPr="00EE012E" w:rsidRDefault="00274A43" w:rsidP="00642F8C">
            <w:pPr>
              <w:jc w:val="center"/>
              <w:rPr>
                <w:sz w:val="20"/>
                <w:szCs w:val="20"/>
              </w:rPr>
            </w:pPr>
            <w:r w:rsidRPr="00EE012E">
              <w:rPr>
                <w:sz w:val="20"/>
                <w:szCs w:val="20"/>
              </w:rPr>
              <w:t>D</w:t>
            </w:r>
          </w:p>
        </w:tc>
        <w:tc>
          <w:tcPr>
            <w:tcW w:w="736" w:type="dxa"/>
          </w:tcPr>
          <w:p w14:paraId="530D9DA6" w14:textId="77777777" w:rsidR="00274A43" w:rsidRPr="00F60A91" w:rsidRDefault="00274A43" w:rsidP="00642F8C">
            <w:pPr>
              <w:jc w:val="center"/>
              <w:rPr>
                <w:sz w:val="20"/>
                <w:szCs w:val="20"/>
              </w:rPr>
            </w:pPr>
            <w:r w:rsidRPr="00F60A91">
              <w:rPr>
                <w:sz w:val="20"/>
                <w:szCs w:val="20"/>
              </w:rPr>
              <w:t>50%</w:t>
            </w:r>
          </w:p>
        </w:tc>
        <w:tc>
          <w:tcPr>
            <w:tcW w:w="736" w:type="dxa"/>
          </w:tcPr>
          <w:p w14:paraId="4C65CBAF" w14:textId="77777777" w:rsidR="00274A43" w:rsidRPr="00F60A91" w:rsidRDefault="00274A43" w:rsidP="00642F8C">
            <w:pPr>
              <w:jc w:val="center"/>
              <w:rPr>
                <w:sz w:val="20"/>
                <w:szCs w:val="20"/>
              </w:rPr>
            </w:pPr>
            <w:r w:rsidRPr="00F60A91">
              <w:rPr>
                <w:sz w:val="20"/>
                <w:szCs w:val="20"/>
              </w:rPr>
              <w:t>50%</w:t>
            </w:r>
          </w:p>
        </w:tc>
        <w:tc>
          <w:tcPr>
            <w:tcW w:w="736" w:type="dxa"/>
          </w:tcPr>
          <w:p w14:paraId="7843E55E" w14:textId="77777777" w:rsidR="00274A43" w:rsidRPr="00F60A91" w:rsidRDefault="00274A43" w:rsidP="00642F8C">
            <w:pPr>
              <w:jc w:val="center"/>
              <w:rPr>
                <w:sz w:val="20"/>
                <w:szCs w:val="20"/>
              </w:rPr>
            </w:pPr>
            <w:r w:rsidRPr="00F60A91">
              <w:rPr>
                <w:sz w:val="20"/>
                <w:szCs w:val="20"/>
              </w:rPr>
              <w:t>50%</w:t>
            </w:r>
          </w:p>
        </w:tc>
        <w:tc>
          <w:tcPr>
            <w:tcW w:w="736" w:type="dxa"/>
          </w:tcPr>
          <w:p w14:paraId="5FC33D75" w14:textId="77777777" w:rsidR="00274A43" w:rsidRPr="00F60A91" w:rsidRDefault="00274A43" w:rsidP="00642F8C">
            <w:pPr>
              <w:jc w:val="center"/>
              <w:rPr>
                <w:sz w:val="20"/>
                <w:szCs w:val="20"/>
              </w:rPr>
            </w:pPr>
            <w:r w:rsidRPr="00F60A91">
              <w:rPr>
                <w:sz w:val="20"/>
                <w:szCs w:val="20"/>
              </w:rPr>
              <w:t>50%</w:t>
            </w:r>
          </w:p>
        </w:tc>
        <w:tc>
          <w:tcPr>
            <w:tcW w:w="736" w:type="dxa"/>
          </w:tcPr>
          <w:p w14:paraId="6019AA83" w14:textId="77777777" w:rsidR="00274A43" w:rsidRPr="00F60A91" w:rsidRDefault="00274A43" w:rsidP="00642F8C">
            <w:pPr>
              <w:jc w:val="center"/>
              <w:rPr>
                <w:sz w:val="20"/>
                <w:szCs w:val="20"/>
              </w:rPr>
            </w:pPr>
            <w:r w:rsidRPr="00F60A91">
              <w:rPr>
                <w:sz w:val="20"/>
                <w:szCs w:val="20"/>
              </w:rPr>
              <w:t>50%</w:t>
            </w:r>
          </w:p>
        </w:tc>
        <w:tc>
          <w:tcPr>
            <w:tcW w:w="736" w:type="dxa"/>
          </w:tcPr>
          <w:p w14:paraId="53AF4AD7" w14:textId="77777777" w:rsidR="00274A43" w:rsidRPr="00F60A91" w:rsidRDefault="00274A43" w:rsidP="00642F8C">
            <w:pPr>
              <w:jc w:val="center"/>
              <w:rPr>
                <w:sz w:val="20"/>
                <w:szCs w:val="20"/>
              </w:rPr>
            </w:pPr>
            <w:r w:rsidRPr="00F60A91">
              <w:rPr>
                <w:sz w:val="20"/>
                <w:szCs w:val="20"/>
              </w:rPr>
              <w:t>50%</w:t>
            </w:r>
          </w:p>
        </w:tc>
        <w:tc>
          <w:tcPr>
            <w:tcW w:w="736" w:type="dxa"/>
          </w:tcPr>
          <w:p w14:paraId="06D6FF7D" w14:textId="77777777" w:rsidR="00274A43" w:rsidRPr="00F60A91" w:rsidRDefault="00274A43" w:rsidP="00642F8C">
            <w:pPr>
              <w:jc w:val="center"/>
              <w:rPr>
                <w:sz w:val="20"/>
                <w:szCs w:val="20"/>
              </w:rPr>
            </w:pPr>
            <w:r w:rsidRPr="00F60A91">
              <w:rPr>
                <w:sz w:val="20"/>
                <w:szCs w:val="20"/>
              </w:rPr>
              <w:t>50%</w:t>
            </w:r>
          </w:p>
        </w:tc>
      </w:tr>
      <w:tr w:rsidR="00881F8B" w:rsidRPr="00F60A91" w14:paraId="10635C59" w14:textId="77777777" w:rsidTr="00881F8B">
        <w:tc>
          <w:tcPr>
            <w:tcW w:w="2670" w:type="dxa"/>
          </w:tcPr>
          <w:p w14:paraId="789D730A" w14:textId="0C60E8A6" w:rsidR="00881F8B" w:rsidRPr="00EE012E" w:rsidRDefault="00881F8B" w:rsidP="00642F8C">
            <w:pPr>
              <w:rPr>
                <w:sz w:val="20"/>
                <w:szCs w:val="20"/>
              </w:rPr>
            </w:pPr>
            <w:r w:rsidRPr="00EE012E">
              <w:rPr>
                <w:sz w:val="20"/>
                <w:szCs w:val="20"/>
              </w:rPr>
              <w:t xml:space="preserve">Number ineligible for </w:t>
            </w:r>
            <w:r w:rsidRPr="00EE012E">
              <w:rPr>
                <w:sz w:val="20"/>
                <w:szCs w:val="20"/>
              </w:rPr>
              <w:lastRenderedPageBreak/>
              <w:t>chemotherapy</w:t>
            </w:r>
          </w:p>
        </w:tc>
        <w:tc>
          <w:tcPr>
            <w:tcW w:w="1351" w:type="dxa"/>
          </w:tcPr>
          <w:p w14:paraId="4B534E8E" w14:textId="77777777" w:rsidR="00881F8B" w:rsidRPr="00EE012E" w:rsidRDefault="00881F8B" w:rsidP="00642F8C">
            <w:pPr>
              <w:jc w:val="center"/>
              <w:rPr>
                <w:sz w:val="20"/>
                <w:szCs w:val="20"/>
              </w:rPr>
            </w:pPr>
            <w:r w:rsidRPr="00EE012E">
              <w:rPr>
                <w:sz w:val="20"/>
                <w:szCs w:val="20"/>
              </w:rPr>
              <w:lastRenderedPageBreak/>
              <w:t>E = C x D</w:t>
            </w:r>
          </w:p>
        </w:tc>
        <w:tc>
          <w:tcPr>
            <w:tcW w:w="736" w:type="dxa"/>
          </w:tcPr>
          <w:p w14:paraId="55F96FA2" w14:textId="164F0440" w:rsidR="00881F8B" w:rsidRPr="00881F8B" w:rsidRDefault="00881F8B" w:rsidP="00642F8C">
            <w:pPr>
              <w:jc w:val="center"/>
              <w:rPr>
                <w:sz w:val="20"/>
                <w:szCs w:val="20"/>
                <w:highlight w:val="black"/>
              </w:rPr>
            </w:pPr>
            <w:r w:rsidRPr="00881F8B">
              <w:rPr>
                <w:sz w:val="20"/>
                <w:szCs w:val="20"/>
                <w:highlight w:val="black"/>
              </w:rPr>
              <w:t>XXX</w:t>
            </w:r>
          </w:p>
        </w:tc>
        <w:tc>
          <w:tcPr>
            <w:tcW w:w="736" w:type="dxa"/>
          </w:tcPr>
          <w:p w14:paraId="5D3C6FB8" w14:textId="3344B52A" w:rsidR="00881F8B" w:rsidRPr="00881F8B" w:rsidRDefault="00881F8B" w:rsidP="00642F8C">
            <w:pPr>
              <w:jc w:val="center"/>
              <w:rPr>
                <w:sz w:val="20"/>
                <w:szCs w:val="20"/>
                <w:highlight w:val="black"/>
              </w:rPr>
            </w:pPr>
            <w:r w:rsidRPr="00881F8B">
              <w:rPr>
                <w:sz w:val="20"/>
                <w:szCs w:val="20"/>
                <w:highlight w:val="black"/>
              </w:rPr>
              <w:t>XXX</w:t>
            </w:r>
          </w:p>
        </w:tc>
        <w:tc>
          <w:tcPr>
            <w:tcW w:w="736" w:type="dxa"/>
          </w:tcPr>
          <w:p w14:paraId="7296C5D3" w14:textId="4EB437A4" w:rsidR="00881F8B" w:rsidRPr="00881F8B" w:rsidRDefault="00881F8B" w:rsidP="00642F8C">
            <w:pPr>
              <w:jc w:val="center"/>
              <w:rPr>
                <w:sz w:val="20"/>
                <w:szCs w:val="20"/>
                <w:highlight w:val="black"/>
              </w:rPr>
            </w:pPr>
            <w:r w:rsidRPr="00881F8B">
              <w:rPr>
                <w:sz w:val="20"/>
                <w:szCs w:val="20"/>
                <w:highlight w:val="black"/>
              </w:rPr>
              <w:t>XXX</w:t>
            </w:r>
          </w:p>
        </w:tc>
        <w:tc>
          <w:tcPr>
            <w:tcW w:w="736" w:type="dxa"/>
          </w:tcPr>
          <w:p w14:paraId="1D3023A5" w14:textId="67765D1C" w:rsidR="00881F8B" w:rsidRPr="00881F8B" w:rsidRDefault="00881F8B" w:rsidP="00642F8C">
            <w:pPr>
              <w:jc w:val="center"/>
              <w:rPr>
                <w:sz w:val="20"/>
                <w:szCs w:val="20"/>
                <w:highlight w:val="black"/>
              </w:rPr>
            </w:pPr>
            <w:r w:rsidRPr="00881F8B">
              <w:rPr>
                <w:sz w:val="20"/>
                <w:szCs w:val="20"/>
                <w:highlight w:val="black"/>
              </w:rPr>
              <w:t>XXX</w:t>
            </w:r>
          </w:p>
        </w:tc>
        <w:tc>
          <w:tcPr>
            <w:tcW w:w="736" w:type="dxa"/>
          </w:tcPr>
          <w:p w14:paraId="5AD42B4F" w14:textId="7C5C0634" w:rsidR="00881F8B" w:rsidRPr="00881F8B" w:rsidRDefault="00881F8B" w:rsidP="00642F8C">
            <w:pPr>
              <w:jc w:val="center"/>
              <w:rPr>
                <w:sz w:val="20"/>
                <w:szCs w:val="20"/>
                <w:highlight w:val="black"/>
              </w:rPr>
            </w:pPr>
            <w:r w:rsidRPr="00881F8B">
              <w:rPr>
                <w:sz w:val="20"/>
                <w:szCs w:val="20"/>
                <w:highlight w:val="black"/>
              </w:rPr>
              <w:t>XXX</w:t>
            </w:r>
          </w:p>
        </w:tc>
        <w:tc>
          <w:tcPr>
            <w:tcW w:w="736" w:type="dxa"/>
          </w:tcPr>
          <w:p w14:paraId="188E62A6" w14:textId="15272E36" w:rsidR="00881F8B" w:rsidRPr="00881F8B" w:rsidRDefault="00881F8B" w:rsidP="00642F8C">
            <w:pPr>
              <w:jc w:val="center"/>
              <w:rPr>
                <w:sz w:val="20"/>
                <w:szCs w:val="20"/>
                <w:highlight w:val="black"/>
              </w:rPr>
            </w:pPr>
            <w:r w:rsidRPr="00881F8B">
              <w:rPr>
                <w:sz w:val="20"/>
                <w:szCs w:val="20"/>
                <w:highlight w:val="black"/>
              </w:rPr>
              <w:t>XXX</w:t>
            </w:r>
          </w:p>
        </w:tc>
        <w:tc>
          <w:tcPr>
            <w:tcW w:w="736" w:type="dxa"/>
          </w:tcPr>
          <w:p w14:paraId="296B31D4" w14:textId="64E06BB7" w:rsidR="00881F8B" w:rsidRPr="00881F8B" w:rsidRDefault="00881F8B" w:rsidP="00642F8C">
            <w:pPr>
              <w:jc w:val="center"/>
              <w:rPr>
                <w:sz w:val="20"/>
                <w:szCs w:val="20"/>
                <w:highlight w:val="black"/>
              </w:rPr>
            </w:pPr>
            <w:r w:rsidRPr="00881F8B">
              <w:rPr>
                <w:sz w:val="20"/>
                <w:szCs w:val="20"/>
                <w:highlight w:val="black"/>
              </w:rPr>
              <w:t>XXX</w:t>
            </w:r>
          </w:p>
        </w:tc>
      </w:tr>
      <w:tr w:rsidR="00DB12D4" w:rsidRPr="00F60A91" w14:paraId="594E7077" w14:textId="77777777" w:rsidTr="00881F8B">
        <w:tc>
          <w:tcPr>
            <w:tcW w:w="2670" w:type="dxa"/>
          </w:tcPr>
          <w:p w14:paraId="4EDA7D00" w14:textId="5125CE11" w:rsidR="00274A43" w:rsidRPr="00EE012E" w:rsidRDefault="00274A43" w:rsidP="00642F8C">
            <w:pPr>
              <w:rPr>
                <w:sz w:val="20"/>
                <w:szCs w:val="20"/>
              </w:rPr>
            </w:pPr>
            <w:r w:rsidRPr="00EE012E">
              <w:rPr>
                <w:sz w:val="20"/>
                <w:szCs w:val="20"/>
              </w:rPr>
              <w:lastRenderedPageBreak/>
              <w:t>Proportion chemotherapy-ineligible willing to be treated</w:t>
            </w:r>
          </w:p>
        </w:tc>
        <w:tc>
          <w:tcPr>
            <w:tcW w:w="1351" w:type="dxa"/>
          </w:tcPr>
          <w:p w14:paraId="2EFA4B75" w14:textId="77777777" w:rsidR="00274A43" w:rsidRPr="00EE012E" w:rsidRDefault="00274A43" w:rsidP="00642F8C">
            <w:pPr>
              <w:jc w:val="center"/>
              <w:rPr>
                <w:sz w:val="20"/>
                <w:szCs w:val="20"/>
              </w:rPr>
            </w:pPr>
            <w:r w:rsidRPr="00EE012E">
              <w:rPr>
                <w:sz w:val="20"/>
                <w:szCs w:val="20"/>
              </w:rPr>
              <w:t>F</w:t>
            </w:r>
          </w:p>
        </w:tc>
        <w:tc>
          <w:tcPr>
            <w:tcW w:w="736" w:type="dxa"/>
          </w:tcPr>
          <w:p w14:paraId="532D94E7" w14:textId="5BA5C2EB" w:rsidR="00274A43" w:rsidRPr="00F60A91" w:rsidRDefault="00274A43" w:rsidP="00642F8C">
            <w:pPr>
              <w:jc w:val="center"/>
              <w:rPr>
                <w:sz w:val="20"/>
                <w:szCs w:val="20"/>
              </w:rPr>
            </w:pPr>
            <w:r w:rsidRPr="00F60A91">
              <w:rPr>
                <w:sz w:val="20"/>
                <w:szCs w:val="20"/>
              </w:rPr>
              <w:t>90%</w:t>
            </w:r>
          </w:p>
        </w:tc>
        <w:tc>
          <w:tcPr>
            <w:tcW w:w="736" w:type="dxa"/>
          </w:tcPr>
          <w:p w14:paraId="16B6541D" w14:textId="59783F7E" w:rsidR="00274A43" w:rsidRPr="00F60A91" w:rsidRDefault="00274A43" w:rsidP="00642F8C">
            <w:pPr>
              <w:jc w:val="center"/>
              <w:rPr>
                <w:sz w:val="20"/>
                <w:szCs w:val="20"/>
              </w:rPr>
            </w:pPr>
            <w:r w:rsidRPr="00F60A91">
              <w:rPr>
                <w:sz w:val="20"/>
                <w:szCs w:val="20"/>
              </w:rPr>
              <w:t>90%</w:t>
            </w:r>
          </w:p>
        </w:tc>
        <w:tc>
          <w:tcPr>
            <w:tcW w:w="736" w:type="dxa"/>
          </w:tcPr>
          <w:p w14:paraId="6BC5891D" w14:textId="34ACC3F0" w:rsidR="00274A43" w:rsidRPr="00F60A91" w:rsidRDefault="00274A43" w:rsidP="00642F8C">
            <w:pPr>
              <w:jc w:val="center"/>
              <w:rPr>
                <w:sz w:val="20"/>
                <w:szCs w:val="20"/>
              </w:rPr>
            </w:pPr>
            <w:r w:rsidRPr="00F60A91">
              <w:rPr>
                <w:sz w:val="20"/>
                <w:szCs w:val="20"/>
              </w:rPr>
              <w:t>90%</w:t>
            </w:r>
          </w:p>
        </w:tc>
        <w:tc>
          <w:tcPr>
            <w:tcW w:w="736" w:type="dxa"/>
          </w:tcPr>
          <w:p w14:paraId="142A20AA" w14:textId="1E01B683" w:rsidR="00274A43" w:rsidRPr="00F60A91" w:rsidRDefault="00274A43" w:rsidP="00642F8C">
            <w:pPr>
              <w:jc w:val="center"/>
              <w:rPr>
                <w:sz w:val="20"/>
                <w:szCs w:val="20"/>
              </w:rPr>
            </w:pPr>
            <w:r w:rsidRPr="00F60A91">
              <w:rPr>
                <w:sz w:val="20"/>
                <w:szCs w:val="20"/>
              </w:rPr>
              <w:t>90%</w:t>
            </w:r>
          </w:p>
        </w:tc>
        <w:tc>
          <w:tcPr>
            <w:tcW w:w="736" w:type="dxa"/>
          </w:tcPr>
          <w:p w14:paraId="2F33C84A" w14:textId="62248230" w:rsidR="00274A43" w:rsidRPr="00F60A91" w:rsidRDefault="00274A43" w:rsidP="00642F8C">
            <w:pPr>
              <w:jc w:val="center"/>
              <w:rPr>
                <w:sz w:val="20"/>
                <w:szCs w:val="20"/>
              </w:rPr>
            </w:pPr>
            <w:r w:rsidRPr="00F60A91">
              <w:rPr>
                <w:sz w:val="20"/>
                <w:szCs w:val="20"/>
              </w:rPr>
              <w:t>90%</w:t>
            </w:r>
          </w:p>
        </w:tc>
        <w:tc>
          <w:tcPr>
            <w:tcW w:w="736" w:type="dxa"/>
          </w:tcPr>
          <w:p w14:paraId="70979100" w14:textId="6CCAB945" w:rsidR="00274A43" w:rsidRPr="00F60A91" w:rsidRDefault="00274A43" w:rsidP="00642F8C">
            <w:pPr>
              <w:jc w:val="center"/>
              <w:rPr>
                <w:sz w:val="20"/>
                <w:szCs w:val="20"/>
              </w:rPr>
            </w:pPr>
            <w:r w:rsidRPr="00F60A91">
              <w:rPr>
                <w:sz w:val="20"/>
                <w:szCs w:val="20"/>
              </w:rPr>
              <w:t>90%</w:t>
            </w:r>
          </w:p>
        </w:tc>
        <w:tc>
          <w:tcPr>
            <w:tcW w:w="736" w:type="dxa"/>
          </w:tcPr>
          <w:p w14:paraId="01A2B034" w14:textId="066A02BF" w:rsidR="00274A43" w:rsidRPr="00F60A91" w:rsidRDefault="00274A43" w:rsidP="00642F8C">
            <w:pPr>
              <w:jc w:val="center"/>
              <w:rPr>
                <w:sz w:val="20"/>
                <w:szCs w:val="20"/>
              </w:rPr>
            </w:pPr>
            <w:r w:rsidRPr="00F60A91">
              <w:rPr>
                <w:sz w:val="20"/>
                <w:szCs w:val="20"/>
              </w:rPr>
              <w:t>90%</w:t>
            </w:r>
          </w:p>
        </w:tc>
      </w:tr>
      <w:tr w:rsidR="00881F8B" w:rsidRPr="00F60A91" w14:paraId="0384DCA3" w14:textId="77777777" w:rsidTr="00881F8B">
        <w:tc>
          <w:tcPr>
            <w:tcW w:w="2670" w:type="dxa"/>
          </w:tcPr>
          <w:p w14:paraId="313D5A34" w14:textId="2BF81E2C" w:rsidR="00881F8B" w:rsidRPr="00EE012E" w:rsidRDefault="00881F8B" w:rsidP="00642F8C">
            <w:pPr>
              <w:rPr>
                <w:sz w:val="20"/>
                <w:szCs w:val="20"/>
              </w:rPr>
            </w:pPr>
            <w:r w:rsidRPr="00EE012E">
              <w:rPr>
                <w:sz w:val="20"/>
                <w:szCs w:val="20"/>
              </w:rPr>
              <w:t>Number chemotherapy-ineligible willing to be treated</w:t>
            </w:r>
          </w:p>
        </w:tc>
        <w:tc>
          <w:tcPr>
            <w:tcW w:w="1351" w:type="dxa"/>
          </w:tcPr>
          <w:p w14:paraId="19BA3B15" w14:textId="77777777" w:rsidR="00881F8B" w:rsidRPr="00EE012E" w:rsidRDefault="00881F8B" w:rsidP="00642F8C">
            <w:pPr>
              <w:jc w:val="center"/>
              <w:rPr>
                <w:sz w:val="20"/>
                <w:szCs w:val="20"/>
              </w:rPr>
            </w:pPr>
            <w:r w:rsidRPr="00EE012E">
              <w:rPr>
                <w:sz w:val="20"/>
                <w:szCs w:val="20"/>
              </w:rPr>
              <w:t>G = E x F</w:t>
            </w:r>
          </w:p>
        </w:tc>
        <w:tc>
          <w:tcPr>
            <w:tcW w:w="736" w:type="dxa"/>
          </w:tcPr>
          <w:p w14:paraId="18796554" w14:textId="7ADFB9EA" w:rsidR="00881F8B" w:rsidRPr="00881F8B" w:rsidRDefault="00881F8B" w:rsidP="00642F8C">
            <w:pPr>
              <w:jc w:val="center"/>
              <w:rPr>
                <w:sz w:val="20"/>
                <w:szCs w:val="20"/>
                <w:highlight w:val="black"/>
              </w:rPr>
            </w:pPr>
            <w:r w:rsidRPr="00881F8B">
              <w:rPr>
                <w:sz w:val="20"/>
                <w:szCs w:val="20"/>
                <w:highlight w:val="black"/>
              </w:rPr>
              <w:t>XXX</w:t>
            </w:r>
          </w:p>
        </w:tc>
        <w:tc>
          <w:tcPr>
            <w:tcW w:w="736" w:type="dxa"/>
          </w:tcPr>
          <w:p w14:paraId="0431130C" w14:textId="60A63B80" w:rsidR="00881F8B" w:rsidRPr="00881F8B" w:rsidRDefault="00881F8B" w:rsidP="00642F8C">
            <w:pPr>
              <w:jc w:val="center"/>
              <w:rPr>
                <w:sz w:val="20"/>
                <w:szCs w:val="20"/>
                <w:highlight w:val="black"/>
              </w:rPr>
            </w:pPr>
            <w:r w:rsidRPr="00881F8B">
              <w:rPr>
                <w:sz w:val="20"/>
                <w:szCs w:val="20"/>
                <w:highlight w:val="black"/>
              </w:rPr>
              <w:t>XXX</w:t>
            </w:r>
          </w:p>
        </w:tc>
        <w:tc>
          <w:tcPr>
            <w:tcW w:w="736" w:type="dxa"/>
          </w:tcPr>
          <w:p w14:paraId="69B46A6E" w14:textId="5AD195D1" w:rsidR="00881F8B" w:rsidRPr="00881F8B" w:rsidRDefault="00881F8B" w:rsidP="00642F8C">
            <w:pPr>
              <w:jc w:val="center"/>
              <w:rPr>
                <w:sz w:val="20"/>
                <w:szCs w:val="20"/>
                <w:highlight w:val="black"/>
              </w:rPr>
            </w:pPr>
            <w:r w:rsidRPr="00881F8B">
              <w:rPr>
                <w:sz w:val="20"/>
                <w:szCs w:val="20"/>
                <w:highlight w:val="black"/>
              </w:rPr>
              <w:t>XXX</w:t>
            </w:r>
          </w:p>
        </w:tc>
        <w:tc>
          <w:tcPr>
            <w:tcW w:w="736" w:type="dxa"/>
          </w:tcPr>
          <w:p w14:paraId="4963EB35" w14:textId="3D4C2B32" w:rsidR="00881F8B" w:rsidRPr="00881F8B" w:rsidRDefault="00881F8B" w:rsidP="00642F8C">
            <w:pPr>
              <w:jc w:val="center"/>
              <w:rPr>
                <w:sz w:val="20"/>
                <w:szCs w:val="20"/>
                <w:highlight w:val="black"/>
              </w:rPr>
            </w:pPr>
            <w:r w:rsidRPr="00881F8B">
              <w:rPr>
                <w:sz w:val="20"/>
                <w:szCs w:val="20"/>
                <w:highlight w:val="black"/>
              </w:rPr>
              <w:t>XXX</w:t>
            </w:r>
          </w:p>
        </w:tc>
        <w:tc>
          <w:tcPr>
            <w:tcW w:w="736" w:type="dxa"/>
          </w:tcPr>
          <w:p w14:paraId="194323A7" w14:textId="65B4EE10" w:rsidR="00881F8B" w:rsidRPr="00881F8B" w:rsidRDefault="00881F8B" w:rsidP="00642F8C">
            <w:pPr>
              <w:jc w:val="center"/>
              <w:rPr>
                <w:sz w:val="20"/>
                <w:szCs w:val="20"/>
                <w:highlight w:val="black"/>
              </w:rPr>
            </w:pPr>
            <w:r w:rsidRPr="00881F8B">
              <w:rPr>
                <w:sz w:val="20"/>
                <w:szCs w:val="20"/>
                <w:highlight w:val="black"/>
              </w:rPr>
              <w:t>XXX</w:t>
            </w:r>
          </w:p>
        </w:tc>
        <w:tc>
          <w:tcPr>
            <w:tcW w:w="736" w:type="dxa"/>
          </w:tcPr>
          <w:p w14:paraId="3FBB7783" w14:textId="36555C3E" w:rsidR="00881F8B" w:rsidRPr="00881F8B" w:rsidRDefault="00881F8B" w:rsidP="00642F8C">
            <w:pPr>
              <w:jc w:val="center"/>
              <w:rPr>
                <w:sz w:val="20"/>
                <w:szCs w:val="20"/>
                <w:highlight w:val="black"/>
              </w:rPr>
            </w:pPr>
            <w:r w:rsidRPr="00881F8B">
              <w:rPr>
                <w:sz w:val="20"/>
                <w:szCs w:val="20"/>
                <w:highlight w:val="black"/>
              </w:rPr>
              <w:t>XXX</w:t>
            </w:r>
          </w:p>
        </w:tc>
        <w:tc>
          <w:tcPr>
            <w:tcW w:w="736" w:type="dxa"/>
          </w:tcPr>
          <w:p w14:paraId="15E4BF20" w14:textId="0C63BD7D" w:rsidR="00881F8B" w:rsidRPr="00881F8B" w:rsidRDefault="00881F8B" w:rsidP="00642F8C">
            <w:pPr>
              <w:jc w:val="center"/>
              <w:rPr>
                <w:sz w:val="20"/>
                <w:szCs w:val="20"/>
                <w:highlight w:val="black"/>
              </w:rPr>
            </w:pPr>
            <w:r w:rsidRPr="00881F8B">
              <w:rPr>
                <w:sz w:val="20"/>
                <w:szCs w:val="20"/>
                <w:highlight w:val="black"/>
              </w:rPr>
              <w:t>XXX</w:t>
            </w:r>
          </w:p>
        </w:tc>
      </w:tr>
      <w:tr w:rsidR="00DB12D4" w:rsidRPr="00F60A91" w14:paraId="15C81B82" w14:textId="77777777" w:rsidTr="00881F8B">
        <w:tc>
          <w:tcPr>
            <w:tcW w:w="2670" w:type="dxa"/>
          </w:tcPr>
          <w:p w14:paraId="1B10FA8F" w14:textId="57E8D49D" w:rsidR="00141045" w:rsidRPr="00EE012E" w:rsidRDefault="00141045" w:rsidP="00642F8C">
            <w:pPr>
              <w:rPr>
                <w:sz w:val="20"/>
                <w:szCs w:val="20"/>
              </w:rPr>
            </w:pPr>
            <w:r w:rsidRPr="00EE012E">
              <w:rPr>
                <w:sz w:val="20"/>
                <w:szCs w:val="20"/>
              </w:rPr>
              <w:t>Proportion chemotherapy-ineligible who are treated</w:t>
            </w:r>
          </w:p>
        </w:tc>
        <w:tc>
          <w:tcPr>
            <w:tcW w:w="1351" w:type="dxa"/>
          </w:tcPr>
          <w:p w14:paraId="75691344" w14:textId="77777777" w:rsidR="00141045" w:rsidRPr="00EE012E" w:rsidRDefault="00141045" w:rsidP="00642F8C">
            <w:pPr>
              <w:jc w:val="center"/>
              <w:rPr>
                <w:sz w:val="20"/>
                <w:szCs w:val="20"/>
              </w:rPr>
            </w:pPr>
            <w:r w:rsidRPr="00EE012E">
              <w:rPr>
                <w:sz w:val="20"/>
                <w:szCs w:val="20"/>
              </w:rPr>
              <w:t>H</w:t>
            </w:r>
          </w:p>
        </w:tc>
        <w:tc>
          <w:tcPr>
            <w:tcW w:w="736" w:type="dxa"/>
          </w:tcPr>
          <w:p w14:paraId="5B15174E" w14:textId="67094E39" w:rsidR="00141045" w:rsidRPr="00F60A91" w:rsidRDefault="00141045" w:rsidP="00642F8C">
            <w:pPr>
              <w:jc w:val="center"/>
              <w:rPr>
                <w:sz w:val="20"/>
                <w:szCs w:val="20"/>
              </w:rPr>
            </w:pPr>
            <w:r w:rsidRPr="00F60A91">
              <w:rPr>
                <w:sz w:val="20"/>
                <w:szCs w:val="20"/>
              </w:rPr>
              <w:t>0%</w:t>
            </w:r>
          </w:p>
        </w:tc>
        <w:tc>
          <w:tcPr>
            <w:tcW w:w="736" w:type="dxa"/>
          </w:tcPr>
          <w:p w14:paraId="532BF210" w14:textId="16587663" w:rsidR="00141045" w:rsidRPr="00F60A91" w:rsidRDefault="00141045" w:rsidP="00642F8C">
            <w:pPr>
              <w:jc w:val="center"/>
              <w:rPr>
                <w:sz w:val="20"/>
                <w:szCs w:val="20"/>
              </w:rPr>
            </w:pPr>
            <w:r w:rsidRPr="00F60A91">
              <w:rPr>
                <w:sz w:val="20"/>
                <w:szCs w:val="20"/>
              </w:rPr>
              <w:t>100%</w:t>
            </w:r>
          </w:p>
        </w:tc>
        <w:tc>
          <w:tcPr>
            <w:tcW w:w="736" w:type="dxa"/>
          </w:tcPr>
          <w:p w14:paraId="57F22AC6" w14:textId="704EDCFA" w:rsidR="00141045" w:rsidRPr="00F60A91" w:rsidRDefault="00141045" w:rsidP="00642F8C">
            <w:pPr>
              <w:jc w:val="center"/>
              <w:rPr>
                <w:sz w:val="20"/>
                <w:szCs w:val="20"/>
              </w:rPr>
            </w:pPr>
            <w:r w:rsidRPr="00F60A91">
              <w:rPr>
                <w:sz w:val="20"/>
                <w:szCs w:val="20"/>
              </w:rPr>
              <w:t>100%</w:t>
            </w:r>
          </w:p>
        </w:tc>
        <w:tc>
          <w:tcPr>
            <w:tcW w:w="736" w:type="dxa"/>
          </w:tcPr>
          <w:p w14:paraId="005FDB67" w14:textId="02E84000" w:rsidR="00141045" w:rsidRPr="00F60A91" w:rsidRDefault="00141045" w:rsidP="00642F8C">
            <w:pPr>
              <w:jc w:val="center"/>
              <w:rPr>
                <w:sz w:val="20"/>
                <w:szCs w:val="20"/>
              </w:rPr>
            </w:pPr>
            <w:r w:rsidRPr="00F60A91">
              <w:rPr>
                <w:sz w:val="20"/>
                <w:szCs w:val="20"/>
              </w:rPr>
              <w:t>100%</w:t>
            </w:r>
          </w:p>
        </w:tc>
        <w:tc>
          <w:tcPr>
            <w:tcW w:w="736" w:type="dxa"/>
          </w:tcPr>
          <w:p w14:paraId="7870C05A" w14:textId="52EAE9D8" w:rsidR="00141045" w:rsidRPr="00F60A91" w:rsidRDefault="00141045" w:rsidP="00642F8C">
            <w:pPr>
              <w:jc w:val="center"/>
              <w:rPr>
                <w:sz w:val="20"/>
                <w:szCs w:val="20"/>
              </w:rPr>
            </w:pPr>
            <w:r w:rsidRPr="00F60A91">
              <w:rPr>
                <w:sz w:val="20"/>
                <w:szCs w:val="20"/>
              </w:rPr>
              <w:t>100%</w:t>
            </w:r>
          </w:p>
        </w:tc>
        <w:tc>
          <w:tcPr>
            <w:tcW w:w="736" w:type="dxa"/>
          </w:tcPr>
          <w:p w14:paraId="189036E8" w14:textId="125CD994" w:rsidR="00141045" w:rsidRPr="00F60A91" w:rsidRDefault="00141045" w:rsidP="00642F8C">
            <w:pPr>
              <w:jc w:val="center"/>
              <w:rPr>
                <w:sz w:val="20"/>
                <w:szCs w:val="20"/>
              </w:rPr>
            </w:pPr>
            <w:r w:rsidRPr="00F60A91">
              <w:rPr>
                <w:sz w:val="20"/>
                <w:szCs w:val="20"/>
              </w:rPr>
              <w:t>100%</w:t>
            </w:r>
          </w:p>
        </w:tc>
        <w:tc>
          <w:tcPr>
            <w:tcW w:w="736" w:type="dxa"/>
          </w:tcPr>
          <w:p w14:paraId="6F972DE2" w14:textId="038AEB75" w:rsidR="00141045" w:rsidRPr="00F60A91" w:rsidRDefault="00141045" w:rsidP="00642F8C">
            <w:pPr>
              <w:jc w:val="center"/>
              <w:rPr>
                <w:sz w:val="20"/>
                <w:szCs w:val="20"/>
              </w:rPr>
            </w:pPr>
            <w:r w:rsidRPr="00F60A91">
              <w:rPr>
                <w:sz w:val="20"/>
                <w:szCs w:val="20"/>
              </w:rPr>
              <w:t>100%</w:t>
            </w:r>
          </w:p>
        </w:tc>
      </w:tr>
      <w:tr w:rsidR="00881F8B" w:rsidRPr="00F60A91" w14:paraId="0F6D7072" w14:textId="77777777" w:rsidTr="00881F8B">
        <w:tc>
          <w:tcPr>
            <w:tcW w:w="2670" w:type="dxa"/>
          </w:tcPr>
          <w:p w14:paraId="38D40CFD" w14:textId="5B19333C" w:rsidR="00881F8B" w:rsidRPr="00EE012E" w:rsidRDefault="00881F8B" w:rsidP="00642F8C">
            <w:pPr>
              <w:rPr>
                <w:b/>
                <w:sz w:val="20"/>
                <w:szCs w:val="20"/>
              </w:rPr>
            </w:pPr>
            <w:r w:rsidRPr="00EE012E">
              <w:rPr>
                <w:b/>
                <w:sz w:val="20"/>
                <w:szCs w:val="20"/>
              </w:rPr>
              <w:t>Estimated eligible population</w:t>
            </w:r>
          </w:p>
        </w:tc>
        <w:tc>
          <w:tcPr>
            <w:tcW w:w="1351" w:type="dxa"/>
          </w:tcPr>
          <w:p w14:paraId="3A0319AE" w14:textId="77777777" w:rsidR="00881F8B" w:rsidRPr="00EE012E" w:rsidRDefault="00881F8B" w:rsidP="00642F8C">
            <w:pPr>
              <w:jc w:val="center"/>
              <w:rPr>
                <w:b/>
                <w:sz w:val="20"/>
                <w:szCs w:val="20"/>
              </w:rPr>
            </w:pPr>
            <w:r w:rsidRPr="00EE012E">
              <w:rPr>
                <w:b/>
                <w:sz w:val="20"/>
                <w:szCs w:val="20"/>
              </w:rPr>
              <w:t>I</w:t>
            </w:r>
          </w:p>
        </w:tc>
        <w:tc>
          <w:tcPr>
            <w:tcW w:w="736" w:type="dxa"/>
          </w:tcPr>
          <w:p w14:paraId="23FD04E6" w14:textId="7FA6928E" w:rsidR="00881F8B" w:rsidRPr="00881F8B" w:rsidRDefault="00881F8B" w:rsidP="00642F8C">
            <w:pPr>
              <w:jc w:val="center"/>
              <w:rPr>
                <w:b/>
                <w:sz w:val="20"/>
                <w:szCs w:val="20"/>
                <w:highlight w:val="black"/>
              </w:rPr>
            </w:pPr>
            <w:r w:rsidRPr="00881F8B">
              <w:rPr>
                <w:b/>
                <w:sz w:val="20"/>
                <w:szCs w:val="20"/>
                <w:highlight w:val="black"/>
              </w:rPr>
              <w:t>X</w:t>
            </w:r>
          </w:p>
        </w:tc>
        <w:tc>
          <w:tcPr>
            <w:tcW w:w="736" w:type="dxa"/>
          </w:tcPr>
          <w:p w14:paraId="3CB1B97B" w14:textId="00C1C1E1" w:rsidR="00881F8B" w:rsidRPr="00881F8B" w:rsidRDefault="00881F8B" w:rsidP="00642F8C">
            <w:pPr>
              <w:jc w:val="center"/>
              <w:rPr>
                <w:b/>
                <w:sz w:val="20"/>
                <w:szCs w:val="20"/>
                <w:highlight w:val="black"/>
              </w:rPr>
            </w:pPr>
            <w:r w:rsidRPr="00881F8B">
              <w:rPr>
                <w:b/>
                <w:sz w:val="20"/>
                <w:szCs w:val="20"/>
                <w:highlight w:val="black"/>
              </w:rPr>
              <w:t>XXX</w:t>
            </w:r>
          </w:p>
        </w:tc>
        <w:tc>
          <w:tcPr>
            <w:tcW w:w="736" w:type="dxa"/>
          </w:tcPr>
          <w:p w14:paraId="092579EE" w14:textId="5EE721DC" w:rsidR="00881F8B" w:rsidRPr="00881F8B" w:rsidRDefault="00881F8B" w:rsidP="00642F8C">
            <w:pPr>
              <w:jc w:val="center"/>
              <w:rPr>
                <w:b/>
                <w:sz w:val="20"/>
                <w:szCs w:val="20"/>
                <w:highlight w:val="black"/>
              </w:rPr>
            </w:pPr>
            <w:r w:rsidRPr="00881F8B">
              <w:rPr>
                <w:b/>
                <w:sz w:val="20"/>
                <w:szCs w:val="20"/>
                <w:highlight w:val="black"/>
              </w:rPr>
              <w:t>XXX</w:t>
            </w:r>
          </w:p>
        </w:tc>
        <w:tc>
          <w:tcPr>
            <w:tcW w:w="736" w:type="dxa"/>
          </w:tcPr>
          <w:p w14:paraId="7DC3558E" w14:textId="11E68FC2" w:rsidR="00881F8B" w:rsidRPr="00881F8B" w:rsidRDefault="00881F8B" w:rsidP="00642F8C">
            <w:pPr>
              <w:jc w:val="center"/>
              <w:rPr>
                <w:b/>
                <w:sz w:val="20"/>
                <w:szCs w:val="20"/>
                <w:highlight w:val="black"/>
              </w:rPr>
            </w:pPr>
            <w:r w:rsidRPr="00881F8B">
              <w:rPr>
                <w:b/>
                <w:sz w:val="20"/>
                <w:szCs w:val="20"/>
                <w:highlight w:val="black"/>
              </w:rPr>
              <w:t>XXX</w:t>
            </w:r>
          </w:p>
        </w:tc>
        <w:tc>
          <w:tcPr>
            <w:tcW w:w="736" w:type="dxa"/>
          </w:tcPr>
          <w:p w14:paraId="49B62E55" w14:textId="2606B9DB" w:rsidR="00881F8B" w:rsidRPr="00881F8B" w:rsidRDefault="00881F8B" w:rsidP="00642F8C">
            <w:pPr>
              <w:jc w:val="center"/>
              <w:rPr>
                <w:b/>
                <w:sz w:val="20"/>
                <w:szCs w:val="20"/>
                <w:highlight w:val="black"/>
              </w:rPr>
            </w:pPr>
            <w:r w:rsidRPr="00881F8B">
              <w:rPr>
                <w:b/>
                <w:sz w:val="20"/>
                <w:szCs w:val="20"/>
                <w:highlight w:val="black"/>
              </w:rPr>
              <w:t>XXX</w:t>
            </w:r>
          </w:p>
        </w:tc>
        <w:tc>
          <w:tcPr>
            <w:tcW w:w="736" w:type="dxa"/>
          </w:tcPr>
          <w:p w14:paraId="6D1C558F" w14:textId="15571B43" w:rsidR="00881F8B" w:rsidRPr="00881F8B" w:rsidRDefault="00881F8B" w:rsidP="00642F8C">
            <w:pPr>
              <w:jc w:val="center"/>
              <w:rPr>
                <w:b/>
                <w:sz w:val="20"/>
                <w:szCs w:val="20"/>
                <w:highlight w:val="black"/>
              </w:rPr>
            </w:pPr>
            <w:r w:rsidRPr="00881F8B">
              <w:rPr>
                <w:b/>
                <w:sz w:val="20"/>
                <w:szCs w:val="20"/>
                <w:highlight w:val="black"/>
              </w:rPr>
              <w:t>XXX</w:t>
            </w:r>
          </w:p>
        </w:tc>
        <w:tc>
          <w:tcPr>
            <w:tcW w:w="736" w:type="dxa"/>
          </w:tcPr>
          <w:p w14:paraId="730B3141" w14:textId="0B39D849" w:rsidR="00881F8B" w:rsidRPr="00881F8B" w:rsidRDefault="00881F8B" w:rsidP="00642F8C">
            <w:pPr>
              <w:jc w:val="center"/>
              <w:rPr>
                <w:b/>
                <w:sz w:val="20"/>
                <w:szCs w:val="20"/>
                <w:highlight w:val="black"/>
              </w:rPr>
            </w:pPr>
            <w:r w:rsidRPr="00881F8B">
              <w:rPr>
                <w:b/>
                <w:sz w:val="20"/>
                <w:szCs w:val="20"/>
                <w:highlight w:val="black"/>
              </w:rPr>
              <w:t>XXX</w:t>
            </w:r>
          </w:p>
        </w:tc>
      </w:tr>
    </w:tbl>
    <w:p w14:paraId="0ABF4B09" w14:textId="77777777" w:rsidR="00D02D64" w:rsidRDefault="00D02D64" w:rsidP="002D353B"/>
    <w:p w14:paraId="5C6BFB0D" w14:textId="3FECD470" w:rsidR="00294E48" w:rsidRPr="00B02785" w:rsidRDefault="000A2532" w:rsidP="002D353B">
      <w:r w:rsidRPr="00B02785">
        <w:t xml:space="preserve">In estimating the number of patients treated with cabazitaxel and abiraterone, it was assumed that </w:t>
      </w:r>
      <w:r w:rsidR="00881F8B" w:rsidRPr="00881F8B">
        <w:rPr>
          <w:highlight w:val="black"/>
        </w:rPr>
        <w:t>XXX</w:t>
      </w:r>
      <w:r w:rsidRPr="00B02785">
        <w:t xml:space="preserve"> chemotherapy-ineligible patients</w:t>
      </w:r>
      <w:r w:rsidR="000468D0">
        <w:t xml:space="preserve"> treated</w:t>
      </w:r>
      <w:r w:rsidRPr="00B02785">
        <w:t xml:space="preserve"> would receive abiraterone and </w:t>
      </w:r>
      <w:r w:rsidR="00881F8B" w:rsidRPr="00881F8B">
        <w:rPr>
          <w:highlight w:val="black"/>
        </w:rPr>
        <w:t>XXX</w:t>
      </w:r>
      <w:r w:rsidRPr="00B02785">
        <w:t xml:space="preserve"> of chemotherapy-eligible patients</w:t>
      </w:r>
      <w:r w:rsidR="000468D0">
        <w:t xml:space="preserve"> treated</w:t>
      </w:r>
      <w:r w:rsidRPr="00B02785">
        <w:t xml:space="preserve"> wo</w:t>
      </w:r>
      <w:r w:rsidR="00C73DD4">
        <w:t>uld receive abiraterone (Table 8</w:t>
      </w:r>
      <w:r w:rsidRPr="00B02785">
        <w:t>).</w:t>
      </w:r>
    </w:p>
    <w:p w14:paraId="51AC3A82" w14:textId="028F665C" w:rsidR="008049CA" w:rsidRPr="00B02785" w:rsidRDefault="0091753B" w:rsidP="002D353B">
      <w:r w:rsidRPr="00886B02">
        <w:t xml:space="preserve">The mean </w:t>
      </w:r>
      <w:r w:rsidR="00FD1C0C" w:rsidRPr="00886B02">
        <w:t xml:space="preserve">number of </w:t>
      </w:r>
      <w:r w:rsidR="008F25B5" w:rsidRPr="00886B02">
        <w:t xml:space="preserve">cycles </w:t>
      </w:r>
      <w:r w:rsidR="00B04D3E" w:rsidRPr="00886B02">
        <w:t>was</w:t>
      </w:r>
      <w:r w:rsidRPr="00886B02">
        <w:t xml:space="preserve"> applied to the number of patients to estimate the numbe</w:t>
      </w:r>
      <w:r w:rsidR="00A0461F" w:rsidRPr="00886B02">
        <w:t>r of prescriptions for cabazitaxel</w:t>
      </w:r>
      <w:r w:rsidRPr="00886B02">
        <w:t>. The</w:t>
      </w:r>
      <w:r w:rsidRPr="00B02785">
        <w:t xml:space="preserve"> same a</w:t>
      </w:r>
      <w:r w:rsidR="00A46328">
        <w:t>pproach was used for abiraterone</w:t>
      </w:r>
      <w:r w:rsidRPr="00B02785">
        <w:t>.</w:t>
      </w:r>
      <w:r w:rsidR="00A0461F" w:rsidRPr="00B02785">
        <w:t xml:space="preserve"> The estimated utilisation of cabazitaxel and</w:t>
      </w:r>
      <w:r w:rsidR="00C73DD4">
        <w:t xml:space="preserve"> abiraterone is shown in Table 8</w:t>
      </w:r>
      <w:r w:rsidR="00A0461F" w:rsidRPr="00B02785">
        <w:t>.</w:t>
      </w:r>
    </w:p>
    <w:p w14:paraId="7A9E4741" w14:textId="6478AFFC" w:rsidR="008F3F9F" w:rsidRPr="00B02785" w:rsidRDefault="00C73DD4" w:rsidP="003548A0">
      <w:pPr>
        <w:pStyle w:val="Tabletitle"/>
      </w:pPr>
      <w:r>
        <w:t>Table 8</w:t>
      </w:r>
      <w:r w:rsidR="00F60A91">
        <w:t>:</w:t>
      </w:r>
      <w:r w:rsidR="000A2532" w:rsidRPr="00B02785">
        <w:t xml:space="preserve"> </w:t>
      </w:r>
      <w:r w:rsidR="001F7A2B" w:rsidRPr="00B02785">
        <w:t xml:space="preserve">Estimated utilisation for cabazitaxel and </w:t>
      </w:r>
      <w:r w:rsidR="00D045FA" w:rsidRPr="00B02785">
        <w:t>abiraterone</w:t>
      </w:r>
    </w:p>
    <w:tbl>
      <w:tblPr>
        <w:tblStyle w:val="TableGrid"/>
        <w:tblW w:w="0" w:type="auto"/>
        <w:tblLook w:val="04A0" w:firstRow="1" w:lastRow="0" w:firstColumn="1" w:lastColumn="0" w:noHBand="0" w:noVBand="1"/>
        <w:tblCaption w:val="Estimated utilisation for cabazitaxel and abiraterone"/>
        <w:tblDescription w:val="A table of Estimated utilisation for cabazitaxel and abiraterone. There are redactions"/>
      </w:tblPr>
      <w:tblGrid>
        <w:gridCol w:w="3597"/>
        <w:gridCol w:w="1098"/>
        <w:gridCol w:w="838"/>
        <w:gridCol w:w="728"/>
        <w:gridCol w:w="728"/>
        <w:gridCol w:w="728"/>
        <w:gridCol w:w="728"/>
        <w:gridCol w:w="728"/>
      </w:tblGrid>
      <w:tr w:rsidR="00D045FA" w:rsidRPr="00F60A91" w14:paraId="2AAF1161" w14:textId="77777777" w:rsidTr="00EF2359">
        <w:trPr>
          <w:tblHeader/>
        </w:trPr>
        <w:tc>
          <w:tcPr>
            <w:tcW w:w="3597" w:type="dxa"/>
            <w:shd w:val="clear" w:color="auto" w:fill="BFBFBF" w:themeFill="background1" w:themeFillShade="BF"/>
          </w:tcPr>
          <w:p w14:paraId="76868329" w14:textId="77777777" w:rsidR="00D045FA" w:rsidRPr="00F60A91" w:rsidRDefault="00D045FA" w:rsidP="002D353B">
            <w:pPr>
              <w:rPr>
                <w:sz w:val="20"/>
                <w:szCs w:val="20"/>
              </w:rPr>
            </w:pPr>
          </w:p>
        </w:tc>
        <w:tc>
          <w:tcPr>
            <w:tcW w:w="1098" w:type="dxa"/>
            <w:shd w:val="clear" w:color="auto" w:fill="BFBFBF" w:themeFill="background1" w:themeFillShade="BF"/>
          </w:tcPr>
          <w:p w14:paraId="267F083A" w14:textId="249D4CF2" w:rsidR="00D045FA" w:rsidRPr="00F60A91" w:rsidRDefault="00D045FA" w:rsidP="00554675">
            <w:pPr>
              <w:jc w:val="center"/>
              <w:rPr>
                <w:rFonts w:cs="Arial"/>
                <w:b/>
                <w:bCs/>
                <w:color w:val="000000"/>
                <w:sz w:val="20"/>
                <w:szCs w:val="20"/>
              </w:rPr>
            </w:pPr>
            <w:r w:rsidRPr="00F60A91">
              <w:rPr>
                <w:rFonts w:cs="Arial"/>
                <w:b/>
                <w:bCs/>
                <w:color w:val="000000"/>
                <w:sz w:val="20"/>
                <w:szCs w:val="20"/>
              </w:rPr>
              <w:t>Model step</w:t>
            </w:r>
          </w:p>
        </w:tc>
        <w:tc>
          <w:tcPr>
            <w:tcW w:w="838" w:type="dxa"/>
            <w:shd w:val="clear" w:color="auto" w:fill="BFBFBF" w:themeFill="background1" w:themeFillShade="BF"/>
            <w:vAlign w:val="bottom"/>
          </w:tcPr>
          <w:p w14:paraId="628F2B92" w14:textId="11593626" w:rsidR="00D045FA" w:rsidRPr="00F60A91" w:rsidRDefault="00D045FA" w:rsidP="00554675">
            <w:pPr>
              <w:jc w:val="center"/>
              <w:rPr>
                <w:sz w:val="20"/>
                <w:szCs w:val="20"/>
              </w:rPr>
            </w:pPr>
            <w:r w:rsidRPr="00F60A91">
              <w:rPr>
                <w:rFonts w:cs="Arial"/>
                <w:b/>
                <w:bCs/>
                <w:color w:val="000000"/>
                <w:sz w:val="20"/>
                <w:szCs w:val="20"/>
              </w:rPr>
              <w:t>2013</w:t>
            </w:r>
          </w:p>
        </w:tc>
        <w:tc>
          <w:tcPr>
            <w:tcW w:w="728" w:type="dxa"/>
            <w:shd w:val="clear" w:color="auto" w:fill="BFBFBF" w:themeFill="background1" w:themeFillShade="BF"/>
            <w:vAlign w:val="bottom"/>
          </w:tcPr>
          <w:p w14:paraId="298769D7" w14:textId="59B8E9DA" w:rsidR="00D045FA" w:rsidRPr="00F60A91" w:rsidRDefault="00D045FA" w:rsidP="00554675">
            <w:pPr>
              <w:jc w:val="center"/>
              <w:rPr>
                <w:sz w:val="20"/>
                <w:szCs w:val="20"/>
              </w:rPr>
            </w:pPr>
            <w:r w:rsidRPr="00F60A91">
              <w:rPr>
                <w:rFonts w:cs="Arial"/>
                <w:b/>
                <w:bCs/>
                <w:color w:val="000000"/>
                <w:sz w:val="20"/>
                <w:szCs w:val="20"/>
              </w:rPr>
              <w:t>2014</w:t>
            </w:r>
          </w:p>
        </w:tc>
        <w:tc>
          <w:tcPr>
            <w:tcW w:w="728" w:type="dxa"/>
            <w:shd w:val="clear" w:color="auto" w:fill="BFBFBF" w:themeFill="background1" w:themeFillShade="BF"/>
            <w:vAlign w:val="bottom"/>
          </w:tcPr>
          <w:p w14:paraId="4AF422DD" w14:textId="25F04862" w:rsidR="00D045FA" w:rsidRPr="00F60A91" w:rsidRDefault="00D045FA" w:rsidP="00554675">
            <w:pPr>
              <w:jc w:val="center"/>
              <w:rPr>
                <w:sz w:val="20"/>
                <w:szCs w:val="20"/>
              </w:rPr>
            </w:pPr>
            <w:r w:rsidRPr="00F60A91">
              <w:rPr>
                <w:rFonts w:cs="Arial"/>
                <w:b/>
                <w:bCs/>
                <w:color w:val="000000"/>
                <w:sz w:val="20"/>
                <w:szCs w:val="20"/>
              </w:rPr>
              <w:t>2015</w:t>
            </w:r>
          </w:p>
        </w:tc>
        <w:tc>
          <w:tcPr>
            <w:tcW w:w="728" w:type="dxa"/>
            <w:shd w:val="clear" w:color="auto" w:fill="BFBFBF" w:themeFill="background1" w:themeFillShade="BF"/>
            <w:vAlign w:val="bottom"/>
          </w:tcPr>
          <w:p w14:paraId="12EA5640" w14:textId="0E159891" w:rsidR="00D045FA" w:rsidRPr="00F60A91" w:rsidRDefault="00D045FA" w:rsidP="00554675">
            <w:pPr>
              <w:jc w:val="center"/>
              <w:rPr>
                <w:sz w:val="20"/>
                <w:szCs w:val="20"/>
              </w:rPr>
            </w:pPr>
            <w:r w:rsidRPr="00F60A91">
              <w:rPr>
                <w:rFonts w:cs="Arial"/>
                <w:b/>
                <w:bCs/>
                <w:color w:val="000000"/>
                <w:sz w:val="20"/>
                <w:szCs w:val="20"/>
              </w:rPr>
              <w:t>2016</w:t>
            </w:r>
          </w:p>
        </w:tc>
        <w:tc>
          <w:tcPr>
            <w:tcW w:w="728" w:type="dxa"/>
            <w:shd w:val="clear" w:color="auto" w:fill="BFBFBF" w:themeFill="background1" w:themeFillShade="BF"/>
            <w:vAlign w:val="bottom"/>
          </w:tcPr>
          <w:p w14:paraId="42FB802F" w14:textId="6D8AB8A8" w:rsidR="00D045FA" w:rsidRPr="00F60A91" w:rsidRDefault="00D045FA" w:rsidP="00554675">
            <w:pPr>
              <w:jc w:val="center"/>
              <w:rPr>
                <w:sz w:val="20"/>
                <w:szCs w:val="20"/>
              </w:rPr>
            </w:pPr>
            <w:r w:rsidRPr="00F60A91">
              <w:rPr>
                <w:rFonts w:cs="Arial"/>
                <w:b/>
                <w:bCs/>
                <w:color w:val="000000"/>
                <w:sz w:val="20"/>
                <w:szCs w:val="20"/>
              </w:rPr>
              <w:t>2017</w:t>
            </w:r>
          </w:p>
        </w:tc>
        <w:tc>
          <w:tcPr>
            <w:tcW w:w="728" w:type="dxa"/>
            <w:shd w:val="clear" w:color="auto" w:fill="BFBFBF" w:themeFill="background1" w:themeFillShade="BF"/>
            <w:vAlign w:val="bottom"/>
          </w:tcPr>
          <w:p w14:paraId="457167FC" w14:textId="7DDAF7E5" w:rsidR="00D045FA" w:rsidRPr="00F60A91" w:rsidRDefault="00D045FA" w:rsidP="00554675">
            <w:pPr>
              <w:jc w:val="center"/>
              <w:rPr>
                <w:sz w:val="20"/>
                <w:szCs w:val="20"/>
              </w:rPr>
            </w:pPr>
            <w:r w:rsidRPr="00F60A91">
              <w:rPr>
                <w:rFonts w:cs="Arial"/>
                <w:b/>
                <w:bCs/>
                <w:color w:val="000000"/>
                <w:sz w:val="20"/>
                <w:szCs w:val="20"/>
              </w:rPr>
              <w:t>2018</w:t>
            </w:r>
          </w:p>
        </w:tc>
      </w:tr>
      <w:tr w:rsidR="00D045FA" w:rsidRPr="00F60A91" w14:paraId="68A05F22" w14:textId="77777777" w:rsidTr="004F7278">
        <w:tc>
          <w:tcPr>
            <w:tcW w:w="9173" w:type="dxa"/>
            <w:gridSpan w:val="8"/>
            <w:shd w:val="clear" w:color="auto" w:fill="BFBFBF" w:themeFill="background1" w:themeFillShade="BF"/>
          </w:tcPr>
          <w:p w14:paraId="3A04E3B5" w14:textId="7A3CAD1F" w:rsidR="00D045FA" w:rsidRPr="00F60A91" w:rsidRDefault="00D045FA" w:rsidP="002D353B">
            <w:pPr>
              <w:rPr>
                <w:b/>
                <w:sz w:val="20"/>
                <w:szCs w:val="20"/>
              </w:rPr>
            </w:pPr>
            <w:r w:rsidRPr="00F60A91">
              <w:rPr>
                <w:b/>
                <w:sz w:val="20"/>
                <w:szCs w:val="20"/>
              </w:rPr>
              <w:t>Chemotherapy-eligible patients</w:t>
            </w:r>
          </w:p>
        </w:tc>
      </w:tr>
      <w:tr w:rsidR="0097586D" w:rsidRPr="00F60A91" w14:paraId="73190E10" w14:textId="77777777" w:rsidTr="00883F7F">
        <w:tc>
          <w:tcPr>
            <w:tcW w:w="3597" w:type="dxa"/>
          </w:tcPr>
          <w:p w14:paraId="193A801F" w14:textId="4A3A2B2C" w:rsidR="0097586D" w:rsidRPr="00EE012E" w:rsidRDefault="0097586D" w:rsidP="00D045FA">
            <w:pPr>
              <w:rPr>
                <w:sz w:val="20"/>
                <w:szCs w:val="20"/>
              </w:rPr>
            </w:pPr>
            <w:r w:rsidRPr="00EE012E">
              <w:rPr>
                <w:sz w:val="20"/>
                <w:szCs w:val="20"/>
              </w:rPr>
              <w:t>Number of eligible (treated) patients</w:t>
            </w:r>
          </w:p>
        </w:tc>
        <w:tc>
          <w:tcPr>
            <w:tcW w:w="1098" w:type="dxa"/>
          </w:tcPr>
          <w:p w14:paraId="1DD99531" w14:textId="419DB69B" w:rsidR="0097586D" w:rsidRPr="00EE012E" w:rsidRDefault="0097586D" w:rsidP="002D353B">
            <w:pPr>
              <w:rPr>
                <w:sz w:val="20"/>
                <w:szCs w:val="20"/>
              </w:rPr>
            </w:pPr>
            <w:r w:rsidRPr="00EE012E">
              <w:rPr>
                <w:sz w:val="20"/>
                <w:szCs w:val="20"/>
              </w:rPr>
              <w:t>A</w:t>
            </w:r>
          </w:p>
        </w:tc>
        <w:tc>
          <w:tcPr>
            <w:tcW w:w="838" w:type="dxa"/>
          </w:tcPr>
          <w:p w14:paraId="038455DF" w14:textId="6E0B56EC" w:rsidR="0097586D" w:rsidRPr="0097586D" w:rsidRDefault="0097586D" w:rsidP="00554675">
            <w:pPr>
              <w:jc w:val="center"/>
              <w:rPr>
                <w:sz w:val="20"/>
                <w:szCs w:val="20"/>
                <w:highlight w:val="black"/>
              </w:rPr>
            </w:pPr>
            <w:r w:rsidRPr="0097586D">
              <w:rPr>
                <w:sz w:val="20"/>
                <w:szCs w:val="20"/>
                <w:highlight w:val="black"/>
              </w:rPr>
              <w:t>XXX</w:t>
            </w:r>
          </w:p>
        </w:tc>
        <w:tc>
          <w:tcPr>
            <w:tcW w:w="728" w:type="dxa"/>
          </w:tcPr>
          <w:p w14:paraId="06DEF0CE" w14:textId="0557D998" w:rsidR="0097586D" w:rsidRPr="0097586D" w:rsidRDefault="0097586D" w:rsidP="00554675">
            <w:pPr>
              <w:jc w:val="center"/>
              <w:rPr>
                <w:sz w:val="20"/>
                <w:szCs w:val="20"/>
                <w:highlight w:val="black"/>
              </w:rPr>
            </w:pPr>
            <w:r w:rsidRPr="0097586D">
              <w:rPr>
                <w:sz w:val="20"/>
                <w:szCs w:val="20"/>
                <w:highlight w:val="black"/>
              </w:rPr>
              <w:t>XXX</w:t>
            </w:r>
          </w:p>
        </w:tc>
        <w:tc>
          <w:tcPr>
            <w:tcW w:w="728" w:type="dxa"/>
          </w:tcPr>
          <w:p w14:paraId="31C8C96E" w14:textId="55CC69FB" w:rsidR="0097586D" w:rsidRPr="0097586D" w:rsidRDefault="0097586D" w:rsidP="00554675">
            <w:pPr>
              <w:jc w:val="center"/>
              <w:rPr>
                <w:sz w:val="20"/>
                <w:szCs w:val="20"/>
                <w:highlight w:val="black"/>
              </w:rPr>
            </w:pPr>
            <w:r w:rsidRPr="0097586D">
              <w:rPr>
                <w:sz w:val="20"/>
                <w:szCs w:val="20"/>
                <w:highlight w:val="black"/>
              </w:rPr>
              <w:t>XXX</w:t>
            </w:r>
          </w:p>
        </w:tc>
        <w:tc>
          <w:tcPr>
            <w:tcW w:w="728" w:type="dxa"/>
          </w:tcPr>
          <w:p w14:paraId="7EE45C72" w14:textId="6211B99D" w:rsidR="0097586D" w:rsidRPr="0097586D" w:rsidRDefault="0097586D" w:rsidP="00554675">
            <w:pPr>
              <w:jc w:val="center"/>
              <w:rPr>
                <w:sz w:val="20"/>
                <w:szCs w:val="20"/>
                <w:highlight w:val="black"/>
              </w:rPr>
            </w:pPr>
            <w:r w:rsidRPr="0097586D">
              <w:rPr>
                <w:sz w:val="20"/>
                <w:szCs w:val="20"/>
                <w:highlight w:val="black"/>
              </w:rPr>
              <w:t>XXX</w:t>
            </w:r>
          </w:p>
        </w:tc>
        <w:tc>
          <w:tcPr>
            <w:tcW w:w="728" w:type="dxa"/>
          </w:tcPr>
          <w:p w14:paraId="19BB794D" w14:textId="0DE05185" w:rsidR="0097586D" w:rsidRPr="0097586D" w:rsidRDefault="0097586D" w:rsidP="00554675">
            <w:pPr>
              <w:jc w:val="center"/>
              <w:rPr>
                <w:sz w:val="20"/>
                <w:szCs w:val="20"/>
                <w:highlight w:val="black"/>
              </w:rPr>
            </w:pPr>
            <w:r w:rsidRPr="0097586D">
              <w:rPr>
                <w:sz w:val="20"/>
                <w:szCs w:val="20"/>
                <w:highlight w:val="black"/>
              </w:rPr>
              <w:t>XXX</w:t>
            </w:r>
          </w:p>
        </w:tc>
        <w:tc>
          <w:tcPr>
            <w:tcW w:w="728" w:type="dxa"/>
          </w:tcPr>
          <w:p w14:paraId="48294A6D" w14:textId="0E08519A" w:rsidR="0097586D" w:rsidRPr="0097586D" w:rsidRDefault="0097586D" w:rsidP="00554675">
            <w:pPr>
              <w:jc w:val="center"/>
              <w:rPr>
                <w:sz w:val="20"/>
                <w:szCs w:val="20"/>
                <w:highlight w:val="black"/>
              </w:rPr>
            </w:pPr>
            <w:r w:rsidRPr="0097586D">
              <w:rPr>
                <w:sz w:val="20"/>
                <w:szCs w:val="20"/>
                <w:highlight w:val="black"/>
              </w:rPr>
              <w:t>XXX</w:t>
            </w:r>
          </w:p>
        </w:tc>
      </w:tr>
      <w:tr w:rsidR="0097586D" w:rsidRPr="00F60A91" w14:paraId="04F313E6" w14:textId="77777777" w:rsidTr="00883F7F">
        <w:tc>
          <w:tcPr>
            <w:tcW w:w="3597" w:type="dxa"/>
          </w:tcPr>
          <w:p w14:paraId="233D6D2E" w14:textId="72EE7BDA" w:rsidR="0097586D" w:rsidRPr="00EE012E" w:rsidRDefault="0097586D" w:rsidP="002D353B">
            <w:pPr>
              <w:rPr>
                <w:sz w:val="20"/>
                <w:szCs w:val="20"/>
              </w:rPr>
            </w:pPr>
            <w:r w:rsidRPr="00EE012E">
              <w:rPr>
                <w:sz w:val="20"/>
                <w:szCs w:val="20"/>
              </w:rPr>
              <w:t>Uptake rate for abiraterone</w:t>
            </w:r>
          </w:p>
        </w:tc>
        <w:tc>
          <w:tcPr>
            <w:tcW w:w="1098" w:type="dxa"/>
          </w:tcPr>
          <w:p w14:paraId="2AD25AB4" w14:textId="4F67045C" w:rsidR="0097586D" w:rsidRPr="00EE012E" w:rsidRDefault="0097586D" w:rsidP="002D353B">
            <w:pPr>
              <w:rPr>
                <w:sz w:val="20"/>
                <w:szCs w:val="20"/>
              </w:rPr>
            </w:pPr>
            <w:r w:rsidRPr="00EE012E">
              <w:rPr>
                <w:sz w:val="20"/>
                <w:szCs w:val="20"/>
              </w:rPr>
              <w:t>B</w:t>
            </w:r>
          </w:p>
        </w:tc>
        <w:tc>
          <w:tcPr>
            <w:tcW w:w="838" w:type="dxa"/>
          </w:tcPr>
          <w:p w14:paraId="3632D989" w14:textId="18CFB98B" w:rsidR="0097586D" w:rsidRPr="0097586D" w:rsidRDefault="0097586D" w:rsidP="00554675">
            <w:pPr>
              <w:jc w:val="center"/>
              <w:rPr>
                <w:sz w:val="20"/>
                <w:szCs w:val="20"/>
                <w:highlight w:val="black"/>
              </w:rPr>
            </w:pPr>
            <w:r w:rsidRPr="0097586D">
              <w:rPr>
                <w:sz w:val="20"/>
                <w:szCs w:val="20"/>
                <w:highlight w:val="black"/>
              </w:rPr>
              <w:t>XXX</w:t>
            </w:r>
          </w:p>
        </w:tc>
        <w:tc>
          <w:tcPr>
            <w:tcW w:w="728" w:type="dxa"/>
          </w:tcPr>
          <w:p w14:paraId="57D0296C" w14:textId="2EAE8FD6" w:rsidR="0097586D" w:rsidRPr="0097586D" w:rsidRDefault="0097586D" w:rsidP="00554675">
            <w:pPr>
              <w:jc w:val="center"/>
              <w:rPr>
                <w:sz w:val="20"/>
                <w:szCs w:val="20"/>
                <w:highlight w:val="black"/>
              </w:rPr>
            </w:pPr>
            <w:r w:rsidRPr="0097586D">
              <w:rPr>
                <w:sz w:val="20"/>
                <w:szCs w:val="20"/>
                <w:highlight w:val="black"/>
              </w:rPr>
              <w:t>XXX</w:t>
            </w:r>
          </w:p>
        </w:tc>
        <w:tc>
          <w:tcPr>
            <w:tcW w:w="728" w:type="dxa"/>
          </w:tcPr>
          <w:p w14:paraId="67D1E71A" w14:textId="17A328C5" w:rsidR="0097586D" w:rsidRPr="0097586D" w:rsidRDefault="0097586D" w:rsidP="00554675">
            <w:pPr>
              <w:jc w:val="center"/>
              <w:rPr>
                <w:sz w:val="20"/>
                <w:szCs w:val="20"/>
                <w:highlight w:val="black"/>
              </w:rPr>
            </w:pPr>
            <w:r w:rsidRPr="0097586D">
              <w:rPr>
                <w:sz w:val="20"/>
                <w:szCs w:val="20"/>
                <w:highlight w:val="black"/>
              </w:rPr>
              <w:t>XXX</w:t>
            </w:r>
          </w:p>
        </w:tc>
        <w:tc>
          <w:tcPr>
            <w:tcW w:w="728" w:type="dxa"/>
          </w:tcPr>
          <w:p w14:paraId="7A9BCC99" w14:textId="7C664A0D" w:rsidR="0097586D" w:rsidRPr="0097586D" w:rsidRDefault="0097586D" w:rsidP="00554675">
            <w:pPr>
              <w:jc w:val="center"/>
              <w:rPr>
                <w:sz w:val="20"/>
                <w:szCs w:val="20"/>
                <w:highlight w:val="black"/>
              </w:rPr>
            </w:pPr>
            <w:r w:rsidRPr="0097586D">
              <w:rPr>
                <w:sz w:val="20"/>
                <w:szCs w:val="20"/>
                <w:highlight w:val="black"/>
              </w:rPr>
              <w:t>XXX</w:t>
            </w:r>
          </w:p>
        </w:tc>
        <w:tc>
          <w:tcPr>
            <w:tcW w:w="728" w:type="dxa"/>
          </w:tcPr>
          <w:p w14:paraId="460508F6" w14:textId="3FFD5AB8" w:rsidR="0097586D" w:rsidRPr="0097586D" w:rsidRDefault="0097586D" w:rsidP="00554675">
            <w:pPr>
              <w:jc w:val="center"/>
              <w:rPr>
                <w:sz w:val="20"/>
                <w:szCs w:val="20"/>
                <w:highlight w:val="black"/>
              </w:rPr>
            </w:pPr>
            <w:r w:rsidRPr="0097586D">
              <w:rPr>
                <w:sz w:val="20"/>
                <w:szCs w:val="20"/>
                <w:highlight w:val="black"/>
              </w:rPr>
              <w:t>XXX</w:t>
            </w:r>
          </w:p>
        </w:tc>
        <w:tc>
          <w:tcPr>
            <w:tcW w:w="728" w:type="dxa"/>
          </w:tcPr>
          <w:p w14:paraId="4A35971D" w14:textId="5EF4F9A7" w:rsidR="0097586D" w:rsidRPr="0097586D" w:rsidRDefault="0097586D" w:rsidP="00554675">
            <w:pPr>
              <w:jc w:val="center"/>
              <w:rPr>
                <w:sz w:val="20"/>
                <w:szCs w:val="20"/>
                <w:highlight w:val="black"/>
              </w:rPr>
            </w:pPr>
            <w:r w:rsidRPr="0097586D">
              <w:rPr>
                <w:sz w:val="20"/>
                <w:szCs w:val="20"/>
                <w:highlight w:val="black"/>
              </w:rPr>
              <w:t>XXX</w:t>
            </w:r>
          </w:p>
        </w:tc>
      </w:tr>
      <w:tr w:rsidR="0097586D" w:rsidRPr="00F60A91" w14:paraId="19935D2C" w14:textId="77777777" w:rsidTr="00883F7F">
        <w:tc>
          <w:tcPr>
            <w:tcW w:w="3597" w:type="dxa"/>
          </w:tcPr>
          <w:p w14:paraId="78E6CF96" w14:textId="5707557A" w:rsidR="0097586D" w:rsidRPr="00EE012E" w:rsidRDefault="0097586D" w:rsidP="002D353B">
            <w:pPr>
              <w:rPr>
                <w:sz w:val="20"/>
                <w:szCs w:val="20"/>
              </w:rPr>
            </w:pPr>
            <w:r w:rsidRPr="00EE012E">
              <w:rPr>
                <w:sz w:val="20"/>
                <w:szCs w:val="20"/>
              </w:rPr>
              <w:t>Uptake rate for cabazitaxel</w:t>
            </w:r>
          </w:p>
        </w:tc>
        <w:tc>
          <w:tcPr>
            <w:tcW w:w="1098" w:type="dxa"/>
          </w:tcPr>
          <w:p w14:paraId="73F2B4AC" w14:textId="3E1F0B7F" w:rsidR="0097586D" w:rsidRPr="00EE012E" w:rsidRDefault="0097586D" w:rsidP="002D353B">
            <w:pPr>
              <w:rPr>
                <w:rFonts w:cs="Arial"/>
                <w:color w:val="000000"/>
                <w:sz w:val="20"/>
                <w:szCs w:val="20"/>
              </w:rPr>
            </w:pPr>
            <w:r w:rsidRPr="00EE012E">
              <w:rPr>
                <w:rFonts w:cs="Arial"/>
                <w:color w:val="000000"/>
                <w:sz w:val="20"/>
                <w:szCs w:val="20"/>
              </w:rPr>
              <w:t>C</w:t>
            </w:r>
          </w:p>
        </w:tc>
        <w:tc>
          <w:tcPr>
            <w:tcW w:w="838" w:type="dxa"/>
          </w:tcPr>
          <w:p w14:paraId="0054D5DD" w14:textId="504DB4A7"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519D2E31" w14:textId="5BB97224"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1601DC68" w14:textId="19E51004"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60713209" w14:textId="0B0421BC"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71995C35" w14:textId="6533D429"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23734E66" w14:textId="4C03C338"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r>
      <w:tr w:rsidR="0097586D" w:rsidRPr="00F60A91" w14:paraId="734EA21B" w14:textId="77777777" w:rsidTr="00883F7F">
        <w:tc>
          <w:tcPr>
            <w:tcW w:w="3597" w:type="dxa"/>
          </w:tcPr>
          <w:p w14:paraId="41D1CC97" w14:textId="54067E44" w:rsidR="0097586D" w:rsidRPr="00EE012E" w:rsidRDefault="0097586D" w:rsidP="002D353B">
            <w:pPr>
              <w:rPr>
                <w:sz w:val="20"/>
                <w:szCs w:val="20"/>
              </w:rPr>
            </w:pPr>
            <w:r w:rsidRPr="00EE012E">
              <w:rPr>
                <w:sz w:val="20"/>
                <w:szCs w:val="20"/>
              </w:rPr>
              <w:t>Number treated with abiraterone</w:t>
            </w:r>
          </w:p>
        </w:tc>
        <w:tc>
          <w:tcPr>
            <w:tcW w:w="1098" w:type="dxa"/>
          </w:tcPr>
          <w:p w14:paraId="3B121658" w14:textId="44C4B087" w:rsidR="0097586D" w:rsidRPr="00EE012E" w:rsidRDefault="0097586D" w:rsidP="002D353B">
            <w:pPr>
              <w:rPr>
                <w:rFonts w:cs="Arial"/>
                <w:color w:val="000000"/>
                <w:sz w:val="20"/>
                <w:szCs w:val="20"/>
              </w:rPr>
            </w:pPr>
            <w:r w:rsidRPr="00EE012E">
              <w:rPr>
                <w:rFonts w:cs="Arial"/>
                <w:color w:val="000000"/>
                <w:sz w:val="20"/>
                <w:szCs w:val="20"/>
              </w:rPr>
              <w:t>D=A x B</w:t>
            </w:r>
          </w:p>
        </w:tc>
        <w:tc>
          <w:tcPr>
            <w:tcW w:w="838" w:type="dxa"/>
          </w:tcPr>
          <w:p w14:paraId="0133F410" w14:textId="4D0C0C47"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4126C1A2" w14:textId="24417498"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06DF4A0F" w14:textId="4AA8E01D"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3F28D719" w14:textId="5CC69D72"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1CD0B606" w14:textId="2DACF646"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0DE3B2CA" w14:textId="0F03DA0E"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r>
      <w:tr w:rsidR="0097586D" w:rsidRPr="00F60A91" w14:paraId="19E2EBAA" w14:textId="77777777" w:rsidTr="00883F7F">
        <w:tc>
          <w:tcPr>
            <w:tcW w:w="3597" w:type="dxa"/>
          </w:tcPr>
          <w:p w14:paraId="6CB83495" w14:textId="64E8E3D5" w:rsidR="0097586D" w:rsidRPr="00EE012E" w:rsidRDefault="0097586D" w:rsidP="002D353B">
            <w:pPr>
              <w:rPr>
                <w:sz w:val="20"/>
                <w:szCs w:val="20"/>
              </w:rPr>
            </w:pPr>
            <w:r w:rsidRPr="00EE012E">
              <w:rPr>
                <w:sz w:val="20"/>
                <w:szCs w:val="20"/>
              </w:rPr>
              <w:t>Number treated with cabazitaxel</w:t>
            </w:r>
          </w:p>
        </w:tc>
        <w:tc>
          <w:tcPr>
            <w:tcW w:w="1098" w:type="dxa"/>
          </w:tcPr>
          <w:p w14:paraId="762C0495" w14:textId="51F7A628" w:rsidR="0097586D" w:rsidRPr="00EE012E" w:rsidRDefault="0097586D" w:rsidP="002D353B">
            <w:pPr>
              <w:rPr>
                <w:rFonts w:cs="Arial"/>
                <w:color w:val="000000"/>
                <w:sz w:val="20"/>
                <w:szCs w:val="20"/>
              </w:rPr>
            </w:pPr>
            <w:r w:rsidRPr="00EE012E">
              <w:rPr>
                <w:rFonts w:cs="Arial"/>
                <w:color w:val="000000"/>
                <w:sz w:val="20"/>
                <w:szCs w:val="20"/>
              </w:rPr>
              <w:t>E = A x C</w:t>
            </w:r>
          </w:p>
        </w:tc>
        <w:tc>
          <w:tcPr>
            <w:tcW w:w="838" w:type="dxa"/>
          </w:tcPr>
          <w:p w14:paraId="58725468" w14:textId="4916904C"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351CFB44" w14:textId="133A0CCD"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33E01F3E" w14:textId="6BA128D1"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381B6890" w14:textId="02A9AE88"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0E872A64" w14:textId="7E8E5046"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7271FC24" w14:textId="6BB6D57B"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r>
      <w:tr w:rsidR="00883F7F" w:rsidRPr="00F60A91" w14:paraId="6BE3FD2D" w14:textId="77777777" w:rsidTr="004F7278">
        <w:tc>
          <w:tcPr>
            <w:tcW w:w="9173" w:type="dxa"/>
            <w:gridSpan w:val="8"/>
            <w:shd w:val="clear" w:color="auto" w:fill="BFBFBF" w:themeFill="background1" w:themeFillShade="BF"/>
          </w:tcPr>
          <w:p w14:paraId="2829EFDF" w14:textId="52CA0173" w:rsidR="00883F7F" w:rsidRPr="00F60A91" w:rsidRDefault="00883F7F" w:rsidP="002D353B">
            <w:pPr>
              <w:rPr>
                <w:rFonts w:cs="Arial"/>
                <w:color w:val="000000"/>
                <w:sz w:val="20"/>
                <w:szCs w:val="20"/>
              </w:rPr>
            </w:pPr>
            <w:r w:rsidRPr="00F60A91">
              <w:rPr>
                <w:b/>
                <w:sz w:val="20"/>
                <w:szCs w:val="20"/>
              </w:rPr>
              <w:t>Chemotherapy-ineligible patients</w:t>
            </w:r>
          </w:p>
        </w:tc>
      </w:tr>
      <w:tr w:rsidR="0097586D" w:rsidRPr="00F60A91" w14:paraId="5EFAE898" w14:textId="77777777" w:rsidTr="00883F7F">
        <w:tc>
          <w:tcPr>
            <w:tcW w:w="3597" w:type="dxa"/>
          </w:tcPr>
          <w:p w14:paraId="5F36262E" w14:textId="12C75EC6" w:rsidR="0097586D" w:rsidRPr="00EE012E" w:rsidRDefault="0097586D" w:rsidP="002D353B">
            <w:pPr>
              <w:rPr>
                <w:sz w:val="20"/>
                <w:szCs w:val="20"/>
              </w:rPr>
            </w:pPr>
            <w:r w:rsidRPr="00EE012E">
              <w:rPr>
                <w:sz w:val="20"/>
                <w:szCs w:val="20"/>
              </w:rPr>
              <w:t>Number of eligible patients</w:t>
            </w:r>
          </w:p>
        </w:tc>
        <w:tc>
          <w:tcPr>
            <w:tcW w:w="1098" w:type="dxa"/>
          </w:tcPr>
          <w:p w14:paraId="3B63A640" w14:textId="43512660" w:rsidR="0097586D" w:rsidRPr="00EE012E" w:rsidRDefault="0097586D" w:rsidP="002D353B">
            <w:pPr>
              <w:rPr>
                <w:rFonts w:cs="Arial"/>
                <w:color w:val="000000"/>
                <w:sz w:val="20"/>
                <w:szCs w:val="20"/>
              </w:rPr>
            </w:pPr>
            <w:r w:rsidRPr="00EE012E">
              <w:rPr>
                <w:rFonts w:cs="Arial"/>
                <w:color w:val="000000"/>
                <w:sz w:val="20"/>
                <w:szCs w:val="20"/>
              </w:rPr>
              <w:t>F</w:t>
            </w:r>
          </w:p>
        </w:tc>
        <w:tc>
          <w:tcPr>
            <w:tcW w:w="838" w:type="dxa"/>
          </w:tcPr>
          <w:p w14:paraId="78EDC288" w14:textId="17A63AC8"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544CE114" w14:textId="2FC7A708"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246397E8" w14:textId="18CBF822"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1BC75861" w14:textId="61E483F1"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49964473" w14:textId="15D8D37C"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24CCC6FF" w14:textId="503A0493"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r>
      <w:tr w:rsidR="0097586D" w:rsidRPr="00F60A91" w14:paraId="6964D331" w14:textId="77777777" w:rsidTr="00457765">
        <w:tc>
          <w:tcPr>
            <w:tcW w:w="3597" w:type="dxa"/>
          </w:tcPr>
          <w:p w14:paraId="2A7182AB" w14:textId="1D101C46" w:rsidR="0097586D" w:rsidRPr="00EE012E" w:rsidRDefault="0097586D" w:rsidP="002D353B">
            <w:pPr>
              <w:rPr>
                <w:sz w:val="20"/>
                <w:szCs w:val="20"/>
              </w:rPr>
            </w:pPr>
            <w:r w:rsidRPr="00EE012E">
              <w:rPr>
                <w:sz w:val="20"/>
                <w:szCs w:val="20"/>
              </w:rPr>
              <w:t>Uptake rate for abiraterone</w:t>
            </w:r>
          </w:p>
        </w:tc>
        <w:tc>
          <w:tcPr>
            <w:tcW w:w="1098" w:type="dxa"/>
          </w:tcPr>
          <w:p w14:paraId="5FAE9FE1" w14:textId="0E197A48" w:rsidR="0097586D" w:rsidRPr="00EE012E" w:rsidRDefault="0097586D" w:rsidP="002D353B">
            <w:pPr>
              <w:rPr>
                <w:rFonts w:cs="Arial"/>
                <w:color w:val="000000"/>
                <w:sz w:val="20"/>
                <w:szCs w:val="20"/>
              </w:rPr>
            </w:pPr>
            <w:r w:rsidRPr="00EE012E">
              <w:rPr>
                <w:rFonts w:cs="Arial"/>
                <w:color w:val="000000"/>
                <w:sz w:val="20"/>
                <w:szCs w:val="20"/>
              </w:rPr>
              <w:t>G</w:t>
            </w:r>
          </w:p>
        </w:tc>
        <w:tc>
          <w:tcPr>
            <w:tcW w:w="838" w:type="dxa"/>
          </w:tcPr>
          <w:p w14:paraId="493858B3" w14:textId="5EA6B913"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11AF9C54" w14:textId="06BFFB95"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190CF911" w14:textId="2DEE6C10"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21BBBDA5" w14:textId="13BEE9CE"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3A672CD2" w14:textId="4318AF01"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232F51E0" w14:textId="732D373E"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r>
      <w:tr w:rsidR="0097586D" w:rsidRPr="00F60A91" w14:paraId="54D30BAE" w14:textId="77777777" w:rsidTr="00883F7F">
        <w:tc>
          <w:tcPr>
            <w:tcW w:w="3597" w:type="dxa"/>
          </w:tcPr>
          <w:p w14:paraId="5C06F051" w14:textId="34D913EF" w:rsidR="0097586D" w:rsidRPr="00EE012E" w:rsidRDefault="0097586D" w:rsidP="002D353B">
            <w:pPr>
              <w:rPr>
                <w:sz w:val="20"/>
                <w:szCs w:val="20"/>
              </w:rPr>
            </w:pPr>
            <w:r w:rsidRPr="00EE012E">
              <w:rPr>
                <w:sz w:val="20"/>
                <w:szCs w:val="20"/>
              </w:rPr>
              <w:t>Number treated with abiraterone</w:t>
            </w:r>
          </w:p>
        </w:tc>
        <w:tc>
          <w:tcPr>
            <w:tcW w:w="1098" w:type="dxa"/>
          </w:tcPr>
          <w:p w14:paraId="113E3463" w14:textId="506B348E" w:rsidR="0097586D" w:rsidRPr="00EE012E" w:rsidRDefault="0097586D" w:rsidP="002D353B">
            <w:pPr>
              <w:rPr>
                <w:rFonts w:cs="Arial"/>
                <w:color w:val="000000"/>
                <w:sz w:val="20"/>
                <w:szCs w:val="20"/>
              </w:rPr>
            </w:pPr>
            <w:r w:rsidRPr="00EE012E">
              <w:rPr>
                <w:rFonts w:cs="Arial"/>
                <w:color w:val="000000"/>
                <w:sz w:val="20"/>
                <w:szCs w:val="20"/>
              </w:rPr>
              <w:t>H = F x G</w:t>
            </w:r>
          </w:p>
        </w:tc>
        <w:tc>
          <w:tcPr>
            <w:tcW w:w="838" w:type="dxa"/>
          </w:tcPr>
          <w:p w14:paraId="1A6C6F17" w14:textId="35B09412"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4CEE96E1" w14:textId="774071FF"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781F0130" w14:textId="5D4EC375"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587D8B44" w14:textId="3F3D1ECC"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6354A111" w14:textId="57A6A970"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40B4028F" w14:textId="1A9DBF37"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r>
      <w:tr w:rsidR="006F0048" w:rsidRPr="00F60A91" w14:paraId="7D79F302" w14:textId="77777777" w:rsidTr="004F7278">
        <w:tc>
          <w:tcPr>
            <w:tcW w:w="9173" w:type="dxa"/>
            <w:gridSpan w:val="8"/>
            <w:shd w:val="clear" w:color="auto" w:fill="BFBFBF" w:themeFill="background1" w:themeFillShade="BF"/>
          </w:tcPr>
          <w:p w14:paraId="41BCA7B0" w14:textId="7B918E3D" w:rsidR="006F0048" w:rsidRPr="00F60A91" w:rsidRDefault="00284E87" w:rsidP="002D353B">
            <w:pPr>
              <w:rPr>
                <w:rFonts w:cs="Arial"/>
                <w:b/>
                <w:color w:val="000000"/>
                <w:sz w:val="20"/>
                <w:szCs w:val="20"/>
              </w:rPr>
            </w:pPr>
            <w:r w:rsidRPr="00F60A91">
              <w:rPr>
                <w:rFonts w:cs="Arial"/>
                <w:b/>
                <w:color w:val="000000"/>
                <w:sz w:val="20"/>
                <w:szCs w:val="20"/>
              </w:rPr>
              <w:t xml:space="preserve">Estimated </w:t>
            </w:r>
            <w:r w:rsidR="006F0048" w:rsidRPr="00F60A91">
              <w:rPr>
                <w:rFonts w:cs="Arial"/>
                <w:b/>
                <w:color w:val="000000"/>
                <w:sz w:val="20"/>
                <w:szCs w:val="20"/>
              </w:rPr>
              <w:t>treated population</w:t>
            </w:r>
            <w:r w:rsidR="009144B8" w:rsidRPr="00F60A91">
              <w:rPr>
                <w:rFonts w:cs="Arial"/>
                <w:b/>
                <w:color w:val="000000"/>
                <w:sz w:val="20"/>
                <w:szCs w:val="20"/>
              </w:rPr>
              <w:t>s</w:t>
            </w:r>
          </w:p>
        </w:tc>
      </w:tr>
      <w:tr w:rsidR="0097586D" w:rsidRPr="00F60A91" w14:paraId="2867F42C" w14:textId="77777777" w:rsidTr="00642F8C">
        <w:tc>
          <w:tcPr>
            <w:tcW w:w="3597" w:type="dxa"/>
          </w:tcPr>
          <w:p w14:paraId="4A6C9F65" w14:textId="4972E761" w:rsidR="0097586D" w:rsidRPr="00EE012E" w:rsidRDefault="0097586D" w:rsidP="002D353B">
            <w:pPr>
              <w:rPr>
                <w:sz w:val="20"/>
                <w:szCs w:val="20"/>
              </w:rPr>
            </w:pPr>
            <w:r w:rsidRPr="00EE012E">
              <w:rPr>
                <w:sz w:val="20"/>
                <w:szCs w:val="20"/>
              </w:rPr>
              <w:t>Cabazitaxel</w:t>
            </w:r>
          </w:p>
        </w:tc>
        <w:tc>
          <w:tcPr>
            <w:tcW w:w="1098" w:type="dxa"/>
          </w:tcPr>
          <w:p w14:paraId="442BAF59" w14:textId="55794A4E" w:rsidR="0097586D" w:rsidRPr="00EE012E" w:rsidRDefault="0097586D" w:rsidP="002D353B">
            <w:pPr>
              <w:rPr>
                <w:rFonts w:cs="Arial"/>
                <w:color w:val="000000"/>
                <w:sz w:val="20"/>
                <w:szCs w:val="20"/>
              </w:rPr>
            </w:pPr>
            <w:r w:rsidRPr="00EE012E">
              <w:rPr>
                <w:rFonts w:cs="Arial"/>
                <w:color w:val="000000"/>
                <w:sz w:val="20"/>
                <w:szCs w:val="20"/>
              </w:rPr>
              <w:t>I = E</w:t>
            </w:r>
          </w:p>
        </w:tc>
        <w:tc>
          <w:tcPr>
            <w:tcW w:w="838" w:type="dxa"/>
          </w:tcPr>
          <w:p w14:paraId="5AF2B203" w14:textId="730B6F33"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2BA3FE46" w14:textId="4E661C2E"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4D5E8D75" w14:textId="66FE861F"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3F65AD07" w14:textId="7E077FD1"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3AABB21F" w14:textId="43E02DB4"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67DD1B29" w14:textId="7B991EF1"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r>
      <w:tr w:rsidR="0097586D" w:rsidRPr="00F60A91" w14:paraId="667E295B" w14:textId="77777777" w:rsidTr="00642F8C">
        <w:tc>
          <w:tcPr>
            <w:tcW w:w="3597" w:type="dxa"/>
          </w:tcPr>
          <w:p w14:paraId="370F14A0" w14:textId="58234F93" w:rsidR="0097586D" w:rsidRPr="00EE012E" w:rsidRDefault="0097586D" w:rsidP="002D353B">
            <w:pPr>
              <w:rPr>
                <w:sz w:val="20"/>
                <w:szCs w:val="20"/>
              </w:rPr>
            </w:pPr>
            <w:r w:rsidRPr="00EE012E">
              <w:rPr>
                <w:sz w:val="20"/>
                <w:szCs w:val="20"/>
              </w:rPr>
              <w:t>Abiraterone</w:t>
            </w:r>
          </w:p>
        </w:tc>
        <w:tc>
          <w:tcPr>
            <w:tcW w:w="1098" w:type="dxa"/>
          </w:tcPr>
          <w:p w14:paraId="58971364" w14:textId="5705590E" w:rsidR="0097586D" w:rsidRPr="00EE012E" w:rsidRDefault="0097586D" w:rsidP="002D353B">
            <w:pPr>
              <w:rPr>
                <w:rFonts w:cs="Arial"/>
                <w:color w:val="000000"/>
                <w:sz w:val="20"/>
                <w:szCs w:val="20"/>
              </w:rPr>
            </w:pPr>
            <w:r w:rsidRPr="00EE012E">
              <w:rPr>
                <w:rFonts w:cs="Arial"/>
                <w:color w:val="000000"/>
                <w:sz w:val="20"/>
                <w:szCs w:val="20"/>
              </w:rPr>
              <w:t>J = D + H</w:t>
            </w:r>
          </w:p>
        </w:tc>
        <w:tc>
          <w:tcPr>
            <w:tcW w:w="838" w:type="dxa"/>
          </w:tcPr>
          <w:p w14:paraId="36CFD84B" w14:textId="14D43661"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5EA97D7A" w14:textId="343A5651"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273F8F0F" w14:textId="4DBCC592"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4C5FEED7" w14:textId="48B8CA4B"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175A9762" w14:textId="41E4DC0E"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096E45F3" w14:textId="3FDE8727"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r>
      <w:tr w:rsidR="00FD57AF" w:rsidRPr="00F60A91" w14:paraId="39FF3A42" w14:textId="77777777" w:rsidTr="004F7278">
        <w:tc>
          <w:tcPr>
            <w:tcW w:w="9173" w:type="dxa"/>
            <w:gridSpan w:val="8"/>
            <w:shd w:val="clear" w:color="auto" w:fill="BFBFBF" w:themeFill="background1" w:themeFillShade="BF"/>
          </w:tcPr>
          <w:p w14:paraId="2589FEC3" w14:textId="4900BD60" w:rsidR="00FD57AF" w:rsidRPr="00F60A91" w:rsidRDefault="00FD57AF" w:rsidP="002D353B">
            <w:pPr>
              <w:rPr>
                <w:rFonts w:cs="Arial"/>
                <w:b/>
                <w:color w:val="000000"/>
                <w:sz w:val="20"/>
                <w:szCs w:val="20"/>
              </w:rPr>
            </w:pPr>
            <w:r w:rsidRPr="00F60A91">
              <w:rPr>
                <w:b/>
                <w:sz w:val="20"/>
                <w:szCs w:val="20"/>
              </w:rPr>
              <w:t>Estimated number of prescriptions</w:t>
            </w:r>
          </w:p>
        </w:tc>
      </w:tr>
      <w:tr w:rsidR="0097586D" w:rsidRPr="00F60A91" w14:paraId="57C4D031" w14:textId="77777777" w:rsidTr="00642F8C">
        <w:tc>
          <w:tcPr>
            <w:tcW w:w="3597" w:type="dxa"/>
          </w:tcPr>
          <w:p w14:paraId="0F6AD164" w14:textId="0D3DF3AE" w:rsidR="0097586D" w:rsidRPr="00EE012E" w:rsidRDefault="0097586D" w:rsidP="002D353B">
            <w:pPr>
              <w:rPr>
                <w:sz w:val="20"/>
                <w:szCs w:val="20"/>
              </w:rPr>
            </w:pPr>
            <w:r w:rsidRPr="00EE012E">
              <w:rPr>
                <w:sz w:val="20"/>
                <w:szCs w:val="20"/>
              </w:rPr>
              <w:t>Mean annual prescriptions for cabazitaxel</w:t>
            </w:r>
          </w:p>
        </w:tc>
        <w:tc>
          <w:tcPr>
            <w:tcW w:w="1098" w:type="dxa"/>
          </w:tcPr>
          <w:p w14:paraId="0FEFB3E3" w14:textId="065012B3" w:rsidR="0097586D" w:rsidRPr="00EE012E" w:rsidRDefault="0097586D" w:rsidP="002D353B">
            <w:pPr>
              <w:rPr>
                <w:rFonts w:cs="Arial"/>
                <w:color w:val="000000"/>
                <w:sz w:val="20"/>
                <w:szCs w:val="20"/>
              </w:rPr>
            </w:pPr>
            <w:r w:rsidRPr="00EE012E">
              <w:rPr>
                <w:rFonts w:cs="Arial"/>
                <w:color w:val="000000"/>
                <w:sz w:val="20"/>
                <w:szCs w:val="20"/>
              </w:rPr>
              <w:t>K</w:t>
            </w:r>
          </w:p>
        </w:tc>
        <w:tc>
          <w:tcPr>
            <w:tcW w:w="838" w:type="dxa"/>
          </w:tcPr>
          <w:p w14:paraId="79D4B4AC" w14:textId="4A1DDCEC"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702426F0" w14:textId="0DF8E001"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35F6BA27" w14:textId="301D1DA9"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55503279" w14:textId="26881325"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00AD30AA" w14:textId="48F64CD8"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0F30A208" w14:textId="33675494"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r>
      <w:tr w:rsidR="0097586D" w:rsidRPr="00F60A91" w14:paraId="4A859D44" w14:textId="77777777" w:rsidTr="00642F8C">
        <w:tc>
          <w:tcPr>
            <w:tcW w:w="3597" w:type="dxa"/>
          </w:tcPr>
          <w:p w14:paraId="3473D17D" w14:textId="2A407833" w:rsidR="0097586D" w:rsidRPr="00EE012E" w:rsidRDefault="0097586D" w:rsidP="002D353B">
            <w:pPr>
              <w:rPr>
                <w:sz w:val="20"/>
                <w:szCs w:val="20"/>
              </w:rPr>
            </w:pPr>
            <w:r w:rsidRPr="00EE012E">
              <w:rPr>
                <w:sz w:val="20"/>
                <w:szCs w:val="20"/>
              </w:rPr>
              <w:t>Mean annual prescriptions for abiraterone</w:t>
            </w:r>
          </w:p>
        </w:tc>
        <w:tc>
          <w:tcPr>
            <w:tcW w:w="1098" w:type="dxa"/>
          </w:tcPr>
          <w:p w14:paraId="5A3876EF" w14:textId="48EA0C28" w:rsidR="0097586D" w:rsidRPr="00EE012E" w:rsidRDefault="0097586D" w:rsidP="002D353B">
            <w:pPr>
              <w:rPr>
                <w:rFonts w:cs="Arial"/>
                <w:color w:val="000000"/>
                <w:sz w:val="20"/>
                <w:szCs w:val="20"/>
              </w:rPr>
            </w:pPr>
            <w:r w:rsidRPr="00EE012E">
              <w:rPr>
                <w:rFonts w:cs="Arial"/>
                <w:color w:val="000000"/>
                <w:sz w:val="20"/>
                <w:szCs w:val="20"/>
              </w:rPr>
              <w:t>L</w:t>
            </w:r>
          </w:p>
        </w:tc>
        <w:tc>
          <w:tcPr>
            <w:tcW w:w="838" w:type="dxa"/>
          </w:tcPr>
          <w:p w14:paraId="43379673" w14:textId="03CE65A1"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46939BA2" w14:textId="2DE9B25D"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27C6783C" w14:textId="0B59E84D"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03FF5C3C" w14:textId="0CA2BA5D"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76821361" w14:textId="03EF10E7"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772E692B" w14:textId="7A65D27A"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r>
      <w:tr w:rsidR="0097586D" w:rsidRPr="00F60A91" w14:paraId="3309D428" w14:textId="77777777" w:rsidTr="00642F8C">
        <w:tc>
          <w:tcPr>
            <w:tcW w:w="3597" w:type="dxa"/>
          </w:tcPr>
          <w:p w14:paraId="51897047" w14:textId="088C6C5E" w:rsidR="0097586D" w:rsidRPr="00EE012E" w:rsidRDefault="0097586D" w:rsidP="002D353B">
            <w:pPr>
              <w:rPr>
                <w:sz w:val="20"/>
                <w:szCs w:val="20"/>
              </w:rPr>
            </w:pPr>
            <w:r w:rsidRPr="00EE012E">
              <w:rPr>
                <w:sz w:val="20"/>
                <w:szCs w:val="20"/>
              </w:rPr>
              <w:t>Number of prescriptions for cabazitaxel</w:t>
            </w:r>
          </w:p>
        </w:tc>
        <w:tc>
          <w:tcPr>
            <w:tcW w:w="1098" w:type="dxa"/>
          </w:tcPr>
          <w:p w14:paraId="20A5246B" w14:textId="7CC5E7E0" w:rsidR="0097586D" w:rsidRPr="00EE012E" w:rsidRDefault="0097586D" w:rsidP="002D353B">
            <w:pPr>
              <w:rPr>
                <w:rFonts w:cs="Arial"/>
                <w:color w:val="000000"/>
                <w:sz w:val="20"/>
                <w:szCs w:val="20"/>
              </w:rPr>
            </w:pPr>
            <w:r w:rsidRPr="00EE012E">
              <w:rPr>
                <w:rFonts w:cs="Arial"/>
                <w:color w:val="000000"/>
                <w:sz w:val="20"/>
                <w:szCs w:val="20"/>
              </w:rPr>
              <w:t>M = I x K</w:t>
            </w:r>
          </w:p>
        </w:tc>
        <w:tc>
          <w:tcPr>
            <w:tcW w:w="838" w:type="dxa"/>
          </w:tcPr>
          <w:p w14:paraId="7A72E16D" w14:textId="286E7ECD"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243F1A85" w14:textId="4EBF6844"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23E926D3" w14:textId="6C1332E1"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42834392" w14:textId="3B2652DE"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40C4067D" w14:textId="0563220D"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3B39CA11" w14:textId="0F6BE1F2"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r>
      <w:tr w:rsidR="0097586D" w:rsidRPr="00F60A91" w14:paraId="18EAC3A6" w14:textId="77777777" w:rsidTr="00642F8C">
        <w:tc>
          <w:tcPr>
            <w:tcW w:w="3597" w:type="dxa"/>
          </w:tcPr>
          <w:p w14:paraId="1B1CBE2D" w14:textId="26812FDC" w:rsidR="0097586D" w:rsidRPr="00EE012E" w:rsidRDefault="0097586D" w:rsidP="002D353B">
            <w:pPr>
              <w:rPr>
                <w:sz w:val="20"/>
                <w:szCs w:val="20"/>
              </w:rPr>
            </w:pPr>
            <w:r w:rsidRPr="00EE012E">
              <w:rPr>
                <w:sz w:val="20"/>
                <w:szCs w:val="20"/>
              </w:rPr>
              <w:t>Number of prescriptions for abiraterone</w:t>
            </w:r>
          </w:p>
        </w:tc>
        <w:tc>
          <w:tcPr>
            <w:tcW w:w="1098" w:type="dxa"/>
          </w:tcPr>
          <w:p w14:paraId="38B88E4D" w14:textId="3D208101" w:rsidR="0097586D" w:rsidRPr="00EE012E" w:rsidRDefault="0097586D" w:rsidP="002D353B">
            <w:pPr>
              <w:rPr>
                <w:rFonts w:cs="Arial"/>
                <w:color w:val="000000"/>
                <w:sz w:val="20"/>
                <w:szCs w:val="20"/>
              </w:rPr>
            </w:pPr>
            <w:r w:rsidRPr="00EE012E">
              <w:rPr>
                <w:rFonts w:cs="Arial"/>
                <w:color w:val="000000"/>
                <w:sz w:val="20"/>
                <w:szCs w:val="20"/>
              </w:rPr>
              <w:t>N = J x L</w:t>
            </w:r>
          </w:p>
        </w:tc>
        <w:tc>
          <w:tcPr>
            <w:tcW w:w="838" w:type="dxa"/>
          </w:tcPr>
          <w:p w14:paraId="1B380487" w14:textId="40A87D0D"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4F127FBD" w14:textId="19047C12"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13BB678E" w14:textId="3F162EE2"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178069A9" w14:textId="3DC6ABA4"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34623F47" w14:textId="6417606A"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c>
          <w:tcPr>
            <w:tcW w:w="728" w:type="dxa"/>
          </w:tcPr>
          <w:p w14:paraId="38225A30" w14:textId="612C48D1" w:rsidR="0097586D" w:rsidRPr="0097586D" w:rsidRDefault="0097586D" w:rsidP="00554675">
            <w:pPr>
              <w:jc w:val="center"/>
              <w:rPr>
                <w:rFonts w:cs="Arial"/>
                <w:color w:val="000000"/>
                <w:sz w:val="20"/>
                <w:szCs w:val="20"/>
                <w:highlight w:val="black"/>
              </w:rPr>
            </w:pPr>
            <w:r w:rsidRPr="0097586D">
              <w:rPr>
                <w:sz w:val="20"/>
                <w:szCs w:val="20"/>
                <w:highlight w:val="black"/>
              </w:rPr>
              <w:t>XXX</w:t>
            </w:r>
          </w:p>
        </w:tc>
      </w:tr>
    </w:tbl>
    <w:p w14:paraId="71CCD73E" w14:textId="748383B1" w:rsidR="00C73DD4" w:rsidRPr="0097586D" w:rsidRDefault="009E7D6E" w:rsidP="0097586D">
      <w:pPr>
        <w:pStyle w:val="TableText"/>
        <w:rPr>
          <w:rFonts w:asciiTheme="minorHAnsi" w:hAnsiTheme="minorHAnsi"/>
        </w:rPr>
      </w:pPr>
      <w:r w:rsidRPr="003E5909">
        <w:rPr>
          <w:rFonts w:asciiTheme="minorHAnsi" w:hAnsiTheme="minorHAnsi"/>
        </w:rPr>
        <w:t>Note: The growth rate in the treated population was based on ABS population growth.</w:t>
      </w:r>
    </w:p>
    <w:p w14:paraId="02165643" w14:textId="18DF9F2F" w:rsidR="002D353B" w:rsidRDefault="002D353B" w:rsidP="003548A0">
      <w:pPr>
        <w:pStyle w:val="Heading3"/>
      </w:pPr>
      <w:r w:rsidRPr="003548A0">
        <w:t>Enzalutamide</w:t>
      </w:r>
    </w:p>
    <w:p w14:paraId="7E7B3EE7" w14:textId="2A3DED49" w:rsidR="005526C8" w:rsidRDefault="005223D1" w:rsidP="005223D1">
      <w:r w:rsidRPr="00F65282">
        <w:t xml:space="preserve">The modelled number of eligible patients is described in Table 9. </w:t>
      </w:r>
    </w:p>
    <w:p w14:paraId="46F5E081" w14:textId="77777777" w:rsidR="005223D1" w:rsidRDefault="005223D1" w:rsidP="005223D1"/>
    <w:p w14:paraId="61B280EA" w14:textId="77777777" w:rsidR="005223D1" w:rsidRDefault="005223D1" w:rsidP="005223D1"/>
    <w:p w14:paraId="20A18E37" w14:textId="646AC275" w:rsidR="00A8076A" w:rsidRPr="00F65282" w:rsidRDefault="00A8076A" w:rsidP="00A8076A">
      <w:pPr>
        <w:pStyle w:val="Tabletitle"/>
      </w:pPr>
      <w:r w:rsidRPr="00F65282">
        <w:lastRenderedPageBreak/>
        <w:t>Table 9: Estimated utilisation for enzalutamide</w:t>
      </w:r>
    </w:p>
    <w:tbl>
      <w:tblPr>
        <w:tblStyle w:val="TableGrid"/>
        <w:tblW w:w="7932" w:type="dxa"/>
        <w:tblLook w:val="04A0" w:firstRow="1" w:lastRow="0" w:firstColumn="1" w:lastColumn="0" w:noHBand="0" w:noVBand="1"/>
        <w:tblCaption w:val="Estimated utilisation for enzalutamide"/>
        <w:tblDescription w:val="A table of Estimated utilisation for enzalutamide. There are redactions."/>
      </w:tblPr>
      <w:tblGrid>
        <w:gridCol w:w="2802"/>
        <w:gridCol w:w="992"/>
        <w:gridCol w:w="885"/>
        <w:gridCol w:w="1131"/>
        <w:gridCol w:w="991"/>
        <w:gridCol w:w="1131"/>
      </w:tblGrid>
      <w:tr w:rsidR="0079032F" w:rsidRPr="00F65282" w14:paraId="145B4D07" w14:textId="77777777" w:rsidTr="00EF2359">
        <w:trPr>
          <w:tblHeader/>
        </w:trPr>
        <w:tc>
          <w:tcPr>
            <w:tcW w:w="2802" w:type="dxa"/>
            <w:tcBorders>
              <w:top w:val="single" w:sz="4" w:space="0" w:color="auto"/>
              <w:left w:val="single" w:sz="4" w:space="0" w:color="auto"/>
            </w:tcBorders>
            <w:shd w:val="clear" w:color="auto" w:fill="BFBFBF" w:themeFill="background1" w:themeFillShade="BF"/>
          </w:tcPr>
          <w:p w14:paraId="51683328" w14:textId="77777777" w:rsidR="0079032F" w:rsidRPr="00F65282" w:rsidRDefault="0079032F" w:rsidP="00085398">
            <w:pPr>
              <w:rPr>
                <w:sz w:val="20"/>
                <w:szCs w:val="20"/>
              </w:rPr>
            </w:pPr>
          </w:p>
        </w:tc>
        <w:tc>
          <w:tcPr>
            <w:tcW w:w="992" w:type="dxa"/>
            <w:shd w:val="clear" w:color="auto" w:fill="BFBFBF" w:themeFill="background1" w:themeFillShade="BF"/>
          </w:tcPr>
          <w:p w14:paraId="257F55B5" w14:textId="77777777" w:rsidR="0079032F" w:rsidRPr="00F65282" w:rsidRDefault="0079032F" w:rsidP="00085398">
            <w:pPr>
              <w:jc w:val="center"/>
              <w:rPr>
                <w:b/>
                <w:sz w:val="20"/>
                <w:szCs w:val="20"/>
              </w:rPr>
            </w:pPr>
            <w:r w:rsidRPr="00F65282">
              <w:rPr>
                <w:b/>
                <w:sz w:val="20"/>
                <w:szCs w:val="20"/>
              </w:rPr>
              <w:t>2014</w:t>
            </w:r>
          </w:p>
        </w:tc>
        <w:tc>
          <w:tcPr>
            <w:tcW w:w="885" w:type="dxa"/>
            <w:shd w:val="clear" w:color="auto" w:fill="BFBFBF" w:themeFill="background1" w:themeFillShade="BF"/>
          </w:tcPr>
          <w:p w14:paraId="2107C1DE" w14:textId="77777777" w:rsidR="0079032F" w:rsidRPr="00F65282" w:rsidRDefault="0079032F" w:rsidP="00085398">
            <w:pPr>
              <w:jc w:val="center"/>
              <w:rPr>
                <w:b/>
                <w:sz w:val="20"/>
                <w:szCs w:val="20"/>
              </w:rPr>
            </w:pPr>
            <w:r w:rsidRPr="00F65282">
              <w:rPr>
                <w:b/>
                <w:sz w:val="20"/>
                <w:szCs w:val="20"/>
              </w:rPr>
              <w:t>2015</w:t>
            </w:r>
          </w:p>
        </w:tc>
        <w:tc>
          <w:tcPr>
            <w:tcW w:w="1131" w:type="dxa"/>
            <w:shd w:val="clear" w:color="auto" w:fill="BFBFBF" w:themeFill="background1" w:themeFillShade="BF"/>
          </w:tcPr>
          <w:p w14:paraId="41A53591" w14:textId="77777777" w:rsidR="0079032F" w:rsidRPr="00F65282" w:rsidRDefault="0079032F" w:rsidP="00085398">
            <w:pPr>
              <w:jc w:val="center"/>
              <w:rPr>
                <w:b/>
                <w:sz w:val="20"/>
                <w:szCs w:val="20"/>
              </w:rPr>
            </w:pPr>
            <w:r w:rsidRPr="00F65282">
              <w:rPr>
                <w:b/>
                <w:sz w:val="20"/>
                <w:szCs w:val="20"/>
              </w:rPr>
              <w:t>2016</w:t>
            </w:r>
          </w:p>
        </w:tc>
        <w:tc>
          <w:tcPr>
            <w:tcW w:w="991" w:type="dxa"/>
            <w:shd w:val="clear" w:color="auto" w:fill="BFBFBF" w:themeFill="background1" w:themeFillShade="BF"/>
          </w:tcPr>
          <w:p w14:paraId="7A04E64C" w14:textId="77777777" w:rsidR="0079032F" w:rsidRPr="00F65282" w:rsidRDefault="0079032F" w:rsidP="00085398">
            <w:pPr>
              <w:jc w:val="center"/>
              <w:rPr>
                <w:b/>
                <w:sz w:val="20"/>
                <w:szCs w:val="20"/>
              </w:rPr>
            </w:pPr>
            <w:r w:rsidRPr="00F65282">
              <w:rPr>
                <w:b/>
                <w:sz w:val="20"/>
                <w:szCs w:val="20"/>
              </w:rPr>
              <w:t>2017</w:t>
            </w:r>
          </w:p>
        </w:tc>
        <w:tc>
          <w:tcPr>
            <w:tcW w:w="1131" w:type="dxa"/>
            <w:shd w:val="clear" w:color="auto" w:fill="BFBFBF" w:themeFill="background1" w:themeFillShade="BF"/>
          </w:tcPr>
          <w:p w14:paraId="2903DDA8" w14:textId="77777777" w:rsidR="0079032F" w:rsidRPr="00F65282" w:rsidRDefault="0079032F" w:rsidP="00085398">
            <w:pPr>
              <w:jc w:val="center"/>
              <w:rPr>
                <w:b/>
                <w:sz w:val="20"/>
                <w:szCs w:val="20"/>
              </w:rPr>
            </w:pPr>
            <w:r w:rsidRPr="00F65282">
              <w:rPr>
                <w:b/>
                <w:sz w:val="20"/>
                <w:szCs w:val="20"/>
              </w:rPr>
              <w:t>2018</w:t>
            </w:r>
          </w:p>
        </w:tc>
      </w:tr>
      <w:tr w:rsidR="00FF4241" w:rsidRPr="00F65282" w14:paraId="353FE0B2" w14:textId="77777777" w:rsidTr="00085398">
        <w:tc>
          <w:tcPr>
            <w:tcW w:w="2802" w:type="dxa"/>
          </w:tcPr>
          <w:p w14:paraId="0DA6B49A" w14:textId="77777777" w:rsidR="00FF4241" w:rsidRPr="00F65282" w:rsidRDefault="00FF4241" w:rsidP="00085398">
            <w:pPr>
              <w:rPr>
                <w:sz w:val="20"/>
                <w:szCs w:val="20"/>
              </w:rPr>
            </w:pPr>
            <w:r w:rsidRPr="00F65282">
              <w:rPr>
                <w:sz w:val="20"/>
                <w:szCs w:val="20"/>
              </w:rPr>
              <w:t>AIHW cancer incidence projections</w:t>
            </w:r>
          </w:p>
        </w:tc>
        <w:tc>
          <w:tcPr>
            <w:tcW w:w="992" w:type="dxa"/>
          </w:tcPr>
          <w:p w14:paraId="4F6B2E1E" w14:textId="75AA828E" w:rsidR="00FF4241" w:rsidRPr="00FF4241" w:rsidRDefault="00FF4241" w:rsidP="00085398">
            <w:pPr>
              <w:jc w:val="center"/>
              <w:rPr>
                <w:sz w:val="20"/>
                <w:szCs w:val="20"/>
                <w:highlight w:val="black"/>
              </w:rPr>
            </w:pPr>
            <w:r w:rsidRPr="00FF4241">
              <w:rPr>
                <w:sz w:val="20"/>
                <w:szCs w:val="20"/>
                <w:highlight w:val="black"/>
              </w:rPr>
              <w:t>XXXXXX</w:t>
            </w:r>
          </w:p>
        </w:tc>
        <w:tc>
          <w:tcPr>
            <w:tcW w:w="885" w:type="dxa"/>
          </w:tcPr>
          <w:p w14:paraId="5DD51B40" w14:textId="1B027D09" w:rsidR="00FF4241" w:rsidRPr="00FF4241" w:rsidRDefault="00FF4241" w:rsidP="00085398">
            <w:pPr>
              <w:jc w:val="center"/>
              <w:rPr>
                <w:sz w:val="20"/>
                <w:szCs w:val="20"/>
                <w:highlight w:val="black"/>
              </w:rPr>
            </w:pPr>
            <w:r w:rsidRPr="00FF4241">
              <w:rPr>
                <w:sz w:val="20"/>
                <w:szCs w:val="20"/>
                <w:highlight w:val="black"/>
              </w:rPr>
              <w:t>XXXXXX</w:t>
            </w:r>
          </w:p>
        </w:tc>
        <w:tc>
          <w:tcPr>
            <w:tcW w:w="1131" w:type="dxa"/>
          </w:tcPr>
          <w:p w14:paraId="538344BC" w14:textId="57484404" w:rsidR="00FF4241" w:rsidRPr="00FF4241" w:rsidRDefault="00FF4241" w:rsidP="00085398">
            <w:pPr>
              <w:jc w:val="center"/>
              <w:rPr>
                <w:sz w:val="20"/>
                <w:szCs w:val="20"/>
                <w:highlight w:val="black"/>
              </w:rPr>
            </w:pPr>
            <w:r w:rsidRPr="00FF4241">
              <w:rPr>
                <w:sz w:val="20"/>
                <w:szCs w:val="20"/>
                <w:highlight w:val="black"/>
              </w:rPr>
              <w:t>XXXXXX</w:t>
            </w:r>
          </w:p>
        </w:tc>
        <w:tc>
          <w:tcPr>
            <w:tcW w:w="991" w:type="dxa"/>
          </w:tcPr>
          <w:p w14:paraId="6DF0BC02" w14:textId="10484885" w:rsidR="00FF4241" w:rsidRPr="00FF4241" w:rsidRDefault="00FF4241" w:rsidP="00085398">
            <w:pPr>
              <w:jc w:val="center"/>
              <w:rPr>
                <w:sz w:val="20"/>
                <w:szCs w:val="20"/>
                <w:highlight w:val="black"/>
              </w:rPr>
            </w:pPr>
            <w:r w:rsidRPr="00FF4241">
              <w:rPr>
                <w:sz w:val="20"/>
                <w:szCs w:val="20"/>
                <w:highlight w:val="black"/>
              </w:rPr>
              <w:t>XXXXXX</w:t>
            </w:r>
          </w:p>
        </w:tc>
        <w:tc>
          <w:tcPr>
            <w:tcW w:w="1131" w:type="dxa"/>
          </w:tcPr>
          <w:p w14:paraId="47697F27" w14:textId="2B8F4586" w:rsidR="00FF4241" w:rsidRPr="00FF4241" w:rsidRDefault="00FF4241" w:rsidP="00085398">
            <w:pPr>
              <w:jc w:val="center"/>
              <w:rPr>
                <w:sz w:val="20"/>
                <w:szCs w:val="20"/>
                <w:highlight w:val="black"/>
              </w:rPr>
            </w:pPr>
            <w:r w:rsidRPr="00FF4241">
              <w:rPr>
                <w:sz w:val="20"/>
                <w:szCs w:val="20"/>
                <w:highlight w:val="black"/>
              </w:rPr>
              <w:t>XXXXXX</w:t>
            </w:r>
          </w:p>
        </w:tc>
      </w:tr>
      <w:tr w:rsidR="00FF4241" w:rsidRPr="00F65282" w14:paraId="1281C14D" w14:textId="77777777" w:rsidTr="00085398">
        <w:tc>
          <w:tcPr>
            <w:tcW w:w="2802" w:type="dxa"/>
          </w:tcPr>
          <w:p w14:paraId="3A3E8D6B" w14:textId="77777777" w:rsidR="00FF4241" w:rsidRPr="00F65282" w:rsidRDefault="00FF4241" w:rsidP="00085398">
            <w:pPr>
              <w:rPr>
                <w:sz w:val="20"/>
                <w:szCs w:val="20"/>
              </w:rPr>
            </w:pPr>
            <w:r w:rsidRPr="00F65282">
              <w:rPr>
                <w:sz w:val="20"/>
                <w:szCs w:val="20"/>
              </w:rPr>
              <w:t>Number of patients eligible for docetaxel</w:t>
            </w:r>
          </w:p>
        </w:tc>
        <w:tc>
          <w:tcPr>
            <w:tcW w:w="992" w:type="dxa"/>
          </w:tcPr>
          <w:p w14:paraId="0CC423E1" w14:textId="76EFBF26" w:rsidR="00FF4241" w:rsidRPr="00FF4241" w:rsidRDefault="00FF4241" w:rsidP="00085398">
            <w:pPr>
              <w:jc w:val="center"/>
              <w:rPr>
                <w:sz w:val="20"/>
                <w:szCs w:val="20"/>
                <w:highlight w:val="black"/>
              </w:rPr>
            </w:pPr>
            <w:r w:rsidRPr="00FF4241">
              <w:rPr>
                <w:sz w:val="20"/>
                <w:szCs w:val="20"/>
                <w:highlight w:val="black"/>
              </w:rPr>
              <w:t>XXXXX</w:t>
            </w:r>
          </w:p>
        </w:tc>
        <w:tc>
          <w:tcPr>
            <w:tcW w:w="885" w:type="dxa"/>
          </w:tcPr>
          <w:p w14:paraId="5BA138B1" w14:textId="319C6D6F" w:rsidR="00FF4241" w:rsidRPr="00FF4241" w:rsidRDefault="00FF4241" w:rsidP="00085398">
            <w:pPr>
              <w:jc w:val="center"/>
              <w:rPr>
                <w:sz w:val="20"/>
                <w:szCs w:val="20"/>
                <w:highlight w:val="black"/>
              </w:rPr>
            </w:pPr>
            <w:r w:rsidRPr="00FF4241">
              <w:rPr>
                <w:sz w:val="20"/>
                <w:szCs w:val="20"/>
                <w:highlight w:val="black"/>
              </w:rPr>
              <w:t>XXXXX</w:t>
            </w:r>
          </w:p>
        </w:tc>
        <w:tc>
          <w:tcPr>
            <w:tcW w:w="1131" w:type="dxa"/>
          </w:tcPr>
          <w:p w14:paraId="5308C2DB" w14:textId="17CC65D2" w:rsidR="00FF4241" w:rsidRPr="00FF4241" w:rsidRDefault="00FF4241" w:rsidP="00085398">
            <w:pPr>
              <w:jc w:val="center"/>
              <w:rPr>
                <w:sz w:val="20"/>
                <w:szCs w:val="20"/>
                <w:highlight w:val="black"/>
              </w:rPr>
            </w:pPr>
            <w:r w:rsidRPr="00FF4241">
              <w:rPr>
                <w:sz w:val="20"/>
                <w:szCs w:val="20"/>
                <w:highlight w:val="black"/>
              </w:rPr>
              <w:t>XXXXX</w:t>
            </w:r>
          </w:p>
        </w:tc>
        <w:tc>
          <w:tcPr>
            <w:tcW w:w="991" w:type="dxa"/>
          </w:tcPr>
          <w:p w14:paraId="12281C42" w14:textId="7CC0590C" w:rsidR="00FF4241" w:rsidRPr="00FF4241" w:rsidRDefault="00FF4241" w:rsidP="00085398">
            <w:pPr>
              <w:jc w:val="center"/>
              <w:rPr>
                <w:sz w:val="20"/>
                <w:szCs w:val="20"/>
                <w:highlight w:val="black"/>
              </w:rPr>
            </w:pPr>
            <w:r w:rsidRPr="00FF4241">
              <w:rPr>
                <w:sz w:val="20"/>
                <w:szCs w:val="20"/>
                <w:highlight w:val="black"/>
              </w:rPr>
              <w:t>XXXXX</w:t>
            </w:r>
          </w:p>
        </w:tc>
        <w:tc>
          <w:tcPr>
            <w:tcW w:w="1131" w:type="dxa"/>
          </w:tcPr>
          <w:p w14:paraId="27D0DB82" w14:textId="7EDB7397" w:rsidR="00FF4241" w:rsidRPr="00FF4241" w:rsidRDefault="00FF4241" w:rsidP="00085398">
            <w:pPr>
              <w:jc w:val="center"/>
              <w:rPr>
                <w:sz w:val="20"/>
                <w:szCs w:val="20"/>
                <w:highlight w:val="black"/>
              </w:rPr>
            </w:pPr>
            <w:r w:rsidRPr="00FF4241">
              <w:rPr>
                <w:sz w:val="20"/>
                <w:szCs w:val="20"/>
                <w:highlight w:val="black"/>
              </w:rPr>
              <w:t>XXXXX</w:t>
            </w:r>
          </w:p>
        </w:tc>
      </w:tr>
      <w:tr w:rsidR="00FF4241" w:rsidRPr="00F65282" w14:paraId="17561F60" w14:textId="77777777" w:rsidTr="00085398">
        <w:tc>
          <w:tcPr>
            <w:tcW w:w="2802" w:type="dxa"/>
          </w:tcPr>
          <w:p w14:paraId="16E16DDC" w14:textId="77777777" w:rsidR="00FF4241" w:rsidRPr="00F65282" w:rsidRDefault="00FF4241" w:rsidP="00085398">
            <w:pPr>
              <w:rPr>
                <w:sz w:val="20"/>
                <w:szCs w:val="20"/>
              </w:rPr>
            </w:pPr>
            <w:r w:rsidRPr="00F65282">
              <w:rPr>
                <w:sz w:val="20"/>
                <w:szCs w:val="20"/>
              </w:rPr>
              <w:t>Enzalutamide market update</w:t>
            </w:r>
          </w:p>
        </w:tc>
        <w:tc>
          <w:tcPr>
            <w:tcW w:w="992" w:type="dxa"/>
          </w:tcPr>
          <w:p w14:paraId="61403DF4" w14:textId="2D4B8B7D" w:rsidR="00FF4241" w:rsidRPr="00FF4241" w:rsidRDefault="00FF4241" w:rsidP="00085398">
            <w:pPr>
              <w:jc w:val="center"/>
              <w:rPr>
                <w:sz w:val="20"/>
                <w:szCs w:val="20"/>
                <w:highlight w:val="black"/>
              </w:rPr>
            </w:pPr>
            <w:r w:rsidRPr="00FF4241">
              <w:rPr>
                <w:sz w:val="20"/>
                <w:szCs w:val="20"/>
                <w:highlight w:val="black"/>
              </w:rPr>
              <w:t>X</w:t>
            </w:r>
          </w:p>
        </w:tc>
        <w:tc>
          <w:tcPr>
            <w:tcW w:w="885" w:type="dxa"/>
          </w:tcPr>
          <w:p w14:paraId="789599D8" w14:textId="7CADB1A3"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1E3BFC5D" w14:textId="0E9541A8" w:rsidR="00FF4241" w:rsidRPr="00FF4241" w:rsidRDefault="00FF4241" w:rsidP="00085398">
            <w:pPr>
              <w:jc w:val="center"/>
              <w:rPr>
                <w:sz w:val="20"/>
                <w:szCs w:val="20"/>
                <w:highlight w:val="black"/>
              </w:rPr>
            </w:pPr>
            <w:r w:rsidRPr="00FF4241">
              <w:rPr>
                <w:sz w:val="20"/>
                <w:szCs w:val="20"/>
                <w:highlight w:val="black"/>
              </w:rPr>
              <w:t>XXX</w:t>
            </w:r>
          </w:p>
        </w:tc>
        <w:tc>
          <w:tcPr>
            <w:tcW w:w="991" w:type="dxa"/>
          </w:tcPr>
          <w:p w14:paraId="7E4D503A" w14:textId="3DAE0F1A"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770BB61B" w14:textId="0AE53BF9" w:rsidR="00FF4241" w:rsidRPr="00FF4241" w:rsidRDefault="00FF4241" w:rsidP="00085398">
            <w:pPr>
              <w:jc w:val="center"/>
              <w:rPr>
                <w:sz w:val="20"/>
                <w:szCs w:val="20"/>
                <w:highlight w:val="black"/>
              </w:rPr>
            </w:pPr>
            <w:r w:rsidRPr="00FF4241">
              <w:rPr>
                <w:sz w:val="20"/>
                <w:szCs w:val="20"/>
                <w:highlight w:val="black"/>
              </w:rPr>
              <w:t>XXX</w:t>
            </w:r>
          </w:p>
        </w:tc>
      </w:tr>
      <w:tr w:rsidR="00FF4241" w:rsidRPr="00F65282" w14:paraId="0005F446" w14:textId="77777777" w:rsidTr="00085398">
        <w:tc>
          <w:tcPr>
            <w:tcW w:w="2802" w:type="dxa"/>
          </w:tcPr>
          <w:p w14:paraId="5DFE5933" w14:textId="77777777" w:rsidR="00FF4241" w:rsidRPr="00F65282" w:rsidRDefault="00FF4241" w:rsidP="00085398">
            <w:pPr>
              <w:rPr>
                <w:sz w:val="20"/>
                <w:szCs w:val="20"/>
              </w:rPr>
            </w:pPr>
            <w:r w:rsidRPr="00F65282">
              <w:rPr>
                <w:sz w:val="20"/>
                <w:szCs w:val="20"/>
              </w:rPr>
              <w:t>2014 cabazitaxel market share</w:t>
            </w:r>
          </w:p>
        </w:tc>
        <w:tc>
          <w:tcPr>
            <w:tcW w:w="992" w:type="dxa"/>
          </w:tcPr>
          <w:p w14:paraId="01B0E3A1" w14:textId="2B7E6BC7" w:rsidR="00FF4241" w:rsidRPr="00FF4241" w:rsidRDefault="00FF4241" w:rsidP="00085398">
            <w:pPr>
              <w:jc w:val="center"/>
              <w:rPr>
                <w:sz w:val="20"/>
                <w:szCs w:val="20"/>
                <w:highlight w:val="black"/>
              </w:rPr>
            </w:pPr>
            <w:r w:rsidRPr="00FF4241">
              <w:rPr>
                <w:sz w:val="20"/>
                <w:szCs w:val="20"/>
                <w:highlight w:val="black"/>
              </w:rPr>
              <w:t>XXX</w:t>
            </w:r>
          </w:p>
        </w:tc>
        <w:tc>
          <w:tcPr>
            <w:tcW w:w="885" w:type="dxa"/>
          </w:tcPr>
          <w:p w14:paraId="7A1952C1" w14:textId="79D41C22"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3888A9F5" w14:textId="43193D2A" w:rsidR="00FF4241" w:rsidRPr="00FF4241" w:rsidRDefault="00FF4241" w:rsidP="00085398">
            <w:pPr>
              <w:jc w:val="center"/>
              <w:rPr>
                <w:sz w:val="20"/>
                <w:szCs w:val="20"/>
                <w:highlight w:val="black"/>
              </w:rPr>
            </w:pPr>
            <w:r w:rsidRPr="00FF4241">
              <w:rPr>
                <w:sz w:val="20"/>
                <w:szCs w:val="20"/>
                <w:highlight w:val="black"/>
              </w:rPr>
              <w:t>XXX</w:t>
            </w:r>
          </w:p>
        </w:tc>
        <w:tc>
          <w:tcPr>
            <w:tcW w:w="991" w:type="dxa"/>
          </w:tcPr>
          <w:p w14:paraId="6DECDF5D" w14:textId="1D84F970"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3341D7F0" w14:textId="74FD8EF8" w:rsidR="00FF4241" w:rsidRPr="00FF4241" w:rsidRDefault="00FF4241" w:rsidP="00085398">
            <w:pPr>
              <w:jc w:val="center"/>
              <w:rPr>
                <w:sz w:val="20"/>
                <w:szCs w:val="20"/>
                <w:highlight w:val="black"/>
              </w:rPr>
            </w:pPr>
            <w:r w:rsidRPr="00FF4241">
              <w:rPr>
                <w:sz w:val="20"/>
                <w:szCs w:val="20"/>
                <w:highlight w:val="black"/>
              </w:rPr>
              <w:t>XXX</w:t>
            </w:r>
          </w:p>
        </w:tc>
      </w:tr>
      <w:tr w:rsidR="00FF4241" w:rsidRPr="00F65282" w14:paraId="5BBAA3C9" w14:textId="77777777" w:rsidTr="00085398">
        <w:tc>
          <w:tcPr>
            <w:tcW w:w="2802" w:type="dxa"/>
          </w:tcPr>
          <w:p w14:paraId="7F78CBFC" w14:textId="77777777" w:rsidR="00FF4241" w:rsidRPr="00F65282" w:rsidRDefault="00FF4241" w:rsidP="00085398">
            <w:pPr>
              <w:rPr>
                <w:sz w:val="20"/>
                <w:szCs w:val="20"/>
              </w:rPr>
            </w:pPr>
            <w:r w:rsidRPr="00F65282">
              <w:rPr>
                <w:sz w:val="20"/>
                <w:szCs w:val="20"/>
              </w:rPr>
              <w:t>2014 abiraterone market share</w:t>
            </w:r>
          </w:p>
        </w:tc>
        <w:tc>
          <w:tcPr>
            <w:tcW w:w="992" w:type="dxa"/>
          </w:tcPr>
          <w:p w14:paraId="58368958" w14:textId="600193D9" w:rsidR="00FF4241" w:rsidRPr="00FF4241" w:rsidRDefault="00FF4241" w:rsidP="00085398">
            <w:pPr>
              <w:jc w:val="center"/>
              <w:rPr>
                <w:sz w:val="20"/>
                <w:szCs w:val="20"/>
                <w:highlight w:val="black"/>
              </w:rPr>
            </w:pPr>
            <w:r w:rsidRPr="00FF4241">
              <w:rPr>
                <w:sz w:val="20"/>
                <w:szCs w:val="20"/>
                <w:highlight w:val="black"/>
              </w:rPr>
              <w:t>XXX</w:t>
            </w:r>
          </w:p>
        </w:tc>
        <w:tc>
          <w:tcPr>
            <w:tcW w:w="885" w:type="dxa"/>
          </w:tcPr>
          <w:p w14:paraId="3F3FD3E7" w14:textId="3A5D605E"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0EB12415" w14:textId="57B4226D" w:rsidR="00FF4241" w:rsidRPr="00FF4241" w:rsidRDefault="00FF4241" w:rsidP="00085398">
            <w:pPr>
              <w:jc w:val="center"/>
              <w:rPr>
                <w:sz w:val="20"/>
                <w:szCs w:val="20"/>
                <w:highlight w:val="black"/>
              </w:rPr>
            </w:pPr>
            <w:r w:rsidRPr="00FF4241">
              <w:rPr>
                <w:sz w:val="20"/>
                <w:szCs w:val="20"/>
                <w:highlight w:val="black"/>
              </w:rPr>
              <w:t>XXX</w:t>
            </w:r>
          </w:p>
        </w:tc>
        <w:tc>
          <w:tcPr>
            <w:tcW w:w="991" w:type="dxa"/>
          </w:tcPr>
          <w:p w14:paraId="3CC1E0F7" w14:textId="0099669B"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74E04B6E" w14:textId="1F2ADF70" w:rsidR="00FF4241" w:rsidRPr="00FF4241" w:rsidRDefault="00FF4241" w:rsidP="00085398">
            <w:pPr>
              <w:jc w:val="center"/>
              <w:rPr>
                <w:sz w:val="20"/>
                <w:szCs w:val="20"/>
                <w:highlight w:val="black"/>
              </w:rPr>
            </w:pPr>
            <w:r w:rsidRPr="00FF4241">
              <w:rPr>
                <w:sz w:val="20"/>
                <w:szCs w:val="20"/>
                <w:highlight w:val="black"/>
              </w:rPr>
              <w:t>XXX</w:t>
            </w:r>
          </w:p>
        </w:tc>
      </w:tr>
      <w:tr w:rsidR="00FF4241" w:rsidRPr="00F65282" w14:paraId="4F005DDE" w14:textId="77777777" w:rsidTr="00085398">
        <w:tc>
          <w:tcPr>
            <w:tcW w:w="2802" w:type="dxa"/>
          </w:tcPr>
          <w:p w14:paraId="222A345B" w14:textId="77777777" w:rsidR="00FF4241" w:rsidRPr="00F65282" w:rsidRDefault="00FF4241" w:rsidP="00085398">
            <w:pPr>
              <w:rPr>
                <w:sz w:val="20"/>
                <w:szCs w:val="20"/>
              </w:rPr>
            </w:pPr>
            <w:r w:rsidRPr="00F65282">
              <w:rPr>
                <w:sz w:val="20"/>
                <w:szCs w:val="20"/>
              </w:rPr>
              <w:t>Substitution for cabazitaxel</w:t>
            </w:r>
          </w:p>
        </w:tc>
        <w:tc>
          <w:tcPr>
            <w:tcW w:w="992" w:type="dxa"/>
          </w:tcPr>
          <w:p w14:paraId="482754D6" w14:textId="55E90B14" w:rsidR="00FF4241" w:rsidRPr="00FF4241" w:rsidRDefault="00FF4241" w:rsidP="00085398">
            <w:pPr>
              <w:jc w:val="center"/>
              <w:rPr>
                <w:sz w:val="20"/>
                <w:szCs w:val="20"/>
                <w:highlight w:val="black"/>
              </w:rPr>
            </w:pPr>
            <w:r w:rsidRPr="00FF4241">
              <w:rPr>
                <w:sz w:val="20"/>
                <w:szCs w:val="20"/>
                <w:highlight w:val="black"/>
              </w:rPr>
              <w:t>X</w:t>
            </w:r>
          </w:p>
        </w:tc>
        <w:tc>
          <w:tcPr>
            <w:tcW w:w="885" w:type="dxa"/>
          </w:tcPr>
          <w:p w14:paraId="27EE5E0D" w14:textId="3A5328E6"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7E9AD70F" w14:textId="77DFE75D" w:rsidR="00FF4241" w:rsidRPr="00FF4241" w:rsidRDefault="00FF4241" w:rsidP="00085398">
            <w:pPr>
              <w:jc w:val="center"/>
              <w:rPr>
                <w:sz w:val="20"/>
                <w:szCs w:val="20"/>
                <w:highlight w:val="black"/>
              </w:rPr>
            </w:pPr>
            <w:r w:rsidRPr="00FF4241">
              <w:rPr>
                <w:sz w:val="20"/>
                <w:szCs w:val="20"/>
                <w:highlight w:val="black"/>
              </w:rPr>
              <w:t>XXX</w:t>
            </w:r>
          </w:p>
        </w:tc>
        <w:tc>
          <w:tcPr>
            <w:tcW w:w="991" w:type="dxa"/>
          </w:tcPr>
          <w:p w14:paraId="15395F73" w14:textId="1EE15A0A"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550F8223" w14:textId="0DDF6D77" w:rsidR="00FF4241" w:rsidRPr="00FF4241" w:rsidRDefault="00FF4241" w:rsidP="00085398">
            <w:pPr>
              <w:jc w:val="center"/>
              <w:rPr>
                <w:sz w:val="20"/>
                <w:szCs w:val="20"/>
                <w:highlight w:val="black"/>
              </w:rPr>
            </w:pPr>
            <w:r w:rsidRPr="00FF4241">
              <w:rPr>
                <w:sz w:val="20"/>
                <w:szCs w:val="20"/>
                <w:highlight w:val="black"/>
              </w:rPr>
              <w:t>XXX</w:t>
            </w:r>
          </w:p>
        </w:tc>
      </w:tr>
      <w:tr w:rsidR="00FF4241" w:rsidRPr="00F65282" w14:paraId="39AFC472" w14:textId="77777777" w:rsidTr="00085398">
        <w:tc>
          <w:tcPr>
            <w:tcW w:w="2802" w:type="dxa"/>
          </w:tcPr>
          <w:p w14:paraId="5C1DEFBA" w14:textId="77777777" w:rsidR="00FF4241" w:rsidRPr="00F65282" w:rsidRDefault="00FF4241" w:rsidP="00085398">
            <w:pPr>
              <w:rPr>
                <w:sz w:val="20"/>
                <w:szCs w:val="20"/>
              </w:rPr>
            </w:pPr>
            <w:r w:rsidRPr="00F65282">
              <w:rPr>
                <w:sz w:val="20"/>
                <w:szCs w:val="20"/>
              </w:rPr>
              <w:t>Substitution for abiraterone</w:t>
            </w:r>
          </w:p>
        </w:tc>
        <w:tc>
          <w:tcPr>
            <w:tcW w:w="992" w:type="dxa"/>
          </w:tcPr>
          <w:p w14:paraId="0382A9DC" w14:textId="646175A5" w:rsidR="00FF4241" w:rsidRPr="00FF4241" w:rsidRDefault="00FF4241" w:rsidP="00085398">
            <w:pPr>
              <w:jc w:val="center"/>
              <w:rPr>
                <w:sz w:val="20"/>
                <w:szCs w:val="20"/>
                <w:highlight w:val="black"/>
              </w:rPr>
            </w:pPr>
            <w:r w:rsidRPr="00FF4241">
              <w:rPr>
                <w:sz w:val="20"/>
                <w:szCs w:val="20"/>
                <w:highlight w:val="black"/>
              </w:rPr>
              <w:t>X</w:t>
            </w:r>
          </w:p>
        </w:tc>
        <w:tc>
          <w:tcPr>
            <w:tcW w:w="885" w:type="dxa"/>
          </w:tcPr>
          <w:p w14:paraId="46BB16FE" w14:textId="05DD6F21"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126DDF59" w14:textId="359112E7" w:rsidR="00FF4241" w:rsidRPr="00FF4241" w:rsidRDefault="00FF4241" w:rsidP="00085398">
            <w:pPr>
              <w:jc w:val="center"/>
              <w:rPr>
                <w:sz w:val="20"/>
                <w:szCs w:val="20"/>
                <w:highlight w:val="black"/>
              </w:rPr>
            </w:pPr>
            <w:r w:rsidRPr="00FF4241">
              <w:rPr>
                <w:sz w:val="20"/>
                <w:szCs w:val="20"/>
                <w:highlight w:val="black"/>
              </w:rPr>
              <w:t>XXX</w:t>
            </w:r>
          </w:p>
        </w:tc>
        <w:tc>
          <w:tcPr>
            <w:tcW w:w="991" w:type="dxa"/>
          </w:tcPr>
          <w:p w14:paraId="1C1E2157" w14:textId="4FA30F8A"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4AF1CF6F" w14:textId="27945718" w:rsidR="00FF4241" w:rsidRPr="00FF4241" w:rsidRDefault="00FF4241" w:rsidP="00085398">
            <w:pPr>
              <w:jc w:val="center"/>
              <w:rPr>
                <w:sz w:val="20"/>
                <w:szCs w:val="20"/>
                <w:highlight w:val="black"/>
              </w:rPr>
            </w:pPr>
            <w:r w:rsidRPr="00FF4241">
              <w:rPr>
                <w:sz w:val="20"/>
                <w:szCs w:val="20"/>
                <w:highlight w:val="black"/>
              </w:rPr>
              <w:t>XXX</w:t>
            </w:r>
          </w:p>
        </w:tc>
      </w:tr>
      <w:tr w:rsidR="00FF4241" w:rsidRPr="00F65282" w14:paraId="60CB5803" w14:textId="77777777" w:rsidTr="00085398">
        <w:tc>
          <w:tcPr>
            <w:tcW w:w="2802" w:type="dxa"/>
          </w:tcPr>
          <w:p w14:paraId="27100B34" w14:textId="77777777" w:rsidR="00FF4241" w:rsidRPr="00F65282" w:rsidRDefault="00FF4241" w:rsidP="00085398">
            <w:pPr>
              <w:rPr>
                <w:sz w:val="20"/>
                <w:szCs w:val="20"/>
              </w:rPr>
            </w:pPr>
            <w:r w:rsidRPr="00F65282">
              <w:rPr>
                <w:sz w:val="20"/>
                <w:szCs w:val="20"/>
              </w:rPr>
              <w:t>Number of patients treated with enzalutamide</w:t>
            </w:r>
          </w:p>
        </w:tc>
        <w:tc>
          <w:tcPr>
            <w:tcW w:w="992" w:type="dxa"/>
          </w:tcPr>
          <w:p w14:paraId="2D8A8FCD" w14:textId="1AB70C43" w:rsidR="00FF4241" w:rsidRPr="00FF4241" w:rsidRDefault="00FF4241" w:rsidP="00085398">
            <w:pPr>
              <w:jc w:val="center"/>
              <w:rPr>
                <w:sz w:val="20"/>
                <w:szCs w:val="20"/>
                <w:highlight w:val="black"/>
              </w:rPr>
            </w:pPr>
            <w:r w:rsidRPr="00FF4241">
              <w:rPr>
                <w:sz w:val="20"/>
                <w:szCs w:val="20"/>
                <w:highlight w:val="black"/>
              </w:rPr>
              <w:t>X</w:t>
            </w:r>
          </w:p>
        </w:tc>
        <w:tc>
          <w:tcPr>
            <w:tcW w:w="885" w:type="dxa"/>
          </w:tcPr>
          <w:p w14:paraId="37BB7102" w14:textId="5603B49E"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2CEB22C8" w14:textId="74371492" w:rsidR="00FF4241" w:rsidRPr="00FF4241" w:rsidRDefault="00FF4241" w:rsidP="00085398">
            <w:pPr>
              <w:jc w:val="center"/>
              <w:rPr>
                <w:sz w:val="20"/>
                <w:szCs w:val="20"/>
                <w:highlight w:val="black"/>
              </w:rPr>
            </w:pPr>
            <w:r w:rsidRPr="00FF4241">
              <w:rPr>
                <w:sz w:val="20"/>
                <w:szCs w:val="20"/>
                <w:highlight w:val="black"/>
              </w:rPr>
              <w:t>XXX</w:t>
            </w:r>
          </w:p>
        </w:tc>
        <w:tc>
          <w:tcPr>
            <w:tcW w:w="991" w:type="dxa"/>
          </w:tcPr>
          <w:p w14:paraId="53A23051" w14:textId="77DD1C45"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10246F37" w14:textId="25A38692" w:rsidR="00FF4241" w:rsidRPr="00FF4241" w:rsidRDefault="00FF4241" w:rsidP="00085398">
            <w:pPr>
              <w:jc w:val="center"/>
              <w:rPr>
                <w:sz w:val="20"/>
                <w:szCs w:val="20"/>
                <w:highlight w:val="black"/>
              </w:rPr>
            </w:pPr>
            <w:r w:rsidRPr="00FF4241">
              <w:rPr>
                <w:sz w:val="20"/>
                <w:szCs w:val="20"/>
                <w:highlight w:val="black"/>
              </w:rPr>
              <w:t>XXX</w:t>
            </w:r>
          </w:p>
        </w:tc>
      </w:tr>
      <w:tr w:rsidR="00FF4241" w:rsidRPr="00F65282" w14:paraId="033B12CF" w14:textId="77777777" w:rsidTr="00085398">
        <w:tc>
          <w:tcPr>
            <w:tcW w:w="2802" w:type="dxa"/>
          </w:tcPr>
          <w:p w14:paraId="73FC4C6B" w14:textId="77777777" w:rsidR="00FF4241" w:rsidRPr="00F65282" w:rsidRDefault="00FF4241" w:rsidP="00085398">
            <w:pPr>
              <w:rPr>
                <w:sz w:val="20"/>
                <w:szCs w:val="20"/>
              </w:rPr>
            </w:pPr>
            <w:r w:rsidRPr="00F65282">
              <w:rPr>
                <w:sz w:val="20"/>
                <w:szCs w:val="20"/>
              </w:rPr>
              <w:t>Length of therapy (scripts)</w:t>
            </w:r>
          </w:p>
        </w:tc>
        <w:tc>
          <w:tcPr>
            <w:tcW w:w="992" w:type="dxa"/>
          </w:tcPr>
          <w:p w14:paraId="310CA334" w14:textId="659DE6C0" w:rsidR="00FF4241" w:rsidRPr="00FF4241" w:rsidRDefault="00FF4241" w:rsidP="00085398">
            <w:pPr>
              <w:jc w:val="center"/>
              <w:rPr>
                <w:sz w:val="20"/>
                <w:szCs w:val="20"/>
                <w:highlight w:val="black"/>
              </w:rPr>
            </w:pPr>
            <w:r w:rsidRPr="00FF4241">
              <w:rPr>
                <w:sz w:val="20"/>
                <w:szCs w:val="20"/>
                <w:highlight w:val="black"/>
              </w:rPr>
              <w:t>X</w:t>
            </w:r>
          </w:p>
        </w:tc>
        <w:tc>
          <w:tcPr>
            <w:tcW w:w="885" w:type="dxa"/>
          </w:tcPr>
          <w:p w14:paraId="4CDDBECF" w14:textId="11B47DBA"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71EDD886" w14:textId="6835AEAF" w:rsidR="00FF4241" w:rsidRPr="00FF4241" w:rsidRDefault="00FF4241" w:rsidP="00085398">
            <w:pPr>
              <w:jc w:val="center"/>
              <w:rPr>
                <w:sz w:val="20"/>
                <w:szCs w:val="20"/>
                <w:highlight w:val="black"/>
              </w:rPr>
            </w:pPr>
            <w:r w:rsidRPr="00FF4241">
              <w:rPr>
                <w:sz w:val="20"/>
                <w:szCs w:val="20"/>
                <w:highlight w:val="black"/>
              </w:rPr>
              <w:t>XXX</w:t>
            </w:r>
          </w:p>
        </w:tc>
        <w:tc>
          <w:tcPr>
            <w:tcW w:w="991" w:type="dxa"/>
          </w:tcPr>
          <w:p w14:paraId="4C9877E7" w14:textId="0FA7408A"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103CB010" w14:textId="6EDFB37B" w:rsidR="00FF4241" w:rsidRPr="00FF4241" w:rsidRDefault="00FF4241" w:rsidP="00085398">
            <w:pPr>
              <w:jc w:val="center"/>
              <w:rPr>
                <w:sz w:val="20"/>
                <w:szCs w:val="20"/>
                <w:highlight w:val="black"/>
              </w:rPr>
            </w:pPr>
            <w:r w:rsidRPr="00FF4241">
              <w:rPr>
                <w:sz w:val="20"/>
                <w:szCs w:val="20"/>
                <w:highlight w:val="black"/>
              </w:rPr>
              <w:t>XXX</w:t>
            </w:r>
          </w:p>
        </w:tc>
      </w:tr>
      <w:tr w:rsidR="00FF4241" w:rsidRPr="00F65282" w14:paraId="3143884F" w14:textId="77777777" w:rsidTr="00085398">
        <w:tc>
          <w:tcPr>
            <w:tcW w:w="2802" w:type="dxa"/>
          </w:tcPr>
          <w:p w14:paraId="0C4D3D22" w14:textId="77777777" w:rsidR="00FF4241" w:rsidRPr="00F65282" w:rsidRDefault="00FF4241" w:rsidP="00085398">
            <w:pPr>
              <w:rPr>
                <w:sz w:val="20"/>
                <w:szCs w:val="20"/>
              </w:rPr>
            </w:pPr>
            <w:r w:rsidRPr="00F65282">
              <w:rPr>
                <w:sz w:val="20"/>
                <w:szCs w:val="20"/>
              </w:rPr>
              <w:t>Number of enzalutamide prescriptions</w:t>
            </w:r>
          </w:p>
        </w:tc>
        <w:tc>
          <w:tcPr>
            <w:tcW w:w="992" w:type="dxa"/>
          </w:tcPr>
          <w:p w14:paraId="0A2F0218" w14:textId="1D9540AB" w:rsidR="00FF4241" w:rsidRPr="00FF4241" w:rsidRDefault="00FF4241" w:rsidP="00085398">
            <w:pPr>
              <w:jc w:val="center"/>
              <w:rPr>
                <w:sz w:val="20"/>
                <w:szCs w:val="20"/>
                <w:highlight w:val="black"/>
              </w:rPr>
            </w:pPr>
            <w:r w:rsidRPr="00FF4241">
              <w:rPr>
                <w:sz w:val="20"/>
                <w:szCs w:val="20"/>
                <w:highlight w:val="black"/>
              </w:rPr>
              <w:t>X</w:t>
            </w:r>
          </w:p>
        </w:tc>
        <w:tc>
          <w:tcPr>
            <w:tcW w:w="885" w:type="dxa"/>
          </w:tcPr>
          <w:p w14:paraId="48701ACA" w14:textId="286CA22A"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0FC09E4A" w14:textId="134C2317" w:rsidR="00FF4241" w:rsidRPr="00FF4241" w:rsidRDefault="00FF4241" w:rsidP="00085398">
            <w:pPr>
              <w:jc w:val="center"/>
              <w:rPr>
                <w:sz w:val="20"/>
                <w:szCs w:val="20"/>
                <w:highlight w:val="black"/>
              </w:rPr>
            </w:pPr>
            <w:r w:rsidRPr="00FF4241">
              <w:rPr>
                <w:sz w:val="20"/>
                <w:szCs w:val="20"/>
                <w:highlight w:val="black"/>
              </w:rPr>
              <w:t>XXX</w:t>
            </w:r>
          </w:p>
        </w:tc>
        <w:tc>
          <w:tcPr>
            <w:tcW w:w="991" w:type="dxa"/>
          </w:tcPr>
          <w:p w14:paraId="6B8546D6" w14:textId="50E714E0" w:rsidR="00FF4241" w:rsidRPr="00FF4241" w:rsidRDefault="00FF4241" w:rsidP="00085398">
            <w:pPr>
              <w:jc w:val="center"/>
              <w:rPr>
                <w:sz w:val="20"/>
                <w:szCs w:val="20"/>
                <w:highlight w:val="black"/>
              </w:rPr>
            </w:pPr>
            <w:r w:rsidRPr="00FF4241">
              <w:rPr>
                <w:sz w:val="20"/>
                <w:szCs w:val="20"/>
                <w:highlight w:val="black"/>
              </w:rPr>
              <w:t>XXX</w:t>
            </w:r>
          </w:p>
        </w:tc>
        <w:tc>
          <w:tcPr>
            <w:tcW w:w="1131" w:type="dxa"/>
          </w:tcPr>
          <w:p w14:paraId="72FB644B" w14:textId="6B59D364" w:rsidR="00FF4241" w:rsidRPr="00FF4241" w:rsidRDefault="00FF4241" w:rsidP="00085398">
            <w:pPr>
              <w:jc w:val="center"/>
              <w:rPr>
                <w:sz w:val="20"/>
                <w:szCs w:val="20"/>
                <w:highlight w:val="black"/>
              </w:rPr>
            </w:pPr>
            <w:r w:rsidRPr="00FF4241">
              <w:rPr>
                <w:sz w:val="20"/>
                <w:szCs w:val="20"/>
                <w:highlight w:val="black"/>
              </w:rPr>
              <w:t>XXX</w:t>
            </w:r>
          </w:p>
        </w:tc>
      </w:tr>
    </w:tbl>
    <w:p w14:paraId="24C4D74C" w14:textId="77777777" w:rsidR="0003506D" w:rsidRDefault="0003506D" w:rsidP="002D353B">
      <w:pPr>
        <w:rPr>
          <w:color w:val="000000" w:themeColor="text1"/>
        </w:rPr>
      </w:pPr>
    </w:p>
    <w:p w14:paraId="2C66721B" w14:textId="6F71A5B3" w:rsidR="00D5773D" w:rsidRPr="00B02785" w:rsidRDefault="00D5773D" w:rsidP="002D353B">
      <w:r w:rsidRPr="00B02785">
        <w:t>The main issues noted by DUSC include</w:t>
      </w:r>
      <w:r w:rsidR="00D23113" w:rsidRPr="00B02785">
        <w:t>d</w:t>
      </w:r>
      <w:r w:rsidRPr="00B02785">
        <w:t xml:space="preserve"> the following: </w:t>
      </w:r>
    </w:p>
    <w:p w14:paraId="520A4F7E" w14:textId="6092498B" w:rsidR="00D5773D" w:rsidRPr="00B02785" w:rsidRDefault="00D5773D" w:rsidP="008F1898">
      <w:pPr>
        <w:pStyle w:val="ListParagraph"/>
        <w:numPr>
          <w:ilvl w:val="0"/>
          <w:numId w:val="11"/>
        </w:numPr>
      </w:pPr>
      <w:r w:rsidRPr="00B02785">
        <w:t>The base case estimates assume</w:t>
      </w:r>
      <w:r w:rsidR="008C1DFF">
        <w:t>d that use of enzalutamide would</w:t>
      </w:r>
      <w:r w:rsidRPr="00B02785">
        <w:t xml:space="preserve"> be entirely offset by a reduction in the use of abiraterone and cabazitaxel. This may underestimate the financial implications to the government upon listing enzalutamide due to:</w:t>
      </w:r>
    </w:p>
    <w:p w14:paraId="44AABE5D" w14:textId="6B89B06E" w:rsidR="00D5773D" w:rsidRPr="00B02785" w:rsidRDefault="00D5773D" w:rsidP="008F1898">
      <w:pPr>
        <w:pStyle w:val="ListParagraph"/>
        <w:numPr>
          <w:ilvl w:val="1"/>
          <w:numId w:val="15"/>
        </w:numPr>
      </w:pPr>
      <w:r w:rsidRPr="00B02785">
        <w:t>The potential for enzalutamide to be used subsequent to, rather than only as a substitute for abiraterone (and cabazitaxel) (i.e. an increased market in the post-docetaxel setting);</w:t>
      </w:r>
    </w:p>
    <w:p w14:paraId="22F22D8C" w14:textId="691A1331" w:rsidR="00D5773D" w:rsidRPr="00B02785" w:rsidRDefault="00D5773D" w:rsidP="008F1898">
      <w:pPr>
        <w:pStyle w:val="ListParagraph"/>
        <w:numPr>
          <w:ilvl w:val="1"/>
          <w:numId w:val="15"/>
        </w:numPr>
      </w:pPr>
      <w:r w:rsidRPr="00B02785">
        <w:t xml:space="preserve">The potential for concomitant use of enzalutamide and abiraterone, rather than only as a </w:t>
      </w:r>
      <w:r w:rsidR="00277B90">
        <w:t>substitute for abiraterone</w:t>
      </w:r>
      <w:r w:rsidRPr="00B02785">
        <w:t xml:space="preserve">; </w:t>
      </w:r>
    </w:p>
    <w:p w14:paraId="7DAFB2AE" w14:textId="571C438C" w:rsidR="00D5773D" w:rsidRPr="00B02785" w:rsidRDefault="00D5773D" w:rsidP="008F1898">
      <w:pPr>
        <w:pStyle w:val="ListParagraph"/>
        <w:numPr>
          <w:ilvl w:val="1"/>
          <w:numId w:val="15"/>
        </w:numPr>
      </w:pPr>
      <w:r w:rsidRPr="00B02785">
        <w:t>The extent of the population with an “unmet clinical need”, i.e. those unable to take abiraterone or cabazitaxel or prednisone/prednisolone (which is required for treatment with abira</w:t>
      </w:r>
      <w:r w:rsidR="007B6AE3">
        <w:t>terone or cabazitaxel). This had</w:t>
      </w:r>
      <w:r w:rsidRPr="00B02785">
        <w:t xml:space="preserve"> been neither quantified nor accounted for in the current estimates. </w:t>
      </w:r>
    </w:p>
    <w:p w14:paraId="7AA5446C" w14:textId="75932FBE" w:rsidR="00D5773D" w:rsidRPr="00B02785" w:rsidRDefault="00D5773D" w:rsidP="008F1898">
      <w:pPr>
        <w:pStyle w:val="ListParagraph"/>
        <w:numPr>
          <w:ilvl w:val="0"/>
          <w:numId w:val="11"/>
        </w:numPr>
      </w:pPr>
      <w:r w:rsidRPr="00B02785">
        <w:t xml:space="preserve">Using an epidemiological approach, the </w:t>
      </w:r>
      <w:r w:rsidR="00A93A56">
        <w:t>prevalent patient population had</w:t>
      </w:r>
      <w:r w:rsidRPr="00B02785">
        <w:t xml:space="preserve"> been estimated from the modelled incidence rate (derived from answers provided in a commissioned survey) and using a morta</w:t>
      </w:r>
      <w:r w:rsidR="00A93A56">
        <w:t>lity rate that may or may not have been</w:t>
      </w:r>
      <w:r w:rsidRPr="00B02785">
        <w:t xml:space="preserve"> relevant to the Australian </w:t>
      </w:r>
      <w:r w:rsidR="00A93A56">
        <w:t>context and may not have accounted</w:t>
      </w:r>
      <w:r w:rsidRPr="00B02785">
        <w:t xml:space="preserve"> for factors that may drive prevalence (e.g. age, improved diagnosis, effective therapies). This may </w:t>
      </w:r>
      <w:r w:rsidR="00434D25">
        <w:t xml:space="preserve">have </w:t>
      </w:r>
      <w:r w:rsidRPr="00B02785">
        <w:t>over</w:t>
      </w:r>
      <w:r w:rsidR="00434D25">
        <w:t>-</w:t>
      </w:r>
      <w:r w:rsidRPr="00B02785">
        <w:t xml:space="preserve"> or under</w:t>
      </w:r>
      <w:r w:rsidR="00434D25">
        <w:t xml:space="preserve">- </w:t>
      </w:r>
      <w:r w:rsidRPr="00B02785">
        <w:t>estimate</w:t>
      </w:r>
      <w:r w:rsidR="00434D25">
        <w:t>d</w:t>
      </w:r>
      <w:r w:rsidRPr="00B02785">
        <w:t xml:space="preserve"> the potential number of patients eligible for treatment. </w:t>
      </w:r>
    </w:p>
    <w:p w14:paraId="4F1AAA4B" w14:textId="3D941DE4" w:rsidR="00D5773D" w:rsidRPr="00B02785" w:rsidRDefault="00D5773D" w:rsidP="008F1898">
      <w:pPr>
        <w:pStyle w:val="ListParagraph"/>
        <w:numPr>
          <w:ilvl w:val="0"/>
          <w:numId w:val="11"/>
        </w:numPr>
      </w:pPr>
      <w:r w:rsidRPr="00B02785">
        <w:t>The potential for use beyond the restriction: (i) use in ‘sicker’ patients (i.e. WHO &gt;2); (ii) use beyond disease progression; and (iii) use in earlier stages of disease (i.e. replacing other anti-androgens) and in light of the Phase 3 PREVAIL study.</w:t>
      </w:r>
    </w:p>
    <w:p w14:paraId="18F3780A" w14:textId="12E50C0F" w:rsidR="009F7A14" w:rsidRPr="00B02785" w:rsidRDefault="00E677DD" w:rsidP="00FC1B25">
      <w:pPr>
        <w:pStyle w:val="Heading1"/>
      </w:pPr>
      <w:r w:rsidRPr="00B02785">
        <w:t>Method</w:t>
      </w:r>
      <w:r w:rsidR="001B5D37" w:rsidRPr="00B02785">
        <w:t>s</w:t>
      </w:r>
    </w:p>
    <w:p w14:paraId="079290CF" w14:textId="5991939D" w:rsidR="00DD373C" w:rsidRDefault="00DD373C" w:rsidP="00DD373C">
      <w:pPr>
        <w:rPr>
          <w:rFonts w:eastAsia="Calibri" w:cs="Times New Roman"/>
        </w:rPr>
      </w:pPr>
      <w:r>
        <w:rPr>
          <w:rFonts w:eastAsia="Calibri" w:cs="Times New Roman"/>
        </w:rPr>
        <w:t>All data analyses were undertaken usin</w:t>
      </w:r>
      <w:r w:rsidR="00433884">
        <w:rPr>
          <w:rFonts w:eastAsia="Calibri" w:cs="Times New Roman"/>
        </w:rPr>
        <w:t>g SAS Enterprise Guide version 7</w:t>
      </w:r>
      <w:r>
        <w:rPr>
          <w:rFonts w:eastAsia="Calibri" w:cs="Times New Roman"/>
        </w:rPr>
        <w:t>.1.</w:t>
      </w:r>
    </w:p>
    <w:p w14:paraId="1CCA0F92" w14:textId="66F876F0" w:rsidR="00DD373C" w:rsidRDefault="00DD373C" w:rsidP="00DD373C">
      <w:r>
        <w:t xml:space="preserve">Data was extracted from the Department of Human Services (DHS) prescription database for all PBS listings for the treatment of prostate cancer and all PBS listings for docetaxel </w:t>
      </w:r>
      <w:r>
        <w:lastRenderedPageBreak/>
        <w:t>based on the date of supply to the patient.</w:t>
      </w:r>
      <w:r>
        <w:rPr>
          <w:rStyle w:val="FootnoteReference"/>
        </w:rPr>
        <w:t xml:space="preserve"> </w:t>
      </w:r>
      <w:r w:rsidR="00AF4467" w:rsidRPr="00AF4467">
        <w:t xml:space="preserve">The data differs from that available from the DHS (Medicare) PBS statistics website which is based on the date of processing and is only for subsidised R/PBS prescriptions (under patient co-payment not included). </w:t>
      </w:r>
      <w:r>
        <w:t>The PBS item codes used for data extraction are summarised in Appendix A. Data</w:t>
      </w:r>
      <w:r w:rsidR="009E39E2">
        <w:t xml:space="preserve"> was extracted from January 2000</w:t>
      </w:r>
      <w:r>
        <w:t xml:space="preserve"> to the most current available data (</w:t>
      </w:r>
      <w:r w:rsidR="00893A2D">
        <w:t>March 2016</w:t>
      </w:r>
      <w:r>
        <w:t>, inclusive). Only records for males were included.</w:t>
      </w:r>
    </w:p>
    <w:p w14:paraId="7AD91232" w14:textId="32DCDD00" w:rsidR="00A504A3" w:rsidRDefault="00DD373C" w:rsidP="00DD373C">
      <w:pPr>
        <w:rPr>
          <w:rFonts w:eastAsia="Calibri" w:cs="Times New Roman"/>
        </w:rPr>
      </w:pPr>
      <w:r>
        <w:t xml:space="preserve">For the patient level analyses </w:t>
      </w:r>
      <w:r w:rsidR="00F16781">
        <w:t xml:space="preserve">and counts </w:t>
      </w:r>
      <w:r>
        <w:t xml:space="preserve">of patients supplied cabazitaxel, abiraterone or enzalutamide, PBS &amp; RPBS (R/PBS) </w:t>
      </w:r>
      <w:r>
        <w:rPr>
          <w:rFonts w:eastAsia="Calibri" w:cs="Times New Roman"/>
        </w:rPr>
        <w:t xml:space="preserve">prescription data were extracted from the DHS Prescription database for scripts supplied from August 2012, the date corresponding to the </w:t>
      </w:r>
      <w:r w:rsidR="00CC5C09">
        <w:rPr>
          <w:rFonts w:eastAsia="Calibri" w:cs="Times New Roman"/>
        </w:rPr>
        <w:t xml:space="preserve">first </w:t>
      </w:r>
      <w:r>
        <w:rPr>
          <w:rFonts w:eastAsia="Calibri" w:cs="Times New Roman"/>
        </w:rPr>
        <w:t>listing of cabazitaxel. The number of prevalent patients was determined by counting the number of people supplied at least one PBS prescription using person specific numbers (non-identifying) in the data for the specified time periods. Patient initiation was defined as the date of supply of the first PBS or RPBS prescription.</w:t>
      </w:r>
    </w:p>
    <w:p w14:paraId="143E23A6" w14:textId="77777777" w:rsidR="00DD373C" w:rsidRDefault="00DD373C" w:rsidP="003548A0">
      <w:pPr>
        <w:pStyle w:val="Heading3"/>
      </w:pPr>
      <w:r>
        <w:t>Data extraction of records for the supply of docetaxel for patient identified as having prostate cancer</w:t>
      </w:r>
    </w:p>
    <w:p w14:paraId="07E2351F" w14:textId="731F2F25" w:rsidR="001B22BC" w:rsidRDefault="009D71BC" w:rsidP="00F63C9E">
      <w:pPr>
        <w:spacing w:after="0"/>
        <w:rPr>
          <w:color w:val="000000" w:themeColor="text1"/>
        </w:rPr>
      </w:pPr>
      <w:r>
        <w:rPr>
          <w:color w:val="000000" w:themeColor="text1"/>
        </w:rPr>
        <w:t>The</w:t>
      </w:r>
      <w:r w:rsidR="009C312E" w:rsidRPr="00F63C9E">
        <w:rPr>
          <w:color w:val="000000" w:themeColor="text1"/>
        </w:rPr>
        <w:t xml:space="preserve"> PBS listing of d</w:t>
      </w:r>
      <w:r w:rsidR="001B22BC" w:rsidRPr="00F63C9E">
        <w:rPr>
          <w:color w:val="000000" w:themeColor="text1"/>
        </w:rPr>
        <w:t xml:space="preserve">ocetaxel </w:t>
      </w:r>
      <w:r w:rsidR="009C312E" w:rsidRPr="00F63C9E">
        <w:rPr>
          <w:color w:val="000000" w:themeColor="text1"/>
        </w:rPr>
        <w:t xml:space="preserve">changed from Authority Required (STREAMLINED) to </w:t>
      </w:r>
      <w:r w:rsidR="001B22BC" w:rsidRPr="00F63C9E">
        <w:rPr>
          <w:color w:val="000000" w:themeColor="text1"/>
        </w:rPr>
        <w:t xml:space="preserve">unrestricted </w:t>
      </w:r>
      <w:r w:rsidR="009C312E" w:rsidRPr="00F63C9E">
        <w:rPr>
          <w:color w:val="000000" w:themeColor="text1"/>
        </w:rPr>
        <w:t xml:space="preserve">on 1 </w:t>
      </w:r>
      <w:r w:rsidR="001B22BC" w:rsidRPr="00F63C9E">
        <w:rPr>
          <w:color w:val="000000" w:themeColor="text1"/>
        </w:rPr>
        <w:t xml:space="preserve">November 2014. </w:t>
      </w:r>
      <w:r w:rsidR="00DD463B">
        <w:rPr>
          <w:color w:val="000000" w:themeColor="text1"/>
        </w:rPr>
        <w:t>T</w:t>
      </w:r>
      <w:r w:rsidR="00A6001E" w:rsidRPr="00F63C9E">
        <w:rPr>
          <w:color w:val="000000" w:themeColor="text1"/>
        </w:rPr>
        <w:t xml:space="preserve">here was an absence of adequate data to verify directly the supply of docetaxel for prostate cancer. </w:t>
      </w:r>
      <w:r w:rsidR="001B22BC" w:rsidRPr="00F63C9E">
        <w:rPr>
          <w:color w:val="000000" w:themeColor="text1"/>
        </w:rPr>
        <w:t>As such, the supply of docetaxel for the treatment of prostate cancer was estimated based on whether a patient had received another PBS listed drug for the treatment of prostate cancer.</w:t>
      </w:r>
    </w:p>
    <w:p w14:paraId="0E881859" w14:textId="77777777" w:rsidR="00F63C9E" w:rsidRPr="00F63C9E" w:rsidRDefault="00F63C9E" w:rsidP="00F63C9E">
      <w:pPr>
        <w:spacing w:after="0"/>
        <w:rPr>
          <w:color w:val="000000" w:themeColor="text1"/>
        </w:rPr>
      </w:pPr>
    </w:p>
    <w:p w14:paraId="012B24AC" w14:textId="77777777" w:rsidR="006B566E" w:rsidRDefault="00DD373C" w:rsidP="00DD373C">
      <w:r>
        <w:t>A patient was identified as having prostate cancer if they had ever received a supply of any PBS listing for p</w:t>
      </w:r>
      <w:r w:rsidR="001B22BC">
        <w:t>rostate cancer from Januar</w:t>
      </w:r>
      <w:r w:rsidR="00E46A6F">
        <w:t>y 2000</w:t>
      </w:r>
      <w:r>
        <w:t xml:space="preserve"> to March 2016. The PBS item codes used for this analysis are provided in Appendix A. </w:t>
      </w:r>
      <w:r w:rsidR="00A55793">
        <w:t xml:space="preserve">Claim records for docetaxel which were likely for the treatment of prostate cancer were extracted by matching </w:t>
      </w:r>
      <w:r>
        <w:t xml:space="preserve">patient identifiers from </w:t>
      </w:r>
      <w:r w:rsidR="00A55793">
        <w:t>the above analysis</w:t>
      </w:r>
      <w:r>
        <w:t>. Only records classified as male were included in the data extraction.</w:t>
      </w:r>
    </w:p>
    <w:p w14:paraId="4C922266" w14:textId="77777777" w:rsidR="00B4220F" w:rsidRDefault="00B4220F" w:rsidP="003548A0">
      <w:pPr>
        <w:pStyle w:val="Heading3"/>
      </w:pPr>
      <w:r>
        <w:t>Analysis of drugs received prior to initiation on cabazitaxel, abiraterone or enzalutamide</w:t>
      </w:r>
    </w:p>
    <w:p w14:paraId="43CB7207" w14:textId="17769821" w:rsidR="00D06FDA" w:rsidRDefault="00B4220F" w:rsidP="00D06FDA">
      <w:pPr>
        <w:spacing w:after="0"/>
        <w:rPr>
          <w:color w:val="000000" w:themeColor="text1"/>
        </w:rPr>
      </w:pPr>
      <w:r>
        <w:rPr>
          <w:color w:val="000000" w:themeColor="text1"/>
        </w:rPr>
        <w:t xml:space="preserve">Patients first initiating to therapy on cabazitaxel, abiraterone or enzalutamide were identified for each listing </w:t>
      </w:r>
      <w:r w:rsidR="00E82392">
        <w:rPr>
          <w:color w:val="000000" w:themeColor="text1"/>
        </w:rPr>
        <w:t>year. For each yearly</w:t>
      </w:r>
      <w:r>
        <w:rPr>
          <w:color w:val="000000" w:themeColor="text1"/>
        </w:rPr>
        <w:t xml:space="preserve"> initiating cohort, the number of patients receiving a prior supply of docetaxel, cabazitaxel, abiratero</w:t>
      </w:r>
      <w:r w:rsidR="00264215">
        <w:rPr>
          <w:color w:val="000000" w:themeColor="text1"/>
        </w:rPr>
        <w:t>ne or enzalutamide was</w:t>
      </w:r>
      <w:r>
        <w:rPr>
          <w:color w:val="000000" w:themeColor="text1"/>
        </w:rPr>
        <w:t xml:space="preserve"> derived. </w:t>
      </w:r>
    </w:p>
    <w:p w14:paraId="656068A8" w14:textId="44ED2F90" w:rsidR="00BF55E4" w:rsidRDefault="00BF55E4" w:rsidP="003548A0">
      <w:pPr>
        <w:pStyle w:val="Heading3"/>
        <w:keepNext/>
      </w:pPr>
      <w:r>
        <w:t>Drug sequence analysis</w:t>
      </w:r>
    </w:p>
    <w:p w14:paraId="2D843091" w14:textId="7B246EB1" w:rsidR="005F0AEC" w:rsidRDefault="005F0AEC" w:rsidP="005F0AEC">
      <w:pPr>
        <w:spacing w:after="0"/>
        <w:rPr>
          <w:color w:val="000000" w:themeColor="text1"/>
        </w:rPr>
      </w:pPr>
      <w:r w:rsidRPr="002D35F8">
        <w:rPr>
          <w:color w:val="000000" w:themeColor="text1"/>
        </w:rPr>
        <w:t>All records for the supply of docetaxel</w:t>
      </w:r>
      <w:r w:rsidR="001F6DCE" w:rsidRPr="002D35F8">
        <w:rPr>
          <w:color w:val="000000" w:themeColor="text1"/>
        </w:rPr>
        <w:t xml:space="preserve"> (categorised as dispensed</w:t>
      </w:r>
      <w:r w:rsidRPr="002D35F8">
        <w:rPr>
          <w:color w:val="000000" w:themeColor="text1"/>
        </w:rPr>
        <w:t xml:space="preserve"> for the treatment of prostate cancer described above), cabazitaxel, abiraterone and enzalutamide from 1</w:t>
      </w:r>
      <w:r w:rsidR="002D35F8" w:rsidRPr="002D35F8">
        <w:rPr>
          <w:color w:val="000000" w:themeColor="text1"/>
        </w:rPr>
        <w:t> </w:t>
      </w:r>
      <w:r w:rsidRPr="002D35F8">
        <w:rPr>
          <w:color w:val="000000" w:themeColor="text1"/>
        </w:rPr>
        <w:t xml:space="preserve">January 2012 to 31 March 2016 were extracted. </w:t>
      </w:r>
    </w:p>
    <w:p w14:paraId="4791555A" w14:textId="77777777" w:rsidR="005F0AEC" w:rsidRDefault="005F0AEC" w:rsidP="00D06FDA">
      <w:pPr>
        <w:spacing w:after="0"/>
        <w:rPr>
          <w:color w:val="000000" w:themeColor="text1"/>
          <w:u w:val="single"/>
        </w:rPr>
      </w:pPr>
    </w:p>
    <w:p w14:paraId="28B67C44" w14:textId="054DB23B" w:rsidR="003E75F2" w:rsidRPr="002D35F8" w:rsidRDefault="003E75F2" w:rsidP="00D06FDA">
      <w:pPr>
        <w:spacing w:after="0"/>
        <w:rPr>
          <w:color w:val="000000" w:themeColor="text1"/>
        </w:rPr>
      </w:pPr>
      <w:r w:rsidRPr="002D35F8">
        <w:rPr>
          <w:color w:val="000000" w:themeColor="text1"/>
        </w:rPr>
        <w:t xml:space="preserve">The sequence </w:t>
      </w:r>
      <w:r w:rsidR="002D6CB9" w:rsidRPr="002D35F8">
        <w:rPr>
          <w:color w:val="000000" w:themeColor="text1"/>
        </w:rPr>
        <w:t>in the use of docetaxel, cabazitaxel, abiraterone or enzalutamide</w:t>
      </w:r>
      <w:r w:rsidRPr="002D35F8">
        <w:rPr>
          <w:color w:val="000000" w:themeColor="text1"/>
        </w:rPr>
        <w:t xml:space="preserve"> </w:t>
      </w:r>
      <w:r w:rsidR="002D6CB9" w:rsidRPr="002D35F8">
        <w:rPr>
          <w:color w:val="000000" w:themeColor="text1"/>
        </w:rPr>
        <w:t>was examined for</w:t>
      </w:r>
      <w:r w:rsidRPr="002D35F8">
        <w:rPr>
          <w:color w:val="000000" w:themeColor="text1"/>
        </w:rPr>
        <w:t xml:space="preserve"> the following </w:t>
      </w:r>
      <w:r w:rsidR="002D6CB9" w:rsidRPr="002D35F8">
        <w:rPr>
          <w:color w:val="000000" w:themeColor="text1"/>
        </w:rPr>
        <w:t>initiating cohorts</w:t>
      </w:r>
      <w:r w:rsidRPr="002D35F8">
        <w:rPr>
          <w:color w:val="000000" w:themeColor="text1"/>
        </w:rPr>
        <w:t>:</w:t>
      </w:r>
    </w:p>
    <w:p w14:paraId="32516710" w14:textId="4B79E16A" w:rsidR="00723BB6" w:rsidRPr="002D35F8" w:rsidRDefault="00723BB6" w:rsidP="00723BB6">
      <w:pPr>
        <w:pStyle w:val="ListParagraph"/>
        <w:numPr>
          <w:ilvl w:val="0"/>
          <w:numId w:val="16"/>
        </w:numPr>
        <w:spacing w:after="0"/>
      </w:pPr>
      <w:r w:rsidRPr="002D35F8">
        <w:t>patients initiating treatment with docetaxel or cabazitaxel between 1 January to 31 July 2013 (i.e. within the seven months prior to the listing of abiraterone from 1 August 2013); and</w:t>
      </w:r>
    </w:p>
    <w:p w14:paraId="77EBA208" w14:textId="55B9D792" w:rsidR="00723BB6" w:rsidRPr="002D35F8" w:rsidRDefault="00723BB6" w:rsidP="00723BB6">
      <w:pPr>
        <w:pStyle w:val="ListParagraph"/>
        <w:numPr>
          <w:ilvl w:val="0"/>
          <w:numId w:val="16"/>
        </w:numPr>
        <w:spacing w:after="0"/>
      </w:pPr>
      <w:r w:rsidRPr="002D35F8">
        <w:lastRenderedPageBreak/>
        <w:t>patients initiating treatment with docetaxel, cabazitaxel, abiraterone or enzalutamide between 1 January to 31 March 2015 (i.e. after the listing of enzalutamide).</w:t>
      </w:r>
    </w:p>
    <w:p w14:paraId="0BFF55AA" w14:textId="77777777" w:rsidR="003E75F2" w:rsidRPr="002D35F8" w:rsidRDefault="003E75F2" w:rsidP="00D06FDA">
      <w:pPr>
        <w:spacing w:after="0"/>
        <w:rPr>
          <w:color w:val="000000" w:themeColor="text1"/>
        </w:rPr>
      </w:pPr>
    </w:p>
    <w:p w14:paraId="25B40937" w14:textId="3E236D21" w:rsidR="00723BB6" w:rsidRDefault="003D12C7" w:rsidP="00D06FDA">
      <w:pPr>
        <w:spacing w:after="0"/>
        <w:rPr>
          <w:color w:val="000000" w:themeColor="text1"/>
        </w:rPr>
      </w:pPr>
      <w:r>
        <w:rPr>
          <w:color w:val="000000" w:themeColor="text1"/>
        </w:rPr>
        <w:t>For each initiating cohort, u</w:t>
      </w:r>
      <w:r w:rsidR="00A55A42">
        <w:rPr>
          <w:color w:val="000000" w:themeColor="text1"/>
        </w:rPr>
        <w:t xml:space="preserve">nique patient counts were derived for each sequence of treatment. </w:t>
      </w:r>
    </w:p>
    <w:p w14:paraId="224AB47C" w14:textId="77777777" w:rsidR="002D35F8" w:rsidRDefault="002D35F8" w:rsidP="00D06FDA">
      <w:pPr>
        <w:spacing w:after="0"/>
        <w:rPr>
          <w:color w:val="000000" w:themeColor="text1"/>
        </w:rPr>
      </w:pPr>
    </w:p>
    <w:p w14:paraId="5A9E344A" w14:textId="67566010" w:rsidR="00E82889" w:rsidRDefault="002D35F8" w:rsidP="00D06FDA">
      <w:pPr>
        <w:spacing w:after="0"/>
        <w:rPr>
          <w:color w:val="000000" w:themeColor="text1"/>
        </w:rPr>
      </w:pPr>
      <w:r w:rsidRPr="00886B02">
        <w:rPr>
          <w:color w:val="000000" w:themeColor="text1"/>
        </w:rPr>
        <w:t>Potential coadministration was assessed by identifying records where a patient was supplied a different drug within 7 days of the last supply and a future supply differed to the last drug that the patient had transitioned to.</w:t>
      </w:r>
      <w:r w:rsidRPr="002D35F8">
        <w:rPr>
          <w:color w:val="000000" w:themeColor="text1"/>
        </w:rPr>
        <w:t xml:space="preserve"> A small proportion (0.1%) of records was identified as having potential coadministration and it was assumed that this would have a negligible impact on the drug sequence analyses.</w:t>
      </w:r>
    </w:p>
    <w:p w14:paraId="45895A27" w14:textId="77777777" w:rsidR="00E82889" w:rsidRDefault="00E82889" w:rsidP="003548A0">
      <w:pPr>
        <w:pStyle w:val="Heading3"/>
        <w:keepNext/>
      </w:pPr>
      <w:r>
        <w:t xml:space="preserve">Analysis of the supply of docetaxel prior to initiation on abiraterone before 1 December 2014 </w:t>
      </w:r>
    </w:p>
    <w:p w14:paraId="5F36DF42" w14:textId="77777777" w:rsidR="00E82889" w:rsidRPr="004177E9" w:rsidRDefault="00E82889" w:rsidP="00E82889">
      <w:pPr>
        <w:spacing w:after="0"/>
      </w:pPr>
      <w:r w:rsidRPr="004177E9">
        <w:t>The clinical criteria in the restrictions for oral therapy (abiraterone and enzalutamide) were amended from 1 December 2014 to include patients unsuitable for docetaxel treatment on the basis of predicted intolerance to docetaxel. The number of supplies of prior docetaxel was examined in patients who initiated on abiraterone in the 12 months before the restriction change (i.e. 1 December 2012 to 30 November 2013). For this initiating cohort, unique patient counts were derived for patients categorised as having no prior supply, one supply or receiving multiple supplies of docetaxel before initiation to abiraterone.</w:t>
      </w:r>
    </w:p>
    <w:p w14:paraId="571FC443" w14:textId="77777777" w:rsidR="00E82889" w:rsidRPr="004177E9" w:rsidRDefault="00E82889" w:rsidP="00E82889">
      <w:pPr>
        <w:spacing w:after="0"/>
      </w:pPr>
    </w:p>
    <w:p w14:paraId="3E9BD551" w14:textId="77B02604" w:rsidR="00BF55E4" w:rsidRPr="00D06FDA" w:rsidRDefault="00E82889" w:rsidP="00D06FDA">
      <w:pPr>
        <w:spacing w:after="0"/>
        <w:rPr>
          <w:color w:val="000000" w:themeColor="text1"/>
        </w:rPr>
      </w:pPr>
      <w:r w:rsidRPr="004177E9">
        <w:t>Enzalutamide was not included in this analysis as it first listed from 1 December 2014.</w:t>
      </w:r>
    </w:p>
    <w:p w14:paraId="70B064E2" w14:textId="77777777" w:rsidR="00DD373C" w:rsidRDefault="00DD373C" w:rsidP="003548A0">
      <w:pPr>
        <w:pStyle w:val="Heading3"/>
        <w:keepNext/>
      </w:pPr>
      <w:r>
        <w:t>Length of treatment analyses for cabazitaxel, abiraterone and enzalutamide</w:t>
      </w:r>
    </w:p>
    <w:p w14:paraId="3A1B148F" w14:textId="2F0C73DB" w:rsidR="00DD373C" w:rsidRDefault="00DD373C" w:rsidP="00F84366">
      <w:r>
        <w:t xml:space="preserve">The length of </w:t>
      </w:r>
      <w:r w:rsidR="00FA40CB">
        <w:t xml:space="preserve">treatment </w:t>
      </w:r>
      <w:r>
        <w:t>with cabazitaxe</w:t>
      </w:r>
      <w:r w:rsidR="008066DA">
        <w:t xml:space="preserve">l and </w:t>
      </w:r>
      <w:r>
        <w:t xml:space="preserve">abiraterone </w:t>
      </w:r>
      <w:r w:rsidR="007604CB">
        <w:t>was examined</w:t>
      </w:r>
      <w:r w:rsidR="008066DA">
        <w:t xml:space="preserve">.  </w:t>
      </w:r>
      <w:r>
        <w:t>As enzalutamide was a more recent listing from December 2014</w:t>
      </w:r>
      <w:r w:rsidR="008066DA">
        <w:t xml:space="preserve"> with limited longitudinal data</w:t>
      </w:r>
      <w:r>
        <w:t xml:space="preserve">, it was not included in this analysis.  </w:t>
      </w:r>
    </w:p>
    <w:p w14:paraId="4A73E0EA" w14:textId="7E2AB0B0" w:rsidR="007604CB" w:rsidRDefault="007604CB" w:rsidP="00F84366">
      <w:r>
        <w:t>To exclude a potential bias from the inclusion of treatment experienced</w:t>
      </w:r>
      <w:r w:rsidR="008D362C">
        <w:t xml:space="preserve"> or</w:t>
      </w:r>
      <w:r>
        <w:t xml:space="preserve"> grandfathered patients, any patient initiating cabazitaxel or abiraterone with</w:t>
      </w:r>
      <w:r w:rsidR="004177E9">
        <w:t>in</w:t>
      </w:r>
      <w:r>
        <w:t xml:space="preserve"> the first two months of their listing were excluded. </w:t>
      </w:r>
      <w:r w:rsidR="003870A5">
        <w:t>C</w:t>
      </w:r>
      <w:r w:rsidR="00FA49E1">
        <w:t xml:space="preserve">abazitaxel was listed </w:t>
      </w:r>
      <w:r w:rsidR="00225958">
        <w:t xml:space="preserve">on </w:t>
      </w:r>
      <w:r w:rsidR="00FA49E1">
        <w:t xml:space="preserve">1 August 2012, </w:t>
      </w:r>
      <w:r w:rsidR="003870A5">
        <w:t xml:space="preserve">therefore </w:t>
      </w:r>
      <w:r w:rsidR="00FA49E1">
        <w:t xml:space="preserve">patients who </w:t>
      </w:r>
      <w:r w:rsidR="0070574D">
        <w:t>initiated</w:t>
      </w:r>
      <w:r w:rsidR="00FA49E1">
        <w:t xml:space="preserve"> </w:t>
      </w:r>
      <w:r w:rsidR="0070574D">
        <w:t>between</w:t>
      </w:r>
      <w:r w:rsidR="00FA49E1">
        <w:t xml:space="preserve"> 1 August 2012 </w:t>
      </w:r>
      <w:r w:rsidR="0070574D">
        <w:t>and</w:t>
      </w:r>
      <w:r w:rsidR="00FA49E1">
        <w:t xml:space="preserve"> 30 September 2012 were excluded. The length of treatment </w:t>
      </w:r>
      <w:r w:rsidR="0070574D">
        <w:t>for cabazitaxel</w:t>
      </w:r>
      <w:r>
        <w:t xml:space="preserve"> was analysed for patients </w:t>
      </w:r>
      <w:r w:rsidR="003870A5">
        <w:t>who initiated</w:t>
      </w:r>
      <w:r>
        <w:t xml:space="preserve"> cabazitaxel between 1</w:t>
      </w:r>
      <w:r w:rsidR="003870A5">
        <w:t> </w:t>
      </w:r>
      <w:r>
        <w:t>October 2012 to 31</w:t>
      </w:r>
      <w:r w:rsidR="00FA49E1">
        <w:t> </w:t>
      </w:r>
      <w:r>
        <w:t>March 2013 inclusive.</w:t>
      </w:r>
      <w:r w:rsidR="003870A5">
        <w:t xml:space="preserve"> Abiraterone was listed 1 August 2013, therefore patients who initiated between 1 August 2013 and 30 September 2013 were excluded.</w:t>
      </w:r>
      <w:r>
        <w:t xml:space="preserve"> </w:t>
      </w:r>
      <w:r w:rsidR="00FA49E1">
        <w:t xml:space="preserve">The length of treatment for </w:t>
      </w:r>
      <w:r w:rsidR="0034049A">
        <w:t xml:space="preserve">abiraterone </w:t>
      </w:r>
      <w:r w:rsidR="00FA49E1">
        <w:t>was analysed for patients w</w:t>
      </w:r>
      <w:r w:rsidR="003870A5">
        <w:t>ho initiated abiraterone from</w:t>
      </w:r>
      <w:r w:rsidR="00FA49E1">
        <w:t xml:space="preserve"> </w:t>
      </w:r>
      <w:r w:rsidR="0034049A">
        <w:t xml:space="preserve">1 October 2013 to 31 March 2014 </w:t>
      </w:r>
      <w:r w:rsidR="00FA49E1">
        <w:t xml:space="preserve">inclusive. </w:t>
      </w:r>
    </w:p>
    <w:p w14:paraId="7A4AC660" w14:textId="57CA3BC2" w:rsidR="003E49D6" w:rsidRDefault="003E49D6" w:rsidP="00F84366">
      <w:r>
        <w:t xml:space="preserve">The </w:t>
      </w:r>
      <w:r w:rsidR="00FE6149">
        <w:t xml:space="preserve">highest </w:t>
      </w:r>
      <w:r>
        <w:t xml:space="preserve">median time to re-supply was 29 days. It was assumed that a patient had discontinued therapy if there was no re-supply within a period of three times the median time to re-supply (i.e. 87 days). A patient was assumed to be continuing treatment if the time from their last supply was less than 87 days from the data cut-off date (31 March 2016) and they were censored from the treatment duration analyses. Kaplan-Meier plots were constructed to calculate the duration of therapy. </w:t>
      </w:r>
    </w:p>
    <w:p w14:paraId="2454AE78" w14:textId="3175235E" w:rsidR="006A1988" w:rsidRDefault="006122E6" w:rsidP="00F84366">
      <w:r>
        <w:lastRenderedPageBreak/>
        <w:t>The mean and median number of prescriptions supplied for cabazitaxel and abiraterone were also derived for the initiating cohorts for these drugs described above. This analysis was based on the date of supply.</w:t>
      </w:r>
    </w:p>
    <w:p w14:paraId="6D54367D" w14:textId="77777777" w:rsidR="007E377F" w:rsidRPr="00B02785" w:rsidRDefault="007E377F" w:rsidP="00FC1B25">
      <w:pPr>
        <w:rPr>
          <w:color w:val="000000" w:themeColor="text1"/>
        </w:rPr>
      </w:pPr>
    </w:p>
    <w:p w14:paraId="329A496F" w14:textId="63FFE8A9" w:rsidR="00C20E92" w:rsidRPr="00B02785" w:rsidRDefault="00C20E92">
      <w:pPr>
        <w:spacing w:line="276" w:lineRule="auto"/>
        <w:rPr>
          <w:rFonts w:eastAsia="Calibri" w:cs="Times New Roman"/>
        </w:rPr>
      </w:pPr>
      <w:r w:rsidRPr="00B02785">
        <w:rPr>
          <w:rFonts w:eastAsia="Calibri" w:cs="Times New Roman"/>
        </w:rPr>
        <w:br w:type="page"/>
      </w:r>
    </w:p>
    <w:p w14:paraId="4F91A98A" w14:textId="00180E30" w:rsidR="00C714D0" w:rsidRPr="00B02785" w:rsidRDefault="00C714D0" w:rsidP="00CF5E22">
      <w:pPr>
        <w:pStyle w:val="Heading1"/>
      </w:pPr>
      <w:r w:rsidRPr="00B02785">
        <w:lastRenderedPageBreak/>
        <w:t>Results</w:t>
      </w:r>
    </w:p>
    <w:p w14:paraId="2221FF19" w14:textId="336CE8B2" w:rsidR="00736041" w:rsidRPr="00B02785" w:rsidRDefault="001B5D37" w:rsidP="00CF5E22">
      <w:pPr>
        <w:pStyle w:val="Heading2"/>
      </w:pPr>
      <w:r w:rsidRPr="00B02785">
        <w:t xml:space="preserve">Analysis </w:t>
      </w:r>
      <w:r w:rsidR="00736041" w:rsidRPr="00B02785">
        <w:t xml:space="preserve">of </w:t>
      </w:r>
      <w:r w:rsidR="0063631C" w:rsidRPr="00B02785">
        <w:t>d</w:t>
      </w:r>
      <w:r w:rsidR="00E677DD" w:rsidRPr="00B02785">
        <w:t xml:space="preserve">rug </w:t>
      </w:r>
      <w:r w:rsidR="0063631C" w:rsidRPr="00B02785">
        <w:t>u</w:t>
      </w:r>
      <w:r w:rsidR="00E677DD" w:rsidRPr="00B02785">
        <w:t>tilisation</w:t>
      </w:r>
    </w:p>
    <w:p w14:paraId="70A8CDD8" w14:textId="5E791A49" w:rsidR="00E50455" w:rsidRPr="003B1298" w:rsidRDefault="00E50455" w:rsidP="003548A0">
      <w:pPr>
        <w:pStyle w:val="Heading3"/>
      </w:pPr>
      <w:r w:rsidRPr="003B1298">
        <w:t>Number of prevalent patients</w:t>
      </w:r>
      <w:r w:rsidR="00715FA4" w:rsidRPr="003B1298">
        <w:t xml:space="preserve"> </w:t>
      </w:r>
    </w:p>
    <w:p w14:paraId="417E5FC0" w14:textId="4B88FFE0" w:rsidR="00E55589" w:rsidRPr="00E55589" w:rsidRDefault="00E55589" w:rsidP="00E55589">
      <w:pPr>
        <w:rPr>
          <w:color w:val="000000" w:themeColor="text1"/>
        </w:rPr>
      </w:pPr>
      <w:r>
        <w:rPr>
          <w:color w:val="000000" w:themeColor="text1"/>
        </w:rPr>
        <w:t>Table 1</w:t>
      </w:r>
      <w:r w:rsidR="00A504A3">
        <w:rPr>
          <w:color w:val="000000" w:themeColor="text1"/>
        </w:rPr>
        <w:t>0</w:t>
      </w:r>
      <w:r>
        <w:rPr>
          <w:color w:val="000000" w:themeColor="text1"/>
        </w:rPr>
        <w:t xml:space="preserve"> and Figure 1</w:t>
      </w:r>
      <w:r w:rsidRPr="00E55589">
        <w:rPr>
          <w:color w:val="000000" w:themeColor="text1"/>
        </w:rPr>
        <w:t xml:space="preserve"> present the number of prevalent patients receiving either cabazitaxel, abiraterone or enzalutamide by calendar year and by quarter, respectively. </w:t>
      </w:r>
      <w:r w:rsidR="00F16CF2" w:rsidRPr="00F16CF2">
        <w:rPr>
          <w:color w:val="000000" w:themeColor="text1"/>
        </w:rPr>
        <w:t>The total number of patients receiving a medicine subsidised for use in the post-docetaxel mCRPC setting has increased substantially from 2013 to 2015.</w:t>
      </w:r>
    </w:p>
    <w:p w14:paraId="282C28F6" w14:textId="4C41FC8D" w:rsidR="00E55589" w:rsidRPr="00E55589" w:rsidRDefault="00E55589" w:rsidP="003548A0">
      <w:pPr>
        <w:pStyle w:val="Tabletitle"/>
      </w:pPr>
      <w:r w:rsidRPr="00E55589">
        <w:t>Table 1</w:t>
      </w:r>
      <w:r w:rsidR="00A504A3">
        <w:t>0</w:t>
      </w:r>
      <w:r w:rsidR="003548A0">
        <w:t>:</w:t>
      </w:r>
      <w:r w:rsidRPr="00E55589">
        <w:t xml:space="preserve"> Number of prevalent patients supplied cabazitaxel, abiraterone or enzalutamide by calendar year</w:t>
      </w:r>
    </w:p>
    <w:tbl>
      <w:tblPr>
        <w:tblW w:w="6961" w:type="dxa"/>
        <w:tblInd w:w="93" w:type="dxa"/>
        <w:tblLook w:val="04A0" w:firstRow="1" w:lastRow="0" w:firstColumn="1" w:lastColumn="0" w:noHBand="0" w:noVBand="1"/>
        <w:tblCaption w:val="Number of prevalent patients supplied cabazitaxel, abiraterone or enzalutamide by calendar year"/>
        <w:tblDescription w:val="A table of Number of prevalent patients supplied cabazitaxel, abiraterone or enzalutamide by calendar year"/>
      </w:tblPr>
      <w:tblGrid>
        <w:gridCol w:w="2850"/>
        <w:gridCol w:w="993"/>
        <w:gridCol w:w="992"/>
        <w:gridCol w:w="992"/>
        <w:gridCol w:w="1134"/>
      </w:tblGrid>
      <w:tr w:rsidR="00E55589" w:rsidRPr="003548A0" w14:paraId="1E93E61F" w14:textId="77777777" w:rsidTr="004F7278">
        <w:trPr>
          <w:trHeight w:val="300"/>
        </w:trPr>
        <w:tc>
          <w:tcPr>
            <w:tcW w:w="2850"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412C2189" w14:textId="77777777" w:rsidR="00E55589" w:rsidRPr="003548A0" w:rsidRDefault="00E55589" w:rsidP="00707891">
            <w:pPr>
              <w:spacing w:after="0"/>
              <w:rPr>
                <w:rFonts w:eastAsia="Times New Roman" w:cs="Times New Roman"/>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50F5923" w14:textId="77777777" w:rsidR="00E55589" w:rsidRPr="003548A0" w:rsidRDefault="00E55589" w:rsidP="00707891">
            <w:pPr>
              <w:spacing w:after="0"/>
              <w:jc w:val="center"/>
              <w:rPr>
                <w:rFonts w:eastAsia="Times New Roman" w:cs="Times New Roman"/>
                <w:b/>
                <w:bCs/>
                <w:color w:val="000000"/>
                <w:sz w:val="20"/>
                <w:szCs w:val="20"/>
              </w:rPr>
            </w:pPr>
            <w:r w:rsidRPr="003548A0">
              <w:rPr>
                <w:rFonts w:eastAsia="Times New Roman" w:cs="Times New Roman"/>
                <w:b/>
                <w:bCs/>
                <w:color w:val="000000"/>
                <w:sz w:val="20"/>
                <w:szCs w:val="20"/>
              </w:rPr>
              <w:t>2012</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8DB81C9" w14:textId="77777777" w:rsidR="00E55589" w:rsidRPr="003548A0" w:rsidRDefault="00E55589" w:rsidP="00707891">
            <w:pPr>
              <w:spacing w:after="0"/>
              <w:jc w:val="center"/>
              <w:rPr>
                <w:rFonts w:eastAsia="Times New Roman" w:cs="Times New Roman"/>
                <w:b/>
                <w:bCs/>
                <w:color w:val="000000"/>
                <w:sz w:val="20"/>
                <w:szCs w:val="20"/>
              </w:rPr>
            </w:pPr>
            <w:r w:rsidRPr="003548A0">
              <w:rPr>
                <w:rFonts w:eastAsia="Times New Roman" w:cs="Times New Roman"/>
                <w:b/>
                <w:bCs/>
                <w:color w:val="000000"/>
                <w:sz w:val="20"/>
                <w:szCs w:val="20"/>
              </w:rPr>
              <w:t>2013</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80ECF57" w14:textId="77777777" w:rsidR="00E55589" w:rsidRPr="003548A0" w:rsidRDefault="00E55589" w:rsidP="00707891">
            <w:pPr>
              <w:spacing w:after="0"/>
              <w:jc w:val="center"/>
              <w:rPr>
                <w:rFonts w:eastAsia="Times New Roman" w:cs="Times New Roman"/>
                <w:b/>
                <w:bCs/>
                <w:color w:val="000000"/>
                <w:sz w:val="20"/>
                <w:szCs w:val="20"/>
              </w:rPr>
            </w:pPr>
            <w:r w:rsidRPr="003548A0">
              <w:rPr>
                <w:rFonts w:eastAsia="Times New Roman" w:cs="Times New Roman"/>
                <w:b/>
                <w:bCs/>
                <w:color w:val="000000"/>
                <w:sz w:val="20"/>
                <w:szCs w:val="20"/>
              </w:rPr>
              <w:t>2014</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B3515D8" w14:textId="77777777" w:rsidR="00E55589" w:rsidRPr="003548A0" w:rsidRDefault="00E55589" w:rsidP="00707891">
            <w:pPr>
              <w:spacing w:after="0"/>
              <w:jc w:val="center"/>
              <w:rPr>
                <w:rFonts w:eastAsia="Times New Roman" w:cs="Times New Roman"/>
                <w:b/>
                <w:bCs/>
                <w:color w:val="000000"/>
                <w:sz w:val="20"/>
                <w:szCs w:val="20"/>
              </w:rPr>
            </w:pPr>
            <w:r w:rsidRPr="003548A0">
              <w:rPr>
                <w:rFonts w:eastAsia="Times New Roman" w:cs="Times New Roman"/>
                <w:b/>
                <w:bCs/>
                <w:color w:val="000000"/>
                <w:sz w:val="20"/>
                <w:szCs w:val="20"/>
              </w:rPr>
              <w:t>2015</w:t>
            </w:r>
          </w:p>
        </w:tc>
      </w:tr>
      <w:tr w:rsidR="00E55589" w:rsidRPr="003548A0" w14:paraId="59BACB5F" w14:textId="77777777" w:rsidTr="003B47B7">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tcPr>
          <w:p w14:paraId="2AF00742" w14:textId="77777777" w:rsidR="00E55589" w:rsidRPr="003548A0" w:rsidRDefault="00E55589" w:rsidP="00A504A3">
            <w:pPr>
              <w:spacing w:after="0"/>
              <w:rPr>
                <w:rFonts w:eastAsia="Times New Roman" w:cs="Times New Roman"/>
                <w:b/>
                <w:sz w:val="20"/>
                <w:szCs w:val="20"/>
                <w:vertAlign w:val="superscript"/>
              </w:rPr>
            </w:pPr>
            <w:r w:rsidRPr="003548A0">
              <w:rPr>
                <w:rFonts w:eastAsia="Times New Roman" w:cs="Times New Roman"/>
                <w:b/>
                <w:sz w:val="20"/>
                <w:szCs w:val="20"/>
              </w:rPr>
              <w:t>Total – all listings</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5533A34" w14:textId="77777777" w:rsidR="00E55589" w:rsidRPr="003548A0" w:rsidRDefault="00E55589" w:rsidP="003B47B7">
            <w:pPr>
              <w:jc w:val="center"/>
              <w:rPr>
                <w:sz w:val="20"/>
                <w:szCs w:val="20"/>
                <w:vertAlign w:val="superscript"/>
              </w:rPr>
            </w:pPr>
            <w:r w:rsidRPr="003548A0">
              <w:rPr>
                <w:sz w:val="20"/>
                <w:szCs w:val="20"/>
              </w:rPr>
              <w:t>203</w:t>
            </w:r>
            <w:r w:rsidRPr="003548A0">
              <w:rPr>
                <w:sz w:val="20"/>
                <w:szCs w:val="20"/>
                <w:vertAlign w:val="superscript"/>
              </w:rPr>
              <w:t>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4ECC4D0" w14:textId="77777777" w:rsidR="00E55589" w:rsidRPr="003548A0" w:rsidRDefault="00E55589" w:rsidP="003B47B7">
            <w:pPr>
              <w:jc w:val="center"/>
              <w:rPr>
                <w:sz w:val="20"/>
                <w:szCs w:val="20"/>
              </w:rPr>
            </w:pPr>
            <w:r w:rsidRPr="003548A0">
              <w:rPr>
                <w:sz w:val="20"/>
                <w:szCs w:val="20"/>
              </w:rPr>
              <w:t>1,418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A475D4B" w14:textId="77777777" w:rsidR="00E55589" w:rsidRPr="003548A0" w:rsidRDefault="00E55589" w:rsidP="003B47B7">
            <w:pPr>
              <w:jc w:val="center"/>
              <w:rPr>
                <w:sz w:val="20"/>
                <w:szCs w:val="20"/>
              </w:rPr>
            </w:pPr>
            <w:r w:rsidRPr="003548A0">
              <w:rPr>
                <w:sz w:val="20"/>
                <w:szCs w:val="20"/>
              </w:rPr>
              <w:t>2,527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ED2D824" w14:textId="77777777" w:rsidR="00E55589" w:rsidRPr="003548A0" w:rsidRDefault="00E55589" w:rsidP="003B47B7">
            <w:pPr>
              <w:jc w:val="center"/>
              <w:rPr>
                <w:sz w:val="20"/>
                <w:szCs w:val="20"/>
              </w:rPr>
            </w:pPr>
            <w:r w:rsidRPr="003548A0">
              <w:rPr>
                <w:sz w:val="20"/>
                <w:szCs w:val="20"/>
              </w:rPr>
              <w:t>4,165</w:t>
            </w:r>
          </w:p>
        </w:tc>
      </w:tr>
    </w:tbl>
    <w:p w14:paraId="6E18E3BC" w14:textId="61CD0166" w:rsidR="00E55589" w:rsidRPr="00E55589" w:rsidRDefault="00E55589" w:rsidP="00E55589">
      <w:pPr>
        <w:spacing w:after="0"/>
        <w:rPr>
          <w:rStyle w:val="FiguretitleChar"/>
          <w:rFonts w:asciiTheme="minorHAnsi" w:hAnsiTheme="minorHAnsi"/>
          <w:b w:val="0"/>
          <w:sz w:val="20"/>
          <w:szCs w:val="20"/>
        </w:rPr>
      </w:pPr>
      <w:r w:rsidRPr="00E55589">
        <w:rPr>
          <w:rStyle w:val="FiguretitleChar"/>
          <w:rFonts w:asciiTheme="minorHAnsi" w:hAnsiTheme="minorHAnsi"/>
          <w:b w:val="0"/>
          <w:sz w:val="20"/>
          <w:szCs w:val="20"/>
        </w:rPr>
        <w:t>Source: DHS Supplied Prescriptions database, extracted April 2016. The figures are unique counts for patients who received at least one supply of cabazitaxel, abiraterone or enzalutamide within a given calendar year.</w:t>
      </w:r>
    </w:p>
    <w:p w14:paraId="4BE59689" w14:textId="77777777" w:rsidR="00E55589" w:rsidRPr="00E55589" w:rsidRDefault="00E55589" w:rsidP="00E55589">
      <w:pPr>
        <w:spacing w:after="0"/>
        <w:rPr>
          <w:rStyle w:val="FiguretitleChar"/>
          <w:rFonts w:asciiTheme="minorHAnsi" w:hAnsiTheme="minorHAnsi"/>
          <w:b w:val="0"/>
          <w:sz w:val="20"/>
          <w:szCs w:val="20"/>
        </w:rPr>
      </w:pPr>
      <w:r w:rsidRPr="00E55589">
        <w:rPr>
          <w:rStyle w:val="FiguretitleChar"/>
          <w:rFonts w:asciiTheme="minorHAnsi" w:hAnsiTheme="minorHAnsi"/>
          <w:b w:val="0"/>
          <w:sz w:val="20"/>
          <w:szCs w:val="20"/>
          <w:vertAlign w:val="superscript"/>
        </w:rPr>
        <w:t>a</w:t>
      </w:r>
      <w:r w:rsidRPr="00E55589">
        <w:rPr>
          <w:rStyle w:val="FiguretitleChar"/>
          <w:rFonts w:asciiTheme="minorHAnsi" w:hAnsiTheme="minorHAnsi"/>
          <w:b w:val="0"/>
          <w:sz w:val="20"/>
          <w:szCs w:val="20"/>
        </w:rPr>
        <w:t xml:space="preserve"> Part year figure as cabazitaxel first listed on 1 August 2012.</w:t>
      </w:r>
    </w:p>
    <w:p w14:paraId="288CD4D1" w14:textId="77777777" w:rsidR="00E55589" w:rsidRPr="00B02785" w:rsidRDefault="00E55589" w:rsidP="00E50455">
      <w:pPr>
        <w:rPr>
          <w:b/>
        </w:rPr>
      </w:pPr>
    </w:p>
    <w:p w14:paraId="2BEAFF3F" w14:textId="284658FE" w:rsidR="00A21163" w:rsidRPr="00B02785" w:rsidRDefault="00502FD9" w:rsidP="003548A0">
      <w:r>
        <w:rPr>
          <w:noProof/>
        </w:rPr>
        <w:drawing>
          <wp:inline distT="0" distB="0" distL="0" distR="0" wp14:anchorId="3A3E2AAF" wp14:editId="48BA39EB">
            <wp:extent cx="5700395" cy="3834765"/>
            <wp:effectExtent l="0" t="0" r="0" b="0"/>
            <wp:docPr id="1" name="Picture 1" descr="A graph depicting the Total number of prevalent patients by quarter" title="Total number of prevalent patient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0395" cy="3834765"/>
                    </a:xfrm>
                    <a:prstGeom prst="rect">
                      <a:avLst/>
                    </a:prstGeom>
                    <a:noFill/>
                  </pic:spPr>
                </pic:pic>
              </a:graphicData>
            </a:graphic>
          </wp:inline>
        </w:drawing>
      </w:r>
    </w:p>
    <w:p w14:paraId="0EC88DE2" w14:textId="77777777" w:rsidR="003548A0" w:rsidRDefault="00C12D70" w:rsidP="00C12D70">
      <w:pPr>
        <w:rPr>
          <w:rStyle w:val="FiguretitleChar"/>
          <w:rFonts w:asciiTheme="minorHAnsi" w:hAnsiTheme="minorHAnsi"/>
        </w:rPr>
      </w:pPr>
      <w:r w:rsidRPr="003548A0">
        <w:rPr>
          <w:rStyle w:val="FiguretitleChar"/>
          <w:rFonts w:asciiTheme="minorHAnsi" w:hAnsiTheme="minorHAnsi"/>
        </w:rPr>
        <w:t>Figure 1: Total number of prevalent patients by quarter</w:t>
      </w:r>
    </w:p>
    <w:p w14:paraId="283BDAA8" w14:textId="3EF7D811" w:rsidR="00C12D70" w:rsidRDefault="00C12D70" w:rsidP="00C12D70">
      <w:pPr>
        <w:rPr>
          <w:rStyle w:val="FiguretitleChar"/>
          <w:rFonts w:asciiTheme="minorHAnsi" w:eastAsiaTheme="minorEastAsia" w:hAnsiTheme="minorHAnsi" w:cstheme="minorBidi"/>
          <w:b w:val="0"/>
          <w:sz w:val="20"/>
          <w:szCs w:val="20"/>
          <w:lang w:val="en-AU"/>
        </w:rPr>
      </w:pPr>
      <w:r w:rsidRPr="00C61354">
        <w:rPr>
          <w:rStyle w:val="FiguretitleChar"/>
          <w:rFonts w:asciiTheme="minorHAnsi" w:eastAsiaTheme="minorEastAsia" w:hAnsiTheme="minorHAnsi" w:cstheme="minorBidi"/>
          <w:b w:val="0"/>
          <w:sz w:val="20"/>
          <w:szCs w:val="20"/>
          <w:lang w:val="en-AU"/>
        </w:rPr>
        <w:t xml:space="preserve">Source: DHS Supplied Prescriptions database, extracted April 2016. </w:t>
      </w:r>
    </w:p>
    <w:p w14:paraId="0EF1AEC2" w14:textId="77777777" w:rsidR="005308F7" w:rsidRPr="00B02785" w:rsidRDefault="005308F7" w:rsidP="005308F7"/>
    <w:p w14:paraId="2BD97DA7" w14:textId="5E423B98" w:rsidR="005308F7" w:rsidRPr="003B1298" w:rsidRDefault="00E52202" w:rsidP="003548A0">
      <w:pPr>
        <w:pStyle w:val="Heading3"/>
      </w:pPr>
      <w:r w:rsidRPr="003B1298">
        <w:lastRenderedPageBreak/>
        <w:t>Number of incident patients</w:t>
      </w:r>
    </w:p>
    <w:p w14:paraId="1A52525B" w14:textId="252CA068" w:rsidR="00E52202" w:rsidRPr="00E52202" w:rsidRDefault="00AB3F1D" w:rsidP="00E52202">
      <w:r>
        <w:t>Table 11</w:t>
      </w:r>
      <w:r w:rsidR="00E52202" w:rsidRPr="00E52202">
        <w:t xml:space="preserve"> </w:t>
      </w:r>
      <w:r w:rsidR="00BF29F8">
        <w:t>and Figure 2</w:t>
      </w:r>
      <w:r w:rsidR="00E52202" w:rsidRPr="00E52202">
        <w:t xml:space="preserve"> present the number of patients receiving their first episode of PBS therapy with either cabazitaxel, abiraterone or enzalutamide by calendar year and by quarter, respectively. </w:t>
      </w:r>
    </w:p>
    <w:p w14:paraId="632E1D3C" w14:textId="55E87ED7" w:rsidR="00E52202" w:rsidRPr="00E52202" w:rsidRDefault="00AB3F1D" w:rsidP="003548A0">
      <w:pPr>
        <w:pStyle w:val="Tabletitle"/>
      </w:pPr>
      <w:r>
        <w:t>Table 11</w:t>
      </w:r>
      <w:r w:rsidR="003548A0">
        <w:t>:</w:t>
      </w:r>
      <w:r w:rsidR="00E52202" w:rsidRPr="00E52202">
        <w:t xml:space="preserve"> Number of incident patients</w:t>
      </w:r>
    </w:p>
    <w:tbl>
      <w:tblPr>
        <w:tblW w:w="5560" w:type="dxa"/>
        <w:tblInd w:w="93" w:type="dxa"/>
        <w:tblLook w:val="04A0" w:firstRow="1" w:lastRow="0" w:firstColumn="1" w:lastColumn="0" w:noHBand="0" w:noVBand="1"/>
        <w:tblCaption w:val="Number of incident patients"/>
        <w:tblDescription w:val="A table of Number of incident patients"/>
      </w:tblPr>
      <w:tblGrid>
        <w:gridCol w:w="1720"/>
        <w:gridCol w:w="960"/>
        <w:gridCol w:w="960"/>
        <w:gridCol w:w="960"/>
        <w:gridCol w:w="960"/>
      </w:tblGrid>
      <w:tr w:rsidR="00E52202" w:rsidRPr="003548A0" w14:paraId="44ABCF08" w14:textId="77777777" w:rsidTr="004F7278">
        <w:trPr>
          <w:trHeight w:val="300"/>
        </w:trPr>
        <w:tc>
          <w:tcPr>
            <w:tcW w:w="1720"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7B247F21" w14:textId="77777777" w:rsidR="00E52202" w:rsidRPr="003548A0" w:rsidRDefault="00E52202" w:rsidP="00707891">
            <w:pPr>
              <w:spacing w:after="0"/>
              <w:rPr>
                <w:rFonts w:eastAsia="Times New Roman" w:cs="Times New Roman"/>
                <w:b/>
                <w:bCs/>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22E0A40" w14:textId="77777777" w:rsidR="00E52202" w:rsidRPr="003548A0" w:rsidRDefault="00E52202" w:rsidP="00707891">
            <w:pPr>
              <w:spacing w:after="0"/>
              <w:jc w:val="center"/>
              <w:rPr>
                <w:rFonts w:eastAsia="Times New Roman" w:cs="Times New Roman"/>
                <w:b/>
                <w:bCs/>
                <w:color w:val="000000"/>
                <w:sz w:val="20"/>
                <w:szCs w:val="20"/>
              </w:rPr>
            </w:pPr>
            <w:r w:rsidRPr="003548A0">
              <w:rPr>
                <w:rFonts w:eastAsia="Times New Roman" w:cs="Times New Roman"/>
                <w:b/>
                <w:bCs/>
                <w:color w:val="000000"/>
                <w:sz w:val="20"/>
                <w:szCs w:val="20"/>
              </w:rPr>
              <w:t>2012</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B4C1D6D" w14:textId="77777777" w:rsidR="00E52202" w:rsidRPr="003548A0" w:rsidRDefault="00E52202" w:rsidP="00707891">
            <w:pPr>
              <w:spacing w:after="0"/>
              <w:jc w:val="center"/>
              <w:rPr>
                <w:rFonts w:eastAsia="Times New Roman" w:cs="Times New Roman"/>
                <w:b/>
                <w:bCs/>
                <w:color w:val="000000"/>
                <w:sz w:val="20"/>
                <w:szCs w:val="20"/>
              </w:rPr>
            </w:pPr>
            <w:r w:rsidRPr="003548A0">
              <w:rPr>
                <w:rFonts w:eastAsia="Times New Roman" w:cs="Times New Roman"/>
                <w:b/>
                <w:bCs/>
                <w:color w:val="000000"/>
                <w:sz w:val="20"/>
                <w:szCs w:val="20"/>
              </w:rPr>
              <w:t>2013</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211D92E" w14:textId="77777777" w:rsidR="00E52202" w:rsidRPr="003548A0" w:rsidRDefault="00E52202" w:rsidP="00707891">
            <w:pPr>
              <w:spacing w:after="0"/>
              <w:jc w:val="center"/>
              <w:rPr>
                <w:rFonts w:eastAsia="Times New Roman" w:cs="Times New Roman"/>
                <w:b/>
                <w:bCs/>
                <w:color w:val="000000"/>
                <w:sz w:val="20"/>
                <w:szCs w:val="20"/>
              </w:rPr>
            </w:pPr>
            <w:r w:rsidRPr="003548A0">
              <w:rPr>
                <w:rFonts w:eastAsia="Times New Roman" w:cs="Times New Roman"/>
                <w:b/>
                <w:bCs/>
                <w:color w:val="000000"/>
                <w:sz w:val="20"/>
                <w:szCs w:val="20"/>
              </w:rPr>
              <w:t>2014</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1C599D7" w14:textId="77777777" w:rsidR="00E52202" w:rsidRPr="003548A0" w:rsidRDefault="00E52202" w:rsidP="00707891">
            <w:pPr>
              <w:spacing w:after="0"/>
              <w:jc w:val="center"/>
              <w:rPr>
                <w:rFonts w:eastAsia="Times New Roman" w:cs="Times New Roman"/>
                <w:b/>
                <w:bCs/>
                <w:color w:val="000000"/>
                <w:sz w:val="20"/>
                <w:szCs w:val="20"/>
              </w:rPr>
            </w:pPr>
            <w:r w:rsidRPr="003548A0">
              <w:rPr>
                <w:rFonts w:eastAsia="Times New Roman" w:cs="Times New Roman"/>
                <w:b/>
                <w:bCs/>
                <w:color w:val="000000"/>
                <w:sz w:val="20"/>
                <w:szCs w:val="20"/>
              </w:rPr>
              <w:t>2015</w:t>
            </w:r>
          </w:p>
        </w:tc>
      </w:tr>
      <w:tr w:rsidR="00E52202" w:rsidRPr="003548A0" w14:paraId="24528884" w14:textId="77777777" w:rsidTr="00707891">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23E66" w14:textId="77777777" w:rsidR="00E52202" w:rsidRPr="003548A0" w:rsidRDefault="00E52202" w:rsidP="00707891">
            <w:pPr>
              <w:spacing w:after="0"/>
              <w:rPr>
                <w:rFonts w:eastAsia="Times New Roman" w:cs="Times New Roman"/>
                <w:sz w:val="20"/>
                <w:szCs w:val="20"/>
              </w:rPr>
            </w:pPr>
            <w:r w:rsidRPr="003548A0">
              <w:rPr>
                <w:rFonts w:eastAsia="Times New Roman" w:cs="Times New Roman"/>
                <w:sz w:val="20"/>
                <w:szCs w:val="20"/>
              </w:rPr>
              <w:t>Abiraterone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909663" w14:textId="77777777" w:rsidR="00E52202" w:rsidRPr="003548A0" w:rsidRDefault="00E52202" w:rsidP="00707891">
            <w:pPr>
              <w:spacing w:after="0"/>
              <w:jc w:val="center"/>
              <w:rPr>
                <w:rFonts w:eastAsia="Times New Roman" w:cs="Times New Roman"/>
                <w:sz w:val="20"/>
                <w:szCs w:val="20"/>
              </w:rPr>
            </w:pPr>
            <w:r w:rsidRPr="003548A0">
              <w:rPr>
                <w:rFonts w:eastAsia="Times New Roman" w:cs="Times New Roman"/>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E62ACF" w14:textId="77777777" w:rsidR="00E52202" w:rsidRPr="003548A0" w:rsidRDefault="00E52202" w:rsidP="00707891">
            <w:pPr>
              <w:spacing w:after="0"/>
              <w:jc w:val="center"/>
              <w:rPr>
                <w:rFonts w:eastAsia="Times New Roman" w:cs="Times New Roman"/>
                <w:sz w:val="20"/>
                <w:szCs w:val="20"/>
              </w:rPr>
            </w:pPr>
            <w:r w:rsidRPr="003548A0">
              <w:rPr>
                <w:rFonts w:eastAsia="Times New Roman" w:cs="Times New Roman"/>
                <w:sz w:val="20"/>
                <w:szCs w:val="20"/>
              </w:rPr>
              <w:t>999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050EAF" w14:textId="77777777" w:rsidR="00E52202" w:rsidRPr="003548A0" w:rsidRDefault="00E52202" w:rsidP="00707891">
            <w:pPr>
              <w:spacing w:after="0"/>
              <w:jc w:val="center"/>
              <w:rPr>
                <w:rFonts w:eastAsia="Times New Roman" w:cs="Times New Roman"/>
                <w:sz w:val="20"/>
                <w:szCs w:val="20"/>
              </w:rPr>
            </w:pPr>
            <w:r w:rsidRPr="003548A0">
              <w:rPr>
                <w:rFonts w:eastAsia="Times New Roman" w:cs="Times New Roman"/>
                <w:sz w:val="20"/>
                <w:szCs w:val="20"/>
              </w:rPr>
              <w:t>1,326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110DFE" w14:textId="77777777" w:rsidR="00E52202" w:rsidRPr="003548A0" w:rsidRDefault="00E52202" w:rsidP="00707891">
            <w:pPr>
              <w:spacing w:after="0"/>
              <w:jc w:val="center"/>
              <w:rPr>
                <w:rFonts w:eastAsia="Times New Roman" w:cs="Times New Roman"/>
                <w:sz w:val="20"/>
                <w:szCs w:val="20"/>
              </w:rPr>
            </w:pPr>
            <w:r w:rsidRPr="003548A0">
              <w:rPr>
                <w:rFonts w:eastAsia="Times New Roman" w:cs="Times New Roman"/>
                <w:sz w:val="20"/>
                <w:szCs w:val="20"/>
              </w:rPr>
              <w:t>981</w:t>
            </w:r>
          </w:p>
        </w:tc>
      </w:tr>
      <w:tr w:rsidR="00E52202" w:rsidRPr="003548A0" w14:paraId="08B70F40" w14:textId="77777777" w:rsidTr="00707891">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BEF1F" w14:textId="77777777" w:rsidR="00E52202" w:rsidRPr="003548A0" w:rsidRDefault="00E52202" w:rsidP="00707891">
            <w:pPr>
              <w:spacing w:after="0"/>
              <w:rPr>
                <w:rFonts w:eastAsia="Times New Roman" w:cs="Times New Roman"/>
                <w:sz w:val="20"/>
                <w:szCs w:val="20"/>
                <w:vertAlign w:val="superscript"/>
              </w:rPr>
            </w:pPr>
            <w:r w:rsidRPr="003548A0">
              <w:rPr>
                <w:rFonts w:eastAsia="Times New Roman" w:cs="Times New Roman"/>
                <w:sz w:val="20"/>
                <w:szCs w:val="20"/>
              </w:rPr>
              <w:t>Cabazitaxel</w:t>
            </w:r>
            <w:r w:rsidRPr="003548A0">
              <w:rPr>
                <w:rFonts w:eastAsia="Times New Roman" w:cs="Times New Roman"/>
                <w:sz w:val="20"/>
                <w:szCs w:val="20"/>
                <w:vertAlign w:val="superscript"/>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213075" w14:textId="77777777" w:rsidR="00E52202" w:rsidRPr="003548A0" w:rsidRDefault="00E52202" w:rsidP="00707891">
            <w:pPr>
              <w:spacing w:after="0"/>
              <w:jc w:val="center"/>
              <w:rPr>
                <w:rFonts w:eastAsia="Times New Roman" w:cs="Times New Roman"/>
                <w:sz w:val="20"/>
                <w:szCs w:val="20"/>
              </w:rPr>
            </w:pPr>
            <w:r w:rsidRPr="003548A0">
              <w:rPr>
                <w:rFonts w:eastAsia="Times New Roman" w:cs="Times New Roman"/>
                <w:sz w:val="20"/>
                <w:szCs w:val="20"/>
              </w:rPr>
              <w:t>203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4CDB2F" w14:textId="77777777" w:rsidR="00E52202" w:rsidRPr="003548A0" w:rsidRDefault="00E52202" w:rsidP="00707891">
            <w:pPr>
              <w:spacing w:after="0"/>
              <w:jc w:val="center"/>
              <w:rPr>
                <w:rFonts w:eastAsia="Times New Roman" w:cs="Times New Roman"/>
                <w:sz w:val="20"/>
                <w:szCs w:val="20"/>
              </w:rPr>
            </w:pPr>
            <w:r w:rsidRPr="003548A0">
              <w:rPr>
                <w:rFonts w:eastAsia="Times New Roman" w:cs="Times New Roman"/>
                <w:sz w:val="20"/>
                <w:szCs w:val="20"/>
              </w:rPr>
              <w:t>293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817C62" w14:textId="77777777" w:rsidR="00E52202" w:rsidRPr="003548A0" w:rsidRDefault="00E52202" w:rsidP="00707891">
            <w:pPr>
              <w:spacing w:after="0"/>
              <w:jc w:val="center"/>
              <w:rPr>
                <w:rFonts w:eastAsia="Times New Roman" w:cs="Times New Roman"/>
                <w:sz w:val="20"/>
                <w:szCs w:val="20"/>
              </w:rPr>
            </w:pPr>
            <w:r w:rsidRPr="003548A0">
              <w:rPr>
                <w:rFonts w:eastAsia="Times New Roman" w:cs="Times New Roman"/>
                <w:sz w:val="20"/>
                <w:szCs w:val="20"/>
              </w:rPr>
              <w:t>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8D7B12" w14:textId="77777777" w:rsidR="00E52202" w:rsidRPr="003548A0" w:rsidRDefault="00E52202" w:rsidP="00707891">
            <w:pPr>
              <w:spacing w:after="0"/>
              <w:jc w:val="center"/>
              <w:rPr>
                <w:rFonts w:eastAsia="Times New Roman" w:cs="Times New Roman"/>
                <w:sz w:val="20"/>
                <w:szCs w:val="20"/>
              </w:rPr>
            </w:pPr>
            <w:r w:rsidRPr="003548A0">
              <w:rPr>
                <w:rFonts w:eastAsia="Times New Roman" w:cs="Times New Roman"/>
                <w:sz w:val="20"/>
                <w:szCs w:val="20"/>
              </w:rPr>
              <w:t>84</w:t>
            </w:r>
          </w:p>
        </w:tc>
      </w:tr>
      <w:tr w:rsidR="00E52202" w:rsidRPr="003548A0" w14:paraId="51BD5C63" w14:textId="77777777" w:rsidTr="00707891">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0C194" w14:textId="77777777" w:rsidR="00E52202" w:rsidRPr="003548A0" w:rsidRDefault="00E52202" w:rsidP="00707891">
            <w:pPr>
              <w:spacing w:after="0"/>
              <w:rPr>
                <w:rFonts w:eastAsia="Times New Roman" w:cs="Times New Roman"/>
                <w:sz w:val="20"/>
                <w:szCs w:val="20"/>
              </w:rPr>
            </w:pPr>
            <w:r w:rsidRPr="003548A0">
              <w:rPr>
                <w:rFonts w:eastAsia="Times New Roman" w:cs="Times New Roman"/>
                <w:sz w:val="20"/>
                <w:szCs w:val="20"/>
              </w:rPr>
              <w:t>Enzalutamide</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09F4C96" w14:textId="77777777" w:rsidR="00E52202" w:rsidRPr="003548A0" w:rsidRDefault="00E52202" w:rsidP="00707891">
            <w:pPr>
              <w:spacing w:after="0"/>
              <w:jc w:val="center"/>
              <w:rPr>
                <w:rFonts w:eastAsia="Times New Roman" w:cs="Times New Roman"/>
                <w:sz w:val="20"/>
                <w:szCs w:val="20"/>
              </w:rPr>
            </w:pPr>
            <w:r w:rsidRPr="003548A0">
              <w:rPr>
                <w:rFonts w:eastAsia="Times New Roman" w:cs="Times New Roman"/>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A4A06F6" w14:textId="77777777" w:rsidR="00E52202" w:rsidRPr="003548A0" w:rsidRDefault="00E52202" w:rsidP="00707891">
            <w:pPr>
              <w:spacing w:after="0"/>
              <w:jc w:val="center"/>
              <w:rPr>
                <w:rFonts w:eastAsia="Times New Roman" w:cs="Times New Roman"/>
                <w:sz w:val="20"/>
                <w:szCs w:val="20"/>
              </w:rPr>
            </w:pPr>
            <w:r w:rsidRPr="003548A0">
              <w:rPr>
                <w:rFonts w:eastAsia="Times New Roman" w:cs="Times New Roman"/>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4F9D791" w14:textId="77777777" w:rsidR="00E52202" w:rsidRPr="003548A0" w:rsidRDefault="00E52202" w:rsidP="00707891">
            <w:pPr>
              <w:spacing w:after="0"/>
              <w:jc w:val="center"/>
              <w:rPr>
                <w:rFonts w:eastAsia="Times New Roman" w:cs="Times New Roman"/>
                <w:sz w:val="20"/>
                <w:szCs w:val="20"/>
              </w:rPr>
            </w:pPr>
            <w:r w:rsidRPr="003548A0">
              <w:rPr>
                <w:rFonts w:eastAsia="Times New Roman" w:cs="Times New Roman"/>
                <w:sz w:val="20"/>
                <w:szCs w:val="20"/>
              </w:rPr>
              <w:t>177</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FCFCB77" w14:textId="77777777" w:rsidR="00E52202" w:rsidRPr="003548A0" w:rsidRDefault="00E52202" w:rsidP="00707891">
            <w:pPr>
              <w:spacing w:after="0"/>
              <w:jc w:val="center"/>
              <w:rPr>
                <w:rFonts w:eastAsia="Times New Roman" w:cs="Times New Roman"/>
                <w:sz w:val="20"/>
                <w:szCs w:val="20"/>
              </w:rPr>
            </w:pPr>
            <w:r w:rsidRPr="003548A0">
              <w:rPr>
                <w:rFonts w:eastAsia="Times New Roman" w:cs="Times New Roman"/>
                <w:sz w:val="20"/>
                <w:szCs w:val="20"/>
              </w:rPr>
              <w:t>1,623</w:t>
            </w:r>
          </w:p>
        </w:tc>
      </w:tr>
      <w:tr w:rsidR="00E52202" w:rsidRPr="003548A0" w14:paraId="20FD2380" w14:textId="77777777" w:rsidTr="00707891">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E18BB" w14:textId="77777777" w:rsidR="00E52202" w:rsidRPr="003548A0" w:rsidRDefault="00E52202" w:rsidP="00707891">
            <w:pPr>
              <w:spacing w:after="0"/>
              <w:rPr>
                <w:rFonts w:eastAsia="Times New Roman" w:cs="Times New Roman"/>
                <w:b/>
                <w:sz w:val="20"/>
                <w:szCs w:val="20"/>
              </w:rPr>
            </w:pPr>
            <w:r w:rsidRPr="003548A0">
              <w:rPr>
                <w:rFonts w:eastAsia="Times New Roman" w:cs="Times New Roman"/>
                <w:b/>
                <w:sz w:val="20"/>
                <w:szCs w:val="20"/>
              </w:rPr>
              <w:t>Total</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E57A4D0" w14:textId="77777777" w:rsidR="00E52202" w:rsidRPr="003548A0" w:rsidRDefault="00E52202" w:rsidP="00707891">
            <w:pPr>
              <w:spacing w:after="0"/>
              <w:jc w:val="center"/>
              <w:rPr>
                <w:rFonts w:eastAsia="Times New Roman" w:cs="Times New Roman"/>
                <w:b/>
                <w:sz w:val="20"/>
                <w:szCs w:val="20"/>
              </w:rPr>
            </w:pPr>
            <w:r w:rsidRPr="003548A0">
              <w:rPr>
                <w:rFonts w:eastAsia="Times New Roman" w:cs="Times New Roman"/>
                <w:b/>
                <w:sz w:val="20"/>
                <w:szCs w:val="20"/>
              </w:rPr>
              <w:t>203</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35A8219" w14:textId="77777777" w:rsidR="00E52202" w:rsidRPr="003548A0" w:rsidRDefault="00E52202" w:rsidP="00707891">
            <w:pPr>
              <w:spacing w:after="0"/>
              <w:jc w:val="center"/>
              <w:rPr>
                <w:rFonts w:eastAsia="Times New Roman" w:cs="Times New Roman"/>
                <w:b/>
                <w:sz w:val="20"/>
                <w:szCs w:val="20"/>
              </w:rPr>
            </w:pPr>
            <w:r w:rsidRPr="003548A0">
              <w:rPr>
                <w:rFonts w:eastAsia="Times New Roman" w:cs="Times New Roman"/>
                <w:b/>
                <w:sz w:val="20"/>
                <w:szCs w:val="20"/>
              </w:rPr>
              <w:t>1,292</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23DDE4F" w14:textId="77777777" w:rsidR="00E52202" w:rsidRPr="003548A0" w:rsidRDefault="00E52202" w:rsidP="00707891">
            <w:pPr>
              <w:spacing w:after="0"/>
              <w:jc w:val="center"/>
              <w:rPr>
                <w:rFonts w:eastAsia="Times New Roman" w:cs="Times New Roman"/>
                <w:b/>
                <w:sz w:val="20"/>
                <w:szCs w:val="20"/>
              </w:rPr>
            </w:pPr>
            <w:r w:rsidRPr="003548A0">
              <w:rPr>
                <w:rFonts w:eastAsia="Times New Roman" w:cs="Times New Roman"/>
                <w:b/>
                <w:sz w:val="20"/>
                <w:szCs w:val="20"/>
              </w:rPr>
              <w:t>1,570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A8665D3" w14:textId="77777777" w:rsidR="00E52202" w:rsidRPr="003548A0" w:rsidRDefault="00E52202" w:rsidP="00707891">
            <w:pPr>
              <w:spacing w:after="0"/>
              <w:jc w:val="center"/>
              <w:rPr>
                <w:rFonts w:eastAsia="Times New Roman" w:cs="Times New Roman"/>
                <w:b/>
                <w:sz w:val="20"/>
                <w:szCs w:val="20"/>
              </w:rPr>
            </w:pPr>
            <w:r w:rsidRPr="003548A0">
              <w:rPr>
                <w:rFonts w:eastAsia="Times New Roman" w:cs="Times New Roman"/>
                <w:b/>
                <w:sz w:val="20"/>
                <w:szCs w:val="20"/>
              </w:rPr>
              <w:t>2,688</w:t>
            </w:r>
          </w:p>
        </w:tc>
      </w:tr>
    </w:tbl>
    <w:p w14:paraId="2A47A2CB" w14:textId="77777777" w:rsidR="00E52202" w:rsidRPr="00E52202" w:rsidRDefault="00E52202" w:rsidP="00E52202">
      <w:pPr>
        <w:spacing w:after="0"/>
        <w:rPr>
          <w:sz w:val="20"/>
          <w:szCs w:val="20"/>
        </w:rPr>
      </w:pPr>
      <w:r w:rsidRPr="00E52202">
        <w:rPr>
          <w:sz w:val="20"/>
          <w:szCs w:val="20"/>
        </w:rPr>
        <w:t>Source: DHS Supplied Prescriptions database, extracted April 2016. Based on the date of supply.</w:t>
      </w:r>
    </w:p>
    <w:p w14:paraId="193D0F8E" w14:textId="77777777" w:rsidR="00E52202" w:rsidRDefault="00E52202" w:rsidP="00E52202">
      <w:pPr>
        <w:spacing w:after="0"/>
        <w:rPr>
          <w:sz w:val="20"/>
          <w:szCs w:val="20"/>
        </w:rPr>
      </w:pPr>
      <w:r w:rsidRPr="00E52202">
        <w:rPr>
          <w:sz w:val="20"/>
          <w:szCs w:val="20"/>
          <w:vertAlign w:val="superscript"/>
        </w:rPr>
        <w:t xml:space="preserve">1 </w:t>
      </w:r>
      <w:r w:rsidRPr="00E52202">
        <w:rPr>
          <w:sz w:val="20"/>
          <w:szCs w:val="20"/>
        </w:rPr>
        <w:t>Part year figure as cabazitaxel first listed on 1 August 2012.</w:t>
      </w:r>
    </w:p>
    <w:p w14:paraId="590C0712" w14:textId="77777777" w:rsidR="004634FF" w:rsidRPr="00E52202" w:rsidRDefault="004634FF" w:rsidP="00E52202">
      <w:pPr>
        <w:spacing w:after="0"/>
        <w:rPr>
          <w:sz w:val="20"/>
          <w:szCs w:val="20"/>
        </w:rPr>
      </w:pPr>
    </w:p>
    <w:p w14:paraId="23EAA15B" w14:textId="0B9778ED" w:rsidR="00715FA4" w:rsidRPr="00B02785" w:rsidRDefault="00BF29F8" w:rsidP="003548A0">
      <w:r>
        <w:rPr>
          <w:noProof/>
        </w:rPr>
        <w:drawing>
          <wp:inline distT="0" distB="0" distL="0" distR="0" wp14:anchorId="219CA4CC" wp14:editId="18C1BEFC">
            <wp:extent cx="5919470" cy="4102735"/>
            <wp:effectExtent l="0" t="0" r="5080" b="0"/>
            <wp:docPr id="4" name="Picture 4" descr="A graph depicting the Total number of incident patients by quarter" title="Total number of incident patient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470" cy="4102735"/>
                    </a:xfrm>
                    <a:prstGeom prst="rect">
                      <a:avLst/>
                    </a:prstGeom>
                    <a:noFill/>
                  </pic:spPr>
                </pic:pic>
              </a:graphicData>
            </a:graphic>
          </wp:inline>
        </w:drawing>
      </w:r>
    </w:p>
    <w:p w14:paraId="712546D5" w14:textId="7E535766" w:rsidR="002B6074" w:rsidRDefault="00736A71" w:rsidP="002B6074">
      <w:pPr>
        <w:rPr>
          <w:rStyle w:val="FiguretitleChar"/>
          <w:rFonts w:asciiTheme="minorHAnsi" w:eastAsiaTheme="minorEastAsia" w:hAnsiTheme="minorHAnsi" w:cstheme="minorBidi"/>
          <w:b w:val="0"/>
          <w:sz w:val="20"/>
          <w:szCs w:val="20"/>
          <w:lang w:val="en-AU"/>
        </w:rPr>
      </w:pPr>
      <w:r w:rsidRPr="003548A0">
        <w:rPr>
          <w:rStyle w:val="FiguretitleChar"/>
          <w:rFonts w:asciiTheme="minorHAnsi" w:hAnsiTheme="minorHAnsi"/>
        </w:rPr>
        <w:t>Figure 2</w:t>
      </w:r>
      <w:r w:rsidR="002B6074" w:rsidRPr="003548A0">
        <w:rPr>
          <w:rStyle w:val="FiguretitleChar"/>
          <w:rFonts w:asciiTheme="minorHAnsi" w:hAnsiTheme="minorHAnsi"/>
        </w:rPr>
        <w:t>: Total number of incident patients by quarter</w:t>
      </w:r>
      <w:r w:rsidR="002B6074" w:rsidRPr="003548A0">
        <w:rPr>
          <w:rStyle w:val="FiguretitleChar"/>
          <w:rFonts w:asciiTheme="minorHAnsi" w:hAnsiTheme="minorHAnsi"/>
        </w:rPr>
        <w:br/>
      </w:r>
      <w:r w:rsidR="002B6074" w:rsidRPr="00BF29F8">
        <w:rPr>
          <w:rStyle w:val="FiguretitleChar"/>
          <w:rFonts w:asciiTheme="minorHAnsi" w:eastAsiaTheme="minorEastAsia" w:hAnsiTheme="minorHAnsi" w:cstheme="minorBidi"/>
          <w:b w:val="0"/>
          <w:sz w:val="20"/>
          <w:szCs w:val="20"/>
          <w:lang w:val="en-AU"/>
        </w:rPr>
        <w:t>Source: DHS Supplied Prescriptions database, extracted April 2016. Based on the date of supply.</w:t>
      </w:r>
    </w:p>
    <w:p w14:paraId="3D781B0D" w14:textId="0B812099" w:rsidR="004634FF" w:rsidRPr="003B1298" w:rsidRDefault="004634FF" w:rsidP="00C6477B">
      <w:pPr>
        <w:rPr>
          <w:rStyle w:val="FiguretitleChar"/>
          <w:rFonts w:asciiTheme="minorHAnsi" w:eastAsiaTheme="minorEastAsia" w:hAnsiTheme="minorHAnsi" w:cstheme="minorBidi"/>
          <w:b w:val="0"/>
          <w:lang w:val="en-AU"/>
        </w:rPr>
      </w:pPr>
      <w:r w:rsidRPr="003B1298">
        <w:rPr>
          <w:rStyle w:val="FiguretitleChar"/>
          <w:rFonts w:asciiTheme="minorHAnsi" w:eastAsiaTheme="minorEastAsia" w:hAnsiTheme="minorHAnsi" w:cstheme="minorBidi"/>
          <w:b w:val="0"/>
          <w:lang w:val="en-AU"/>
        </w:rPr>
        <w:t>The utilisation of cabazitaxel and abiraterone was relatively stable between Quarter 3 2013 and Quarter 3 2014 (Figure 2).  During this time, 95% of patients were first initiated to abiraterone compared with 5% for cabazitaxel.</w:t>
      </w:r>
    </w:p>
    <w:p w14:paraId="43B28F93" w14:textId="77777777" w:rsidR="004634FF" w:rsidRDefault="004634FF" w:rsidP="00C6477B">
      <w:pPr>
        <w:rPr>
          <w:rStyle w:val="FiguretitleChar"/>
          <w:rFonts w:asciiTheme="minorHAnsi" w:eastAsiaTheme="minorEastAsia" w:hAnsiTheme="minorHAnsi" w:cstheme="minorBidi"/>
          <w:b w:val="0"/>
          <w:sz w:val="22"/>
          <w:szCs w:val="22"/>
          <w:lang w:val="en-AU"/>
        </w:rPr>
      </w:pPr>
    </w:p>
    <w:p w14:paraId="71171CA9" w14:textId="74EFEE0D" w:rsidR="00C6477B" w:rsidRPr="003B1298" w:rsidRDefault="00C6477B" w:rsidP="00C6477B">
      <w:pPr>
        <w:rPr>
          <w:rStyle w:val="FiguretitleChar"/>
          <w:rFonts w:asciiTheme="minorHAnsi" w:eastAsiaTheme="minorEastAsia" w:hAnsiTheme="minorHAnsi" w:cstheme="minorBidi"/>
          <w:b w:val="0"/>
          <w:lang w:val="en-AU"/>
        </w:rPr>
      </w:pPr>
      <w:r w:rsidRPr="003B1298">
        <w:rPr>
          <w:rStyle w:val="FiguretitleChar"/>
          <w:rFonts w:asciiTheme="minorHAnsi" w:eastAsiaTheme="minorEastAsia" w:hAnsiTheme="minorHAnsi" w:cstheme="minorBidi"/>
          <w:b w:val="0"/>
          <w:lang w:val="en-AU"/>
        </w:rPr>
        <w:lastRenderedPageBreak/>
        <w:t>There was strong year-on-year growth in the uptake of cabazitaxel, abirat</w:t>
      </w:r>
      <w:r w:rsidR="00AB3F1D" w:rsidRPr="003B1298">
        <w:rPr>
          <w:rStyle w:val="FiguretitleChar"/>
          <w:rFonts w:asciiTheme="minorHAnsi" w:eastAsiaTheme="minorEastAsia" w:hAnsiTheme="minorHAnsi" w:cstheme="minorBidi"/>
          <w:b w:val="0"/>
          <w:lang w:val="en-AU"/>
        </w:rPr>
        <w:t>erone and enzalutamide (Table 12</w:t>
      </w:r>
      <w:r w:rsidRPr="003B1298">
        <w:rPr>
          <w:rStyle w:val="FiguretitleChar"/>
          <w:rFonts w:asciiTheme="minorHAnsi" w:eastAsiaTheme="minorEastAsia" w:hAnsiTheme="minorHAnsi" w:cstheme="minorBidi"/>
          <w:b w:val="0"/>
          <w:lang w:val="en-AU"/>
        </w:rPr>
        <w:t xml:space="preserve">). However, since 2013 there was declining growth the number of patients receiving docetaxel prior to cabazitaxel, abiraterone or </w:t>
      </w:r>
      <w:r w:rsidR="00AB3F1D" w:rsidRPr="003B1298">
        <w:rPr>
          <w:rStyle w:val="FiguretitleChar"/>
          <w:rFonts w:asciiTheme="minorHAnsi" w:eastAsiaTheme="minorEastAsia" w:hAnsiTheme="minorHAnsi" w:cstheme="minorBidi"/>
          <w:b w:val="0"/>
          <w:lang w:val="en-AU"/>
        </w:rPr>
        <w:t>enzalutamide (Table 12</w:t>
      </w:r>
      <w:r w:rsidRPr="003B1298">
        <w:rPr>
          <w:rStyle w:val="FiguretitleChar"/>
          <w:rFonts w:asciiTheme="minorHAnsi" w:eastAsiaTheme="minorEastAsia" w:hAnsiTheme="minorHAnsi" w:cstheme="minorBidi"/>
          <w:b w:val="0"/>
          <w:lang w:val="en-AU"/>
        </w:rPr>
        <w:t xml:space="preserve">). </w:t>
      </w:r>
    </w:p>
    <w:p w14:paraId="1EB36E11" w14:textId="41B3F80D" w:rsidR="00C6477B" w:rsidRPr="003B1298" w:rsidRDefault="00AB3F1D" w:rsidP="003548A0">
      <w:pPr>
        <w:pStyle w:val="Tabletitle"/>
      </w:pPr>
      <w:r w:rsidRPr="003B1298">
        <w:t>Table 12</w:t>
      </w:r>
      <w:r w:rsidR="003548A0">
        <w:t>:</w:t>
      </w:r>
      <w:r w:rsidR="00C6477B" w:rsidRPr="003B1298">
        <w:t xml:space="preserve"> Growth in the prevalent population supplied cabazitaxel, abiraterone or enzalutamide compared to growth in the prior use of docetaxel</w:t>
      </w:r>
    </w:p>
    <w:tbl>
      <w:tblPr>
        <w:tblW w:w="8140" w:type="dxa"/>
        <w:tblInd w:w="93" w:type="dxa"/>
        <w:tblLook w:val="04A0" w:firstRow="1" w:lastRow="0" w:firstColumn="1" w:lastColumn="0" w:noHBand="0" w:noVBand="1"/>
        <w:tblCaption w:val="Growth in the prevalent population supplied cabazitaxel, abiraterone or enzalutamide compared to growth in the prior use of docetaxel"/>
        <w:tblDescription w:val="A table of the Growth in the prevalent population supplied cabazitaxel, abiraterone or enzalutamide compared to growth in the prior use of docetaxel"/>
      </w:tblPr>
      <w:tblGrid>
        <w:gridCol w:w="4079"/>
        <w:gridCol w:w="1061"/>
        <w:gridCol w:w="1000"/>
        <w:gridCol w:w="1000"/>
        <w:gridCol w:w="1000"/>
      </w:tblGrid>
      <w:tr w:rsidR="00C6477B" w:rsidRPr="003548A0" w14:paraId="00F26D08" w14:textId="77777777" w:rsidTr="004F7278">
        <w:trPr>
          <w:trHeight w:val="300"/>
        </w:trPr>
        <w:tc>
          <w:tcPr>
            <w:tcW w:w="4079" w:type="dxa"/>
            <w:tcBorders>
              <w:top w:val="single" w:sz="4" w:space="0" w:color="auto"/>
              <w:left w:val="single" w:sz="4" w:space="0" w:color="auto"/>
              <w:bottom w:val="single" w:sz="4" w:space="0" w:color="auto"/>
              <w:right w:val="nil"/>
            </w:tcBorders>
            <w:shd w:val="clear" w:color="auto" w:fill="BFBFBF" w:themeFill="background1" w:themeFillShade="BF"/>
            <w:hideMark/>
          </w:tcPr>
          <w:p w14:paraId="64924097" w14:textId="77777777" w:rsidR="00C6477B" w:rsidRPr="003548A0" w:rsidRDefault="00C6477B" w:rsidP="003808B4">
            <w:pPr>
              <w:spacing w:after="0"/>
              <w:rPr>
                <w:rFonts w:eastAsia="Times New Roman" w:cs="Times New Roman"/>
                <w:sz w:val="20"/>
                <w:szCs w:val="20"/>
              </w:rPr>
            </w:pPr>
          </w:p>
        </w:tc>
        <w:tc>
          <w:tcPr>
            <w:tcW w:w="1061" w:type="dxa"/>
            <w:tcBorders>
              <w:top w:val="single" w:sz="4" w:space="0" w:color="auto"/>
              <w:left w:val="single" w:sz="4" w:space="0" w:color="auto"/>
              <w:bottom w:val="nil"/>
              <w:right w:val="single" w:sz="4" w:space="0" w:color="auto"/>
            </w:tcBorders>
            <w:shd w:val="clear" w:color="auto" w:fill="BFBFBF" w:themeFill="background1" w:themeFillShade="BF"/>
            <w:hideMark/>
          </w:tcPr>
          <w:p w14:paraId="59C4C675" w14:textId="77777777" w:rsidR="00C6477B" w:rsidRPr="003548A0" w:rsidRDefault="00C6477B" w:rsidP="003808B4">
            <w:pPr>
              <w:spacing w:after="0"/>
              <w:jc w:val="center"/>
              <w:rPr>
                <w:rFonts w:eastAsia="Times New Roman" w:cs="Times New Roman"/>
                <w:b/>
                <w:bCs/>
                <w:sz w:val="20"/>
                <w:szCs w:val="20"/>
              </w:rPr>
            </w:pPr>
            <w:r w:rsidRPr="003548A0">
              <w:rPr>
                <w:rFonts w:eastAsia="Times New Roman" w:cs="Times New Roman"/>
                <w:b/>
                <w:bCs/>
                <w:sz w:val="20"/>
                <w:szCs w:val="20"/>
              </w:rPr>
              <w:t>2012</w:t>
            </w:r>
          </w:p>
        </w:tc>
        <w:tc>
          <w:tcPr>
            <w:tcW w:w="1000" w:type="dxa"/>
            <w:tcBorders>
              <w:top w:val="single" w:sz="4" w:space="0" w:color="auto"/>
              <w:left w:val="nil"/>
              <w:bottom w:val="nil"/>
              <w:right w:val="single" w:sz="4" w:space="0" w:color="auto"/>
            </w:tcBorders>
            <w:shd w:val="clear" w:color="auto" w:fill="BFBFBF" w:themeFill="background1" w:themeFillShade="BF"/>
            <w:hideMark/>
          </w:tcPr>
          <w:p w14:paraId="6CFE5C08" w14:textId="77777777" w:rsidR="00C6477B" w:rsidRPr="003548A0" w:rsidRDefault="00C6477B" w:rsidP="003808B4">
            <w:pPr>
              <w:spacing w:after="0"/>
              <w:jc w:val="center"/>
              <w:rPr>
                <w:rFonts w:eastAsia="Times New Roman" w:cs="Times New Roman"/>
                <w:b/>
                <w:bCs/>
                <w:sz w:val="20"/>
                <w:szCs w:val="20"/>
              </w:rPr>
            </w:pPr>
            <w:r w:rsidRPr="003548A0">
              <w:rPr>
                <w:rFonts w:eastAsia="Times New Roman" w:cs="Times New Roman"/>
                <w:b/>
                <w:bCs/>
                <w:sz w:val="20"/>
                <w:szCs w:val="20"/>
              </w:rPr>
              <w:t>2013</w:t>
            </w:r>
          </w:p>
        </w:tc>
        <w:tc>
          <w:tcPr>
            <w:tcW w:w="1000" w:type="dxa"/>
            <w:tcBorders>
              <w:top w:val="single" w:sz="4" w:space="0" w:color="auto"/>
              <w:left w:val="nil"/>
              <w:bottom w:val="nil"/>
              <w:right w:val="single" w:sz="4" w:space="0" w:color="auto"/>
            </w:tcBorders>
            <w:shd w:val="clear" w:color="auto" w:fill="BFBFBF" w:themeFill="background1" w:themeFillShade="BF"/>
            <w:hideMark/>
          </w:tcPr>
          <w:p w14:paraId="751D7D76" w14:textId="77777777" w:rsidR="00C6477B" w:rsidRPr="003548A0" w:rsidRDefault="00C6477B" w:rsidP="003808B4">
            <w:pPr>
              <w:spacing w:after="0"/>
              <w:jc w:val="center"/>
              <w:rPr>
                <w:rFonts w:eastAsia="Times New Roman" w:cs="Times New Roman"/>
                <w:b/>
                <w:bCs/>
                <w:sz w:val="20"/>
                <w:szCs w:val="20"/>
              </w:rPr>
            </w:pPr>
            <w:r w:rsidRPr="003548A0">
              <w:rPr>
                <w:rFonts w:eastAsia="Times New Roman" w:cs="Times New Roman"/>
                <w:b/>
                <w:bCs/>
                <w:sz w:val="20"/>
                <w:szCs w:val="20"/>
              </w:rPr>
              <w:t>2014</w:t>
            </w:r>
          </w:p>
        </w:tc>
        <w:tc>
          <w:tcPr>
            <w:tcW w:w="1000" w:type="dxa"/>
            <w:tcBorders>
              <w:top w:val="single" w:sz="4" w:space="0" w:color="auto"/>
              <w:left w:val="nil"/>
              <w:bottom w:val="nil"/>
              <w:right w:val="single" w:sz="4" w:space="0" w:color="auto"/>
            </w:tcBorders>
            <w:shd w:val="clear" w:color="auto" w:fill="BFBFBF" w:themeFill="background1" w:themeFillShade="BF"/>
            <w:hideMark/>
          </w:tcPr>
          <w:p w14:paraId="076320EA" w14:textId="77777777" w:rsidR="00C6477B" w:rsidRPr="003548A0" w:rsidRDefault="00C6477B" w:rsidP="003808B4">
            <w:pPr>
              <w:spacing w:after="0"/>
              <w:jc w:val="center"/>
              <w:rPr>
                <w:rFonts w:eastAsia="Times New Roman" w:cs="Times New Roman"/>
                <w:b/>
                <w:bCs/>
                <w:sz w:val="20"/>
                <w:szCs w:val="20"/>
              </w:rPr>
            </w:pPr>
            <w:r w:rsidRPr="003548A0">
              <w:rPr>
                <w:rFonts w:eastAsia="Times New Roman" w:cs="Times New Roman"/>
                <w:b/>
                <w:bCs/>
                <w:sz w:val="20"/>
                <w:szCs w:val="20"/>
              </w:rPr>
              <w:t>2015</w:t>
            </w:r>
          </w:p>
        </w:tc>
      </w:tr>
      <w:tr w:rsidR="00C6477B" w:rsidRPr="003548A0" w14:paraId="083425C6" w14:textId="77777777" w:rsidTr="003808B4">
        <w:trPr>
          <w:trHeight w:val="390"/>
        </w:trPr>
        <w:tc>
          <w:tcPr>
            <w:tcW w:w="814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4D6BF9" w14:textId="314DB06C" w:rsidR="00C6477B" w:rsidRPr="003548A0" w:rsidRDefault="00440A2E" w:rsidP="003808B4">
            <w:pPr>
              <w:spacing w:after="0"/>
              <w:rPr>
                <w:rFonts w:eastAsia="Times New Roman" w:cs="Times New Roman"/>
                <w:b/>
                <w:bCs/>
                <w:sz w:val="20"/>
                <w:szCs w:val="20"/>
              </w:rPr>
            </w:pPr>
            <w:r w:rsidRPr="003548A0">
              <w:rPr>
                <w:rFonts w:eastAsia="Times New Roman" w:cs="Times New Roman"/>
                <w:b/>
                <w:bCs/>
                <w:sz w:val="20"/>
                <w:szCs w:val="20"/>
              </w:rPr>
              <w:t>P</w:t>
            </w:r>
            <w:r w:rsidR="00C6477B" w:rsidRPr="003548A0">
              <w:rPr>
                <w:rFonts w:eastAsia="Times New Roman" w:cs="Times New Roman"/>
                <w:b/>
                <w:bCs/>
                <w:sz w:val="20"/>
                <w:szCs w:val="20"/>
              </w:rPr>
              <w:t>atients supplied docetaxel first initiating to one of cabazitaxel, abiraterone or enzalutamide</w:t>
            </w:r>
          </w:p>
        </w:tc>
      </w:tr>
      <w:tr w:rsidR="00C6477B" w:rsidRPr="003548A0" w14:paraId="1CDCE80D" w14:textId="77777777" w:rsidTr="003808B4">
        <w:trPr>
          <w:trHeight w:val="300"/>
        </w:trPr>
        <w:tc>
          <w:tcPr>
            <w:tcW w:w="4079" w:type="dxa"/>
            <w:tcBorders>
              <w:top w:val="nil"/>
              <w:left w:val="single" w:sz="4" w:space="0" w:color="auto"/>
              <w:bottom w:val="single" w:sz="4" w:space="0" w:color="auto"/>
              <w:right w:val="single" w:sz="4" w:space="0" w:color="auto"/>
            </w:tcBorders>
            <w:shd w:val="clear" w:color="auto" w:fill="auto"/>
            <w:hideMark/>
          </w:tcPr>
          <w:p w14:paraId="5399D49A" w14:textId="77777777" w:rsidR="00C6477B" w:rsidRPr="003548A0" w:rsidRDefault="00C6477B" w:rsidP="003808B4">
            <w:pPr>
              <w:spacing w:after="0"/>
              <w:rPr>
                <w:rFonts w:eastAsia="Times New Roman" w:cs="Times New Roman"/>
                <w:sz w:val="20"/>
                <w:szCs w:val="20"/>
              </w:rPr>
            </w:pPr>
            <w:r w:rsidRPr="003548A0">
              <w:rPr>
                <w:rFonts w:eastAsia="Times New Roman" w:cs="Times New Roman"/>
                <w:sz w:val="20"/>
                <w:szCs w:val="20"/>
              </w:rPr>
              <w:t>Number of patients</w:t>
            </w:r>
          </w:p>
        </w:tc>
        <w:tc>
          <w:tcPr>
            <w:tcW w:w="1061" w:type="dxa"/>
            <w:tcBorders>
              <w:top w:val="nil"/>
              <w:left w:val="nil"/>
              <w:bottom w:val="single" w:sz="4" w:space="0" w:color="auto"/>
              <w:right w:val="single" w:sz="4" w:space="0" w:color="auto"/>
            </w:tcBorders>
            <w:shd w:val="clear" w:color="auto" w:fill="auto"/>
            <w:noWrap/>
            <w:vAlign w:val="bottom"/>
            <w:hideMark/>
          </w:tcPr>
          <w:p w14:paraId="4F7DF036"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195</w:t>
            </w:r>
            <w:r w:rsidRPr="003548A0">
              <w:rPr>
                <w:rStyle w:val="FiguretitleChar"/>
                <w:rFonts w:asciiTheme="minorHAnsi" w:hAnsiTheme="minorHAnsi"/>
                <w:b w:val="0"/>
                <w:sz w:val="20"/>
                <w:szCs w:val="20"/>
                <w:vertAlign w:val="superscript"/>
              </w:rPr>
              <w:t xml:space="preserve"> a</w:t>
            </w:r>
          </w:p>
        </w:tc>
        <w:tc>
          <w:tcPr>
            <w:tcW w:w="1000" w:type="dxa"/>
            <w:tcBorders>
              <w:top w:val="nil"/>
              <w:left w:val="nil"/>
              <w:bottom w:val="single" w:sz="4" w:space="0" w:color="auto"/>
              <w:right w:val="single" w:sz="4" w:space="0" w:color="auto"/>
            </w:tcBorders>
            <w:shd w:val="clear" w:color="auto" w:fill="auto"/>
            <w:noWrap/>
            <w:vAlign w:val="bottom"/>
            <w:hideMark/>
          </w:tcPr>
          <w:p w14:paraId="2D752069"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1,184</w:t>
            </w:r>
          </w:p>
        </w:tc>
        <w:tc>
          <w:tcPr>
            <w:tcW w:w="1000" w:type="dxa"/>
            <w:tcBorders>
              <w:top w:val="nil"/>
              <w:left w:val="nil"/>
              <w:bottom w:val="single" w:sz="4" w:space="0" w:color="auto"/>
              <w:right w:val="single" w:sz="4" w:space="0" w:color="auto"/>
            </w:tcBorders>
            <w:shd w:val="clear" w:color="auto" w:fill="auto"/>
            <w:noWrap/>
            <w:vAlign w:val="bottom"/>
            <w:hideMark/>
          </w:tcPr>
          <w:p w14:paraId="016918FE"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1,205</w:t>
            </w:r>
          </w:p>
        </w:tc>
        <w:tc>
          <w:tcPr>
            <w:tcW w:w="1000" w:type="dxa"/>
            <w:tcBorders>
              <w:top w:val="nil"/>
              <w:left w:val="nil"/>
              <w:bottom w:val="single" w:sz="4" w:space="0" w:color="auto"/>
              <w:right w:val="single" w:sz="4" w:space="0" w:color="auto"/>
            </w:tcBorders>
            <w:shd w:val="clear" w:color="auto" w:fill="auto"/>
            <w:noWrap/>
            <w:vAlign w:val="bottom"/>
            <w:hideMark/>
          </w:tcPr>
          <w:p w14:paraId="37F06845"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1,030</w:t>
            </w:r>
          </w:p>
        </w:tc>
      </w:tr>
      <w:tr w:rsidR="00C6477B" w:rsidRPr="003548A0" w14:paraId="500CF0D5" w14:textId="77777777" w:rsidTr="003808B4">
        <w:trPr>
          <w:trHeight w:val="300"/>
        </w:trPr>
        <w:tc>
          <w:tcPr>
            <w:tcW w:w="4079" w:type="dxa"/>
            <w:tcBorders>
              <w:top w:val="nil"/>
              <w:left w:val="single" w:sz="4" w:space="0" w:color="auto"/>
              <w:bottom w:val="single" w:sz="4" w:space="0" w:color="auto"/>
              <w:right w:val="single" w:sz="4" w:space="0" w:color="auto"/>
            </w:tcBorders>
            <w:shd w:val="clear" w:color="auto" w:fill="auto"/>
            <w:hideMark/>
          </w:tcPr>
          <w:p w14:paraId="61BEF684" w14:textId="77777777" w:rsidR="00C6477B" w:rsidRPr="003548A0" w:rsidRDefault="00C6477B" w:rsidP="003808B4">
            <w:pPr>
              <w:spacing w:after="0"/>
              <w:rPr>
                <w:rFonts w:eastAsia="Times New Roman" w:cs="Times New Roman"/>
                <w:sz w:val="20"/>
                <w:szCs w:val="20"/>
              </w:rPr>
            </w:pPr>
            <w:r w:rsidRPr="003548A0">
              <w:rPr>
                <w:rFonts w:eastAsia="Times New Roman" w:cs="Times New Roman"/>
                <w:sz w:val="20"/>
                <w:szCs w:val="20"/>
              </w:rPr>
              <w:t>Year-on-year growth</w:t>
            </w:r>
          </w:p>
        </w:tc>
        <w:tc>
          <w:tcPr>
            <w:tcW w:w="1061" w:type="dxa"/>
            <w:tcBorders>
              <w:top w:val="nil"/>
              <w:left w:val="nil"/>
              <w:bottom w:val="single" w:sz="4" w:space="0" w:color="auto"/>
              <w:right w:val="single" w:sz="4" w:space="0" w:color="auto"/>
            </w:tcBorders>
            <w:shd w:val="clear" w:color="auto" w:fill="auto"/>
            <w:hideMark/>
          </w:tcPr>
          <w:p w14:paraId="7603FDD7"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w:t>
            </w:r>
          </w:p>
        </w:tc>
        <w:tc>
          <w:tcPr>
            <w:tcW w:w="1000" w:type="dxa"/>
            <w:tcBorders>
              <w:top w:val="nil"/>
              <w:left w:val="nil"/>
              <w:bottom w:val="single" w:sz="4" w:space="0" w:color="auto"/>
              <w:right w:val="single" w:sz="4" w:space="0" w:color="auto"/>
            </w:tcBorders>
            <w:shd w:val="clear" w:color="auto" w:fill="auto"/>
            <w:hideMark/>
          </w:tcPr>
          <w:p w14:paraId="122E23C9"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83.5%</w:t>
            </w:r>
          </w:p>
        </w:tc>
        <w:tc>
          <w:tcPr>
            <w:tcW w:w="1000" w:type="dxa"/>
            <w:tcBorders>
              <w:top w:val="nil"/>
              <w:left w:val="nil"/>
              <w:bottom w:val="single" w:sz="4" w:space="0" w:color="auto"/>
              <w:right w:val="single" w:sz="4" w:space="0" w:color="auto"/>
            </w:tcBorders>
            <w:shd w:val="clear" w:color="auto" w:fill="auto"/>
            <w:hideMark/>
          </w:tcPr>
          <w:p w14:paraId="0F1F811B"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1.7%</w:t>
            </w:r>
          </w:p>
        </w:tc>
        <w:tc>
          <w:tcPr>
            <w:tcW w:w="1000" w:type="dxa"/>
            <w:tcBorders>
              <w:top w:val="nil"/>
              <w:left w:val="nil"/>
              <w:bottom w:val="single" w:sz="4" w:space="0" w:color="auto"/>
              <w:right w:val="single" w:sz="4" w:space="0" w:color="auto"/>
            </w:tcBorders>
            <w:shd w:val="clear" w:color="auto" w:fill="auto"/>
            <w:hideMark/>
          </w:tcPr>
          <w:p w14:paraId="46A8AD4B"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-17.0%</w:t>
            </w:r>
          </w:p>
        </w:tc>
      </w:tr>
      <w:tr w:rsidR="00C6477B" w:rsidRPr="003548A0" w14:paraId="7BA0460B" w14:textId="77777777" w:rsidTr="003808B4">
        <w:trPr>
          <w:trHeight w:val="300"/>
        </w:trPr>
        <w:tc>
          <w:tcPr>
            <w:tcW w:w="8140" w:type="dxa"/>
            <w:gridSpan w:val="5"/>
            <w:tcBorders>
              <w:top w:val="single" w:sz="4" w:space="0" w:color="auto"/>
              <w:left w:val="single" w:sz="4" w:space="0" w:color="auto"/>
              <w:bottom w:val="single" w:sz="4" w:space="0" w:color="auto"/>
              <w:right w:val="single" w:sz="4" w:space="0" w:color="auto"/>
            </w:tcBorders>
            <w:shd w:val="clear" w:color="auto" w:fill="auto"/>
            <w:hideMark/>
          </w:tcPr>
          <w:p w14:paraId="15BFD6CD" w14:textId="77777777" w:rsidR="00C6477B" w:rsidRPr="003548A0" w:rsidRDefault="00C6477B" w:rsidP="003808B4">
            <w:pPr>
              <w:spacing w:after="0"/>
              <w:rPr>
                <w:rFonts w:eastAsia="Times New Roman" w:cs="Times New Roman"/>
                <w:b/>
                <w:bCs/>
                <w:sz w:val="20"/>
                <w:szCs w:val="20"/>
              </w:rPr>
            </w:pPr>
            <w:r w:rsidRPr="003548A0">
              <w:rPr>
                <w:rFonts w:eastAsia="Times New Roman" w:cs="Times New Roman"/>
                <w:b/>
                <w:bCs/>
                <w:sz w:val="20"/>
                <w:szCs w:val="20"/>
              </w:rPr>
              <w:t>Prevalent patients supplied with cabazitaxel, abiraterone or enzalutamide</w:t>
            </w:r>
          </w:p>
        </w:tc>
      </w:tr>
      <w:tr w:rsidR="00C6477B" w:rsidRPr="003548A0" w14:paraId="21D1E245" w14:textId="77777777" w:rsidTr="003808B4">
        <w:trPr>
          <w:trHeight w:val="300"/>
        </w:trPr>
        <w:tc>
          <w:tcPr>
            <w:tcW w:w="4079" w:type="dxa"/>
            <w:tcBorders>
              <w:top w:val="nil"/>
              <w:left w:val="single" w:sz="4" w:space="0" w:color="auto"/>
              <w:bottom w:val="single" w:sz="4" w:space="0" w:color="auto"/>
              <w:right w:val="single" w:sz="4" w:space="0" w:color="auto"/>
            </w:tcBorders>
            <w:shd w:val="clear" w:color="auto" w:fill="auto"/>
            <w:hideMark/>
          </w:tcPr>
          <w:p w14:paraId="4EAC1074" w14:textId="77777777" w:rsidR="00C6477B" w:rsidRPr="003548A0" w:rsidRDefault="00C6477B" w:rsidP="003808B4">
            <w:pPr>
              <w:spacing w:after="0"/>
              <w:rPr>
                <w:rFonts w:eastAsia="Times New Roman" w:cs="Times New Roman"/>
                <w:sz w:val="20"/>
                <w:szCs w:val="20"/>
              </w:rPr>
            </w:pPr>
            <w:r w:rsidRPr="003548A0">
              <w:rPr>
                <w:rFonts w:eastAsia="Times New Roman" w:cs="Times New Roman"/>
                <w:sz w:val="20"/>
                <w:szCs w:val="20"/>
              </w:rPr>
              <w:t>Number of patients</w:t>
            </w:r>
          </w:p>
        </w:tc>
        <w:tc>
          <w:tcPr>
            <w:tcW w:w="1061" w:type="dxa"/>
            <w:tcBorders>
              <w:top w:val="nil"/>
              <w:left w:val="nil"/>
              <w:bottom w:val="single" w:sz="4" w:space="0" w:color="auto"/>
              <w:right w:val="single" w:sz="4" w:space="0" w:color="auto"/>
            </w:tcBorders>
            <w:shd w:val="clear" w:color="auto" w:fill="auto"/>
            <w:hideMark/>
          </w:tcPr>
          <w:p w14:paraId="3A0000BE"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203</w:t>
            </w:r>
            <w:r w:rsidRPr="003548A0">
              <w:rPr>
                <w:rStyle w:val="FiguretitleChar"/>
                <w:rFonts w:asciiTheme="minorHAnsi" w:hAnsiTheme="minorHAnsi"/>
                <w:b w:val="0"/>
                <w:sz w:val="20"/>
                <w:szCs w:val="20"/>
                <w:vertAlign w:val="superscript"/>
              </w:rPr>
              <w:t xml:space="preserve"> a</w:t>
            </w:r>
          </w:p>
        </w:tc>
        <w:tc>
          <w:tcPr>
            <w:tcW w:w="1000" w:type="dxa"/>
            <w:tcBorders>
              <w:top w:val="nil"/>
              <w:left w:val="nil"/>
              <w:bottom w:val="single" w:sz="4" w:space="0" w:color="auto"/>
              <w:right w:val="single" w:sz="4" w:space="0" w:color="auto"/>
            </w:tcBorders>
            <w:shd w:val="clear" w:color="auto" w:fill="auto"/>
            <w:hideMark/>
          </w:tcPr>
          <w:p w14:paraId="2D294141"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1,418</w:t>
            </w:r>
          </w:p>
        </w:tc>
        <w:tc>
          <w:tcPr>
            <w:tcW w:w="1000" w:type="dxa"/>
            <w:tcBorders>
              <w:top w:val="nil"/>
              <w:left w:val="nil"/>
              <w:bottom w:val="single" w:sz="4" w:space="0" w:color="auto"/>
              <w:right w:val="single" w:sz="4" w:space="0" w:color="auto"/>
            </w:tcBorders>
            <w:shd w:val="clear" w:color="auto" w:fill="auto"/>
            <w:hideMark/>
          </w:tcPr>
          <w:p w14:paraId="22B9385A"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2,527</w:t>
            </w:r>
          </w:p>
        </w:tc>
        <w:tc>
          <w:tcPr>
            <w:tcW w:w="1000" w:type="dxa"/>
            <w:tcBorders>
              <w:top w:val="nil"/>
              <w:left w:val="nil"/>
              <w:bottom w:val="single" w:sz="4" w:space="0" w:color="auto"/>
              <w:right w:val="single" w:sz="4" w:space="0" w:color="auto"/>
            </w:tcBorders>
            <w:shd w:val="clear" w:color="auto" w:fill="auto"/>
            <w:hideMark/>
          </w:tcPr>
          <w:p w14:paraId="36B39117"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4,165</w:t>
            </w:r>
          </w:p>
        </w:tc>
      </w:tr>
      <w:tr w:rsidR="00C6477B" w:rsidRPr="003548A0" w14:paraId="43F94EDD" w14:textId="77777777" w:rsidTr="003808B4">
        <w:trPr>
          <w:trHeight w:val="300"/>
        </w:trPr>
        <w:tc>
          <w:tcPr>
            <w:tcW w:w="4079" w:type="dxa"/>
            <w:tcBorders>
              <w:top w:val="nil"/>
              <w:left w:val="single" w:sz="4" w:space="0" w:color="auto"/>
              <w:bottom w:val="single" w:sz="4" w:space="0" w:color="auto"/>
              <w:right w:val="single" w:sz="4" w:space="0" w:color="auto"/>
            </w:tcBorders>
            <w:shd w:val="clear" w:color="auto" w:fill="auto"/>
            <w:hideMark/>
          </w:tcPr>
          <w:p w14:paraId="0BE22C6A" w14:textId="77777777" w:rsidR="00C6477B" w:rsidRPr="003548A0" w:rsidRDefault="00C6477B" w:rsidP="003808B4">
            <w:pPr>
              <w:spacing w:after="0"/>
              <w:rPr>
                <w:rFonts w:eastAsia="Times New Roman" w:cs="Times New Roman"/>
                <w:sz w:val="20"/>
                <w:szCs w:val="20"/>
              </w:rPr>
            </w:pPr>
            <w:r w:rsidRPr="003548A0">
              <w:rPr>
                <w:rFonts w:eastAsia="Times New Roman" w:cs="Times New Roman"/>
                <w:sz w:val="20"/>
                <w:szCs w:val="20"/>
              </w:rPr>
              <w:t>Year-on-year growth</w:t>
            </w:r>
          </w:p>
        </w:tc>
        <w:tc>
          <w:tcPr>
            <w:tcW w:w="1061" w:type="dxa"/>
            <w:tcBorders>
              <w:top w:val="nil"/>
              <w:left w:val="nil"/>
              <w:bottom w:val="single" w:sz="4" w:space="0" w:color="auto"/>
              <w:right w:val="single" w:sz="4" w:space="0" w:color="auto"/>
            </w:tcBorders>
            <w:shd w:val="clear" w:color="auto" w:fill="auto"/>
            <w:hideMark/>
          </w:tcPr>
          <w:p w14:paraId="7ECE8C96"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w:t>
            </w:r>
          </w:p>
        </w:tc>
        <w:tc>
          <w:tcPr>
            <w:tcW w:w="1000" w:type="dxa"/>
            <w:tcBorders>
              <w:top w:val="nil"/>
              <w:left w:val="nil"/>
              <w:bottom w:val="single" w:sz="4" w:space="0" w:color="auto"/>
              <w:right w:val="single" w:sz="4" w:space="0" w:color="auto"/>
            </w:tcBorders>
            <w:shd w:val="clear" w:color="auto" w:fill="auto"/>
            <w:hideMark/>
          </w:tcPr>
          <w:p w14:paraId="54F44B87"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85.7%</w:t>
            </w:r>
          </w:p>
        </w:tc>
        <w:tc>
          <w:tcPr>
            <w:tcW w:w="1000" w:type="dxa"/>
            <w:tcBorders>
              <w:top w:val="nil"/>
              <w:left w:val="nil"/>
              <w:bottom w:val="single" w:sz="4" w:space="0" w:color="auto"/>
              <w:right w:val="single" w:sz="4" w:space="0" w:color="auto"/>
            </w:tcBorders>
            <w:shd w:val="clear" w:color="auto" w:fill="auto"/>
            <w:hideMark/>
          </w:tcPr>
          <w:p w14:paraId="3B026F9B"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43.9%</w:t>
            </w:r>
          </w:p>
        </w:tc>
        <w:tc>
          <w:tcPr>
            <w:tcW w:w="1000" w:type="dxa"/>
            <w:tcBorders>
              <w:top w:val="nil"/>
              <w:left w:val="nil"/>
              <w:bottom w:val="single" w:sz="4" w:space="0" w:color="auto"/>
              <w:right w:val="single" w:sz="4" w:space="0" w:color="auto"/>
            </w:tcBorders>
            <w:shd w:val="clear" w:color="auto" w:fill="auto"/>
            <w:hideMark/>
          </w:tcPr>
          <w:p w14:paraId="678066EC" w14:textId="77777777" w:rsidR="00C6477B" w:rsidRPr="003548A0" w:rsidRDefault="00C6477B" w:rsidP="003808B4">
            <w:pPr>
              <w:spacing w:after="0"/>
              <w:jc w:val="center"/>
              <w:rPr>
                <w:rFonts w:eastAsia="Times New Roman" w:cs="Times New Roman"/>
                <w:sz w:val="20"/>
                <w:szCs w:val="20"/>
              </w:rPr>
            </w:pPr>
            <w:r w:rsidRPr="003548A0">
              <w:rPr>
                <w:rFonts w:eastAsia="Times New Roman" w:cs="Times New Roman"/>
                <w:sz w:val="20"/>
                <w:szCs w:val="20"/>
              </w:rPr>
              <w:t>39.3%</w:t>
            </w:r>
          </w:p>
        </w:tc>
      </w:tr>
    </w:tbl>
    <w:p w14:paraId="4E535A0A" w14:textId="0C75E868" w:rsidR="00C6477B" w:rsidRPr="00E55589" w:rsidRDefault="00C6477B" w:rsidP="00C6477B">
      <w:pPr>
        <w:spacing w:after="0"/>
        <w:rPr>
          <w:rStyle w:val="FiguretitleChar"/>
          <w:rFonts w:asciiTheme="minorHAnsi" w:hAnsiTheme="minorHAnsi"/>
          <w:b w:val="0"/>
          <w:sz w:val="20"/>
          <w:szCs w:val="20"/>
        </w:rPr>
      </w:pPr>
      <w:r w:rsidRPr="00E55589">
        <w:rPr>
          <w:rStyle w:val="FiguretitleChar"/>
          <w:rFonts w:asciiTheme="minorHAnsi" w:hAnsiTheme="minorHAnsi"/>
          <w:b w:val="0"/>
          <w:sz w:val="20"/>
          <w:szCs w:val="20"/>
        </w:rPr>
        <w:t xml:space="preserve">Source: DHS Supplied Prescriptions database, extracted April 2016. </w:t>
      </w:r>
    </w:p>
    <w:p w14:paraId="6EB1FEBB" w14:textId="77777777" w:rsidR="00C6477B" w:rsidRPr="00E55589" w:rsidRDefault="00C6477B" w:rsidP="00C6477B">
      <w:pPr>
        <w:spacing w:after="0"/>
        <w:rPr>
          <w:rStyle w:val="FiguretitleChar"/>
          <w:rFonts w:asciiTheme="minorHAnsi" w:hAnsiTheme="minorHAnsi"/>
          <w:b w:val="0"/>
          <w:sz w:val="20"/>
          <w:szCs w:val="20"/>
        </w:rPr>
      </w:pPr>
      <w:r w:rsidRPr="00E55589">
        <w:rPr>
          <w:rStyle w:val="FiguretitleChar"/>
          <w:rFonts w:asciiTheme="minorHAnsi" w:hAnsiTheme="minorHAnsi"/>
          <w:b w:val="0"/>
          <w:sz w:val="20"/>
          <w:szCs w:val="20"/>
          <w:vertAlign w:val="superscript"/>
        </w:rPr>
        <w:t>a</w:t>
      </w:r>
      <w:r w:rsidRPr="00E55589">
        <w:rPr>
          <w:rStyle w:val="FiguretitleChar"/>
          <w:rFonts w:asciiTheme="minorHAnsi" w:hAnsiTheme="minorHAnsi"/>
          <w:b w:val="0"/>
          <w:sz w:val="20"/>
          <w:szCs w:val="20"/>
        </w:rPr>
        <w:t xml:space="preserve"> Part year figure as cabazitaxel first listed on 1 August 2012.</w:t>
      </w:r>
    </w:p>
    <w:p w14:paraId="58CF86FD" w14:textId="77777777" w:rsidR="00C6477B" w:rsidRDefault="00C6477B" w:rsidP="002B6074">
      <w:pPr>
        <w:rPr>
          <w:sz w:val="20"/>
          <w:szCs w:val="20"/>
          <w:highlight w:val="yellow"/>
        </w:rPr>
      </w:pPr>
    </w:p>
    <w:p w14:paraId="6DF7A247" w14:textId="319FD2DB" w:rsidR="005308F7" w:rsidRPr="003B1298" w:rsidRDefault="005308F7" w:rsidP="003548A0">
      <w:pPr>
        <w:pStyle w:val="Heading3"/>
      </w:pPr>
      <w:r w:rsidRPr="003B1298">
        <w:t xml:space="preserve">Number of first-time initiations to </w:t>
      </w:r>
      <w:r w:rsidR="00BF29F8" w:rsidRPr="003B1298">
        <w:t>cabazitaxel, abiraterone or enzalutamide</w:t>
      </w:r>
    </w:p>
    <w:p w14:paraId="76F0F1DA" w14:textId="5695104B" w:rsidR="00642144" w:rsidRPr="00642144" w:rsidRDefault="00642144" w:rsidP="005308F7">
      <w:r>
        <w:t>First initiations to cabazitaxel and abiraterone were relatively stable since the second quarter of 2015 (Figure 3). Over the first quarter from its first listing, there were a high number of initiations to enzalutamide (Figure 3). Since the first quarter of 2015 the number of initiations to enzalutamide has declined (Figure 3).</w:t>
      </w:r>
    </w:p>
    <w:p w14:paraId="7B3CD315" w14:textId="51696832" w:rsidR="00715FA4" w:rsidRPr="00B02785" w:rsidRDefault="00BF29F8" w:rsidP="003548A0">
      <w:pPr>
        <w:keepNext/>
      </w:pPr>
      <w:r>
        <w:rPr>
          <w:noProof/>
        </w:rPr>
        <w:lastRenderedPageBreak/>
        <w:drawing>
          <wp:inline distT="0" distB="0" distL="0" distR="0" wp14:anchorId="414B57CB" wp14:editId="1A6F0051">
            <wp:extent cx="5895994" cy="4144488"/>
            <wp:effectExtent l="0" t="0" r="0" b="8890"/>
            <wp:docPr id="5" name="Picture 5" descr="A graph depicting the Number of first initiations to drug by quarter" title="Number of first initiations to drug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4822" cy="4143664"/>
                    </a:xfrm>
                    <a:prstGeom prst="rect">
                      <a:avLst/>
                    </a:prstGeom>
                    <a:noFill/>
                  </pic:spPr>
                </pic:pic>
              </a:graphicData>
            </a:graphic>
          </wp:inline>
        </w:drawing>
      </w:r>
    </w:p>
    <w:p w14:paraId="5162EE6B" w14:textId="71C44C31" w:rsidR="00AA417E" w:rsidRDefault="00BF29F8" w:rsidP="003548A0">
      <w:pPr>
        <w:rPr>
          <w:rStyle w:val="FiguretitleChar"/>
          <w:rFonts w:asciiTheme="minorHAnsi" w:eastAsiaTheme="minorEastAsia" w:hAnsiTheme="minorHAnsi" w:cstheme="minorBidi"/>
          <w:sz w:val="20"/>
          <w:szCs w:val="20"/>
          <w:lang w:val="en-AU"/>
        </w:rPr>
      </w:pPr>
      <w:r w:rsidRPr="003548A0">
        <w:rPr>
          <w:rStyle w:val="TabletitleChar"/>
        </w:rPr>
        <w:t>Figure 3: Number of first initiations to drug by quarter</w:t>
      </w:r>
      <w:r w:rsidRPr="003548A0">
        <w:rPr>
          <w:rStyle w:val="TabletitleChar"/>
        </w:rPr>
        <w:br/>
      </w:r>
      <w:r w:rsidRPr="00BF29F8">
        <w:rPr>
          <w:rStyle w:val="FiguretitleChar"/>
          <w:rFonts w:asciiTheme="minorHAnsi" w:eastAsiaTheme="minorEastAsia" w:hAnsiTheme="minorHAnsi" w:cstheme="minorBidi"/>
          <w:b w:val="0"/>
          <w:sz w:val="20"/>
          <w:szCs w:val="20"/>
          <w:lang w:val="en-AU"/>
        </w:rPr>
        <w:t>Source: DHS Supplied Prescriptions database, extracted April 2016. Based on the date of supply. Note that a patient could be initiated on more than one different drug within a quarter.</w:t>
      </w:r>
    </w:p>
    <w:p w14:paraId="12ABF9B3" w14:textId="77777777" w:rsidR="003548A0" w:rsidRPr="003548A0" w:rsidRDefault="003548A0" w:rsidP="003548A0">
      <w:pPr>
        <w:rPr>
          <w:b/>
          <w:sz w:val="20"/>
          <w:szCs w:val="20"/>
        </w:rPr>
      </w:pPr>
    </w:p>
    <w:p w14:paraId="7DA0ECAE" w14:textId="5B8B5F26" w:rsidR="00EC63B1" w:rsidRPr="003B1298" w:rsidRDefault="00EC63B1" w:rsidP="003548A0">
      <w:pPr>
        <w:pStyle w:val="Heading3"/>
      </w:pPr>
      <w:r w:rsidRPr="003B1298">
        <w:t>Utilisation of therapies prior to a first initiation to cabazitaxel, abiraterone and enzalutamide</w:t>
      </w:r>
    </w:p>
    <w:p w14:paraId="7930FE04" w14:textId="384629EA" w:rsidR="00AD2D8A" w:rsidRDefault="00626323" w:rsidP="00AD2D8A">
      <w:r>
        <w:t>Table</w:t>
      </w:r>
      <w:r w:rsidR="00F95F66">
        <w:t>s</w:t>
      </w:r>
      <w:r>
        <w:t xml:space="preserve"> 13</w:t>
      </w:r>
      <w:r w:rsidR="008044E3">
        <w:t xml:space="preserve"> </w:t>
      </w:r>
      <w:r w:rsidR="00F95F66">
        <w:t xml:space="preserve">to 15 </w:t>
      </w:r>
      <w:r w:rsidR="00AD2D8A">
        <w:t xml:space="preserve">present analyses of prior therapy received by patients initiating on cabazitaxel, abiraterone or enzalutamide in a given </w:t>
      </w:r>
      <w:r w:rsidR="00F95F66">
        <w:t>year</w:t>
      </w:r>
      <w:r w:rsidR="00AD2D8A">
        <w:t xml:space="preserve">, respectively. </w:t>
      </w:r>
    </w:p>
    <w:p w14:paraId="6B1F90D7" w14:textId="1BEB00EC" w:rsidR="009C6B96" w:rsidRPr="002F38E2" w:rsidRDefault="003548A0" w:rsidP="003548A0">
      <w:pPr>
        <w:pStyle w:val="Tabletitle"/>
      </w:pPr>
      <w:r>
        <w:t>Table 13:</w:t>
      </w:r>
      <w:r w:rsidR="009C6B96" w:rsidRPr="009C6B96">
        <w:t xml:space="preserve"> Number</w:t>
      </w:r>
      <w:r w:rsidR="009C6B96">
        <w:t xml:space="preserve"> of patients initiating to cabazitaxel by calendar year and prior therapies used before initiation to cabazitaxel</w:t>
      </w:r>
    </w:p>
    <w:tbl>
      <w:tblPr>
        <w:tblW w:w="6460" w:type="dxa"/>
        <w:tblInd w:w="93" w:type="dxa"/>
        <w:tblLook w:val="04A0" w:firstRow="1" w:lastRow="0" w:firstColumn="1" w:lastColumn="0" w:noHBand="0" w:noVBand="1"/>
        <w:tblCaption w:val="Number of patients initiating to cabazitaxel by calendar year and prior therapies used before initiation to cabazitaxel"/>
        <w:tblDescription w:val="A table of the Number of patients initiating to cabazitaxel by calendar year and prior therapies used before initiation to cabazitaxel"/>
      </w:tblPr>
      <w:tblGrid>
        <w:gridCol w:w="2620"/>
        <w:gridCol w:w="960"/>
        <w:gridCol w:w="960"/>
        <w:gridCol w:w="960"/>
        <w:gridCol w:w="960"/>
      </w:tblGrid>
      <w:tr w:rsidR="009C6B96" w:rsidRPr="00AF4467" w14:paraId="216B7ED7" w14:textId="77777777" w:rsidTr="00DB4A14">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5047EF1" w14:textId="77777777" w:rsidR="009C6B96" w:rsidRPr="00AF4467" w:rsidRDefault="009C6B96" w:rsidP="00085398">
            <w:pPr>
              <w:spacing w:after="0"/>
              <w:jc w:val="center"/>
              <w:rPr>
                <w:rFonts w:eastAsia="Times New Roman" w:cs="Times New Roman"/>
                <w:b/>
                <w:bCs/>
                <w:color w:val="000000"/>
                <w:sz w:val="20"/>
                <w:szCs w:val="20"/>
              </w:rPr>
            </w:pPr>
            <w:r w:rsidRPr="00AF4467">
              <w:rPr>
                <w:rFonts w:eastAsia="Times New Roman" w:cs="Times New Roman"/>
                <w:b/>
                <w:bCs/>
                <w:color w:val="000000"/>
                <w:sz w:val="20"/>
                <w:szCs w:val="20"/>
              </w:rPr>
              <w:t>Drug</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886C08A" w14:textId="77777777" w:rsidR="009C6B96" w:rsidRPr="00AF4467" w:rsidRDefault="009C6B96" w:rsidP="00085398">
            <w:pPr>
              <w:spacing w:after="0"/>
              <w:jc w:val="center"/>
              <w:rPr>
                <w:rFonts w:eastAsia="Times New Roman" w:cs="Times New Roman"/>
                <w:b/>
                <w:bCs/>
                <w:color w:val="000000"/>
                <w:sz w:val="20"/>
                <w:szCs w:val="20"/>
              </w:rPr>
            </w:pPr>
            <w:r w:rsidRPr="00AF4467">
              <w:rPr>
                <w:rFonts w:eastAsia="Times New Roman" w:cs="Times New Roman"/>
                <w:b/>
                <w:bCs/>
                <w:color w:val="000000"/>
                <w:sz w:val="20"/>
                <w:szCs w:val="20"/>
              </w:rPr>
              <w:t>2012</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4953192" w14:textId="77777777" w:rsidR="009C6B96" w:rsidRPr="00AF4467" w:rsidRDefault="009C6B96" w:rsidP="00085398">
            <w:pPr>
              <w:spacing w:after="0"/>
              <w:jc w:val="center"/>
              <w:rPr>
                <w:rFonts w:eastAsia="Times New Roman" w:cs="Times New Roman"/>
                <w:b/>
                <w:bCs/>
                <w:color w:val="000000"/>
                <w:sz w:val="20"/>
                <w:szCs w:val="20"/>
              </w:rPr>
            </w:pPr>
            <w:r w:rsidRPr="00AF4467">
              <w:rPr>
                <w:rFonts w:eastAsia="Times New Roman" w:cs="Times New Roman"/>
                <w:b/>
                <w:bCs/>
                <w:color w:val="000000"/>
                <w:sz w:val="20"/>
                <w:szCs w:val="20"/>
              </w:rPr>
              <w:t>2013</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A9B73CC" w14:textId="77777777" w:rsidR="009C6B96" w:rsidRPr="00AF4467" w:rsidRDefault="009C6B96" w:rsidP="00085398">
            <w:pPr>
              <w:spacing w:after="0"/>
              <w:jc w:val="center"/>
              <w:rPr>
                <w:rFonts w:eastAsia="Times New Roman" w:cs="Times New Roman"/>
                <w:b/>
                <w:bCs/>
                <w:color w:val="000000"/>
                <w:sz w:val="20"/>
                <w:szCs w:val="20"/>
              </w:rPr>
            </w:pPr>
            <w:r w:rsidRPr="00AF4467">
              <w:rPr>
                <w:rFonts w:eastAsia="Times New Roman" w:cs="Times New Roman"/>
                <w:b/>
                <w:bCs/>
                <w:color w:val="000000"/>
                <w:sz w:val="20"/>
                <w:szCs w:val="20"/>
              </w:rPr>
              <w:t>2014</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8B63712" w14:textId="77777777" w:rsidR="009C6B96" w:rsidRPr="00AF4467" w:rsidRDefault="009C6B96" w:rsidP="00085398">
            <w:pPr>
              <w:spacing w:after="0"/>
              <w:jc w:val="center"/>
              <w:rPr>
                <w:rFonts w:eastAsia="Times New Roman" w:cs="Times New Roman"/>
                <w:b/>
                <w:bCs/>
                <w:color w:val="000000"/>
                <w:sz w:val="20"/>
                <w:szCs w:val="20"/>
              </w:rPr>
            </w:pPr>
            <w:r w:rsidRPr="00AF4467">
              <w:rPr>
                <w:rFonts w:eastAsia="Times New Roman" w:cs="Times New Roman"/>
                <w:b/>
                <w:bCs/>
                <w:color w:val="000000"/>
                <w:sz w:val="20"/>
                <w:szCs w:val="20"/>
              </w:rPr>
              <w:t>2015</w:t>
            </w:r>
          </w:p>
        </w:tc>
      </w:tr>
      <w:tr w:rsidR="009C6B96" w:rsidRPr="00AF4467" w14:paraId="1F797F1D" w14:textId="77777777" w:rsidTr="00B067C4">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3EDB4A8" w14:textId="77777777" w:rsidR="009C6B96" w:rsidRPr="00AF4467" w:rsidRDefault="009C6B96" w:rsidP="00085398">
            <w:pPr>
              <w:spacing w:after="0"/>
              <w:rPr>
                <w:rFonts w:eastAsia="Times New Roman" w:cs="Times New Roman"/>
                <w:sz w:val="20"/>
                <w:szCs w:val="20"/>
              </w:rPr>
            </w:pPr>
            <w:r w:rsidRPr="00AF4467">
              <w:rPr>
                <w:rFonts w:eastAsia="Times New Roman" w:cs="Times New Roman"/>
                <w:sz w:val="20"/>
                <w:szCs w:val="20"/>
              </w:rPr>
              <w:t>Cabazitaxel</w:t>
            </w:r>
          </w:p>
        </w:tc>
        <w:tc>
          <w:tcPr>
            <w:tcW w:w="960" w:type="dxa"/>
            <w:tcBorders>
              <w:top w:val="nil"/>
              <w:left w:val="nil"/>
              <w:bottom w:val="single" w:sz="4" w:space="0" w:color="auto"/>
              <w:right w:val="single" w:sz="4" w:space="0" w:color="auto"/>
            </w:tcBorders>
            <w:shd w:val="clear" w:color="auto" w:fill="auto"/>
            <w:noWrap/>
            <w:vAlign w:val="center"/>
            <w:hideMark/>
          </w:tcPr>
          <w:p w14:paraId="41384D80"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203</w:t>
            </w:r>
          </w:p>
        </w:tc>
        <w:tc>
          <w:tcPr>
            <w:tcW w:w="960" w:type="dxa"/>
            <w:tcBorders>
              <w:top w:val="nil"/>
              <w:left w:val="nil"/>
              <w:bottom w:val="single" w:sz="4" w:space="0" w:color="auto"/>
              <w:right w:val="single" w:sz="4" w:space="0" w:color="auto"/>
            </w:tcBorders>
            <w:shd w:val="clear" w:color="auto" w:fill="auto"/>
            <w:noWrap/>
            <w:vAlign w:val="center"/>
            <w:hideMark/>
          </w:tcPr>
          <w:p w14:paraId="2801F162"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330</w:t>
            </w:r>
          </w:p>
        </w:tc>
        <w:tc>
          <w:tcPr>
            <w:tcW w:w="960" w:type="dxa"/>
            <w:tcBorders>
              <w:top w:val="nil"/>
              <w:left w:val="nil"/>
              <w:bottom w:val="single" w:sz="4" w:space="0" w:color="auto"/>
              <w:right w:val="single" w:sz="4" w:space="0" w:color="auto"/>
            </w:tcBorders>
            <w:shd w:val="clear" w:color="auto" w:fill="auto"/>
            <w:noWrap/>
            <w:vAlign w:val="center"/>
            <w:hideMark/>
          </w:tcPr>
          <w:p w14:paraId="6D95F3D2"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406</w:t>
            </w:r>
          </w:p>
        </w:tc>
        <w:tc>
          <w:tcPr>
            <w:tcW w:w="960" w:type="dxa"/>
            <w:tcBorders>
              <w:top w:val="nil"/>
              <w:left w:val="nil"/>
              <w:bottom w:val="single" w:sz="4" w:space="0" w:color="auto"/>
              <w:right w:val="single" w:sz="4" w:space="0" w:color="auto"/>
            </w:tcBorders>
            <w:shd w:val="clear" w:color="auto" w:fill="auto"/>
            <w:noWrap/>
            <w:vAlign w:val="center"/>
            <w:hideMark/>
          </w:tcPr>
          <w:p w14:paraId="2CB7BA79"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463</w:t>
            </w:r>
          </w:p>
        </w:tc>
      </w:tr>
      <w:tr w:rsidR="009C6B96" w:rsidRPr="00AF4467" w14:paraId="010082E6" w14:textId="77777777" w:rsidTr="00B067C4">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30E3622" w14:textId="77777777" w:rsidR="009C6B96" w:rsidRPr="00AF4467" w:rsidRDefault="009C6B96" w:rsidP="00085398">
            <w:pPr>
              <w:spacing w:after="0"/>
              <w:rPr>
                <w:rFonts w:eastAsia="Times New Roman" w:cs="Times New Roman"/>
                <w:sz w:val="20"/>
                <w:szCs w:val="20"/>
              </w:rPr>
            </w:pPr>
            <w:r w:rsidRPr="00AF4467">
              <w:rPr>
                <w:rFonts w:eastAsia="Times New Roman" w:cs="Times New Roman"/>
                <w:sz w:val="20"/>
                <w:szCs w:val="20"/>
              </w:rPr>
              <w:t>Prior use of docetaxel</w:t>
            </w:r>
          </w:p>
        </w:tc>
        <w:tc>
          <w:tcPr>
            <w:tcW w:w="960" w:type="dxa"/>
            <w:tcBorders>
              <w:top w:val="nil"/>
              <w:left w:val="nil"/>
              <w:bottom w:val="single" w:sz="4" w:space="0" w:color="auto"/>
              <w:right w:val="single" w:sz="4" w:space="0" w:color="auto"/>
            </w:tcBorders>
            <w:shd w:val="clear" w:color="auto" w:fill="auto"/>
            <w:noWrap/>
            <w:vAlign w:val="center"/>
            <w:hideMark/>
          </w:tcPr>
          <w:p w14:paraId="233F6B7A"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195</w:t>
            </w:r>
          </w:p>
        </w:tc>
        <w:tc>
          <w:tcPr>
            <w:tcW w:w="960" w:type="dxa"/>
            <w:tcBorders>
              <w:top w:val="nil"/>
              <w:left w:val="nil"/>
              <w:bottom w:val="single" w:sz="4" w:space="0" w:color="auto"/>
              <w:right w:val="single" w:sz="4" w:space="0" w:color="auto"/>
            </w:tcBorders>
            <w:shd w:val="clear" w:color="auto" w:fill="auto"/>
            <w:noWrap/>
            <w:vAlign w:val="center"/>
            <w:hideMark/>
          </w:tcPr>
          <w:p w14:paraId="530AF8D7"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326</w:t>
            </w:r>
          </w:p>
        </w:tc>
        <w:tc>
          <w:tcPr>
            <w:tcW w:w="960" w:type="dxa"/>
            <w:tcBorders>
              <w:top w:val="nil"/>
              <w:left w:val="nil"/>
              <w:bottom w:val="single" w:sz="4" w:space="0" w:color="auto"/>
              <w:right w:val="single" w:sz="4" w:space="0" w:color="auto"/>
            </w:tcBorders>
            <w:shd w:val="clear" w:color="auto" w:fill="auto"/>
            <w:noWrap/>
            <w:vAlign w:val="center"/>
            <w:hideMark/>
          </w:tcPr>
          <w:p w14:paraId="66F941EB"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402</w:t>
            </w:r>
          </w:p>
        </w:tc>
        <w:tc>
          <w:tcPr>
            <w:tcW w:w="960" w:type="dxa"/>
            <w:tcBorders>
              <w:top w:val="nil"/>
              <w:left w:val="nil"/>
              <w:bottom w:val="single" w:sz="4" w:space="0" w:color="auto"/>
              <w:right w:val="single" w:sz="4" w:space="0" w:color="auto"/>
            </w:tcBorders>
            <w:shd w:val="clear" w:color="auto" w:fill="auto"/>
            <w:noWrap/>
            <w:vAlign w:val="center"/>
            <w:hideMark/>
          </w:tcPr>
          <w:p w14:paraId="0362D135"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447</w:t>
            </w:r>
          </w:p>
        </w:tc>
      </w:tr>
      <w:tr w:rsidR="009C6B96" w:rsidRPr="00AF4467" w14:paraId="7DA5AC0C" w14:textId="77777777" w:rsidTr="00B067C4">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BAA5E37" w14:textId="77777777" w:rsidR="009C6B96" w:rsidRPr="00AF4467" w:rsidRDefault="009C6B96" w:rsidP="00085398">
            <w:pPr>
              <w:spacing w:after="0"/>
              <w:rPr>
                <w:rFonts w:eastAsia="Times New Roman" w:cs="Times New Roman"/>
                <w:sz w:val="20"/>
                <w:szCs w:val="20"/>
              </w:rPr>
            </w:pPr>
            <w:r w:rsidRPr="00AF4467">
              <w:rPr>
                <w:rFonts w:eastAsia="Times New Roman" w:cs="Times New Roman"/>
                <w:sz w:val="20"/>
                <w:szCs w:val="20"/>
              </w:rPr>
              <w:t>Prior use of abiraterone</w:t>
            </w:r>
          </w:p>
        </w:tc>
        <w:tc>
          <w:tcPr>
            <w:tcW w:w="960" w:type="dxa"/>
            <w:tcBorders>
              <w:top w:val="nil"/>
              <w:left w:val="nil"/>
              <w:bottom w:val="single" w:sz="4" w:space="0" w:color="auto"/>
              <w:right w:val="single" w:sz="4" w:space="0" w:color="auto"/>
            </w:tcBorders>
            <w:shd w:val="clear" w:color="auto" w:fill="auto"/>
            <w:noWrap/>
            <w:vAlign w:val="center"/>
            <w:hideMark/>
          </w:tcPr>
          <w:p w14:paraId="21ED215A"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1252F9C"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37</w:t>
            </w:r>
          </w:p>
        </w:tc>
        <w:tc>
          <w:tcPr>
            <w:tcW w:w="960" w:type="dxa"/>
            <w:tcBorders>
              <w:top w:val="nil"/>
              <w:left w:val="nil"/>
              <w:bottom w:val="single" w:sz="4" w:space="0" w:color="auto"/>
              <w:right w:val="single" w:sz="4" w:space="0" w:color="auto"/>
            </w:tcBorders>
            <w:shd w:val="clear" w:color="auto" w:fill="auto"/>
            <w:noWrap/>
            <w:vAlign w:val="center"/>
            <w:hideMark/>
          </w:tcPr>
          <w:p w14:paraId="2AA02E74"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339</w:t>
            </w:r>
          </w:p>
        </w:tc>
        <w:tc>
          <w:tcPr>
            <w:tcW w:w="960" w:type="dxa"/>
            <w:tcBorders>
              <w:top w:val="nil"/>
              <w:left w:val="nil"/>
              <w:bottom w:val="single" w:sz="4" w:space="0" w:color="auto"/>
              <w:right w:val="single" w:sz="4" w:space="0" w:color="auto"/>
            </w:tcBorders>
            <w:shd w:val="clear" w:color="auto" w:fill="auto"/>
            <w:noWrap/>
            <w:vAlign w:val="center"/>
            <w:hideMark/>
          </w:tcPr>
          <w:p w14:paraId="5E22F1DE"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302</w:t>
            </w:r>
          </w:p>
        </w:tc>
      </w:tr>
      <w:tr w:rsidR="009C6B96" w:rsidRPr="00AF4467" w14:paraId="7F98F9EE" w14:textId="77777777" w:rsidTr="00B067C4">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7C63B26" w14:textId="77777777" w:rsidR="009C6B96" w:rsidRPr="00AF4467" w:rsidRDefault="009C6B96" w:rsidP="00085398">
            <w:pPr>
              <w:spacing w:after="0"/>
              <w:rPr>
                <w:rFonts w:eastAsia="Times New Roman" w:cs="Times New Roman"/>
                <w:sz w:val="20"/>
                <w:szCs w:val="20"/>
              </w:rPr>
            </w:pPr>
            <w:r w:rsidRPr="00AF4467">
              <w:rPr>
                <w:rFonts w:eastAsia="Times New Roman" w:cs="Times New Roman"/>
                <w:sz w:val="20"/>
                <w:szCs w:val="20"/>
              </w:rPr>
              <w:t>Prior use of enzalutamide</w:t>
            </w:r>
          </w:p>
        </w:tc>
        <w:tc>
          <w:tcPr>
            <w:tcW w:w="960" w:type="dxa"/>
            <w:tcBorders>
              <w:top w:val="nil"/>
              <w:left w:val="nil"/>
              <w:bottom w:val="single" w:sz="4" w:space="0" w:color="auto"/>
              <w:right w:val="single" w:sz="4" w:space="0" w:color="auto"/>
            </w:tcBorders>
            <w:shd w:val="clear" w:color="auto" w:fill="auto"/>
            <w:noWrap/>
            <w:vAlign w:val="center"/>
            <w:hideMark/>
          </w:tcPr>
          <w:p w14:paraId="6AD80522"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C49CB81"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611121E"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47F0E549" w14:textId="77777777" w:rsidR="009C6B96" w:rsidRPr="00AF4467" w:rsidRDefault="009C6B96" w:rsidP="00B067C4">
            <w:pPr>
              <w:spacing w:after="0"/>
              <w:jc w:val="center"/>
              <w:rPr>
                <w:rFonts w:eastAsia="Times New Roman" w:cs="Times New Roman"/>
                <w:sz w:val="20"/>
                <w:szCs w:val="20"/>
              </w:rPr>
            </w:pPr>
            <w:r w:rsidRPr="00AF4467">
              <w:rPr>
                <w:rFonts w:eastAsia="Times New Roman" w:cs="Times New Roman"/>
                <w:sz w:val="20"/>
                <w:szCs w:val="20"/>
              </w:rPr>
              <w:t>110</w:t>
            </w:r>
          </w:p>
        </w:tc>
      </w:tr>
    </w:tbl>
    <w:p w14:paraId="2AB92C8D" w14:textId="27960D12" w:rsidR="009C6B96" w:rsidRDefault="009C6B96" w:rsidP="009C6B96">
      <w:pPr>
        <w:spacing w:after="0"/>
        <w:rPr>
          <w:rStyle w:val="FiguretitleChar"/>
          <w:rFonts w:asciiTheme="minorHAnsi" w:eastAsiaTheme="minorEastAsia" w:hAnsiTheme="minorHAnsi" w:cstheme="minorBidi"/>
          <w:b w:val="0"/>
          <w:sz w:val="20"/>
          <w:szCs w:val="20"/>
          <w:lang w:val="en-AU"/>
        </w:rPr>
      </w:pPr>
      <w:r w:rsidRPr="00BF29F8">
        <w:rPr>
          <w:rStyle w:val="FiguretitleChar"/>
          <w:rFonts w:asciiTheme="minorHAnsi" w:eastAsiaTheme="minorEastAsia" w:hAnsiTheme="minorHAnsi" w:cstheme="minorBidi"/>
          <w:b w:val="0"/>
          <w:sz w:val="20"/>
          <w:szCs w:val="20"/>
          <w:lang w:val="en-AU"/>
        </w:rPr>
        <w:t>Source: DHS Supplied Prescriptions database, extracted April 2016</w:t>
      </w:r>
      <w:r w:rsidR="00F95F66">
        <w:rPr>
          <w:rStyle w:val="FiguretitleChar"/>
          <w:rFonts w:asciiTheme="minorHAnsi" w:eastAsiaTheme="minorEastAsia" w:hAnsiTheme="minorHAnsi" w:cstheme="minorBidi"/>
          <w:b w:val="0"/>
          <w:sz w:val="20"/>
          <w:szCs w:val="20"/>
          <w:lang w:val="en-AU"/>
        </w:rPr>
        <w:t>.</w:t>
      </w:r>
    </w:p>
    <w:p w14:paraId="0B6D59D6" w14:textId="77777777" w:rsidR="000E1914" w:rsidRDefault="000E1914" w:rsidP="009362D7">
      <w:pPr>
        <w:spacing w:after="0"/>
      </w:pPr>
    </w:p>
    <w:p w14:paraId="1B35C4C0" w14:textId="350A8358" w:rsidR="000E1914" w:rsidRPr="003548A0" w:rsidRDefault="000E1914" w:rsidP="003548A0">
      <w:pPr>
        <w:pStyle w:val="Tabletitle"/>
      </w:pPr>
      <w:r w:rsidRPr="003548A0">
        <w:lastRenderedPageBreak/>
        <w:t>Table 14</w:t>
      </w:r>
      <w:r w:rsidR="003548A0" w:rsidRPr="003548A0">
        <w:t>:</w:t>
      </w:r>
      <w:r w:rsidRPr="003548A0">
        <w:t xml:space="preserve"> Number of patients initiating to abiraterone by calendar year and prior therapies used before initiation to abiraterone</w:t>
      </w:r>
    </w:p>
    <w:tbl>
      <w:tblPr>
        <w:tblW w:w="5540" w:type="dxa"/>
        <w:tblInd w:w="93" w:type="dxa"/>
        <w:tblLook w:val="04A0" w:firstRow="1" w:lastRow="0" w:firstColumn="1" w:lastColumn="0" w:noHBand="0" w:noVBand="1"/>
        <w:tblCaption w:val="Number of patients initiating to abiraterone by calendar year and prior therapies used before initiation to abiraterone"/>
        <w:tblDescription w:val="A table of the Number of patients initiating to abiraterone by calendar year and prior therapies used before initiation to abiraterone"/>
      </w:tblPr>
      <w:tblGrid>
        <w:gridCol w:w="2660"/>
        <w:gridCol w:w="960"/>
        <w:gridCol w:w="960"/>
        <w:gridCol w:w="960"/>
      </w:tblGrid>
      <w:tr w:rsidR="000E1914" w:rsidRPr="00B067C4" w14:paraId="778DC2A5" w14:textId="77777777" w:rsidTr="00DB4A14">
        <w:trPr>
          <w:trHeight w:val="300"/>
        </w:trPr>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A77B57" w14:textId="77777777" w:rsidR="000E1914" w:rsidRPr="00B067C4" w:rsidRDefault="000E1914" w:rsidP="000E1914">
            <w:pPr>
              <w:spacing w:after="0"/>
              <w:jc w:val="center"/>
              <w:rPr>
                <w:rFonts w:eastAsia="Times New Roman" w:cs="Times New Roman"/>
                <w:b/>
                <w:bCs/>
                <w:color w:val="000000"/>
                <w:sz w:val="20"/>
                <w:szCs w:val="20"/>
              </w:rPr>
            </w:pPr>
            <w:r w:rsidRPr="00B067C4">
              <w:rPr>
                <w:rFonts w:eastAsia="Times New Roman" w:cs="Times New Roman"/>
                <w:b/>
                <w:bCs/>
                <w:color w:val="000000"/>
                <w:sz w:val="20"/>
                <w:szCs w:val="20"/>
              </w:rPr>
              <w:t>Drug</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533AE18" w14:textId="77777777" w:rsidR="000E1914" w:rsidRPr="00B067C4" w:rsidRDefault="000E1914" w:rsidP="000E1914">
            <w:pPr>
              <w:spacing w:after="0"/>
              <w:jc w:val="center"/>
              <w:rPr>
                <w:rFonts w:eastAsia="Times New Roman" w:cs="Times New Roman"/>
                <w:b/>
                <w:bCs/>
                <w:color w:val="000000"/>
                <w:sz w:val="20"/>
                <w:szCs w:val="20"/>
              </w:rPr>
            </w:pPr>
            <w:r w:rsidRPr="00B067C4">
              <w:rPr>
                <w:rFonts w:eastAsia="Times New Roman" w:cs="Times New Roman"/>
                <w:b/>
                <w:bCs/>
                <w:color w:val="000000"/>
                <w:sz w:val="20"/>
                <w:szCs w:val="20"/>
              </w:rPr>
              <w:t>2013</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AAAA15E" w14:textId="77777777" w:rsidR="000E1914" w:rsidRPr="00B067C4" w:rsidRDefault="000E1914" w:rsidP="000E1914">
            <w:pPr>
              <w:spacing w:after="0"/>
              <w:jc w:val="center"/>
              <w:rPr>
                <w:rFonts w:eastAsia="Times New Roman" w:cs="Times New Roman"/>
                <w:b/>
                <w:bCs/>
                <w:color w:val="000000"/>
                <w:sz w:val="20"/>
                <w:szCs w:val="20"/>
              </w:rPr>
            </w:pPr>
            <w:r w:rsidRPr="00B067C4">
              <w:rPr>
                <w:rFonts w:eastAsia="Times New Roman" w:cs="Times New Roman"/>
                <w:b/>
                <w:bCs/>
                <w:color w:val="000000"/>
                <w:sz w:val="20"/>
                <w:szCs w:val="20"/>
              </w:rPr>
              <w:t>2014</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EFD540A" w14:textId="77777777" w:rsidR="000E1914" w:rsidRPr="00B067C4" w:rsidRDefault="000E1914" w:rsidP="000E1914">
            <w:pPr>
              <w:spacing w:after="0"/>
              <w:jc w:val="center"/>
              <w:rPr>
                <w:rFonts w:eastAsia="Times New Roman" w:cs="Times New Roman"/>
                <w:b/>
                <w:bCs/>
                <w:color w:val="000000"/>
                <w:sz w:val="20"/>
                <w:szCs w:val="20"/>
              </w:rPr>
            </w:pPr>
            <w:r w:rsidRPr="00B067C4">
              <w:rPr>
                <w:rFonts w:eastAsia="Times New Roman" w:cs="Times New Roman"/>
                <w:b/>
                <w:bCs/>
                <w:color w:val="000000"/>
                <w:sz w:val="20"/>
                <w:szCs w:val="20"/>
              </w:rPr>
              <w:t>2015</w:t>
            </w:r>
          </w:p>
        </w:tc>
      </w:tr>
      <w:tr w:rsidR="000E1914" w:rsidRPr="00B067C4" w14:paraId="3C934985" w14:textId="77777777" w:rsidTr="00B067C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4712AEE" w14:textId="77777777" w:rsidR="000E1914" w:rsidRPr="00B067C4" w:rsidRDefault="000E1914" w:rsidP="000E1914">
            <w:pPr>
              <w:spacing w:after="0"/>
              <w:rPr>
                <w:rFonts w:eastAsia="Times New Roman" w:cs="Times New Roman"/>
                <w:sz w:val="20"/>
                <w:szCs w:val="20"/>
              </w:rPr>
            </w:pPr>
            <w:r w:rsidRPr="00B067C4">
              <w:rPr>
                <w:rFonts w:eastAsia="Times New Roman" w:cs="Times New Roman"/>
                <w:sz w:val="20"/>
                <w:szCs w:val="20"/>
              </w:rPr>
              <w:t>Abiraterone</w:t>
            </w:r>
          </w:p>
        </w:tc>
        <w:tc>
          <w:tcPr>
            <w:tcW w:w="960" w:type="dxa"/>
            <w:tcBorders>
              <w:top w:val="nil"/>
              <w:left w:val="nil"/>
              <w:bottom w:val="single" w:sz="4" w:space="0" w:color="auto"/>
              <w:right w:val="single" w:sz="4" w:space="0" w:color="auto"/>
            </w:tcBorders>
            <w:shd w:val="clear" w:color="auto" w:fill="auto"/>
            <w:noWrap/>
            <w:vAlign w:val="center"/>
            <w:hideMark/>
          </w:tcPr>
          <w:p w14:paraId="5488B105" w14:textId="5ABAAE46" w:rsidR="000E1914" w:rsidRPr="00B067C4" w:rsidRDefault="000E1914" w:rsidP="00B067C4">
            <w:pPr>
              <w:spacing w:after="0"/>
              <w:jc w:val="center"/>
              <w:rPr>
                <w:rFonts w:eastAsia="Times New Roman" w:cs="Times New Roman"/>
                <w:sz w:val="20"/>
                <w:szCs w:val="20"/>
              </w:rPr>
            </w:pPr>
            <w:r w:rsidRPr="00B067C4">
              <w:rPr>
                <w:rFonts w:eastAsia="Times New Roman" w:cs="Times New Roman"/>
                <w:sz w:val="20"/>
                <w:szCs w:val="20"/>
              </w:rPr>
              <w:t>1</w:t>
            </w:r>
            <w:r w:rsidR="004E4C2B" w:rsidRPr="00B067C4">
              <w:rPr>
                <w:rFonts w:eastAsia="Times New Roman" w:cs="Times New Roman"/>
                <w:sz w:val="20"/>
                <w:szCs w:val="20"/>
              </w:rPr>
              <w:t>,</w:t>
            </w:r>
            <w:r w:rsidRPr="00B067C4">
              <w:rPr>
                <w:rFonts w:eastAsia="Times New Roman" w:cs="Times New Roman"/>
                <w:sz w:val="20"/>
                <w:szCs w:val="20"/>
              </w:rPr>
              <w:t>183</w:t>
            </w:r>
          </w:p>
        </w:tc>
        <w:tc>
          <w:tcPr>
            <w:tcW w:w="960" w:type="dxa"/>
            <w:tcBorders>
              <w:top w:val="nil"/>
              <w:left w:val="nil"/>
              <w:bottom w:val="single" w:sz="4" w:space="0" w:color="auto"/>
              <w:right w:val="single" w:sz="4" w:space="0" w:color="auto"/>
            </w:tcBorders>
            <w:shd w:val="clear" w:color="auto" w:fill="auto"/>
            <w:noWrap/>
            <w:vAlign w:val="center"/>
            <w:hideMark/>
          </w:tcPr>
          <w:p w14:paraId="1AFBEE60" w14:textId="49D509A0" w:rsidR="000E1914" w:rsidRPr="00B067C4" w:rsidRDefault="000E1914" w:rsidP="00B067C4">
            <w:pPr>
              <w:spacing w:after="0"/>
              <w:jc w:val="center"/>
              <w:rPr>
                <w:rFonts w:eastAsia="Times New Roman" w:cs="Times New Roman"/>
                <w:sz w:val="20"/>
                <w:szCs w:val="20"/>
              </w:rPr>
            </w:pPr>
            <w:r w:rsidRPr="00B067C4">
              <w:rPr>
                <w:rFonts w:eastAsia="Times New Roman" w:cs="Times New Roman"/>
                <w:sz w:val="20"/>
                <w:szCs w:val="20"/>
              </w:rPr>
              <w:t>1</w:t>
            </w:r>
            <w:r w:rsidR="004E4C2B" w:rsidRPr="00B067C4">
              <w:rPr>
                <w:rFonts w:eastAsia="Times New Roman" w:cs="Times New Roman"/>
                <w:sz w:val="20"/>
                <w:szCs w:val="20"/>
              </w:rPr>
              <w:t>,</w:t>
            </w:r>
            <w:r w:rsidRPr="00B067C4">
              <w:rPr>
                <w:rFonts w:eastAsia="Times New Roman" w:cs="Times New Roman"/>
                <w:sz w:val="20"/>
                <w:szCs w:val="20"/>
              </w:rPr>
              <w:t>382</w:t>
            </w:r>
          </w:p>
        </w:tc>
        <w:tc>
          <w:tcPr>
            <w:tcW w:w="960" w:type="dxa"/>
            <w:tcBorders>
              <w:top w:val="nil"/>
              <w:left w:val="nil"/>
              <w:bottom w:val="single" w:sz="4" w:space="0" w:color="auto"/>
              <w:right w:val="single" w:sz="4" w:space="0" w:color="auto"/>
            </w:tcBorders>
            <w:shd w:val="clear" w:color="auto" w:fill="auto"/>
            <w:noWrap/>
            <w:vAlign w:val="center"/>
            <w:hideMark/>
          </w:tcPr>
          <w:p w14:paraId="4DF49F62" w14:textId="68E9C994" w:rsidR="000E1914" w:rsidRPr="00B067C4" w:rsidRDefault="000E1914" w:rsidP="00B067C4">
            <w:pPr>
              <w:spacing w:after="0"/>
              <w:jc w:val="center"/>
              <w:rPr>
                <w:rFonts w:eastAsia="Times New Roman" w:cs="Times New Roman"/>
                <w:sz w:val="20"/>
                <w:szCs w:val="20"/>
              </w:rPr>
            </w:pPr>
            <w:r w:rsidRPr="00B067C4">
              <w:rPr>
                <w:rFonts w:eastAsia="Times New Roman" w:cs="Times New Roman"/>
                <w:sz w:val="20"/>
                <w:szCs w:val="20"/>
              </w:rPr>
              <w:t>1</w:t>
            </w:r>
            <w:r w:rsidR="004E4C2B" w:rsidRPr="00B067C4">
              <w:rPr>
                <w:rFonts w:eastAsia="Times New Roman" w:cs="Times New Roman"/>
                <w:sz w:val="20"/>
                <w:szCs w:val="20"/>
              </w:rPr>
              <w:t>,</w:t>
            </w:r>
            <w:r w:rsidRPr="00B067C4">
              <w:rPr>
                <w:rFonts w:eastAsia="Times New Roman" w:cs="Times New Roman"/>
                <w:sz w:val="20"/>
                <w:szCs w:val="20"/>
              </w:rPr>
              <w:t>140</w:t>
            </w:r>
          </w:p>
        </w:tc>
      </w:tr>
      <w:tr w:rsidR="000E1914" w:rsidRPr="00B067C4" w14:paraId="3C168444" w14:textId="77777777" w:rsidTr="00B067C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97841C3" w14:textId="77777777" w:rsidR="000E1914" w:rsidRPr="00B067C4" w:rsidRDefault="000E1914" w:rsidP="000E1914">
            <w:pPr>
              <w:spacing w:after="0"/>
              <w:rPr>
                <w:rFonts w:eastAsia="Times New Roman" w:cs="Times New Roman"/>
                <w:sz w:val="20"/>
                <w:szCs w:val="20"/>
              </w:rPr>
            </w:pPr>
            <w:r w:rsidRPr="00B067C4">
              <w:rPr>
                <w:rFonts w:eastAsia="Times New Roman" w:cs="Times New Roman"/>
                <w:sz w:val="20"/>
                <w:szCs w:val="20"/>
              </w:rPr>
              <w:t>Prior use of docetaxel</w:t>
            </w:r>
          </w:p>
        </w:tc>
        <w:tc>
          <w:tcPr>
            <w:tcW w:w="960" w:type="dxa"/>
            <w:tcBorders>
              <w:top w:val="nil"/>
              <w:left w:val="nil"/>
              <w:bottom w:val="single" w:sz="4" w:space="0" w:color="auto"/>
              <w:right w:val="single" w:sz="4" w:space="0" w:color="auto"/>
            </w:tcBorders>
            <w:shd w:val="clear" w:color="auto" w:fill="auto"/>
            <w:noWrap/>
            <w:vAlign w:val="center"/>
            <w:hideMark/>
          </w:tcPr>
          <w:p w14:paraId="157FDCDD" w14:textId="46BC88B3" w:rsidR="000E1914" w:rsidRPr="00B067C4" w:rsidRDefault="000E1914" w:rsidP="00B067C4">
            <w:pPr>
              <w:spacing w:after="0"/>
              <w:jc w:val="center"/>
              <w:rPr>
                <w:rFonts w:eastAsia="Times New Roman" w:cs="Times New Roman"/>
                <w:sz w:val="20"/>
                <w:szCs w:val="20"/>
              </w:rPr>
            </w:pPr>
            <w:r w:rsidRPr="00B067C4">
              <w:rPr>
                <w:rFonts w:eastAsia="Times New Roman" w:cs="Times New Roman"/>
                <w:sz w:val="20"/>
                <w:szCs w:val="20"/>
              </w:rPr>
              <w:t>1</w:t>
            </w:r>
            <w:r w:rsidR="004E4C2B" w:rsidRPr="00B067C4">
              <w:rPr>
                <w:rFonts w:eastAsia="Times New Roman" w:cs="Times New Roman"/>
                <w:sz w:val="20"/>
                <w:szCs w:val="20"/>
              </w:rPr>
              <w:t>,</w:t>
            </w:r>
            <w:r w:rsidRPr="00B067C4">
              <w:rPr>
                <w:rFonts w:eastAsia="Times New Roman" w:cs="Times New Roman"/>
                <w:sz w:val="20"/>
                <w:szCs w:val="20"/>
              </w:rPr>
              <w:t>070</w:t>
            </w:r>
          </w:p>
        </w:tc>
        <w:tc>
          <w:tcPr>
            <w:tcW w:w="960" w:type="dxa"/>
            <w:tcBorders>
              <w:top w:val="nil"/>
              <w:left w:val="nil"/>
              <w:bottom w:val="single" w:sz="4" w:space="0" w:color="auto"/>
              <w:right w:val="single" w:sz="4" w:space="0" w:color="auto"/>
            </w:tcBorders>
            <w:shd w:val="clear" w:color="auto" w:fill="auto"/>
            <w:noWrap/>
            <w:vAlign w:val="center"/>
            <w:hideMark/>
          </w:tcPr>
          <w:p w14:paraId="6548C9E6" w14:textId="0CDF2DB9" w:rsidR="000E1914" w:rsidRPr="00B067C4" w:rsidRDefault="000E1914" w:rsidP="00B067C4">
            <w:pPr>
              <w:spacing w:after="0"/>
              <w:jc w:val="center"/>
              <w:rPr>
                <w:rFonts w:eastAsia="Times New Roman" w:cs="Times New Roman"/>
                <w:sz w:val="20"/>
                <w:szCs w:val="20"/>
              </w:rPr>
            </w:pPr>
            <w:r w:rsidRPr="00B067C4">
              <w:rPr>
                <w:rFonts w:eastAsia="Times New Roman" w:cs="Times New Roman"/>
                <w:sz w:val="20"/>
                <w:szCs w:val="20"/>
              </w:rPr>
              <w:t>1</w:t>
            </w:r>
            <w:r w:rsidR="004E4C2B" w:rsidRPr="00B067C4">
              <w:rPr>
                <w:rFonts w:eastAsia="Times New Roman" w:cs="Times New Roman"/>
                <w:sz w:val="20"/>
                <w:szCs w:val="20"/>
              </w:rPr>
              <w:t>,</w:t>
            </w:r>
            <w:r w:rsidRPr="00B067C4">
              <w:rPr>
                <w:rFonts w:eastAsia="Times New Roman" w:cs="Times New Roman"/>
                <w:sz w:val="20"/>
                <w:szCs w:val="20"/>
              </w:rPr>
              <w:t>112</w:t>
            </w:r>
          </w:p>
        </w:tc>
        <w:tc>
          <w:tcPr>
            <w:tcW w:w="960" w:type="dxa"/>
            <w:tcBorders>
              <w:top w:val="nil"/>
              <w:left w:val="nil"/>
              <w:bottom w:val="single" w:sz="4" w:space="0" w:color="auto"/>
              <w:right w:val="single" w:sz="4" w:space="0" w:color="auto"/>
            </w:tcBorders>
            <w:shd w:val="clear" w:color="auto" w:fill="auto"/>
            <w:noWrap/>
            <w:vAlign w:val="center"/>
            <w:hideMark/>
          </w:tcPr>
          <w:p w14:paraId="34765E90" w14:textId="77777777" w:rsidR="000E1914" w:rsidRPr="00B067C4" w:rsidRDefault="000E1914" w:rsidP="00B067C4">
            <w:pPr>
              <w:spacing w:after="0"/>
              <w:jc w:val="center"/>
              <w:rPr>
                <w:rFonts w:eastAsia="Times New Roman" w:cs="Times New Roman"/>
                <w:sz w:val="20"/>
                <w:szCs w:val="20"/>
              </w:rPr>
            </w:pPr>
            <w:r w:rsidRPr="00B067C4">
              <w:rPr>
                <w:rFonts w:eastAsia="Times New Roman" w:cs="Times New Roman"/>
                <w:sz w:val="20"/>
                <w:szCs w:val="20"/>
              </w:rPr>
              <w:t>480</w:t>
            </w:r>
          </w:p>
        </w:tc>
      </w:tr>
      <w:tr w:rsidR="000E1914" w:rsidRPr="00B067C4" w14:paraId="37E258F2" w14:textId="77777777" w:rsidTr="00B067C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6DD0942" w14:textId="77777777" w:rsidR="000E1914" w:rsidRPr="00B067C4" w:rsidRDefault="000E1914" w:rsidP="000E1914">
            <w:pPr>
              <w:spacing w:after="0"/>
              <w:rPr>
                <w:rFonts w:eastAsia="Times New Roman" w:cs="Times New Roman"/>
                <w:sz w:val="20"/>
                <w:szCs w:val="20"/>
              </w:rPr>
            </w:pPr>
            <w:r w:rsidRPr="00B067C4">
              <w:rPr>
                <w:rFonts w:eastAsia="Times New Roman" w:cs="Times New Roman"/>
                <w:sz w:val="20"/>
                <w:szCs w:val="20"/>
              </w:rPr>
              <w:t>Prior use of cabazitaxel</w:t>
            </w:r>
          </w:p>
        </w:tc>
        <w:tc>
          <w:tcPr>
            <w:tcW w:w="960" w:type="dxa"/>
            <w:tcBorders>
              <w:top w:val="nil"/>
              <w:left w:val="nil"/>
              <w:bottom w:val="single" w:sz="4" w:space="0" w:color="auto"/>
              <w:right w:val="single" w:sz="4" w:space="0" w:color="auto"/>
            </w:tcBorders>
            <w:shd w:val="clear" w:color="auto" w:fill="auto"/>
            <w:noWrap/>
            <w:vAlign w:val="center"/>
            <w:hideMark/>
          </w:tcPr>
          <w:p w14:paraId="28B8F9AD" w14:textId="77777777" w:rsidR="000E1914" w:rsidRPr="00B067C4" w:rsidRDefault="000E1914" w:rsidP="00B067C4">
            <w:pPr>
              <w:spacing w:after="0"/>
              <w:jc w:val="center"/>
              <w:rPr>
                <w:rFonts w:eastAsia="Times New Roman" w:cs="Times New Roman"/>
                <w:sz w:val="20"/>
                <w:szCs w:val="20"/>
              </w:rPr>
            </w:pPr>
            <w:r w:rsidRPr="00B067C4">
              <w:rPr>
                <w:rFonts w:eastAsia="Times New Roman" w:cs="Times New Roman"/>
                <w:sz w:val="20"/>
                <w:szCs w:val="20"/>
              </w:rPr>
              <w:t>184</w:t>
            </w:r>
          </w:p>
        </w:tc>
        <w:tc>
          <w:tcPr>
            <w:tcW w:w="960" w:type="dxa"/>
            <w:tcBorders>
              <w:top w:val="nil"/>
              <w:left w:val="nil"/>
              <w:bottom w:val="single" w:sz="4" w:space="0" w:color="auto"/>
              <w:right w:val="single" w:sz="4" w:space="0" w:color="auto"/>
            </w:tcBorders>
            <w:shd w:val="clear" w:color="auto" w:fill="auto"/>
            <w:noWrap/>
            <w:vAlign w:val="center"/>
            <w:hideMark/>
          </w:tcPr>
          <w:p w14:paraId="5B4F2D60" w14:textId="77777777" w:rsidR="000E1914" w:rsidRPr="00B067C4" w:rsidRDefault="000E1914" w:rsidP="00B067C4">
            <w:pPr>
              <w:spacing w:after="0"/>
              <w:jc w:val="center"/>
              <w:rPr>
                <w:rFonts w:eastAsia="Times New Roman" w:cs="Times New Roman"/>
                <w:sz w:val="20"/>
                <w:szCs w:val="20"/>
              </w:rPr>
            </w:pPr>
            <w:r w:rsidRPr="00B067C4">
              <w:rPr>
                <w:rFonts w:eastAsia="Times New Roman" w:cs="Times New Roman"/>
                <w:sz w:val="20"/>
                <w:szCs w:val="20"/>
              </w:rPr>
              <w:t>56</w:t>
            </w:r>
          </w:p>
        </w:tc>
        <w:tc>
          <w:tcPr>
            <w:tcW w:w="960" w:type="dxa"/>
            <w:tcBorders>
              <w:top w:val="nil"/>
              <w:left w:val="nil"/>
              <w:bottom w:val="single" w:sz="4" w:space="0" w:color="auto"/>
              <w:right w:val="single" w:sz="4" w:space="0" w:color="auto"/>
            </w:tcBorders>
            <w:shd w:val="clear" w:color="auto" w:fill="auto"/>
            <w:noWrap/>
            <w:vAlign w:val="center"/>
            <w:hideMark/>
          </w:tcPr>
          <w:p w14:paraId="078C9950" w14:textId="77777777" w:rsidR="000E1914" w:rsidRPr="00B067C4" w:rsidRDefault="000E1914" w:rsidP="00B067C4">
            <w:pPr>
              <w:spacing w:after="0"/>
              <w:jc w:val="center"/>
              <w:rPr>
                <w:rFonts w:eastAsia="Times New Roman" w:cs="Times New Roman"/>
                <w:sz w:val="20"/>
                <w:szCs w:val="20"/>
              </w:rPr>
            </w:pPr>
            <w:r w:rsidRPr="00B067C4">
              <w:rPr>
                <w:rFonts w:eastAsia="Times New Roman" w:cs="Times New Roman"/>
                <w:sz w:val="20"/>
                <w:szCs w:val="20"/>
              </w:rPr>
              <w:t>22</w:t>
            </w:r>
          </w:p>
        </w:tc>
      </w:tr>
      <w:tr w:rsidR="000E1914" w:rsidRPr="00B067C4" w14:paraId="53E12ABE" w14:textId="77777777" w:rsidTr="00B067C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17B0F50" w14:textId="77777777" w:rsidR="000E1914" w:rsidRPr="00B067C4" w:rsidRDefault="000E1914" w:rsidP="000E1914">
            <w:pPr>
              <w:spacing w:after="0"/>
              <w:rPr>
                <w:rFonts w:eastAsia="Times New Roman" w:cs="Times New Roman"/>
                <w:sz w:val="20"/>
                <w:szCs w:val="20"/>
              </w:rPr>
            </w:pPr>
            <w:r w:rsidRPr="00B067C4">
              <w:rPr>
                <w:rFonts w:eastAsia="Times New Roman" w:cs="Times New Roman"/>
                <w:sz w:val="20"/>
                <w:szCs w:val="20"/>
              </w:rPr>
              <w:t>Prior use of enzalutamide</w:t>
            </w:r>
          </w:p>
        </w:tc>
        <w:tc>
          <w:tcPr>
            <w:tcW w:w="960" w:type="dxa"/>
            <w:tcBorders>
              <w:top w:val="nil"/>
              <w:left w:val="nil"/>
              <w:bottom w:val="single" w:sz="4" w:space="0" w:color="auto"/>
              <w:right w:val="single" w:sz="4" w:space="0" w:color="auto"/>
            </w:tcBorders>
            <w:shd w:val="clear" w:color="auto" w:fill="auto"/>
            <w:noWrap/>
            <w:vAlign w:val="center"/>
            <w:hideMark/>
          </w:tcPr>
          <w:p w14:paraId="690729E8" w14:textId="13387609" w:rsidR="000E1914" w:rsidRPr="00B067C4" w:rsidRDefault="0008492F" w:rsidP="00B067C4">
            <w:pPr>
              <w:spacing w:after="0"/>
              <w:jc w:val="center"/>
              <w:rPr>
                <w:rFonts w:eastAsia="Times New Roman" w:cs="Times New Roman"/>
                <w:sz w:val="20"/>
                <w:szCs w:val="20"/>
              </w:rPr>
            </w:pPr>
            <w:r w:rsidRPr="00B067C4">
              <w:rPr>
                <w:rFonts w:eastAsia="Times New Roman" w:cs="Times New Roman"/>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2DF8BD0" w14:textId="7814FFF2" w:rsidR="000E1914" w:rsidRPr="00B067C4" w:rsidRDefault="0008492F" w:rsidP="00B067C4">
            <w:pPr>
              <w:spacing w:after="0"/>
              <w:jc w:val="center"/>
              <w:rPr>
                <w:rFonts w:eastAsia="Times New Roman" w:cs="Times New Roman"/>
                <w:sz w:val="20"/>
                <w:szCs w:val="20"/>
              </w:rPr>
            </w:pPr>
            <w:r w:rsidRPr="00B067C4">
              <w:rPr>
                <w:rFonts w:eastAsia="Times New Roman" w:cs="Times New Roman"/>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5038A65" w14:textId="77777777" w:rsidR="000E1914" w:rsidRPr="00B067C4" w:rsidRDefault="000E1914" w:rsidP="00B067C4">
            <w:pPr>
              <w:spacing w:after="0"/>
              <w:jc w:val="center"/>
              <w:rPr>
                <w:rFonts w:eastAsia="Times New Roman" w:cs="Times New Roman"/>
                <w:sz w:val="20"/>
                <w:szCs w:val="20"/>
              </w:rPr>
            </w:pPr>
            <w:r w:rsidRPr="00B067C4">
              <w:rPr>
                <w:rFonts w:eastAsia="Times New Roman" w:cs="Times New Roman"/>
                <w:sz w:val="20"/>
                <w:szCs w:val="20"/>
              </w:rPr>
              <w:t>140</w:t>
            </w:r>
          </w:p>
        </w:tc>
      </w:tr>
    </w:tbl>
    <w:p w14:paraId="2337BF10" w14:textId="6645F005" w:rsidR="00A57481" w:rsidRPr="0066087D" w:rsidRDefault="0066087D" w:rsidP="009362D7">
      <w:pPr>
        <w:spacing w:after="0"/>
        <w:rPr>
          <w:sz w:val="20"/>
          <w:szCs w:val="20"/>
        </w:rPr>
      </w:pPr>
      <w:r w:rsidRPr="00BF29F8">
        <w:rPr>
          <w:rStyle w:val="FiguretitleChar"/>
          <w:rFonts w:asciiTheme="minorHAnsi" w:eastAsiaTheme="minorEastAsia" w:hAnsiTheme="minorHAnsi" w:cstheme="minorBidi"/>
          <w:b w:val="0"/>
          <w:sz w:val="20"/>
          <w:szCs w:val="20"/>
          <w:lang w:val="en-AU"/>
        </w:rPr>
        <w:t>Source: DHS Supplied Prescriptions database, extracted April 2016</w:t>
      </w:r>
      <w:r>
        <w:rPr>
          <w:rStyle w:val="FiguretitleChar"/>
          <w:rFonts w:asciiTheme="minorHAnsi" w:eastAsiaTheme="minorEastAsia" w:hAnsiTheme="minorHAnsi" w:cstheme="minorBidi"/>
          <w:b w:val="0"/>
          <w:sz w:val="20"/>
          <w:szCs w:val="20"/>
          <w:lang w:val="en-AU"/>
        </w:rPr>
        <w:t>.</w:t>
      </w:r>
    </w:p>
    <w:p w14:paraId="2CA98009" w14:textId="24D6736F" w:rsidR="00A57481" w:rsidRPr="0008492F" w:rsidRDefault="00A57481" w:rsidP="003548A0">
      <w:pPr>
        <w:pStyle w:val="Tabletitle"/>
      </w:pPr>
      <w:r>
        <w:t>Table 15</w:t>
      </w:r>
      <w:r w:rsidR="003548A0">
        <w:t>:</w:t>
      </w:r>
      <w:r w:rsidRPr="009C6B96">
        <w:t xml:space="preserve"> Number</w:t>
      </w:r>
      <w:r>
        <w:t xml:space="preserve"> of patients initiating to enzalutamide by calendar year and prior therapies used before initiation to enzalutamide</w:t>
      </w:r>
    </w:p>
    <w:tbl>
      <w:tblPr>
        <w:tblW w:w="4180" w:type="dxa"/>
        <w:tblInd w:w="93" w:type="dxa"/>
        <w:tblLook w:val="04A0" w:firstRow="1" w:lastRow="0" w:firstColumn="1" w:lastColumn="0" w:noHBand="0" w:noVBand="1"/>
        <w:tblCaption w:val="Number of patients initiating to enzalutamide by calendar year and prior therapies used before initiation to enzalutamide"/>
        <w:tblDescription w:val="A table of the Number of patients initiating to enzalutamide by calendar year and prior therapies used before initiation to enzalutamide"/>
      </w:tblPr>
      <w:tblGrid>
        <w:gridCol w:w="2260"/>
        <w:gridCol w:w="960"/>
        <w:gridCol w:w="960"/>
      </w:tblGrid>
      <w:tr w:rsidR="00A57481" w:rsidRPr="00B067C4" w14:paraId="64B382A6" w14:textId="77777777" w:rsidTr="00DB4A14">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CC37FED" w14:textId="77777777" w:rsidR="00A57481" w:rsidRPr="00B067C4" w:rsidRDefault="00A57481" w:rsidP="00A57481">
            <w:pPr>
              <w:spacing w:after="0"/>
              <w:jc w:val="center"/>
              <w:rPr>
                <w:rFonts w:eastAsia="Times New Roman" w:cs="Times New Roman"/>
                <w:b/>
                <w:bCs/>
                <w:color w:val="000000"/>
                <w:sz w:val="20"/>
                <w:szCs w:val="20"/>
              </w:rPr>
            </w:pPr>
            <w:r w:rsidRPr="00B067C4">
              <w:rPr>
                <w:rFonts w:eastAsia="Times New Roman" w:cs="Times New Roman"/>
                <w:b/>
                <w:bCs/>
                <w:color w:val="000000"/>
                <w:sz w:val="20"/>
                <w:szCs w:val="20"/>
              </w:rPr>
              <w:t>Drug</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0F77CB" w14:textId="77777777" w:rsidR="00A57481" w:rsidRPr="00B067C4" w:rsidRDefault="00A57481" w:rsidP="00A57481">
            <w:pPr>
              <w:spacing w:after="0"/>
              <w:jc w:val="center"/>
              <w:rPr>
                <w:rFonts w:eastAsia="Times New Roman" w:cs="Times New Roman"/>
                <w:b/>
                <w:bCs/>
                <w:color w:val="000000"/>
                <w:sz w:val="20"/>
                <w:szCs w:val="20"/>
              </w:rPr>
            </w:pPr>
            <w:r w:rsidRPr="00B067C4">
              <w:rPr>
                <w:rFonts w:eastAsia="Times New Roman" w:cs="Times New Roman"/>
                <w:b/>
                <w:bCs/>
                <w:color w:val="000000"/>
                <w:sz w:val="20"/>
                <w:szCs w:val="20"/>
              </w:rPr>
              <w:t>2014</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7398A3" w14:textId="77777777" w:rsidR="00A57481" w:rsidRPr="00B067C4" w:rsidRDefault="00A57481" w:rsidP="00A57481">
            <w:pPr>
              <w:spacing w:after="0"/>
              <w:jc w:val="center"/>
              <w:rPr>
                <w:rFonts w:eastAsia="Times New Roman" w:cs="Times New Roman"/>
                <w:b/>
                <w:bCs/>
                <w:color w:val="000000"/>
                <w:sz w:val="20"/>
                <w:szCs w:val="20"/>
              </w:rPr>
            </w:pPr>
            <w:r w:rsidRPr="00B067C4">
              <w:rPr>
                <w:rFonts w:eastAsia="Times New Roman" w:cs="Times New Roman"/>
                <w:b/>
                <w:bCs/>
                <w:color w:val="000000"/>
                <w:sz w:val="20"/>
                <w:szCs w:val="20"/>
              </w:rPr>
              <w:t>2015</w:t>
            </w:r>
          </w:p>
        </w:tc>
      </w:tr>
      <w:tr w:rsidR="00A57481" w:rsidRPr="00B067C4" w14:paraId="05E60CD8" w14:textId="77777777" w:rsidTr="00B067C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A8078D" w14:textId="77777777" w:rsidR="00A57481" w:rsidRPr="00B067C4" w:rsidRDefault="00A57481" w:rsidP="00A57481">
            <w:pPr>
              <w:spacing w:after="0"/>
              <w:rPr>
                <w:rFonts w:eastAsia="Times New Roman" w:cs="Times New Roman"/>
                <w:sz w:val="20"/>
                <w:szCs w:val="20"/>
              </w:rPr>
            </w:pPr>
            <w:r w:rsidRPr="00B067C4">
              <w:rPr>
                <w:rFonts w:eastAsia="Times New Roman" w:cs="Times New Roman"/>
                <w:sz w:val="20"/>
                <w:szCs w:val="20"/>
              </w:rPr>
              <w:t>Enzalutamide</w:t>
            </w:r>
          </w:p>
        </w:tc>
        <w:tc>
          <w:tcPr>
            <w:tcW w:w="960" w:type="dxa"/>
            <w:tcBorders>
              <w:top w:val="nil"/>
              <w:left w:val="nil"/>
              <w:bottom w:val="single" w:sz="4" w:space="0" w:color="auto"/>
              <w:right w:val="single" w:sz="4" w:space="0" w:color="auto"/>
            </w:tcBorders>
            <w:shd w:val="clear" w:color="auto" w:fill="auto"/>
            <w:noWrap/>
            <w:vAlign w:val="center"/>
            <w:hideMark/>
          </w:tcPr>
          <w:p w14:paraId="2A367F9F" w14:textId="77777777" w:rsidR="00A57481" w:rsidRPr="00B067C4" w:rsidRDefault="00A57481" w:rsidP="00B067C4">
            <w:pPr>
              <w:spacing w:after="0"/>
              <w:jc w:val="center"/>
              <w:rPr>
                <w:rFonts w:eastAsia="Times New Roman" w:cs="Times New Roman"/>
                <w:sz w:val="20"/>
                <w:szCs w:val="20"/>
              </w:rPr>
            </w:pPr>
            <w:r w:rsidRPr="00B067C4">
              <w:rPr>
                <w:rFonts w:eastAsia="Times New Roman" w:cs="Times New Roman"/>
                <w:sz w:val="20"/>
                <w:szCs w:val="20"/>
              </w:rPr>
              <w:t>270</w:t>
            </w:r>
          </w:p>
        </w:tc>
        <w:tc>
          <w:tcPr>
            <w:tcW w:w="960" w:type="dxa"/>
            <w:tcBorders>
              <w:top w:val="nil"/>
              <w:left w:val="nil"/>
              <w:bottom w:val="single" w:sz="4" w:space="0" w:color="auto"/>
              <w:right w:val="single" w:sz="4" w:space="0" w:color="auto"/>
            </w:tcBorders>
            <w:shd w:val="clear" w:color="auto" w:fill="auto"/>
            <w:noWrap/>
            <w:vAlign w:val="center"/>
            <w:hideMark/>
          </w:tcPr>
          <w:p w14:paraId="07CAB09C" w14:textId="6BE71585" w:rsidR="00A57481" w:rsidRPr="00B067C4" w:rsidRDefault="00A57481" w:rsidP="00B067C4">
            <w:pPr>
              <w:spacing w:after="0"/>
              <w:jc w:val="center"/>
              <w:rPr>
                <w:rFonts w:eastAsia="Times New Roman" w:cs="Times New Roman"/>
                <w:sz w:val="20"/>
                <w:szCs w:val="20"/>
              </w:rPr>
            </w:pPr>
            <w:r w:rsidRPr="00B067C4">
              <w:rPr>
                <w:rFonts w:eastAsia="Times New Roman" w:cs="Times New Roman"/>
                <w:sz w:val="20"/>
                <w:szCs w:val="20"/>
              </w:rPr>
              <w:t>2</w:t>
            </w:r>
            <w:r w:rsidR="004E4C2B" w:rsidRPr="00B067C4">
              <w:rPr>
                <w:rFonts w:eastAsia="Times New Roman" w:cs="Times New Roman"/>
                <w:sz w:val="20"/>
                <w:szCs w:val="20"/>
              </w:rPr>
              <w:t>,</w:t>
            </w:r>
            <w:r w:rsidRPr="00B067C4">
              <w:rPr>
                <w:rFonts w:eastAsia="Times New Roman" w:cs="Times New Roman"/>
                <w:sz w:val="20"/>
                <w:szCs w:val="20"/>
              </w:rPr>
              <w:t>022</w:t>
            </w:r>
          </w:p>
        </w:tc>
      </w:tr>
      <w:tr w:rsidR="00A57481" w:rsidRPr="00B067C4" w14:paraId="256A9287" w14:textId="77777777" w:rsidTr="00B067C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876879" w14:textId="77777777" w:rsidR="00A57481" w:rsidRPr="00B067C4" w:rsidRDefault="00A57481" w:rsidP="00A57481">
            <w:pPr>
              <w:spacing w:after="0"/>
              <w:rPr>
                <w:rFonts w:eastAsia="Times New Roman" w:cs="Times New Roman"/>
                <w:sz w:val="20"/>
                <w:szCs w:val="20"/>
              </w:rPr>
            </w:pPr>
            <w:r w:rsidRPr="00B067C4">
              <w:rPr>
                <w:rFonts w:eastAsia="Times New Roman" w:cs="Times New Roman"/>
                <w:sz w:val="20"/>
                <w:szCs w:val="20"/>
              </w:rPr>
              <w:t>Prior use of docetaxel</w:t>
            </w:r>
          </w:p>
        </w:tc>
        <w:tc>
          <w:tcPr>
            <w:tcW w:w="960" w:type="dxa"/>
            <w:tcBorders>
              <w:top w:val="nil"/>
              <w:left w:val="nil"/>
              <w:bottom w:val="single" w:sz="4" w:space="0" w:color="auto"/>
              <w:right w:val="single" w:sz="4" w:space="0" w:color="auto"/>
            </w:tcBorders>
            <w:shd w:val="clear" w:color="auto" w:fill="auto"/>
            <w:noWrap/>
            <w:vAlign w:val="center"/>
            <w:hideMark/>
          </w:tcPr>
          <w:p w14:paraId="16BFD808" w14:textId="77777777" w:rsidR="00A57481" w:rsidRPr="00B067C4" w:rsidRDefault="00A57481" w:rsidP="00B067C4">
            <w:pPr>
              <w:spacing w:after="0"/>
              <w:jc w:val="center"/>
              <w:rPr>
                <w:rFonts w:eastAsia="Times New Roman" w:cs="Times New Roman"/>
                <w:sz w:val="20"/>
                <w:szCs w:val="20"/>
              </w:rPr>
            </w:pPr>
            <w:r w:rsidRPr="00B067C4">
              <w:rPr>
                <w:rFonts w:eastAsia="Times New Roman" w:cs="Times New Roman"/>
                <w:sz w:val="20"/>
                <w:szCs w:val="20"/>
              </w:rPr>
              <w:t>147</w:t>
            </w:r>
          </w:p>
        </w:tc>
        <w:tc>
          <w:tcPr>
            <w:tcW w:w="960" w:type="dxa"/>
            <w:tcBorders>
              <w:top w:val="nil"/>
              <w:left w:val="nil"/>
              <w:bottom w:val="single" w:sz="4" w:space="0" w:color="auto"/>
              <w:right w:val="single" w:sz="4" w:space="0" w:color="auto"/>
            </w:tcBorders>
            <w:shd w:val="clear" w:color="auto" w:fill="auto"/>
            <w:noWrap/>
            <w:vAlign w:val="center"/>
            <w:hideMark/>
          </w:tcPr>
          <w:p w14:paraId="58CF57DD" w14:textId="77777777" w:rsidR="00A57481" w:rsidRPr="00B067C4" w:rsidRDefault="00A57481" w:rsidP="00B067C4">
            <w:pPr>
              <w:spacing w:after="0"/>
              <w:jc w:val="center"/>
              <w:rPr>
                <w:rFonts w:eastAsia="Times New Roman" w:cs="Times New Roman"/>
                <w:sz w:val="20"/>
                <w:szCs w:val="20"/>
              </w:rPr>
            </w:pPr>
            <w:r w:rsidRPr="00B067C4">
              <w:rPr>
                <w:rFonts w:eastAsia="Times New Roman" w:cs="Times New Roman"/>
                <w:sz w:val="20"/>
                <w:szCs w:val="20"/>
              </w:rPr>
              <w:t>838</w:t>
            </w:r>
          </w:p>
        </w:tc>
      </w:tr>
      <w:tr w:rsidR="00A57481" w:rsidRPr="00B067C4" w14:paraId="4C8190DF" w14:textId="77777777" w:rsidTr="00B067C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840556" w14:textId="77777777" w:rsidR="00A57481" w:rsidRPr="00B067C4" w:rsidRDefault="00A57481" w:rsidP="00A57481">
            <w:pPr>
              <w:spacing w:after="0"/>
              <w:rPr>
                <w:rFonts w:eastAsia="Times New Roman" w:cs="Times New Roman"/>
                <w:sz w:val="20"/>
                <w:szCs w:val="20"/>
              </w:rPr>
            </w:pPr>
            <w:r w:rsidRPr="00B067C4">
              <w:rPr>
                <w:rFonts w:eastAsia="Times New Roman" w:cs="Times New Roman"/>
                <w:sz w:val="20"/>
                <w:szCs w:val="20"/>
              </w:rPr>
              <w:t>Prior use of abiraterone</w:t>
            </w:r>
          </w:p>
        </w:tc>
        <w:tc>
          <w:tcPr>
            <w:tcW w:w="960" w:type="dxa"/>
            <w:tcBorders>
              <w:top w:val="nil"/>
              <w:left w:val="nil"/>
              <w:bottom w:val="single" w:sz="4" w:space="0" w:color="auto"/>
              <w:right w:val="single" w:sz="4" w:space="0" w:color="auto"/>
            </w:tcBorders>
            <w:shd w:val="clear" w:color="auto" w:fill="auto"/>
            <w:noWrap/>
            <w:vAlign w:val="center"/>
            <w:hideMark/>
          </w:tcPr>
          <w:p w14:paraId="57CD61DF" w14:textId="77777777" w:rsidR="00A57481" w:rsidRPr="00B067C4" w:rsidRDefault="00A57481" w:rsidP="00B067C4">
            <w:pPr>
              <w:spacing w:after="0"/>
              <w:jc w:val="center"/>
              <w:rPr>
                <w:rFonts w:eastAsia="Times New Roman" w:cs="Times New Roman"/>
                <w:sz w:val="20"/>
                <w:szCs w:val="20"/>
              </w:rPr>
            </w:pPr>
            <w:r w:rsidRPr="00B067C4">
              <w:rPr>
                <w:rFonts w:eastAsia="Times New Roman" w:cs="Times New Roman"/>
                <w:sz w:val="20"/>
                <w:szCs w:val="20"/>
              </w:rPr>
              <w:t>84</w:t>
            </w:r>
          </w:p>
        </w:tc>
        <w:tc>
          <w:tcPr>
            <w:tcW w:w="960" w:type="dxa"/>
            <w:tcBorders>
              <w:top w:val="nil"/>
              <w:left w:val="nil"/>
              <w:bottom w:val="single" w:sz="4" w:space="0" w:color="auto"/>
              <w:right w:val="single" w:sz="4" w:space="0" w:color="auto"/>
            </w:tcBorders>
            <w:shd w:val="clear" w:color="auto" w:fill="auto"/>
            <w:noWrap/>
            <w:vAlign w:val="center"/>
            <w:hideMark/>
          </w:tcPr>
          <w:p w14:paraId="7D309999" w14:textId="77777777" w:rsidR="00A57481" w:rsidRPr="00B067C4" w:rsidRDefault="00A57481" w:rsidP="00B067C4">
            <w:pPr>
              <w:spacing w:after="0"/>
              <w:jc w:val="center"/>
              <w:rPr>
                <w:rFonts w:eastAsia="Times New Roman" w:cs="Times New Roman"/>
                <w:sz w:val="20"/>
                <w:szCs w:val="20"/>
              </w:rPr>
            </w:pPr>
            <w:r w:rsidRPr="00B067C4">
              <w:rPr>
                <w:rFonts w:eastAsia="Times New Roman" w:cs="Times New Roman"/>
                <w:sz w:val="20"/>
                <w:szCs w:val="20"/>
              </w:rPr>
              <w:t>359</w:t>
            </w:r>
          </w:p>
        </w:tc>
      </w:tr>
      <w:tr w:rsidR="00A57481" w:rsidRPr="00B067C4" w14:paraId="28B96D60" w14:textId="77777777" w:rsidTr="00B067C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9F9275" w14:textId="77777777" w:rsidR="00A57481" w:rsidRPr="00B067C4" w:rsidRDefault="00A57481" w:rsidP="00A57481">
            <w:pPr>
              <w:spacing w:after="0"/>
              <w:rPr>
                <w:rFonts w:eastAsia="Times New Roman" w:cs="Times New Roman"/>
                <w:sz w:val="20"/>
                <w:szCs w:val="20"/>
              </w:rPr>
            </w:pPr>
            <w:r w:rsidRPr="00B067C4">
              <w:rPr>
                <w:rFonts w:eastAsia="Times New Roman" w:cs="Times New Roman"/>
                <w:sz w:val="20"/>
                <w:szCs w:val="20"/>
              </w:rPr>
              <w:t>Prior use of cabazitaxel</w:t>
            </w:r>
          </w:p>
        </w:tc>
        <w:tc>
          <w:tcPr>
            <w:tcW w:w="960" w:type="dxa"/>
            <w:tcBorders>
              <w:top w:val="nil"/>
              <w:left w:val="nil"/>
              <w:bottom w:val="single" w:sz="4" w:space="0" w:color="auto"/>
              <w:right w:val="single" w:sz="4" w:space="0" w:color="auto"/>
            </w:tcBorders>
            <w:shd w:val="clear" w:color="auto" w:fill="auto"/>
            <w:noWrap/>
            <w:vAlign w:val="center"/>
            <w:hideMark/>
          </w:tcPr>
          <w:p w14:paraId="01C24502" w14:textId="77777777" w:rsidR="00A57481" w:rsidRPr="00B067C4" w:rsidRDefault="00A57481" w:rsidP="00B067C4">
            <w:pPr>
              <w:spacing w:after="0"/>
              <w:jc w:val="center"/>
              <w:rPr>
                <w:rFonts w:eastAsia="Times New Roman" w:cs="Times New Roman"/>
                <w:sz w:val="20"/>
                <w:szCs w:val="20"/>
              </w:rPr>
            </w:pPr>
            <w:r w:rsidRPr="00B067C4">
              <w:rPr>
                <w:rFonts w:eastAsia="Times New Roman" w:cs="Times New Roman"/>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14DE218A" w14:textId="77777777" w:rsidR="00A57481" w:rsidRPr="00B067C4" w:rsidRDefault="00A57481" w:rsidP="00B067C4">
            <w:pPr>
              <w:spacing w:after="0"/>
              <w:jc w:val="center"/>
              <w:rPr>
                <w:rFonts w:eastAsia="Times New Roman" w:cs="Times New Roman"/>
                <w:sz w:val="20"/>
                <w:szCs w:val="20"/>
              </w:rPr>
            </w:pPr>
            <w:r w:rsidRPr="00B067C4">
              <w:rPr>
                <w:rFonts w:eastAsia="Times New Roman" w:cs="Times New Roman"/>
                <w:sz w:val="20"/>
                <w:szCs w:val="20"/>
              </w:rPr>
              <w:t>129</w:t>
            </w:r>
          </w:p>
        </w:tc>
      </w:tr>
    </w:tbl>
    <w:p w14:paraId="7DA1AE16" w14:textId="74C32E3B" w:rsidR="00A57481" w:rsidRDefault="0066087D" w:rsidP="003548A0">
      <w:r w:rsidRPr="00BF29F8">
        <w:rPr>
          <w:rStyle w:val="FiguretitleChar"/>
          <w:rFonts w:asciiTheme="minorHAnsi" w:eastAsiaTheme="minorEastAsia" w:hAnsiTheme="minorHAnsi" w:cstheme="minorBidi"/>
          <w:b w:val="0"/>
          <w:sz w:val="20"/>
          <w:szCs w:val="20"/>
          <w:lang w:val="en-AU"/>
        </w:rPr>
        <w:t>Source: DHS Supplied Prescriptions database, extracted April 2016</w:t>
      </w:r>
      <w:r>
        <w:rPr>
          <w:rStyle w:val="FiguretitleChar"/>
          <w:rFonts w:asciiTheme="minorHAnsi" w:eastAsiaTheme="minorEastAsia" w:hAnsiTheme="minorHAnsi" w:cstheme="minorBidi"/>
          <w:b w:val="0"/>
          <w:sz w:val="20"/>
          <w:szCs w:val="20"/>
          <w:lang w:val="en-AU"/>
        </w:rPr>
        <w:t>.</w:t>
      </w:r>
    </w:p>
    <w:p w14:paraId="71042A2F" w14:textId="2B8AE172" w:rsidR="00F95F66" w:rsidRDefault="00F95F66" w:rsidP="003548A0">
      <w:r w:rsidRPr="00F05BED">
        <w:t xml:space="preserve">Since the change in the clinical criteria from 1 December 2014 in the restrictions for abiraterone and enzalutamide to include patients unsuitable for docetaxel treatment on the basis of predicted intolerance to docetaxel, </w:t>
      </w:r>
      <w:r w:rsidR="00492D04">
        <w:t>an increasing number of patients were first initiated on</w:t>
      </w:r>
      <w:r w:rsidRPr="00F05BED">
        <w:t xml:space="preserve"> </w:t>
      </w:r>
      <w:r w:rsidR="0001396B">
        <w:t>abiraterone or enzalutamide</w:t>
      </w:r>
      <w:r w:rsidRPr="00F05BED">
        <w:t xml:space="preserve"> without the prior use of do</w:t>
      </w:r>
      <w:r>
        <w:t>cetaxel (Tables 1</w:t>
      </w:r>
      <w:r w:rsidRPr="00F05BED">
        <w:t xml:space="preserve">4 and </w:t>
      </w:r>
      <w:r>
        <w:t>1</w:t>
      </w:r>
      <w:r w:rsidR="0001396B">
        <w:t>5).</w:t>
      </w:r>
    </w:p>
    <w:p w14:paraId="472431B8" w14:textId="5FA0813D" w:rsidR="00F05BED" w:rsidRDefault="004A0807" w:rsidP="003548A0">
      <w:r w:rsidRPr="00EB2915">
        <w:t xml:space="preserve">An analysis was undertaken of the utilisation of docetaxel prior to commencing treatment with the first oral agent listed, abiraterone,  between November 2013 and October 2014, i.e. 12 months prior to </w:t>
      </w:r>
      <w:r w:rsidR="005C571C" w:rsidRPr="00EB2915">
        <w:t>change in the restriction criteria from 1 December 2014</w:t>
      </w:r>
      <w:r w:rsidR="000B577B" w:rsidRPr="00EB2915">
        <w:t xml:space="preserve">. For this </w:t>
      </w:r>
      <w:r w:rsidR="005C571C" w:rsidRPr="00EB2915">
        <w:t xml:space="preserve">initiating </w:t>
      </w:r>
      <w:r w:rsidR="000B577B" w:rsidRPr="00EB2915">
        <w:t xml:space="preserve">cohort, 12% did not receive a prior supply of PBS docetaxel and 7.6% received only one supply of PBS docetaxel (Table </w:t>
      </w:r>
      <w:r w:rsidR="005C571C" w:rsidRPr="00EB2915">
        <w:t>1</w:t>
      </w:r>
      <w:r w:rsidR="00D02EAA" w:rsidRPr="00EB2915">
        <w:t>6</w:t>
      </w:r>
      <w:r w:rsidR="000B577B" w:rsidRPr="00EB2915">
        <w:t xml:space="preserve">). </w:t>
      </w:r>
      <w:r w:rsidR="007D0B0C" w:rsidRPr="001F0A19">
        <w:t>The proportion of patients receiving only one supply of docetaxel (7.6%) may represent the small population that the PBAC (July 2014) considered would be intolerant to this drug.</w:t>
      </w:r>
    </w:p>
    <w:p w14:paraId="519328F0" w14:textId="01A7F39A" w:rsidR="006B698F" w:rsidRPr="00EC0E54" w:rsidRDefault="00EC0E54" w:rsidP="003548A0">
      <w:pPr>
        <w:pStyle w:val="Tabletitle"/>
      </w:pPr>
      <w:r>
        <w:t>Table</w:t>
      </w:r>
      <w:r w:rsidR="005C571C">
        <w:t xml:space="preserve"> 1</w:t>
      </w:r>
      <w:r w:rsidR="00D02EAA">
        <w:t>6</w:t>
      </w:r>
      <w:r w:rsidR="00FA3C4D">
        <w:t>:</w:t>
      </w:r>
      <w:r w:rsidRPr="00E52202">
        <w:t xml:space="preserve"> </w:t>
      </w:r>
      <w:r w:rsidRPr="00EC0E54">
        <w:t>Number of prior supplies of docetaxel for patients initiating abiraterone between 1 November 2013 to 31 October 2014</w:t>
      </w:r>
    </w:p>
    <w:tbl>
      <w:tblPr>
        <w:tblW w:w="4268" w:type="dxa"/>
        <w:tblInd w:w="93" w:type="dxa"/>
        <w:tblLook w:val="04A0" w:firstRow="1" w:lastRow="0" w:firstColumn="1" w:lastColumn="0" w:noHBand="0" w:noVBand="1"/>
        <w:tblCaption w:val="Number of prior supplies of docetaxel for patients initiating abiraterone between 1 November 2013 to 31 October 2014"/>
        <w:tblDescription w:val="A table of the Number of prior supplies of docetaxel for patients initiating abiraterone between 1 November 2013 to 31 October 2014"/>
      </w:tblPr>
      <w:tblGrid>
        <w:gridCol w:w="1716"/>
        <w:gridCol w:w="851"/>
        <w:gridCol w:w="1701"/>
      </w:tblGrid>
      <w:tr w:rsidR="006B698F" w:rsidRPr="006B698F" w14:paraId="5C3D00E7" w14:textId="77777777" w:rsidTr="00FA3C4D">
        <w:trPr>
          <w:trHeight w:val="300"/>
        </w:trPr>
        <w:tc>
          <w:tcPr>
            <w:tcW w:w="1716" w:type="dxa"/>
            <w:tcBorders>
              <w:top w:val="single" w:sz="4" w:space="0" w:color="auto"/>
              <w:left w:val="single" w:sz="4" w:space="0" w:color="auto"/>
              <w:bottom w:val="single" w:sz="4" w:space="0" w:color="auto"/>
              <w:right w:val="nil"/>
            </w:tcBorders>
            <w:shd w:val="clear" w:color="auto" w:fill="BFBFBF" w:themeFill="background1" w:themeFillShade="BF"/>
            <w:noWrap/>
            <w:hideMark/>
          </w:tcPr>
          <w:p w14:paraId="6AE13538" w14:textId="1CCB72B1" w:rsidR="006B698F" w:rsidRPr="00FA3C4D" w:rsidRDefault="006B698F" w:rsidP="006B698F">
            <w:pPr>
              <w:spacing w:after="0"/>
              <w:jc w:val="center"/>
              <w:rPr>
                <w:rFonts w:eastAsia="Times New Roman" w:cs="Times New Roman"/>
                <w:b/>
                <w:sz w:val="20"/>
                <w:szCs w:val="20"/>
              </w:rPr>
            </w:pPr>
            <w:r w:rsidRPr="00FA3C4D">
              <w:rPr>
                <w:rFonts w:eastAsia="Times New Roman" w:cs="Times New Roman"/>
                <w:b/>
                <w:sz w:val="20"/>
                <w:szCs w:val="20"/>
              </w:rPr>
              <w:t>Number of prior supplies of docetaxel</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CC3A0AD" w14:textId="77777777" w:rsidR="006B698F" w:rsidRPr="00FA3C4D" w:rsidRDefault="006B698F" w:rsidP="006B698F">
            <w:pPr>
              <w:spacing w:after="0"/>
              <w:jc w:val="center"/>
              <w:rPr>
                <w:rFonts w:eastAsia="Times New Roman" w:cs="Times New Roman"/>
                <w:b/>
                <w:bCs/>
                <w:sz w:val="20"/>
                <w:szCs w:val="20"/>
              </w:rPr>
            </w:pPr>
            <w:r w:rsidRPr="00FA3C4D">
              <w:rPr>
                <w:rFonts w:eastAsia="Times New Roman" w:cs="Times New Roman"/>
                <w:b/>
                <w:bCs/>
                <w:sz w:val="20"/>
                <w:szCs w:val="20"/>
              </w:rPr>
              <w:t>n</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0D218396" w14:textId="77777777" w:rsidR="006B698F" w:rsidRPr="00FA3C4D" w:rsidRDefault="006B698F" w:rsidP="006B698F">
            <w:pPr>
              <w:spacing w:after="0"/>
              <w:jc w:val="center"/>
              <w:rPr>
                <w:rFonts w:eastAsia="Times New Roman" w:cs="Times New Roman"/>
                <w:b/>
                <w:bCs/>
                <w:sz w:val="20"/>
                <w:szCs w:val="20"/>
              </w:rPr>
            </w:pPr>
            <w:r w:rsidRPr="00FA3C4D">
              <w:rPr>
                <w:rFonts w:eastAsia="Times New Roman" w:cs="Times New Roman"/>
                <w:b/>
                <w:bCs/>
                <w:sz w:val="20"/>
                <w:szCs w:val="20"/>
              </w:rPr>
              <w:t>Proportion</w:t>
            </w:r>
          </w:p>
          <w:p w14:paraId="7971D27A" w14:textId="77777777" w:rsidR="006B698F" w:rsidRPr="00FA3C4D" w:rsidRDefault="006B698F" w:rsidP="006B698F">
            <w:pPr>
              <w:spacing w:after="0"/>
              <w:jc w:val="center"/>
              <w:rPr>
                <w:rFonts w:eastAsia="Times New Roman" w:cs="Times New Roman"/>
                <w:b/>
                <w:bCs/>
                <w:sz w:val="20"/>
                <w:szCs w:val="20"/>
              </w:rPr>
            </w:pPr>
          </w:p>
          <w:p w14:paraId="57F7E5F0" w14:textId="59C1C365" w:rsidR="006B698F" w:rsidRPr="00FA3C4D" w:rsidRDefault="006B698F" w:rsidP="006B698F">
            <w:pPr>
              <w:spacing w:after="0"/>
              <w:jc w:val="center"/>
              <w:rPr>
                <w:rFonts w:eastAsia="Times New Roman" w:cs="Times New Roman"/>
                <w:b/>
                <w:bCs/>
                <w:sz w:val="20"/>
                <w:szCs w:val="20"/>
              </w:rPr>
            </w:pPr>
            <w:r w:rsidRPr="00FA3C4D">
              <w:rPr>
                <w:rFonts w:eastAsia="Times New Roman" w:cs="Times New Roman"/>
                <w:b/>
                <w:bCs/>
                <w:sz w:val="20"/>
                <w:szCs w:val="20"/>
              </w:rPr>
              <w:t>(%)</w:t>
            </w:r>
          </w:p>
        </w:tc>
      </w:tr>
      <w:tr w:rsidR="006B698F" w:rsidRPr="006B698F" w14:paraId="02E728F5" w14:textId="77777777" w:rsidTr="00B067C4">
        <w:trPr>
          <w:trHeight w:val="300"/>
        </w:trPr>
        <w:tc>
          <w:tcPr>
            <w:tcW w:w="1716" w:type="dxa"/>
            <w:tcBorders>
              <w:top w:val="single" w:sz="4" w:space="0" w:color="auto"/>
              <w:left w:val="single" w:sz="4" w:space="0" w:color="auto"/>
              <w:bottom w:val="single" w:sz="4" w:space="0" w:color="auto"/>
              <w:right w:val="nil"/>
            </w:tcBorders>
            <w:shd w:val="clear" w:color="auto" w:fill="auto"/>
            <w:noWrap/>
            <w:vAlign w:val="center"/>
            <w:hideMark/>
          </w:tcPr>
          <w:p w14:paraId="2B587A28" w14:textId="77777777" w:rsidR="006B698F" w:rsidRPr="00FA3C4D" w:rsidRDefault="006B698F" w:rsidP="00B067C4">
            <w:pPr>
              <w:spacing w:after="0"/>
              <w:rPr>
                <w:rFonts w:eastAsia="Times New Roman" w:cs="Times New Roman"/>
                <w:sz w:val="20"/>
                <w:szCs w:val="20"/>
              </w:rPr>
            </w:pPr>
            <w:r w:rsidRPr="00FA3C4D">
              <w:rPr>
                <w:rFonts w:eastAsia="Times New Roman" w:cs="Times New Roman"/>
                <w:sz w:val="20"/>
                <w:szCs w:val="20"/>
              </w:rPr>
              <w:t>None</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531B02" w14:textId="77777777" w:rsidR="006B698F" w:rsidRPr="00FA3C4D" w:rsidRDefault="006B698F" w:rsidP="00B067C4">
            <w:pPr>
              <w:spacing w:after="0"/>
              <w:jc w:val="right"/>
              <w:rPr>
                <w:rFonts w:eastAsia="Times New Roman" w:cs="Times New Roman"/>
                <w:sz w:val="20"/>
                <w:szCs w:val="20"/>
              </w:rPr>
            </w:pPr>
            <w:r w:rsidRPr="00FA3C4D">
              <w:rPr>
                <w:rFonts w:eastAsia="Times New Roman" w:cs="Times New Roman"/>
                <w:sz w:val="20"/>
                <w:szCs w:val="20"/>
              </w:rPr>
              <w:t>157</w:t>
            </w:r>
          </w:p>
        </w:tc>
        <w:tc>
          <w:tcPr>
            <w:tcW w:w="1701" w:type="dxa"/>
            <w:tcBorders>
              <w:top w:val="nil"/>
              <w:left w:val="nil"/>
              <w:bottom w:val="single" w:sz="4" w:space="0" w:color="auto"/>
              <w:right w:val="single" w:sz="4" w:space="0" w:color="auto"/>
            </w:tcBorders>
            <w:shd w:val="clear" w:color="auto" w:fill="auto"/>
            <w:noWrap/>
            <w:vAlign w:val="center"/>
            <w:hideMark/>
          </w:tcPr>
          <w:p w14:paraId="1B400AB3" w14:textId="77777777" w:rsidR="006B698F" w:rsidRPr="00FA3C4D" w:rsidRDefault="006B698F" w:rsidP="00B067C4">
            <w:pPr>
              <w:spacing w:after="0"/>
              <w:jc w:val="right"/>
              <w:rPr>
                <w:rFonts w:eastAsia="Times New Roman" w:cs="Times New Roman"/>
                <w:sz w:val="20"/>
                <w:szCs w:val="20"/>
              </w:rPr>
            </w:pPr>
            <w:r w:rsidRPr="00FA3C4D">
              <w:rPr>
                <w:rFonts w:eastAsia="Times New Roman" w:cs="Times New Roman"/>
                <w:sz w:val="20"/>
                <w:szCs w:val="20"/>
              </w:rPr>
              <w:t>12.2%</w:t>
            </w:r>
          </w:p>
        </w:tc>
      </w:tr>
      <w:tr w:rsidR="006B698F" w:rsidRPr="006B698F" w14:paraId="142FCB87" w14:textId="77777777" w:rsidTr="00B067C4">
        <w:trPr>
          <w:trHeight w:val="300"/>
        </w:trPr>
        <w:tc>
          <w:tcPr>
            <w:tcW w:w="1716" w:type="dxa"/>
            <w:tcBorders>
              <w:top w:val="nil"/>
              <w:left w:val="single" w:sz="4" w:space="0" w:color="auto"/>
              <w:bottom w:val="single" w:sz="4" w:space="0" w:color="auto"/>
              <w:right w:val="nil"/>
            </w:tcBorders>
            <w:shd w:val="clear" w:color="auto" w:fill="auto"/>
            <w:noWrap/>
            <w:vAlign w:val="center"/>
            <w:hideMark/>
          </w:tcPr>
          <w:p w14:paraId="791AEDC2" w14:textId="77777777" w:rsidR="006B698F" w:rsidRPr="00FA3C4D" w:rsidRDefault="006B698F" w:rsidP="00B067C4">
            <w:pPr>
              <w:spacing w:after="0"/>
              <w:rPr>
                <w:rFonts w:eastAsia="Times New Roman" w:cs="Times New Roman"/>
                <w:sz w:val="20"/>
                <w:szCs w:val="20"/>
              </w:rPr>
            </w:pPr>
            <w:r w:rsidRPr="00FA3C4D">
              <w:rPr>
                <w:rFonts w:eastAsia="Times New Roman" w:cs="Times New Roman"/>
                <w:sz w:val="20"/>
                <w:szCs w:val="20"/>
              </w:rPr>
              <w:t>One only</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201282" w14:textId="77777777" w:rsidR="006B698F" w:rsidRPr="00FA3C4D" w:rsidRDefault="006B698F" w:rsidP="00B067C4">
            <w:pPr>
              <w:spacing w:after="0"/>
              <w:jc w:val="right"/>
              <w:rPr>
                <w:rFonts w:eastAsia="Times New Roman" w:cs="Times New Roman"/>
                <w:sz w:val="20"/>
                <w:szCs w:val="20"/>
              </w:rPr>
            </w:pPr>
            <w:r w:rsidRPr="00FA3C4D">
              <w:rPr>
                <w:rFonts w:eastAsia="Times New Roman" w:cs="Times New Roman"/>
                <w:sz w:val="20"/>
                <w:szCs w:val="20"/>
              </w:rPr>
              <w:t>98</w:t>
            </w:r>
          </w:p>
        </w:tc>
        <w:tc>
          <w:tcPr>
            <w:tcW w:w="1701" w:type="dxa"/>
            <w:tcBorders>
              <w:top w:val="nil"/>
              <w:left w:val="nil"/>
              <w:bottom w:val="single" w:sz="4" w:space="0" w:color="auto"/>
              <w:right w:val="single" w:sz="4" w:space="0" w:color="auto"/>
            </w:tcBorders>
            <w:shd w:val="clear" w:color="auto" w:fill="auto"/>
            <w:noWrap/>
            <w:vAlign w:val="center"/>
            <w:hideMark/>
          </w:tcPr>
          <w:p w14:paraId="7E72C656" w14:textId="77777777" w:rsidR="006B698F" w:rsidRPr="00FA3C4D" w:rsidRDefault="006B698F" w:rsidP="00B067C4">
            <w:pPr>
              <w:spacing w:after="0"/>
              <w:jc w:val="right"/>
              <w:rPr>
                <w:rFonts w:eastAsia="Times New Roman" w:cs="Times New Roman"/>
                <w:sz w:val="20"/>
                <w:szCs w:val="20"/>
              </w:rPr>
            </w:pPr>
            <w:r w:rsidRPr="00FA3C4D">
              <w:rPr>
                <w:rFonts w:eastAsia="Times New Roman" w:cs="Times New Roman"/>
                <w:sz w:val="20"/>
                <w:szCs w:val="20"/>
              </w:rPr>
              <w:t>7.6%</w:t>
            </w:r>
          </w:p>
        </w:tc>
      </w:tr>
      <w:tr w:rsidR="006B698F" w:rsidRPr="006B698F" w14:paraId="6440B4B1" w14:textId="77777777" w:rsidTr="00B067C4">
        <w:trPr>
          <w:trHeight w:val="300"/>
        </w:trPr>
        <w:tc>
          <w:tcPr>
            <w:tcW w:w="1716" w:type="dxa"/>
            <w:tcBorders>
              <w:top w:val="nil"/>
              <w:left w:val="single" w:sz="4" w:space="0" w:color="auto"/>
              <w:bottom w:val="single" w:sz="4" w:space="0" w:color="auto"/>
              <w:right w:val="nil"/>
            </w:tcBorders>
            <w:shd w:val="clear" w:color="auto" w:fill="auto"/>
            <w:noWrap/>
            <w:vAlign w:val="center"/>
            <w:hideMark/>
          </w:tcPr>
          <w:p w14:paraId="089FBE4E" w14:textId="77777777" w:rsidR="006B698F" w:rsidRPr="00FA3C4D" w:rsidRDefault="006B698F" w:rsidP="00B067C4">
            <w:pPr>
              <w:spacing w:after="0"/>
              <w:rPr>
                <w:rFonts w:eastAsia="Times New Roman" w:cs="Times New Roman"/>
                <w:sz w:val="20"/>
                <w:szCs w:val="20"/>
              </w:rPr>
            </w:pPr>
            <w:r w:rsidRPr="00FA3C4D">
              <w:rPr>
                <w:rFonts w:eastAsia="Times New Roman" w:cs="Times New Roman"/>
                <w:sz w:val="20"/>
                <w:szCs w:val="20"/>
              </w:rPr>
              <w:t>Multiple</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547C04" w14:textId="7411C734" w:rsidR="006B698F" w:rsidRPr="00FA3C4D" w:rsidRDefault="006B698F" w:rsidP="00B067C4">
            <w:pPr>
              <w:spacing w:after="0"/>
              <w:jc w:val="right"/>
              <w:rPr>
                <w:rFonts w:eastAsia="Times New Roman" w:cs="Times New Roman"/>
                <w:sz w:val="20"/>
                <w:szCs w:val="20"/>
              </w:rPr>
            </w:pPr>
            <w:r w:rsidRPr="00FA3C4D">
              <w:rPr>
                <w:rFonts w:eastAsia="Times New Roman" w:cs="Times New Roman"/>
                <w:sz w:val="20"/>
                <w:szCs w:val="20"/>
              </w:rPr>
              <w:t>1</w:t>
            </w:r>
            <w:r w:rsidR="00F54E98" w:rsidRPr="00FA3C4D">
              <w:rPr>
                <w:rFonts w:eastAsia="Times New Roman" w:cs="Times New Roman"/>
                <w:sz w:val="20"/>
                <w:szCs w:val="20"/>
              </w:rPr>
              <w:t>,</w:t>
            </w:r>
            <w:r w:rsidRPr="00FA3C4D">
              <w:rPr>
                <w:rFonts w:eastAsia="Times New Roman" w:cs="Times New Roman"/>
                <w:sz w:val="20"/>
                <w:szCs w:val="20"/>
              </w:rPr>
              <w:t>030</w:t>
            </w:r>
          </w:p>
        </w:tc>
        <w:tc>
          <w:tcPr>
            <w:tcW w:w="1701" w:type="dxa"/>
            <w:tcBorders>
              <w:top w:val="nil"/>
              <w:left w:val="nil"/>
              <w:bottom w:val="single" w:sz="4" w:space="0" w:color="auto"/>
              <w:right w:val="single" w:sz="4" w:space="0" w:color="auto"/>
            </w:tcBorders>
            <w:shd w:val="clear" w:color="auto" w:fill="auto"/>
            <w:noWrap/>
            <w:vAlign w:val="center"/>
            <w:hideMark/>
          </w:tcPr>
          <w:p w14:paraId="0B26A2D0" w14:textId="77777777" w:rsidR="006B698F" w:rsidRPr="00FA3C4D" w:rsidRDefault="006B698F" w:rsidP="00B067C4">
            <w:pPr>
              <w:spacing w:after="0"/>
              <w:jc w:val="right"/>
              <w:rPr>
                <w:rFonts w:eastAsia="Times New Roman" w:cs="Times New Roman"/>
                <w:sz w:val="20"/>
                <w:szCs w:val="20"/>
              </w:rPr>
            </w:pPr>
            <w:r w:rsidRPr="00FA3C4D">
              <w:rPr>
                <w:rFonts w:eastAsia="Times New Roman" w:cs="Times New Roman"/>
                <w:sz w:val="20"/>
                <w:szCs w:val="20"/>
              </w:rPr>
              <w:t>80.2%</w:t>
            </w:r>
          </w:p>
        </w:tc>
      </w:tr>
      <w:tr w:rsidR="006B698F" w:rsidRPr="006B698F" w14:paraId="196D9A76" w14:textId="77777777" w:rsidTr="00B067C4">
        <w:trPr>
          <w:trHeight w:val="300"/>
        </w:trPr>
        <w:tc>
          <w:tcPr>
            <w:tcW w:w="1716" w:type="dxa"/>
            <w:tcBorders>
              <w:top w:val="nil"/>
              <w:left w:val="single" w:sz="4" w:space="0" w:color="auto"/>
              <w:bottom w:val="single" w:sz="4" w:space="0" w:color="auto"/>
              <w:right w:val="nil"/>
            </w:tcBorders>
            <w:shd w:val="clear" w:color="auto" w:fill="auto"/>
            <w:noWrap/>
            <w:vAlign w:val="center"/>
            <w:hideMark/>
          </w:tcPr>
          <w:p w14:paraId="2160CDCF" w14:textId="77777777" w:rsidR="006B698F" w:rsidRPr="00FA3C4D" w:rsidRDefault="006B698F" w:rsidP="00B067C4">
            <w:pPr>
              <w:spacing w:after="0"/>
              <w:rPr>
                <w:rFonts w:eastAsia="Times New Roman" w:cs="Times New Roman"/>
                <w:sz w:val="20"/>
                <w:szCs w:val="20"/>
              </w:rPr>
            </w:pPr>
            <w:r w:rsidRPr="00FA3C4D">
              <w:rPr>
                <w:rFonts w:eastAsia="Times New Roman" w:cs="Times New Roman"/>
                <w:sz w:val="20"/>
                <w:szCs w:val="20"/>
              </w:rPr>
              <w:t>Total</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C43A12" w14:textId="6913FBCA" w:rsidR="006B698F" w:rsidRPr="00FA3C4D" w:rsidRDefault="006B698F" w:rsidP="00B067C4">
            <w:pPr>
              <w:spacing w:after="0"/>
              <w:jc w:val="right"/>
              <w:rPr>
                <w:rFonts w:eastAsia="Times New Roman" w:cs="Times New Roman"/>
                <w:sz w:val="20"/>
                <w:szCs w:val="20"/>
              </w:rPr>
            </w:pPr>
            <w:r w:rsidRPr="00FA3C4D">
              <w:rPr>
                <w:rFonts w:eastAsia="Times New Roman" w:cs="Times New Roman"/>
                <w:sz w:val="20"/>
                <w:szCs w:val="20"/>
              </w:rPr>
              <w:t>1</w:t>
            </w:r>
            <w:r w:rsidR="00F54E98" w:rsidRPr="00FA3C4D">
              <w:rPr>
                <w:rFonts w:eastAsia="Times New Roman" w:cs="Times New Roman"/>
                <w:sz w:val="20"/>
                <w:szCs w:val="20"/>
              </w:rPr>
              <w:t>,</w:t>
            </w:r>
            <w:r w:rsidRPr="00FA3C4D">
              <w:rPr>
                <w:rFonts w:eastAsia="Times New Roman" w:cs="Times New Roman"/>
                <w:sz w:val="20"/>
                <w:szCs w:val="20"/>
              </w:rPr>
              <w:t>285</w:t>
            </w:r>
          </w:p>
        </w:tc>
        <w:tc>
          <w:tcPr>
            <w:tcW w:w="1701" w:type="dxa"/>
            <w:tcBorders>
              <w:top w:val="nil"/>
              <w:left w:val="nil"/>
              <w:bottom w:val="single" w:sz="4" w:space="0" w:color="auto"/>
              <w:right w:val="single" w:sz="4" w:space="0" w:color="auto"/>
            </w:tcBorders>
            <w:shd w:val="clear" w:color="auto" w:fill="auto"/>
            <w:noWrap/>
            <w:vAlign w:val="center"/>
            <w:hideMark/>
          </w:tcPr>
          <w:p w14:paraId="17F47D0A" w14:textId="77777777" w:rsidR="006B698F" w:rsidRPr="00FA3C4D" w:rsidRDefault="006B698F" w:rsidP="00B067C4">
            <w:pPr>
              <w:spacing w:after="0"/>
              <w:jc w:val="right"/>
              <w:rPr>
                <w:rFonts w:eastAsia="Times New Roman" w:cs="Times New Roman"/>
                <w:sz w:val="20"/>
                <w:szCs w:val="20"/>
              </w:rPr>
            </w:pPr>
            <w:r w:rsidRPr="00FA3C4D">
              <w:rPr>
                <w:rFonts w:eastAsia="Times New Roman" w:cs="Times New Roman"/>
                <w:sz w:val="20"/>
                <w:szCs w:val="20"/>
              </w:rPr>
              <w:t>100.0%</w:t>
            </w:r>
          </w:p>
        </w:tc>
      </w:tr>
    </w:tbl>
    <w:p w14:paraId="2BCBF44F" w14:textId="6F8F100D" w:rsidR="00F05BED" w:rsidRDefault="0066087D" w:rsidP="009362D7">
      <w:pPr>
        <w:spacing w:after="0"/>
        <w:rPr>
          <w:sz w:val="22"/>
          <w:szCs w:val="22"/>
        </w:rPr>
      </w:pPr>
      <w:r w:rsidRPr="00BF29F8">
        <w:rPr>
          <w:rStyle w:val="FiguretitleChar"/>
          <w:rFonts w:asciiTheme="minorHAnsi" w:eastAsiaTheme="minorEastAsia" w:hAnsiTheme="minorHAnsi" w:cstheme="minorBidi"/>
          <w:b w:val="0"/>
          <w:sz w:val="20"/>
          <w:szCs w:val="20"/>
          <w:lang w:val="en-AU"/>
        </w:rPr>
        <w:t>Source: DHS Supplied Prescriptions database, extracted April 2016</w:t>
      </w:r>
      <w:r>
        <w:rPr>
          <w:rStyle w:val="FiguretitleChar"/>
          <w:rFonts w:asciiTheme="minorHAnsi" w:eastAsiaTheme="minorEastAsia" w:hAnsiTheme="minorHAnsi" w:cstheme="minorBidi"/>
          <w:b w:val="0"/>
          <w:sz w:val="20"/>
          <w:szCs w:val="20"/>
          <w:lang w:val="en-AU"/>
        </w:rPr>
        <w:t>.</w:t>
      </w:r>
    </w:p>
    <w:p w14:paraId="3CB749ED" w14:textId="77777777" w:rsidR="00FD0CAF" w:rsidRDefault="00FD0CAF" w:rsidP="003548A0">
      <w:pPr>
        <w:pStyle w:val="Heading3"/>
      </w:pPr>
    </w:p>
    <w:p w14:paraId="5E9BE8B4" w14:textId="77777777" w:rsidR="00FD0CAF" w:rsidRDefault="00FD0CAF" w:rsidP="003548A0">
      <w:pPr>
        <w:pStyle w:val="Heading3"/>
      </w:pPr>
    </w:p>
    <w:p w14:paraId="58927153" w14:textId="1EB77373" w:rsidR="001C4B81" w:rsidRPr="003B1298" w:rsidRDefault="001C4B81" w:rsidP="003548A0">
      <w:pPr>
        <w:pStyle w:val="Heading3"/>
      </w:pPr>
      <w:r w:rsidRPr="003B1298">
        <w:lastRenderedPageBreak/>
        <w:t>Transitions between drugs</w:t>
      </w:r>
    </w:p>
    <w:p w14:paraId="27D7003C" w14:textId="21F250D7" w:rsidR="00CA725A" w:rsidRPr="001F0A19" w:rsidRDefault="00CA725A" w:rsidP="00FA3C4D">
      <w:r w:rsidRPr="001F0A19">
        <w:t>The sequence of therapy was examined for two cohorts:</w:t>
      </w:r>
    </w:p>
    <w:p w14:paraId="44739A46" w14:textId="3D5CFD94" w:rsidR="00CA725A" w:rsidRPr="001F0A19" w:rsidRDefault="00CA725A" w:rsidP="00FA3C4D">
      <w:pPr>
        <w:pStyle w:val="ListParagraph"/>
        <w:numPr>
          <w:ilvl w:val="0"/>
          <w:numId w:val="25"/>
        </w:numPr>
      </w:pPr>
      <w:r w:rsidRPr="001F0A19">
        <w:t xml:space="preserve">Patients initiating treatment with docetaxel or cabazitaxel between 1 January to </w:t>
      </w:r>
      <w:r w:rsidR="00476A47">
        <w:br/>
      </w:r>
      <w:r w:rsidRPr="001F0A19">
        <w:t xml:space="preserve">31 July 2013 (i.e. within the seven months prior to the listing of abiraterone from </w:t>
      </w:r>
      <w:r w:rsidR="00476A47">
        <w:br/>
      </w:r>
      <w:r w:rsidRPr="001F0A19">
        <w:t>1 August 2013); and</w:t>
      </w:r>
    </w:p>
    <w:p w14:paraId="16DB2CC0" w14:textId="3B11F12D" w:rsidR="00CA725A" w:rsidRDefault="00CA725A" w:rsidP="00FA3C4D">
      <w:pPr>
        <w:pStyle w:val="ListParagraph"/>
        <w:numPr>
          <w:ilvl w:val="0"/>
          <w:numId w:val="25"/>
        </w:numPr>
      </w:pPr>
      <w:r w:rsidRPr="001F0A19">
        <w:t>Patients initiating treatment with docetaxel, cabazitaxel, abiraterone or enzalutamide between 1 January to 31 March 2015 (i.e. after the listing of enzalutamide).</w:t>
      </w:r>
    </w:p>
    <w:p w14:paraId="6D417789" w14:textId="1A7B5A06" w:rsidR="002F523B" w:rsidRDefault="00B55739" w:rsidP="00FA3C4D">
      <w:r>
        <w:t>For patients initiating therapy before the listing of abiraterone, the majority commenced on docetaxel before receiving abi</w:t>
      </w:r>
      <w:r w:rsidR="0000119F">
        <w:t>r</w:t>
      </w:r>
      <w:r w:rsidR="00CF0741">
        <w:t>aterone or cabazitaxel (Table 17</w:t>
      </w:r>
      <w:r>
        <w:t>). Of the 842 initiators, 187 patients (22%) received cabazitaxel after being supplied abiraterone or enzalutamide.</w:t>
      </w:r>
    </w:p>
    <w:p w14:paraId="2EE50381" w14:textId="1CEBBB40" w:rsidR="00E10C83" w:rsidRDefault="00CF0741" w:rsidP="003548A0">
      <w:pPr>
        <w:pStyle w:val="Tabletitle"/>
        <w:rPr>
          <w:sz w:val="22"/>
          <w:szCs w:val="22"/>
        </w:rPr>
      </w:pPr>
      <w:r>
        <w:t>Table 17</w:t>
      </w:r>
      <w:r w:rsidR="003548A0">
        <w:t>:</w:t>
      </w:r>
      <w:r w:rsidR="00E10C83" w:rsidRPr="0000119F">
        <w:t xml:space="preserve"> Summary of drug sequences for patients </w:t>
      </w:r>
      <w:r w:rsidR="00F05BED">
        <w:t xml:space="preserve">after </w:t>
      </w:r>
      <w:r w:rsidR="00E10C83" w:rsidRPr="0000119F">
        <w:t>initiating</w:t>
      </w:r>
      <w:r w:rsidR="00F05BED">
        <w:t xml:space="preserve"> on their first episode</w:t>
      </w:r>
      <w:r w:rsidR="00E10C83" w:rsidRPr="0000119F">
        <w:t xml:space="preserve"> o</w:t>
      </w:r>
      <w:r w:rsidR="00F05BED">
        <w:t>f</w:t>
      </w:r>
      <w:r w:rsidR="00E10C83" w:rsidRPr="0000119F">
        <w:t xml:space="preserve"> docetaxel</w:t>
      </w:r>
      <w:r w:rsidR="00F05BED">
        <w:t xml:space="preserve"> or</w:t>
      </w:r>
      <w:r w:rsidR="00E10C83" w:rsidRPr="0000119F">
        <w:t xml:space="preserve"> cabazitaxel between 1 January to July 2013 (n=842)</w:t>
      </w:r>
    </w:p>
    <w:tbl>
      <w:tblPr>
        <w:tblW w:w="8400" w:type="dxa"/>
        <w:tblInd w:w="93" w:type="dxa"/>
        <w:tblLook w:val="04A0" w:firstRow="1" w:lastRow="0" w:firstColumn="1" w:lastColumn="0" w:noHBand="0" w:noVBand="1"/>
        <w:tblCaption w:val="Summary of drug sequences for patients after initiating on their first episode of docetaxel or cabazitaxel between 1 January to July 2013 (n=842)"/>
        <w:tblDescription w:val="A table of the Summary of drug sequences for patients after initiating on their first episode of docetaxel or cabazitaxel between 1 January to July 2013 (n=842)"/>
      </w:tblPr>
      <w:tblGrid>
        <w:gridCol w:w="6160"/>
        <w:gridCol w:w="960"/>
        <w:gridCol w:w="1280"/>
      </w:tblGrid>
      <w:tr w:rsidR="00E10C83" w:rsidRPr="003548A0" w14:paraId="6EECCD4B" w14:textId="77777777" w:rsidTr="00FA3C4D">
        <w:trPr>
          <w:trHeight w:val="300"/>
          <w:tblHeader/>
        </w:trPr>
        <w:tc>
          <w:tcPr>
            <w:tcW w:w="6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F7814D3" w14:textId="77777777" w:rsidR="00E10C83" w:rsidRPr="003548A0" w:rsidRDefault="00E10C83" w:rsidP="00E10C83">
            <w:pPr>
              <w:spacing w:after="0"/>
              <w:jc w:val="center"/>
              <w:rPr>
                <w:rFonts w:eastAsia="Times New Roman" w:cs="Times New Roman"/>
                <w:b/>
                <w:bCs/>
                <w:sz w:val="20"/>
                <w:szCs w:val="20"/>
              </w:rPr>
            </w:pPr>
            <w:r w:rsidRPr="003548A0">
              <w:rPr>
                <w:rFonts w:eastAsia="Times New Roman" w:cs="Times New Roman"/>
                <w:b/>
                <w:bCs/>
                <w:sz w:val="20"/>
                <w:szCs w:val="20"/>
              </w:rPr>
              <w:t>Drug sequence</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CC38F9D" w14:textId="77777777" w:rsidR="00E10C83" w:rsidRPr="003548A0" w:rsidRDefault="00E10C83" w:rsidP="00E10C83">
            <w:pPr>
              <w:spacing w:after="0"/>
              <w:jc w:val="center"/>
              <w:rPr>
                <w:rFonts w:eastAsia="Times New Roman" w:cs="Times New Roman"/>
                <w:b/>
                <w:bCs/>
                <w:sz w:val="20"/>
                <w:szCs w:val="20"/>
              </w:rPr>
            </w:pPr>
            <w:r w:rsidRPr="003548A0">
              <w:rPr>
                <w:rFonts w:eastAsia="Times New Roman" w:cs="Times New Roman"/>
                <w:b/>
                <w:bCs/>
                <w:sz w:val="20"/>
                <w:szCs w:val="20"/>
              </w:rPr>
              <w:t>n</w:t>
            </w:r>
          </w:p>
        </w:tc>
        <w:tc>
          <w:tcPr>
            <w:tcW w:w="12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5692CE9" w14:textId="77777777" w:rsidR="00E10C83" w:rsidRPr="003548A0" w:rsidRDefault="00E10C83" w:rsidP="00E10C83">
            <w:pPr>
              <w:spacing w:after="0"/>
              <w:jc w:val="center"/>
              <w:rPr>
                <w:rFonts w:eastAsia="Times New Roman" w:cs="Times New Roman"/>
                <w:b/>
                <w:bCs/>
                <w:sz w:val="20"/>
                <w:szCs w:val="20"/>
              </w:rPr>
            </w:pPr>
            <w:r w:rsidRPr="003548A0">
              <w:rPr>
                <w:rFonts w:eastAsia="Times New Roman" w:cs="Times New Roman"/>
                <w:b/>
                <w:bCs/>
                <w:sz w:val="20"/>
                <w:szCs w:val="20"/>
              </w:rPr>
              <w:t>Proportion</w:t>
            </w:r>
          </w:p>
        </w:tc>
      </w:tr>
      <w:tr w:rsidR="00E10C83" w:rsidRPr="003548A0" w14:paraId="3A459DEC" w14:textId="77777777" w:rsidTr="00E10C83">
        <w:trPr>
          <w:trHeight w:val="300"/>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D8CB09B"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DOCETAXEL</w:t>
            </w:r>
          </w:p>
        </w:tc>
        <w:tc>
          <w:tcPr>
            <w:tcW w:w="960" w:type="dxa"/>
            <w:tcBorders>
              <w:top w:val="nil"/>
              <w:left w:val="nil"/>
              <w:bottom w:val="single" w:sz="4" w:space="0" w:color="auto"/>
              <w:right w:val="single" w:sz="4" w:space="0" w:color="auto"/>
            </w:tcBorders>
            <w:shd w:val="clear" w:color="auto" w:fill="auto"/>
            <w:noWrap/>
            <w:vAlign w:val="bottom"/>
            <w:hideMark/>
          </w:tcPr>
          <w:p w14:paraId="695FF59C"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309</w:t>
            </w:r>
          </w:p>
        </w:tc>
        <w:tc>
          <w:tcPr>
            <w:tcW w:w="1280" w:type="dxa"/>
            <w:tcBorders>
              <w:top w:val="nil"/>
              <w:left w:val="nil"/>
              <w:bottom w:val="single" w:sz="4" w:space="0" w:color="auto"/>
              <w:right w:val="single" w:sz="4" w:space="0" w:color="auto"/>
            </w:tcBorders>
            <w:shd w:val="clear" w:color="auto" w:fill="auto"/>
            <w:noWrap/>
            <w:vAlign w:val="bottom"/>
            <w:hideMark/>
          </w:tcPr>
          <w:p w14:paraId="215E5091"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36.7%</w:t>
            </w:r>
          </w:p>
        </w:tc>
      </w:tr>
      <w:tr w:rsidR="00E10C83" w:rsidRPr="003548A0" w14:paraId="2396B1FE" w14:textId="77777777" w:rsidTr="00E10C83">
        <w:trPr>
          <w:trHeight w:val="300"/>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BC83902"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DOCETAXEL -&gt; ABIRATERONE</w:t>
            </w:r>
          </w:p>
        </w:tc>
        <w:tc>
          <w:tcPr>
            <w:tcW w:w="960" w:type="dxa"/>
            <w:tcBorders>
              <w:top w:val="nil"/>
              <w:left w:val="nil"/>
              <w:bottom w:val="single" w:sz="4" w:space="0" w:color="auto"/>
              <w:right w:val="single" w:sz="4" w:space="0" w:color="auto"/>
            </w:tcBorders>
            <w:shd w:val="clear" w:color="auto" w:fill="auto"/>
            <w:noWrap/>
            <w:vAlign w:val="bottom"/>
            <w:hideMark/>
          </w:tcPr>
          <w:p w14:paraId="6B3FC622"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260</w:t>
            </w:r>
          </w:p>
        </w:tc>
        <w:tc>
          <w:tcPr>
            <w:tcW w:w="1280" w:type="dxa"/>
            <w:tcBorders>
              <w:top w:val="nil"/>
              <w:left w:val="nil"/>
              <w:bottom w:val="single" w:sz="4" w:space="0" w:color="auto"/>
              <w:right w:val="single" w:sz="4" w:space="0" w:color="auto"/>
            </w:tcBorders>
            <w:shd w:val="clear" w:color="auto" w:fill="auto"/>
            <w:noWrap/>
            <w:vAlign w:val="bottom"/>
            <w:hideMark/>
          </w:tcPr>
          <w:p w14:paraId="08A10057"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30.8%</w:t>
            </w:r>
          </w:p>
        </w:tc>
      </w:tr>
      <w:tr w:rsidR="00E10C83" w:rsidRPr="003548A0" w14:paraId="249B9D3C" w14:textId="77777777" w:rsidTr="00E10C83">
        <w:trPr>
          <w:trHeight w:val="300"/>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7373370"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DOCETAXEL -&gt; ABIRATERONE -&gt; CABAZITAXEL</w:t>
            </w:r>
          </w:p>
        </w:tc>
        <w:tc>
          <w:tcPr>
            <w:tcW w:w="960" w:type="dxa"/>
            <w:tcBorders>
              <w:top w:val="nil"/>
              <w:left w:val="nil"/>
              <w:bottom w:val="single" w:sz="4" w:space="0" w:color="auto"/>
              <w:right w:val="single" w:sz="4" w:space="0" w:color="auto"/>
            </w:tcBorders>
            <w:shd w:val="clear" w:color="auto" w:fill="auto"/>
            <w:noWrap/>
            <w:vAlign w:val="bottom"/>
            <w:hideMark/>
          </w:tcPr>
          <w:p w14:paraId="4BBD4B8B"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158</w:t>
            </w:r>
          </w:p>
        </w:tc>
        <w:tc>
          <w:tcPr>
            <w:tcW w:w="1280" w:type="dxa"/>
            <w:tcBorders>
              <w:top w:val="nil"/>
              <w:left w:val="nil"/>
              <w:bottom w:val="single" w:sz="4" w:space="0" w:color="auto"/>
              <w:right w:val="single" w:sz="4" w:space="0" w:color="auto"/>
            </w:tcBorders>
            <w:shd w:val="clear" w:color="auto" w:fill="auto"/>
            <w:noWrap/>
            <w:vAlign w:val="bottom"/>
            <w:hideMark/>
          </w:tcPr>
          <w:p w14:paraId="3807F700"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18.7%</w:t>
            </w:r>
          </w:p>
        </w:tc>
      </w:tr>
      <w:tr w:rsidR="00E10C83" w:rsidRPr="003548A0" w14:paraId="30F99818" w14:textId="77777777" w:rsidTr="00E10C83">
        <w:trPr>
          <w:trHeight w:val="300"/>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0EBBF4C"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DOCETAXEL -&gt; ABIRATERONE -&gt; ENZALUTAMIDE</w:t>
            </w:r>
          </w:p>
        </w:tc>
        <w:tc>
          <w:tcPr>
            <w:tcW w:w="960" w:type="dxa"/>
            <w:tcBorders>
              <w:top w:val="nil"/>
              <w:left w:val="nil"/>
              <w:bottom w:val="single" w:sz="4" w:space="0" w:color="auto"/>
              <w:right w:val="single" w:sz="4" w:space="0" w:color="auto"/>
            </w:tcBorders>
            <w:shd w:val="clear" w:color="auto" w:fill="auto"/>
            <w:noWrap/>
            <w:vAlign w:val="bottom"/>
            <w:hideMark/>
          </w:tcPr>
          <w:p w14:paraId="6F16786F"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34</w:t>
            </w:r>
          </w:p>
        </w:tc>
        <w:tc>
          <w:tcPr>
            <w:tcW w:w="1280" w:type="dxa"/>
            <w:tcBorders>
              <w:top w:val="nil"/>
              <w:left w:val="nil"/>
              <w:bottom w:val="single" w:sz="4" w:space="0" w:color="auto"/>
              <w:right w:val="single" w:sz="4" w:space="0" w:color="auto"/>
            </w:tcBorders>
            <w:shd w:val="clear" w:color="auto" w:fill="auto"/>
            <w:noWrap/>
            <w:vAlign w:val="bottom"/>
            <w:hideMark/>
          </w:tcPr>
          <w:p w14:paraId="4C173283"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4.0%</w:t>
            </w:r>
          </w:p>
        </w:tc>
      </w:tr>
      <w:tr w:rsidR="00E10C83" w:rsidRPr="003548A0" w14:paraId="26A0BFC5" w14:textId="77777777" w:rsidTr="00E10C83">
        <w:trPr>
          <w:trHeight w:val="300"/>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24C95A6"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DOCETAXEL -&gt; CABAZITAXEL -&gt; ABIRATERONE</w:t>
            </w:r>
          </w:p>
        </w:tc>
        <w:tc>
          <w:tcPr>
            <w:tcW w:w="960" w:type="dxa"/>
            <w:tcBorders>
              <w:top w:val="nil"/>
              <w:left w:val="nil"/>
              <w:bottom w:val="single" w:sz="4" w:space="0" w:color="auto"/>
              <w:right w:val="single" w:sz="4" w:space="0" w:color="auto"/>
            </w:tcBorders>
            <w:shd w:val="clear" w:color="auto" w:fill="auto"/>
            <w:noWrap/>
            <w:vAlign w:val="bottom"/>
            <w:hideMark/>
          </w:tcPr>
          <w:p w14:paraId="7F1605B3"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28</w:t>
            </w:r>
          </w:p>
        </w:tc>
        <w:tc>
          <w:tcPr>
            <w:tcW w:w="1280" w:type="dxa"/>
            <w:tcBorders>
              <w:top w:val="nil"/>
              <w:left w:val="nil"/>
              <w:bottom w:val="single" w:sz="4" w:space="0" w:color="auto"/>
              <w:right w:val="single" w:sz="4" w:space="0" w:color="auto"/>
            </w:tcBorders>
            <w:shd w:val="clear" w:color="auto" w:fill="auto"/>
            <w:noWrap/>
            <w:vAlign w:val="bottom"/>
            <w:hideMark/>
          </w:tcPr>
          <w:p w14:paraId="0AE5A2BC"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3.3%</w:t>
            </w:r>
          </w:p>
        </w:tc>
      </w:tr>
      <w:tr w:rsidR="00E10C83" w:rsidRPr="003548A0" w14:paraId="1250D0BD" w14:textId="77777777" w:rsidTr="00E10C83">
        <w:trPr>
          <w:trHeight w:val="300"/>
        </w:trPr>
        <w:tc>
          <w:tcPr>
            <w:tcW w:w="6160" w:type="dxa"/>
            <w:tcBorders>
              <w:top w:val="nil"/>
              <w:left w:val="single" w:sz="4" w:space="0" w:color="auto"/>
              <w:bottom w:val="nil"/>
              <w:right w:val="single" w:sz="4" w:space="0" w:color="auto"/>
            </w:tcBorders>
            <w:shd w:val="clear" w:color="auto" w:fill="auto"/>
            <w:noWrap/>
            <w:vAlign w:val="bottom"/>
            <w:hideMark/>
          </w:tcPr>
          <w:p w14:paraId="7FE9A840"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DOCETAXEL -&gt; ABIRATERONE -&gt; CABAZITAXEL -&gt; ENZALUTAMIDE</w:t>
            </w:r>
          </w:p>
        </w:tc>
        <w:tc>
          <w:tcPr>
            <w:tcW w:w="960" w:type="dxa"/>
            <w:tcBorders>
              <w:top w:val="nil"/>
              <w:left w:val="nil"/>
              <w:bottom w:val="nil"/>
              <w:right w:val="single" w:sz="4" w:space="0" w:color="auto"/>
            </w:tcBorders>
            <w:shd w:val="clear" w:color="auto" w:fill="auto"/>
            <w:noWrap/>
            <w:vAlign w:val="bottom"/>
            <w:hideMark/>
          </w:tcPr>
          <w:p w14:paraId="41E8AE97"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22</w:t>
            </w:r>
          </w:p>
        </w:tc>
        <w:tc>
          <w:tcPr>
            <w:tcW w:w="1280" w:type="dxa"/>
            <w:tcBorders>
              <w:top w:val="nil"/>
              <w:left w:val="nil"/>
              <w:bottom w:val="nil"/>
              <w:right w:val="single" w:sz="4" w:space="0" w:color="auto"/>
            </w:tcBorders>
            <w:shd w:val="clear" w:color="auto" w:fill="auto"/>
            <w:noWrap/>
            <w:vAlign w:val="bottom"/>
            <w:hideMark/>
          </w:tcPr>
          <w:p w14:paraId="167E9CC4"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2.6%</w:t>
            </w:r>
          </w:p>
        </w:tc>
      </w:tr>
      <w:tr w:rsidR="00E10C83" w:rsidRPr="003548A0" w14:paraId="4B22BCAE" w14:textId="77777777" w:rsidTr="00E10C83">
        <w:trPr>
          <w:trHeight w:val="300"/>
        </w:trPr>
        <w:tc>
          <w:tcPr>
            <w:tcW w:w="6160" w:type="dxa"/>
            <w:tcBorders>
              <w:top w:val="single" w:sz="4" w:space="0" w:color="auto"/>
              <w:left w:val="single" w:sz="4" w:space="0" w:color="auto"/>
              <w:bottom w:val="nil"/>
              <w:right w:val="nil"/>
            </w:tcBorders>
            <w:shd w:val="clear" w:color="auto" w:fill="auto"/>
            <w:noWrap/>
            <w:vAlign w:val="bottom"/>
            <w:hideMark/>
          </w:tcPr>
          <w:p w14:paraId="4164ABB7"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Other:</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4E1C6924"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31</w:t>
            </w:r>
          </w:p>
        </w:tc>
        <w:tc>
          <w:tcPr>
            <w:tcW w:w="1280" w:type="dxa"/>
            <w:tcBorders>
              <w:top w:val="single" w:sz="4" w:space="0" w:color="auto"/>
              <w:left w:val="nil"/>
              <w:bottom w:val="nil"/>
              <w:right w:val="single" w:sz="4" w:space="0" w:color="auto"/>
            </w:tcBorders>
            <w:shd w:val="clear" w:color="auto" w:fill="auto"/>
            <w:noWrap/>
            <w:vAlign w:val="bottom"/>
            <w:hideMark/>
          </w:tcPr>
          <w:p w14:paraId="32FA65DE" w14:textId="77777777" w:rsidR="00E10C83" w:rsidRPr="003548A0" w:rsidRDefault="00E10C83" w:rsidP="00E10C83">
            <w:pPr>
              <w:spacing w:after="0"/>
              <w:jc w:val="center"/>
              <w:rPr>
                <w:rFonts w:eastAsia="Times New Roman" w:cs="Times New Roman"/>
                <w:sz w:val="20"/>
                <w:szCs w:val="20"/>
              </w:rPr>
            </w:pPr>
            <w:r w:rsidRPr="003548A0">
              <w:rPr>
                <w:rFonts w:eastAsia="Times New Roman" w:cs="Times New Roman"/>
                <w:sz w:val="20"/>
                <w:szCs w:val="20"/>
              </w:rPr>
              <w:t>3.9%</w:t>
            </w:r>
          </w:p>
        </w:tc>
      </w:tr>
      <w:tr w:rsidR="00E10C83" w:rsidRPr="003548A0" w14:paraId="5FA7D521" w14:textId="77777777" w:rsidTr="00E10C83">
        <w:trPr>
          <w:trHeight w:val="300"/>
        </w:trPr>
        <w:tc>
          <w:tcPr>
            <w:tcW w:w="6160" w:type="dxa"/>
            <w:tcBorders>
              <w:top w:val="nil"/>
              <w:left w:val="single" w:sz="4" w:space="0" w:color="auto"/>
              <w:bottom w:val="nil"/>
              <w:right w:val="nil"/>
            </w:tcBorders>
            <w:shd w:val="clear" w:color="auto" w:fill="auto"/>
            <w:noWrap/>
            <w:vAlign w:val="bottom"/>
            <w:hideMark/>
          </w:tcPr>
          <w:p w14:paraId="0EAD408C"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DOCETAXEL -&gt; CABAZITAXEL</w:t>
            </w:r>
          </w:p>
        </w:tc>
        <w:tc>
          <w:tcPr>
            <w:tcW w:w="960" w:type="dxa"/>
            <w:tcBorders>
              <w:top w:val="nil"/>
              <w:left w:val="single" w:sz="4" w:space="0" w:color="auto"/>
              <w:bottom w:val="nil"/>
              <w:right w:val="single" w:sz="4" w:space="0" w:color="auto"/>
            </w:tcBorders>
            <w:shd w:val="clear" w:color="auto" w:fill="auto"/>
            <w:noWrap/>
            <w:vAlign w:val="bottom"/>
            <w:hideMark/>
          </w:tcPr>
          <w:p w14:paraId="2791EC77"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c>
          <w:tcPr>
            <w:tcW w:w="1280" w:type="dxa"/>
            <w:tcBorders>
              <w:top w:val="nil"/>
              <w:left w:val="nil"/>
              <w:bottom w:val="nil"/>
              <w:right w:val="single" w:sz="4" w:space="0" w:color="auto"/>
            </w:tcBorders>
            <w:shd w:val="clear" w:color="auto" w:fill="auto"/>
            <w:noWrap/>
            <w:vAlign w:val="bottom"/>
            <w:hideMark/>
          </w:tcPr>
          <w:p w14:paraId="24294E26"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r>
      <w:tr w:rsidR="00E10C83" w:rsidRPr="003548A0" w14:paraId="70606AC8" w14:textId="77777777" w:rsidTr="00E10C83">
        <w:trPr>
          <w:trHeight w:val="300"/>
        </w:trPr>
        <w:tc>
          <w:tcPr>
            <w:tcW w:w="6160" w:type="dxa"/>
            <w:tcBorders>
              <w:top w:val="nil"/>
              <w:left w:val="single" w:sz="4" w:space="0" w:color="auto"/>
              <w:bottom w:val="nil"/>
              <w:right w:val="nil"/>
            </w:tcBorders>
            <w:shd w:val="clear" w:color="auto" w:fill="auto"/>
            <w:noWrap/>
            <w:vAlign w:val="bottom"/>
            <w:hideMark/>
          </w:tcPr>
          <w:p w14:paraId="44A83E36"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DOCETAXEL -&gt; ENZALUTAMIDE</w:t>
            </w:r>
          </w:p>
        </w:tc>
        <w:tc>
          <w:tcPr>
            <w:tcW w:w="960" w:type="dxa"/>
            <w:tcBorders>
              <w:top w:val="nil"/>
              <w:left w:val="single" w:sz="4" w:space="0" w:color="auto"/>
              <w:bottom w:val="nil"/>
              <w:right w:val="single" w:sz="4" w:space="0" w:color="auto"/>
            </w:tcBorders>
            <w:shd w:val="clear" w:color="auto" w:fill="auto"/>
            <w:noWrap/>
            <w:vAlign w:val="bottom"/>
            <w:hideMark/>
          </w:tcPr>
          <w:p w14:paraId="056774B0"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c>
          <w:tcPr>
            <w:tcW w:w="1280" w:type="dxa"/>
            <w:tcBorders>
              <w:top w:val="nil"/>
              <w:left w:val="nil"/>
              <w:bottom w:val="nil"/>
              <w:right w:val="single" w:sz="4" w:space="0" w:color="auto"/>
            </w:tcBorders>
            <w:shd w:val="clear" w:color="auto" w:fill="auto"/>
            <w:noWrap/>
            <w:vAlign w:val="bottom"/>
            <w:hideMark/>
          </w:tcPr>
          <w:p w14:paraId="6CF439F5"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r>
      <w:tr w:rsidR="00E10C83" w:rsidRPr="003548A0" w14:paraId="340C66D9" w14:textId="77777777" w:rsidTr="00E10C83">
        <w:trPr>
          <w:trHeight w:val="300"/>
        </w:trPr>
        <w:tc>
          <w:tcPr>
            <w:tcW w:w="6160" w:type="dxa"/>
            <w:tcBorders>
              <w:top w:val="nil"/>
              <w:left w:val="single" w:sz="4" w:space="0" w:color="auto"/>
              <w:bottom w:val="nil"/>
              <w:right w:val="nil"/>
            </w:tcBorders>
            <w:shd w:val="clear" w:color="auto" w:fill="auto"/>
            <w:noWrap/>
            <w:vAlign w:val="bottom"/>
            <w:hideMark/>
          </w:tcPr>
          <w:p w14:paraId="3DED6162"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DOCETAXEL -&gt; ABIRATERONE -&gt; ENZALUTAMIDE -&gt; CABAZITAXEL</w:t>
            </w:r>
          </w:p>
        </w:tc>
        <w:tc>
          <w:tcPr>
            <w:tcW w:w="960" w:type="dxa"/>
            <w:tcBorders>
              <w:top w:val="nil"/>
              <w:left w:val="single" w:sz="4" w:space="0" w:color="auto"/>
              <w:bottom w:val="nil"/>
              <w:right w:val="single" w:sz="4" w:space="0" w:color="auto"/>
            </w:tcBorders>
            <w:shd w:val="clear" w:color="auto" w:fill="auto"/>
            <w:noWrap/>
            <w:vAlign w:val="bottom"/>
            <w:hideMark/>
          </w:tcPr>
          <w:p w14:paraId="56BDC7A3"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c>
          <w:tcPr>
            <w:tcW w:w="1280" w:type="dxa"/>
            <w:tcBorders>
              <w:top w:val="nil"/>
              <w:left w:val="nil"/>
              <w:bottom w:val="nil"/>
              <w:right w:val="single" w:sz="4" w:space="0" w:color="auto"/>
            </w:tcBorders>
            <w:shd w:val="clear" w:color="auto" w:fill="auto"/>
            <w:noWrap/>
            <w:vAlign w:val="bottom"/>
            <w:hideMark/>
          </w:tcPr>
          <w:p w14:paraId="49A0ACA7"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r>
      <w:tr w:rsidR="00E10C83" w:rsidRPr="003548A0" w14:paraId="2B983BC1" w14:textId="77777777" w:rsidTr="00E10C83">
        <w:trPr>
          <w:trHeight w:val="300"/>
        </w:trPr>
        <w:tc>
          <w:tcPr>
            <w:tcW w:w="6160" w:type="dxa"/>
            <w:tcBorders>
              <w:top w:val="nil"/>
              <w:left w:val="single" w:sz="4" w:space="0" w:color="auto"/>
              <w:bottom w:val="nil"/>
              <w:right w:val="nil"/>
            </w:tcBorders>
            <w:shd w:val="clear" w:color="auto" w:fill="auto"/>
            <w:noWrap/>
            <w:vAlign w:val="bottom"/>
            <w:hideMark/>
          </w:tcPr>
          <w:p w14:paraId="5AD2670D"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DOCETAXEL -&gt; CABAZITAXEL -&gt; ABIRATERONE -&gt; ENZALUTAMIDE</w:t>
            </w:r>
          </w:p>
        </w:tc>
        <w:tc>
          <w:tcPr>
            <w:tcW w:w="960" w:type="dxa"/>
            <w:tcBorders>
              <w:top w:val="nil"/>
              <w:left w:val="single" w:sz="4" w:space="0" w:color="auto"/>
              <w:bottom w:val="nil"/>
              <w:right w:val="single" w:sz="4" w:space="0" w:color="auto"/>
            </w:tcBorders>
            <w:shd w:val="clear" w:color="auto" w:fill="auto"/>
            <w:noWrap/>
            <w:vAlign w:val="bottom"/>
            <w:hideMark/>
          </w:tcPr>
          <w:p w14:paraId="54C83DDB"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c>
          <w:tcPr>
            <w:tcW w:w="1280" w:type="dxa"/>
            <w:tcBorders>
              <w:top w:val="nil"/>
              <w:left w:val="nil"/>
              <w:bottom w:val="nil"/>
              <w:right w:val="single" w:sz="4" w:space="0" w:color="auto"/>
            </w:tcBorders>
            <w:shd w:val="clear" w:color="auto" w:fill="auto"/>
            <w:noWrap/>
            <w:vAlign w:val="bottom"/>
            <w:hideMark/>
          </w:tcPr>
          <w:p w14:paraId="20F9D620"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r>
      <w:tr w:rsidR="00E10C83" w:rsidRPr="003548A0" w14:paraId="21248249" w14:textId="77777777" w:rsidTr="00E10C83">
        <w:trPr>
          <w:trHeight w:val="300"/>
        </w:trPr>
        <w:tc>
          <w:tcPr>
            <w:tcW w:w="6160" w:type="dxa"/>
            <w:tcBorders>
              <w:top w:val="nil"/>
              <w:left w:val="single" w:sz="4" w:space="0" w:color="auto"/>
              <w:bottom w:val="nil"/>
              <w:right w:val="nil"/>
            </w:tcBorders>
            <w:shd w:val="clear" w:color="auto" w:fill="auto"/>
            <w:noWrap/>
            <w:vAlign w:val="bottom"/>
            <w:hideMark/>
          </w:tcPr>
          <w:p w14:paraId="0A392273"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DOCETAXEL -&gt; CABAZITAXEL -&gt; ENZALUTAMIDE</w:t>
            </w:r>
          </w:p>
        </w:tc>
        <w:tc>
          <w:tcPr>
            <w:tcW w:w="960" w:type="dxa"/>
            <w:tcBorders>
              <w:top w:val="nil"/>
              <w:left w:val="single" w:sz="4" w:space="0" w:color="auto"/>
              <w:bottom w:val="nil"/>
              <w:right w:val="single" w:sz="4" w:space="0" w:color="auto"/>
            </w:tcBorders>
            <w:shd w:val="clear" w:color="auto" w:fill="auto"/>
            <w:noWrap/>
            <w:vAlign w:val="bottom"/>
            <w:hideMark/>
          </w:tcPr>
          <w:p w14:paraId="4CEB4641"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c>
          <w:tcPr>
            <w:tcW w:w="1280" w:type="dxa"/>
            <w:tcBorders>
              <w:top w:val="nil"/>
              <w:left w:val="nil"/>
              <w:bottom w:val="nil"/>
              <w:right w:val="single" w:sz="4" w:space="0" w:color="auto"/>
            </w:tcBorders>
            <w:shd w:val="clear" w:color="auto" w:fill="auto"/>
            <w:noWrap/>
            <w:vAlign w:val="bottom"/>
            <w:hideMark/>
          </w:tcPr>
          <w:p w14:paraId="78F31974"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r>
      <w:tr w:rsidR="00E10C83" w:rsidRPr="003548A0" w14:paraId="7D2549B0" w14:textId="77777777" w:rsidTr="00E10C83">
        <w:trPr>
          <w:trHeight w:val="300"/>
        </w:trPr>
        <w:tc>
          <w:tcPr>
            <w:tcW w:w="6160" w:type="dxa"/>
            <w:tcBorders>
              <w:top w:val="nil"/>
              <w:left w:val="single" w:sz="4" w:space="0" w:color="auto"/>
              <w:bottom w:val="nil"/>
              <w:right w:val="nil"/>
            </w:tcBorders>
            <w:shd w:val="clear" w:color="auto" w:fill="auto"/>
            <w:noWrap/>
            <w:vAlign w:val="bottom"/>
            <w:hideMark/>
          </w:tcPr>
          <w:p w14:paraId="10A6E9D6"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CABAZITAXEL -&gt; ABIRATERONE</w:t>
            </w:r>
          </w:p>
        </w:tc>
        <w:tc>
          <w:tcPr>
            <w:tcW w:w="960" w:type="dxa"/>
            <w:tcBorders>
              <w:top w:val="nil"/>
              <w:left w:val="single" w:sz="4" w:space="0" w:color="auto"/>
              <w:bottom w:val="nil"/>
              <w:right w:val="single" w:sz="4" w:space="0" w:color="auto"/>
            </w:tcBorders>
            <w:shd w:val="clear" w:color="auto" w:fill="auto"/>
            <w:noWrap/>
            <w:vAlign w:val="bottom"/>
            <w:hideMark/>
          </w:tcPr>
          <w:p w14:paraId="6E657CDF"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c>
          <w:tcPr>
            <w:tcW w:w="1280" w:type="dxa"/>
            <w:tcBorders>
              <w:top w:val="nil"/>
              <w:left w:val="nil"/>
              <w:bottom w:val="nil"/>
              <w:right w:val="single" w:sz="4" w:space="0" w:color="auto"/>
            </w:tcBorders>
            <w:shd w:val="clear" w:color="auto" w:fill="auto"/>
            <w:noWrap/>
            <w:vAlign w:val="bottom"/>
            <w:hideMark/>
          </w:tcPr>
          <w:p w14:paraId="467477D0"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r>
      <w:tr w:rsidR="00E10C83" w:rsidRPr="003548A0" w14:paraId="66EFA58B" w14:textId="77777777" w:rsidTr="00E10C83">
        <w:trPr>
          <w:trHeight w:val="300"/>
        </w:trPr>
        <w:tc>
          <w:tcPr>
            <w:tcW w:w="6160" w:type="dxa"/>
            <w:tcBorders>
              <w:top w:val="nil"/>
              <w:left w:val="single" w:sz="4" w:space="0" w:color="auto"/>
              <w:bottom w:val="nil"/>
              <w:right w:val="nil"/>
            </w:tcBorders>
            <w:shd w:val="clear" w:color="auto" w:fill="auto"/>
            <w:noWrap/>
            <w:vAlign w:val="bottom"/>
            <w:hideMark/>
          </w:tcPr>
          <w:p w14:paraId="1A88F10E"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DOCETAXEL -&gt; ENZALUTAMIDE -&gt; CABAZITAXEL</w:t>
            </w:r>
          </w:p>
        </w:tc>
        <w:tc>
          <w:tcPr>
            <w:tcW w:w="960" w:type="dxa"/>
            <w:tcBorders>
              <w:top w:val="nil"/>
              <w:left w:val="single" w:sz="4" w:space="0" w:color="auto"/>
              <w:bottom w:val="nil"/>
              <w:right w:val="single" w:sz="4" w:space="0" w:color="auto"/>
            </w:tcBorders>
            <w:shd w:val="clear" w:color="auto" w:fill="auto"/>
            <w:noWrap/>
            <w:vAlign w:val="bottom"/>
            <w:hideMark/>
          </w:tcPr>
          <w:p w14:paraId="12947331"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c>
          <w:tcPr>
            <w:tcW w:w="1280" w:type="dxa"/>
            <w:tcBorders>
              <w:top w:val="nil"/>
              <w:left w:val="nil"/>
              <w:bottom w:val="nil"/>
              <w:right w:val="single" w:sz="4" w:space="0" w:color="auto"/>
            </w:tcBorders>
            <w:shd w:val="clear" w:color="auto" w:fill="auto"/>
            <w:noWrap/>
            <w:vAlign w:val="bottom"/>
            <w:hideMark/>
          </w:tcPr>
          <w:p w14:paraId="6413CEC1"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r>
      <w:tr w:rsidR="00E10C83" w:rsidRPr="003548A0" w14:paraId="3A9D7C22" w14:textId="77777777" w:rsidTr="00E10C83">
        <w:trPr>
          <w:trHeight w:val="300"/>
        </w:trPr>
        <w:tc>
          <w:tcPr>
            <w:tcW w:w="6160" w:type="dxa"/>
            <w:tcBorders>
              <w:top w:val="nil"/>
              <w:left w:val="single" w:sz="4" w:space="0" w:color="auto"/>
              <w:bottom w:val="single" w:sz="4" w:space="0" w:color="auto"/>
              <w:right w:val="nil"/>
            </w:tcBorders>
            <w:shd w:val="clear" w:color="auto" w:fill="auto"/>
            <w:noWrap/>
            <w:vAlign w:val="bottom"/>
            <w:hideMark/>
          </w:tcPr>
          <w:p w14:paraId="12AEA0C3"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CABAZITAXEL</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5A1575"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F60152" w14:textId="77777777" w:rsidR="00E10C83" w:rsidRPr="003548A0" w:rsidRDefault="00E10C83" w:rsidP="00E10C83">
            <w:pPr>
              <w:spacing w:after="0"/>
              <w:rPr>
                <w:rFonts w:eastAsia="Times New Roman" w:cs="Times New Roman"/>
                <w:sz w:val="20"/>
                <w:szCs w:val="20"/>
              </w:rPr>
            </w:pPr>
            <w:r w:rsidRPr="003548A0">
              <w:rPr>
                <w:rFonts w:eastAsia="Times New Roman" w:cs="Times New Roman"/>
                <w:sz w:val="20"/>
                <w:szCs w:val="20"/>
              </w:rPr>
              <w:t> </w:t>
            </w:r>
          </w:p>
        </w:tc>
      </w:tr>
    </w:tbl>
    <w:p w14:paraId="7ED4C29D" w14:textId="7ED193A0" w:rsidR="001C4B81" w:rsidRDefault="0066087D" w:rsidP="009362D7">
      <w:pPr>
        <w:spacing w:after="0"/>
        <w:rPr>
          <w:rStyle w:val="FiguretitleChar"/>
          <w:rFonts w:asciiTheme="minorHAnsi" w:eastAsiaTheme="minorEastAsia" w:hAnsiTheme="minorHAnsi" w:cstheme="minorBidi"/>
          <w:b w:val="0"/>
          <w:sz w:val="20"/>
          <w:szCs w:val="20"/>
          <w:lang w:val="en-AU"/>
        </w:rPr>
      </w:pPr>
      <w:r w:rsidRPr="00BF29F8">
        <w:rPr>
          <w:rStyle w:val="FiguretitleChar"/>
          <w:rFonts w:asciiTheme="minorHAnsi" w:eastAsiaTheme="minorEastAsia" w:hAnsiTheme="minorHAnsi" w:cstheme="minorBidi"/>
          <w:b w:val="0"/>
          <w:sz w:val="20"/>
          <w:szCs w:val="20"/>
          <w:lang w:val="en-AU"/>
        </w:rPr>
        <w:t>Source: DHS Supplied Prescriptions database, extracted April 2016</w:t>
      </w:r>
      <w:r>
        <w:rPr>
          <w:rStyle w:val="FiguretitleChar"/>
          <w:rFonts w:asciiTheme="minorHAnsi" w:eastAsiaTheme="minorEastAsia" w:hAnsiTheme="minorHAnsi" w:cstheme="minorBidi"/>
          <w:b w:val="0"/>
          <w:sz w:val="20"/>
          <w:szCs w:val="20"/>
          <w:lang w:val="en-AU"/>
        </w:rPr>
        <w:t>.</w:t>
      </w:r>
    </w:p>
    <w:p w14:paraId="49196D9E" w14:textId="77777777" w:rsidR="0066087D" w:rsidRDefault="0066087D" w:rsidP="009362D7">
      <w:pPr>
        <w:spacing w:after="0"/>
        <w:rPr>
          <w:sz w:val="22"/>
          <w:szCs w:val="22"/>
        </w:rPr>
      </w:pPr>
    </w:p>
    <w:p w14:paraId="6CE09FE5" w14:textId="26D4C096" w:rsidR="0052529F" w:rsidRDefault="00003244" w:rsidP="0066087D">
      <w:pPr>
        <w:rPr>
          <w:sz w:val="22"/>
          <w:szCs w:val="22"/>
        </w:rPr>
      </w:pPr>
      <w:r w:rsidRPr="00E6775A">
        <w:t>Table 18</w:t>
      </w:r>
      <w:r w:rsidR="00FA32F1" w:rsidRPr="00E6775A">
        <w:t xml:space="preserve"> summari</w:t>
      </w:r>
      <w:r w:rsidR="00F05BED" w:rsidRPr="00E6775A">
        <w:t>s</w:t>
      </w:r>
      <w:r w:rsidR="00FA32F1" w:rsidRPr="00E6775A">
        <w:t xml:space="preserve">es the sequence of therapy received by </w:t>
      </w:r>
      <w:r w:rsidR="001E5BAF" w:rsidRPr="00E6775A">
        <w:t xml:space="preserve">3,772 </w:t>
      </w:r>
      <w:r w:rsidR="007A69BB" w:rsidRPr="00E6775A">
        <w:t xml:space="preserve">patients </w:t>
      </w:r>
      <w:r w:rsidR="00F05BED" w:rsidRPr="00E6775A">
        <w:t xml:space="preserve">first episode </w:t>
      </w:r>
      <w:r w:rsidR="00E6775A" w:rsidRPr="00E6775A">
        <w:t xml:space="preserve">of </w:t>
      </w:r>
      <w:r w:rsidR="007A69BB" w:rsidRPr="00E6775A">
        <w:t xml:space="preserve">therapy after </w:t>
      </w:r>
      <w:r w:rsidR="00FA32F1" w:rsidRPr="00E6775A">
        <w:t xml:space="preserve">1 December 2014 following </w:t>
      </w:r>
      <w:r w:rsidR="007A69BB" w:rsidRPr="00E6775A">
        <w:t>the listing of enzalutamide and change to the restriction</w:t>
      </w:r>
      <w:r w:rsidR="00FA32F1" w:rsidRPr="00E6775A">
        <w:t>s for abiraterone and enzalutamide</w:t>
      </w:r>
      <w:r w:rsidR="007A69BB" w:rsidRPr="00E6775A">
        <w:t xml:space="preserve"> </w:t>
      </w:r>
      <w:r w:rsidR="00FA32F1" w:rsidRPr="00E6775A">
        <w:t>to include patients unsuitable for docetaxel treatment on the basis of pred</w:t>
      </w:r>
      <w:r w:rsidR="001C1E7D">
        <w:t xml:space="preserve">icted intolerance to docetaxel. Seventy-five percent of </w:t>
      </w:r>
      <w:r w:rsidR="004C3F6A" w:rsidRPr="00E6775A">
        <w:t>patients received a prior supply of docetaxel before transitioning to abiraterone, enzalutamide or cabazitaxe</w:t>
      </w:r>
      <w:r w:rsidRPr="00E6775A">
        <w:t>l (Table 18</w:t>
      </w:r>
      <w:r w:rsidR="004C3F6A" w:rsidRPr="00E6775A">
        <w:t xml:space="preserve">). </w:t>
      </w:r>
      <w:r w:rsidR="00650B11" w:rsidRPr="00E6775A">
        <w:t>Around one-quarter (24%) of patients were first initiated on either abir</w:t>
      </w:r>
      <w:r w:rsidR="0056755B" w:rsidRPr="00E6775A">
        <w:t>a</w:t>
      </w:r>
      <w:r w:rsidRPr="00E6775A">
        <w:t>terone or enzalutamide (Table 18</w:t>
      </w:r>
      <w:r w:rsidR="00650B11" w:rsidRPr="00E6775A">
        <w:t xml:space="preserve">). </w:t>
      </w:r>
      <w:r w:rsidR="001E5BAF" w:rsidRPr="00E6775A">
        <w:t>There were 419 patients (11%)</w:t>
      </w:r>
      <w:r w:rsidR="00FE552F" w:rsidRPr="00E6775A">
        <w:t xml:space="preserve"> who transitioned from one oral drug to another (either abiraterone or enzalutamide).</w:t>
      </w:r>
      <w:r w:rsidR="00821B90">
        <w:t xml:space="preserve"> </w:t>
      </w:r>
      <w:r w:rsidR="000344E1">
        <w:t xml:space="preserve">Abiraterone and enzalutamide are generally well tolerated drugs, for example the proportion of patients who discontinued abiraterone treatment in </w:t>
      </w:r>
      <w:r w:rsidR="000344E1" w:rsidRPr="000344E1">
        <w:t>Trial COU-AA-301</w:t>
      </w:r>
      <w:r w:rsidR="000344E1">
        <w:t xml:space="preserve"> due to drug-related adverse events was 4.8%. </w:t>
      </w:r>
    </w:p>
    <w:p w14:paraId="653FCE00" w14:textId="517298DB" w:rsidR="00F960C3" w:rsidRDefault="00E5029F" w:rsidP="0066087D">
      <w:pPr>
        <w:rPr>
          <w:sz w:val="22"/>
          <w:szCs w:val="22"/>
        </w:rPr>
      </w:pPr>
      <w:r w:rsidRPr="00531FF3">
        <w:lastRenderedPageBreak/>
        <w:t xml:space="preserve">Cabazitaxel was used after an oral agent (abiraterone or enzalutamide) in </w:t>
      </w:r>
      <w:r w:rsidR="001E5BAF" w:rsidRPr="00531FF3">
        <w:t>around 10</w:t>
      </w:r>
      <w:r w:rsidR="00003244" w:rsidRPr="00531FF3">
        <w:t>% of patients (Table 18</w:t>
      </w:r>
      <w:r w:rsidRPr="00531FF3">
        <w:t>).</w:t>
      </w:r>
      <w:r w:rsidR="0052529F" w:rsidRPr="00531FF3">
        <w:t xml:space="preserve"> </w:t>
      </w:r>
      <w:r w:rsidR="00531FF3" w:rsidRPr="00531FF3">
        <w:t xml:space="preserve">The PBAC (March 2012) previously considered that there should be no use of cabazitaxel after failure with abiraterone therapy. The restriction wording for cabazitaxel may need to be clarified to specify that it should not be used in combination with or following abiraterone or enzalutamide. </w:t>
      </w:r>
    </w:p>
    <w:p w14:paraId="19E62A44" w14:textId="3664F402" w:rsidR="00AA2820" w:rsidRDefault="00003244" w:rsidP="003548A0">
      <w:pPr>
        <w:pStyle w:val="Tabletitle"/>
        <w:rPr>
          <w:sz w:val="22"/>
          <w:szCs w:val="22"/>
        </w:rPr>
      </w:pPr>
      <w:r>
        <w:t>Table 18</w:t>
      </w:r>
      <w:r w:rsidR="003548A0">
        <w:t>:</w:t>
      </w:r>
      <w:r w:rsidR="00AA2820" w:rsidRPr="00BA0B2C">
        <w:t xml:space="preserve"> Summary of drug sequences for patients initiating on docetaxel, cabazitaxel, abiraterone or enzalutamide between 1 January to March 2015 (n=3,772)</w:t>
      </w:r>
    </w:p>
    <w:tbl>
      <w:tblPr>
        <w:tblW w:w="8500" w:type="dxa"/>
        <w:tblInd w:w="93" w:type="dxa"/>
        <w:tblLook w:val="04A0" w:firstRow="1" w:lastRow="0" w:firstColumn="1" w:lastColumn="0" w:noHBand="0" w:noVBand="1"/>
        <w:tblCaption w:val="Summary of drug sequences for patients initiating on docetaxel, cabazitaxel, abiraterone or enzalutamide between 1 January to March 2015 (n=3,772)"/>
        <w:tblDescription w:val="A table of the Summary of drug sequences for patients initiating on docetaxel, cabazitaxel, abiraterone or enzalutamide between 1 January to March 2015 (n=3,772)"/>
      </w:tblPr>
      <w:tblGrid>
        <w:gridCol w:w="6340"/>
        <w:gridCol w:w="960"/>
        <w:gridCol w:w="1200"/>
      </w:tblGrid>
      <w:tr w:rsidR="00AA2820" w:rsidRPr="00904D90" w14:paraId="71319413" w14:textId="77777777" w:rsidTr="00FA3C4D">
        <w:trPr>
          <w:trHeight w:val="300"/>
          <w:tblHeader/>
        </w:trPr>
        <w:tc>
          <w:tcPr>
            <w:tcW w:w="6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B3B8C3F" w14:textId="77777777" w:rsidR="00AA2820" w:rsidRPr="00904D90" w:rsidRDefault="00AA2820" w:rsidP="00AA2820">
            <w:pPr>
              <w:spacing w:after="0"/>
              <w:jc w:val="center"/>
              <w:rPr>
                <w:rFonts w:eastAsia="Times New Roman" w:cs="Times New Roman"/>
                <w:b/>
                <w:bCs/>
                <w:sz w:val="20"/>
                <w:szCs w:val="20"/>
              </w:rPr>
            </w:pPr>
            <w:r w:rsidRPr="00904D90">
              <w:rPr>
                <w:rFonts w:eastAsia="Times New Roman" w:cs="Times New Roman"/>
                <w:b/>
                <w:bCs/>
                <w:sz w:val="20"/>
                <w:szCs w:val="20"/>
              </w:rPr>
              <w:t>Drug sequence</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6804140" w14:textId="77777777" w:rsidR="00AA2820" w:rsidRPr="00904D90" w:rsidRDefault="00AA2820" w:rsidP="00AA2820">
            <w:pPr>
              <w:spacing w:after="0"/>
              <w:jc w:val="center"/>
              <w:rPr>
                <w:rFonts w:eastAsia="Times New Roman" w:cs="Times New Roman"/>
                <w:b/>
                <w:bCs/>
                <w:sz w:val="20"/>
                <w:szCs w:val="20"/>
              </w:rPr>
            </w:pPr>
            <w:r w:rsidRPr="00904D90">
              <w:rPr>
                <w:rFonts w:eastAsia="Times New Roman" w:cs="Times New Roman"/>
                <w:b/>
                <w:bCs/>
                <w:sz w:val="20"/>
                <w:szCs w:val="20"/>
              </w:rPr>
              <w:t>n</w:t>
            </w:r>
          </w:p>
        </w:tc>
        <w:tc>
          <w:tcPr>
            <w:tcW w:w="12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1541189" w14:textId="77777777" w:rsidR="00AA2820" w:rsidRPr="00904D90" w:rsidRDefault="00AA2820" w:rsidP="00AA2820">
            <w:pPr>
              <w:spacing w:after="0"/>
              <w:jc w:val="center"/>
              <w:rPr>
                <w:rFonts w:eastAsia="Times New Roman" w:cs="Times New Roman"/>
                <w:b/>
                <w:bCs/>
                <w:sz w:val="20"/>
                <w:szCs w:val="20"/>
              </w:rPr>
            </w:pPr>
            <w:r w:rsidRPr="00904D90">
              <w:rPr>
                <w:rFonts w:eastAsia="Times New Roman" w:cs="Times New Roman"/>
                <w:b/>
                <w:bCs/>
                <w:sz w:val="20"/>
                <w:szCs w:val="20"/>
              </w:rPr>
              <w:t>Proportion</w:t>
            </w:r>
          </w:p>
        </w:tc>
      </w:tr>
      <w:tr w:rsidR="00AA2820" w:rsidRPr="00904D90" w14:paraId="0DCE53E3" w14:textId="77777777" w:rsidTr="00AA2820">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160A9EE8"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w:t>
            </w:r>
          </w:p>
        </w:tc>
        <w:tc>
          <w:tcPr>
            <w:tcW w:w="960" w:type="dxa"/>
            <w:tcBorders>
              <w:top w:val="nil"/>
              <w:left w:val="nil"/>
              <w:bottom w:val="single" w:sz="4" w:space="0" w:color="auto"/>
              <w:right w:val="single" w:sz="4" w:space="0" w:color="auto"/>
            </w:tcBorders>
            <w:shd w:val="clear" w:color="auto" w:fill="auto"/>
            <w:noWrap/>
            <w:vAlign w:val="bottom"/>
            <w:hideMark/>
          </w:tcPr>
          <w:p w14:paraId="307EE374"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899</w:t>
            </w:r>
          </w:p>
        </w:tc>
        <w:tc>
          <w:tcPr>
            <w:tcW w:w="1200" w:type="dxa"/>
            <w:tcBorders>
              <w:top w:val="nil"/>
              <w:left w:val="nil"/>
              <w:bottom w:val="single" w:sz="4" w:space="0" w:color="auto"/>
              <w:right w:val="single" w:sz="4" w:space="0" w:color="auto"/>
            </w:tcBorders>
            <w:shd w:val="clear" w:color="auto" w:fill="auto"/>
            <w:noWrap/>
            <w:vAlign w:val="bottom"/>
            <w:hideMark/>
          </w:tcPr>
          <w:p w14:paraId="0EE8A353"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23.8%</w:t>
            </w:r>
          </w:p>
        </w:tc>
      </w:tr>
      <w:tr w:rsidR="00AA2820" w:rsidRPr="00904D90" w14:paraId="54575BEE" w14:textId="77777777" w:rsidTr="00AA2820">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F74EFCD"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ABIRATERONE</w:t>
            </w:r>
          </w:p>
        </w:tc>
        <w:tc>
          <w:tcPr>
            <w:tcW w:w="960" w:type="dxa"/>
            <w:tcBorders>
              <w:top w:val="nil"/>
              <w:left w:val="nil"/>
              <w:bottom w:val="single" w:sz="4" w:space="0" w:color="auto"/>
              <w:right w:val="single" w:sz="4" w:space="0" w:color="auto"/>
            </w:tcBorders>
            <w:shd w:val="clear" w:color="auto" w:fill="auto"/>
            <w:noWrap/>
            <w:vAlign w:val="bottom"/>
            <w:hideMark/>
          </w:tcPr>
          <w:p w14:paraId="04205821"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821</w:t>
            </w:r>
          </w:p>
        </w:tc>
        <w:tc>
          <w:tcPr>
            <w:tcW w:w="1200" w:type="dxa"/>
            <w:tcBorders>
              <w:top w:val="nil"/>
              <w:left w:val="nil"/>
              <w:bottom w:val="single" w:sz="4" w:space="0" w:color="auto"/>
              <w:right w:val="single" w:sz="4" w:space="0" w:color="auto"/>
            </w:tcBorders>
            <w:shd w:val="clear" w:color="auto" w:fill="auto"/>
            <w:noWrap/>
            <w:vAlign w:val="bottom"/>
            <w:hideMark/>
          </w:tcPr>
          <w:p w14:paraId="67E1967E"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21.8%</w:t>
            </w:r>
          </w:p>
        </w:tc>
      </w:tr>
      <w:tr w:rsidR="00AA2820" w:rsidRPr="00904D90" w14:paraId="2999D1E0" w14:textId="77777777" w:rsidTr="00AA2820">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66E927A"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ABIRATERONE</w:t>
            </w:r>
          </w:p>
        </w:tc>
        <w:tc>
          <w:tcPr>
            <w:tcW w:w="960" w:type="dxa"/>
            <w:tcBorders>
              <w:top w:val="nil"/>
              <w:left w:val="nil"/>
              <w:bottom w:val="single" w:sz="4" w:space="0" w:color="auto"/>
              <w:right w:val="single" w:sz="4" w:space="0" w:color="auto"/>
            </w:tcBorders>
            <w:shd w:val="clear" w:color="auto" w:fill="auto"/>
            <w:noWrap/>
            <w:vAlign w:val="bottom"/>
            <w:hideMark/>
          </w:tcPr>
          <w:p w14:paraId="4AF62411"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401</w:t>
            </w:r>
          </w:p>
        </w:tc>
        <w:tc>
          <w:tcPr>
            <w:tcW w:w="1200" w:type="dxa"/>
            <w:tcBorders>
              <w:top w:val="nil"/>
              <w:left w:val="nil"/>
              <w:bottom w:val="single" w:sz="4" w:space="0" w:color="auto"/>
              <w:right w:val="single" w:sz="4" w:space="0" w:color="auto"/>
            </w:tcBorders>
            <w:shd w:val="clear" w:color="auto" w:fill="auto"/>
            <w:noWrap/>
            <w:vAlign w:val="bottom"/>
            <w:hideMark/>
          </w:tcPr>
          <w:p w14:paraId="5FD28088"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10.6%</w:t>
            </w:r>
          </w:p>
        </w:tc>
      </w:tr>
      <w:tr w:rsidR="00AA2820" w:rsidRPr="00904D90" w14:paraId="324A9792" w14:textId="77777777" w:rsidTr="00AA2820">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D154A81"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ENZALUTAMIDE</w:t>
            </w:r>
          </w:p>
        </w:tc>
        <w:tc>
          <w:tcPr>
            <w:tcW w:w="960" w:type="dxa"/>
            <w:tcBorders>
              <w:top w:val="nil"/>
              <w:left w:val="nil"/>
              <w:bottom w:val="single" w:sz="4" w:space="0" w:color="auto"/>
              <w:right w:val="single" w:sz="4" w:space="0" w:color="auto"/>
            </w:tcBorders>
            <w:shd w:val="clear" w:color="auto" w:fill="auto"/>
            <w:noWrap/>
            <w:vAlign w:val="bottom"/>
            <w:hideMark/>
          </w:tcPr>
          <w:p w14:paraId="04D7FF53"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349</w:t>
            </w:r>
          </w:p>
        </w:tc>
        <w:tc>
          <w:tcPr>
            <w:tcW w:w="1200" w:type="dxa"/>
            <w:tcBorders>
              <w:top w:val="nil"/>
              <w:left w:val="nil"/>
              <w:bottom w:val="single" w:sz="4" w:space="0" w:color="auto"/>
              <w:right w:val="single" w:sz="4" w:space="0" w:color="auto"/>
            </w:tcBorders>
            <w:shd w:val="clear" w:color="auto" w:fill="auto"/>
            <w:noWrap/>
            <w:vAlign w:val="bottom"/>
            <w:hideMark/>
          </w:tcPr>
          <w:p w14:paraId="6D6AB910"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9.3%</w:t>
            </w:r>
          </w:p>
        </w:tc>
      </w:tr>
      <w:tr w:rsidR="00AA2820" w:rsidRPr="00904D90" w14:paraId="48811631" w14:textId="77777777" w:rsidTr="00AA2820">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2A58025"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ENZALUTAMIDE</w:t>
            </w:r>
          </w:p>
        </w:tc>
        <w:tc>
          <w:tcPr>
            <w:tcW w:w="960" w:type="dxa"/>
            <w:tcBorders>
              <w:top w:val="nil"/>
              <w:left w:val="nil"/>
              <w:bottom w:val="single" w:sz="4" w:space="0" w:color="auto"/>
              <w:right w:val="single" w:sz="4" w:space="0" w:color="auto"/>
            </w:tcBorders>
            <w:shd w:val="clear" w:color="auto" w:fill="auto"/>
            <w:noWrap/>
            <w:vAlign w:val="bottom"/>
            <w:hideMark/>
          </w:tcPr>
          <w:p w14:paraId="52320FEA"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285</w:t>
            </w:r>
          </w:p>
        </w:tc>
        <w:tc>
          <w:tcPr>
            <w:tcW w:w="1200" w:type="dxa"/>
            <w:tcBorders>
              <w:top w:val="nil"/>
              <w:left w:val="nil"/>
              <w:bottom w:val="single" w:sz="4" w:space="0" w:color="auto"/>
              <w:right w:val="single" w:sz="4" w:space="0" w:color="auto"/>
            </w:tcBorders>
            <w:shd w:val="clear" w:color="auto" w:fill="auto"/>
            <w:noWrap/>
            <w:vAlign w:val="bottom"/>
            <w:hideMark/>
          </w:tcPr>
          <w:p w14:paraId="6599633D"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7.6%</w:t>
            </w:r>
          </w:p>
        </w:tc>
      </w:tr>
      <w:tr w:rsidR="00AA2820" w:rsidRPr="00904D90" w14:paraId="4C84042A" w14:textId="77777777" w:rsidTr="00AA2820">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1B3D3962"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ABIRATERONE -&gt; CABAZITAXEL</w:t>
            </w:r>
          </w:p>
        </w:tc>
        <w:tc>
          <w:tcPr>
            <w:tcW w:w="960" w:type="dxa"/>
            <w:tcBorders>
              <w:top w:val="nil"/>
              <w:left w:val="nil"/>
              <w:bottom w:val="single" w:sz="4" w:space="0" w:color="auto"/>
              <w:right w:val="single" w:sz="4" w:space="0" w:color="auto"/>
            </w:tcBorders>
            <w:shd w:val="clear" w:color="auto" w:fill="auto"/>
            <w:noWrap/>
            <w:vAlign w:val="bottom"/>
            <w:hideMark/>
          </w:tcPr>
          <w:p w14:paraId="16CF2771"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284</w:t>
            </w:r>
          </w:p>
        </w:tc>
        <w:tc>
          <w:tcPr>
            <w:tcW w:w="1200" w:type="dxa"/>
            <w:tcBorders>
              <w:top w:val="nil"/>
              <w:left w:val="nil"/>
              <w:bottom w:val="single" w:sz="4" w:space="0" w:color="auto"/>
              <w:right w:val="single" w:sz="4" w:space="0" w:color="auto"/>
            </w:tcBorders>
            <w:shd w:val="clear" w:color="auto" w:fill="auto"/>
            <w:noWrap/>
            <w:vAlign w:val="bottom"/>
            <w:hideMark/>
          </w:tcPr>
          <w:p w14:paraId="2428CE6D"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7.5%</w:t>
            </w:r>
          </w:p>
        </w:tc>
      </w:tr>
      <w:tr w:rsidR="00AA2820" w:rsidRPr="00904D90" w14:paraId="2B9E81DD" w14:textId="77777777" w:rsidTr="00AA2820">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FA08D8E"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ABIRATERONE -&gt; ENZALUTAMIDE</w:t>
            </w:r>
          </w:p>
        </w:tc>
        <w:tc>
          <w:tcPr>
            <w:tcW w:w="960" w:type="dxa"/>
            <w:tcBorders>
              <w:top w:val="nil"/>
              <w:left w:val="nil"/>
              <w:bottom w:val="single" w:sz="4" w:space="0" w:color="auto"/>
              <w:right w:val="single" w:sz="4" w:space="0" w:color="auto"/>
            </w:tcBorders>
            <w:shd w:val="clear" w:color="auto" w:fill="auto"/>
            <w:noWrap/>
            <w:vAlign w:val="bottom"/>
            <w:hideMark/>
          </w:tcPr>
          <w:p w14:paraId="4D6379AB"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145</w:t>
            </w:r>
          </w:p>
        </w:tc>
        <w:tc>
          <w:tcPr>
            <w:tcW w:w="1200" w:type="dxa"/>
            <w:tcBorders>
              <w:top w:val="nil"/>
              <w:left w:val="nil"/>
              <w:bottom w:val="single" w:sz="4" w:space="0" w:color="auto"/>
              <w:right w:val="single" w:sz="4" w:space="0" w:color="auto"/>
            </w:tcBorders>
            <w:shd w:val="clear" w:color="auto" w:fill="auto"/>
            <w:noWrap/>
            <w:vAlign w:val="bottom"/>
            <w:hideMark/>
          </w:tcPr>
          <w:p w14:paraId="7C3F8356"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3.8%</w:t>
            </w:r>
          </w:p>
        </w:tc>
      </w:tr>
      <w:tr w:rsidR="00AA2820" w:rsidRPr="00904D90" w14:paraId="476D6D4C" w14:textId="77777777" w:rsidTr="00AA2820">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AE8CC48"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ENZALUTAMIDE -&gt; CABAZITAXEL</w:t>
            </w:r>
          </w:p>
        </w:tc>
        <w:tc>
          <w:tcPr>
            <w:tcW w:w="960" w:type="dxa"/>
            <w:tcBorders>
              <w:top w:val="nil"/>
              <w:left w:val="nil"/>
              <w:bottom w:val="single" w:sz="4" w:space="0" w:color="auto"/>
              <w:right w:val="single" w:sz="4" w:space="0" w:color="auto"/>
            </w:tcBorders>
            <w:shd w:val="clear" w:color="auto" w:fill="auto"/>
            <w:noWrap/>
            <w:vAlign w:val="bottom"/>
            <w:hideMark/>
          </w:tcPr>
          <w:p w14:paraId="4FF1CD8F"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87</w:t>
            </w:r>
          </w:p>
        </w:tc>
        <w:tc>
          <w:tcPr>
            <w:tcW w:w="1200" w:type="dxa"/>
            <w:tcBorders>
              <w:top w:val="nil"/>
              <w:left w:val="nil"/>
              <w:bottom w:val="single" w:sz="4" w:space="0" w:color="auto"/>
              <w:right w:val="single" w:sz="4" w:space="0" w:color="auto"/>
            </w:tcBorders>
            <w:shd w:val="clear" w:color="auto" w:fill="auto"/>
            <w:noWrap/>
            <w:vAlign w:val="bottom"/>
            <w:hideMark/>
          </w:tcPr>
          <w:p w14:paraId="0A67B3E7"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2.3%</w:t>
            </w:r>
          </w:p>
        </w:tc>
      </w:tr>
      <w:tr w:rsidR="00AA2820" w:rsidRPr="00904D90" w14:paraId="5F94D41A"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4C06E848"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Other:</w:t>
            </w:r>
          </w:p>
        </w:tc>
        <w:tc>
          <w:tcPr>
            <w:tcW w:w="960" w:type="dxa"/>
            <w:tcBorders>
              <w:top w:val="nil"/>
              <w:left w:val="nil"/>
              <w:bottom w:val="nil"/>
              <w:right w:val="single" w:sz="4" w:space="0" w:color="auto"/>
            </w:tcBorders>
            <w:shd w:val="clear" w:color="auto" w:fill="auto"/>
            <w:noWrap/>
            <w:vAlign w:val="bottom"/>
            <w:hideMark/>
          </w:tcPr>
          <w:p w14:paraId="4009ECAC"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501</w:t>
            </w:r>
          </w:p>
        </w:tc>
        <w:tc>
          <w:tcPr>
            <w:tcW w:w="1200" w:type="dxa"/>
            <w:tcBorders>
              <w:top w:val="nil"/>
              <w:left w:val="nil"/>
              <w:bottom w:val="nil"/>
              <w:right w:val="single" w:sz="4" w:space="0" w:color="auto"/>
            </w:tcBorders>
            <w:shd w:val="clear" w:color="auto" w:fill="auto"/>
            <w:noWrap/>
            <w:vAlign w:val="bottom"/>
            <w:hideMark/>
          </w:tcPr>
          <w:p w14:paraId="57C94625" w14:textId="77777777" w:rsidR="00AA2820" w:rsidRPr="00904D90" w:rsidRDefault="00AA2820" w:rsidP="00AA2820">
            <w:pPr>
              <w:spacing w:after="0"/>
              <w:jc w:val="center"/>
              <w:rPr>
                <w:rFonts w:eastAsia="Times New Roman" w:cs="Times New Roman"/>
                <w:sz w:val="20"/>
                <w:szCs w:val="20"/>
              </w:rPr>
            </w:pPr>
            <w:r w:rsidRPr="00904D90">
              <w:rPr>
                <w:rFonts w:eastAsia="Times New Roman" w:cs="Times New Roman"/>
                <w:sz w:val="20"/>
                <w:szCs w:val="20"/>
              </w:rPr>
              <w:t>13.3%</w:t>
            </w:r>
          </w:p>
        </w:tc>
      </w:tr>
      <w:tr w:rsidR="00AA2820" w:rsidRPr="00904D90" w14:paraId="1FC0058A"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6B99E167"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ABIRATERONE -&gt; DOCETAXEL</w:t>
            </w:r>
          </w:p>
        </w:tc>
        <w:tc>
          <w:tcPr>
            <w:tcW w:w="960" w:type="dxa"/>
            <w:tcBorders>
              <w:top w:val="nil"/>
              <w:left w:val="nil"/>
              <w:bottom w:val="nil"/>
              <w:right w:val="single" w:sz="4" w:space="0" w:color="auto"/>
            </w:tcBorders>
            <w:shd w:val="clear" w:color="auto" w:fill="auto"/>
            <w:noWrap/>
            <w:vAlign w:val="bottom"/>
            <w:hideMark/>
          </w:tcPr>
          <w:p w14:paraId="09692535"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21C50E3D"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54EE447B"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24A14EA2"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ABIRATERONE -&gt; ENZALUTAMIDE</w:t>
            </w:r>
          </w:p>
        </w:tc>
        <w:tc>
          <w:tcPr>
            <w:tcW w:w="960" w:type="dxa"/>
            <w:tcBorders>
              <w:top w:val="nil"/>
              <w:left w:val="nil"/>
              <w:bottom w:val="nil"/>
              <w:right w:val="single" w:sz="4" w:space="0" w:color="auto"/>
            </w:tcBorders>
            <w:shd w:val="clear" w:color="auto" w:fill="auto"/>
            <w:noWrap/>
            <w:vAlign w:val="bottom"/>
            <w:hideMark/>
          </w:tcPr>
          <w:p w14:paraId="5B526BF9"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04052878"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0CAE1986"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53C60810"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ENZALUTAMIDE -&gt; ABIRATERONE</w:t>
            </w:r>
          </w:p>
        </w:tc>
        <w:tc>
          <w:tcPr>
            <w:tcW w:w="960" w:type="dxa"/>
            <w:tcBorders>
              <w:top w:val="nil"/>
              <w:left w:val="nil"/>
              <w:bottom w:val="nil"/>
              <w:right w:val="single" w:sz="4" w:space="0" w:color="auto"/>
            </w:tcBorders>
            <w:shd w:val="clear" w:color="auto" w:fill="auto"/>
            <w:noWrap/>
            <w:vAlign w:val="bottom"/>
            <w:hideMark/>
          </w:tcPr>
          <w:p w14:paraId="6F301E6F"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240C7340"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392A1BED"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0E15D0CC"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ENZALUTAMIDE -&gt; ABIRATERONE</w:t>
            </w:r>
          </w:p>
        </w:tc>
        <w:tc>
          <w:tcPr>
            <w:tcW w:w="960" w:type="dxa"/>
            <w:tcBorders>
              <w:top w:val="nil"/>
              <w:left w:val="nil"/>
              <w:bottom w:val="nil"/>
              <w:right w:val="single" w:sz="4" w:space="0" w:color="auto"/>
            </w:tcBorders>
            <w:shd w:val="clear" w:color="auto" w:fill="auto"/>
            <w:noWrap/>
            <w:vAlign w:val="bottom"/>
            <w:hideMark/>
          </w:tcPr>
          <w:p w14:paraId="75F7CE8A"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3EBB7952"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5BE03560"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1F7E2479"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CABAZITAXEL</w:t>
            </w:r>
          </w:p>
        </w:tc>
        <w:tc>
          <w:tcPr>
            <w:tcW w:w="960" w:type="dxa"/>
            <w:tcBorders>
              <w:top w:val="nil"/>
              <w:left w:val="nil"/>
              <w:bottom w:val="nil"/>
              <w:right w:val="single" w:sz="4" w:space="0" w:color="auto"/>
            </w:tcBorders>
            <w:shd w:val="clear" w:color="auto" w:fill="auto"/>
            <w:noWrap/>
            <w:vAlign w:val="bottom"/>
            <w:hideMark/>
          </w:tcPr>
          <w:p w14:paraId="4549F379"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410E47AB"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253C98C9"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436C7DF0"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ABIRATERONE -&gt; CABAZITAXEL -&gt; ENZALUTAMIDE</w:t>
            </w:r>
          </w:p>
        </w:tc>
        <w:tc>
          <w:tcPr>
            <w:tcW w:w="960" w:type="dxa"/>
            <w:tcBorders>
              <w:top w:val="nil"/>
              <w:left w:val="nil"/>
              <w:bottom w:val="nil"/>
              <w:right w:val="single" w:sz="4" w:space="0" w:color="auto"/>
            </w:tcBorders>
            <w:shd w:val="clear" w:color="auto" w:fill="auto"/>
            <w:noWrap/>
            <w:vAlign w:val="bottom"/>
            <w:hideMark/>
          </w:tcPr>
          <w:p w14:paraId="342846C4"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082F9A3C"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6850FD2F"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20BE1836"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ENZALUTAMIDE -&gt; DOCETAXEL</w:t>
            </w:r>
          </w:p>
        </w:tc>
        <w:tc>
          <w:tcPr>
            <w:tcW w:w="960" w:type="dxa"/>
            <w:tcBorders>
              <w:top w:val="nil"/>
              <w:left w:val="nil"/>
              <w:bottom w:val="nil"/>
              <w:right w:val="single" w:sz="4" w:space="0" w:color="auto"/>
            </w:tcBorders>
            <w:shd w:val="clear" w:color="auto" w:fill="auto"/>
            <w:noWrap/>
            <w:vAlign w:val="bottom"/>
            <w:hideMark/>
          </w:tcPr>
          <w:p w14:paraId="37B38425"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7CE13F94"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70C527F4"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060DEDFD"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CABAZITAXEL -&gt; ENZALUTAMIDE</w:t>
            </w:r>
          </w:p>
        </w:tc>
        <w:tc>
          <w:tcPr>
            <w:tcW w:w="960" w:type="dxa"/>
            <w:tcBorders>
              <w:top w:val="nil"/>
              <w:left w:val="nil"/>
              <w:bottom w:val="nil"/>
              <w:right w:val="single" w:sz="4" w:space="0" w:color="auto"/>
            </w:tcBorders>
            <w:shd w:val="clear" w:color="auto" w:fill="auto"/>
            <w:noWrap/>
            <w:vAlign w:val="bottom"/>
            <w:hideMark/>
          </w:tcPr>
          <w:p w14:paraId="5F6FA454"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590004CE"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7718CC94"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569AA2AA"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ABIRATERONE -&gt; ENZALUTAMIDE -&gt; CABAZITAXEL</w:t>
            </w:r>
          </w:p>
        </w:tc>
        <w:tc>
          <w:tcPr>
            <w:tcW w:w="960" w:type="dxa"/>
            <w:tcBorders>
              <w:top w:val="nil"/>
              <w:left w:val="nil"/>
              <w:bottom w:val="nil"/>
              <w:right w:val="single" w:sz="4" w:space="0" w:color="auto"/>
            </w:tcBorders>
            <w:shd w:val="clear" w:color="auto" w:fill="auto"/>
            <w:noWrap/>
            <w:vAlign w:val="bottom"/>
            <w:hideMark/>
          </w:tcPr>
          <w:p w14:paraId="055F4AAC"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33C06614"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2F1B081E"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0D6D3644"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CABAZITAXEL -&gt; ABIRATERONE</w:t>
            </w:r>
          </w:p>
        </w:tc>
        <w:tc>
          <w:tcPr>
            <w:tcW w:w="960" w:type="dxa"/>
            <w:tcBorders>
              <w:top w:val="nil"/>
              <w:left w:val="nil"/>
              <w:bottom w:val="nil"/>
              <w:right w:val="single" w:sz="4" w:space="0" w:color="auto"/>
            </w:tcBorders>
            <w:shd w:val="clear" w:color="auto" w:fill="auto"/>
            <w:noWrap/>
            <w:vAlign w:val="bottom"/>
            <w:hideMark/>
          </w:tcPr>
          <w:p w14:paraId="31C782C8"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4DF0EF59"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44A01FF9"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3B13381F"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ABIRATERONE -&gt; DOCETAXEL -&gt; CABAZITAXEL</w:t>
            </w:r>
          </w:p>
        </w:tc>
        <w:tc>
          <w:tcPr>
            <w:tcW w:w="960" w:type="dxa"/>
            <w:tcBorders>
              <w:top w:val="nil"/>
              <w:left w:val="nil"/>
              <w:bottom w:val="nil"/>
              <w:right w:val="single" w:sz="4" w:space="0" w:color="auto"/>
            </w:tcBorders>
            <w:shd w:val="clear" w:color="auto" w:fill="auto"/>
            <w:noWrap/>
            <w:vAlign w:val="bottom"/>
            <w:hideMark/>
          </w:tcPr>
          <w:p w14:paraId="6B5CD334"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631F58D7"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0EF421C2"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4DF77490"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ENZALUTAMIDE -&gt; ABIRATERONE -&gt; CABAZITAXEL</w:t>
            </w:r>
          </w:p>
        </w:tc>
        <w:tc>
          <w:tcPr>
            <w:tcW w:w="960" w:type="dxa"/>
            <w:tcBorders>
              <w:top w:val="nil"/>
              <w:left w:val="nil"/>
              <w:bottom w:val="nil"/>
              <w:right w:val="single" w:sz="4" w:space="0" w:color="auto"/>
            </w:tcBorders>
            <w:shd w:val="clear" w:color="auto" w:fill="auto"/>
            <w:noWrap/>
            <w:vAlign w:val="bottom"/>
            <w:hideMark/>
          </w:tcPr>
          <w:p w14:paraId="293FA1BD"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092C98F2"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5CE71E2E"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46BFB88A"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ENZALUTAMIDE -&gt; DOCETAXEL -&gt; CABAZITAXEL</w:t>
            </w:r>
          </w:p>
        </w:tc>
        <w:tc>
          <w:tcPr>
            <w:tcW w:w="960" w:type="dxa"/>
            <w:tcBorders>
              <w:top w:val="nil"/>
              <w:left w:val="nil"/>
              <w:bottom w:val="nil"/>
              <w:right w:val="single" w:sz="4" w:space="0" w:color="auto"/>
            </w:tcBorders>
            <w:shd w:val="clear" w:color="auto" w:fill="auto"/>
            <w:noWrap/>
            <w:vAlign w:val="bottom"/>
            <w:hideMark/>
          </w:tcPr>
          <w:p w14:paraId="44174E4A"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4D2343A6"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2151931D"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297DB39D"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ABIRATERONE -&gt; CABAZITAXEL</w:t>
            </w:r>
          </w:p>
        </w:tc>
        <w:tc>
          <w:tcPr>
            <w:tcW w:w="960" w:type="dxa"/>
            <w:tcBorders>
              <w:top w:val="nil"/>
              <w:left w:val="nil"/>
              <w:bottom w:val="nil"/>
              <w:right w:val="single" w:sz="4" w:space="0" w:color="auto"/>
            </w:tcBorders>
            <w:shd w:val="clear" w:color="auto" w:fill="auto"/>
            <w:noWrap/>
            <w:vAlign w:val="bottom"/>
            <w:hideMark/>
          </w:tcPr>
          <w:p w14:paraId="56604CE6"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4772FC9B"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51D4F584"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518579FA"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ABIRATERONE -&gt; DOCETAXEL -&gt; ENZALUTAMIDE</w:t>
            </w:r>
          </w:p>
        </w:tc>
        <w:tc>
          <w:tcPr>
            <w:tcW w:w="960" w:type="dxa"/>
            <w:tcBorders>
              <w:top w:val="nil"/>
              <w:left w:val="nil"/>
              <w:bottom w:val="nil"/>
              <w:right w:val="single" w:sz="4" w:space="0" w:color="auto"/>
            </w:tcBorders>
            <w:shd w:val="clear" w:color="auto" w:fill="auto"/>
            <w:noWrap/>
            <w:vAlign w:val="bottom"/>
            <w:hideMark/>
          </w:tcPr>
          <w:p w14:paraId="08A55FBD"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4B568910"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79953B5E"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71DBA676"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ABIRATERONE -&gt; ENZALUTAMIDE -&gt; DOCETAXEL</w:t>
            </w:r>
          </w:p>
        </w:tc>
        <w:tc>
          <w:tcPr>
            <w:tcW w:w="960" w:type="dxa"/>
            <w:tcBorders>
              <w:top w:val="nil"/>
              <w:left w:val="nil"/>
              <w:bottom w:val="nil"/>
              <w:right w:val="single" w:sz="4" w:space="0" w:color="auto"/>
            </w:tcBorders>
            <w:shd w:val="clear" w:color="auto" w:fill="auto"/>
            <w:noWrap/>
            <w:vAlign w:val="bottom"/>
            <w:hideMark/>
          </w:tcPr>
          <w:p w14:paraId="128DF116"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6A6681FA"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7560D2F5"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6D138666"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ENZALUTAMIDE -&gt; DOCETAXEL -&gt; ABIRATERONE</w:t>
            </w:r>
          </w:p>
        </w:tc>
        <w:tc>
          <w:tcPr>
            <w:tcW w:w="960" w:type="dxa"/>
            <w:tcBorders>
              <w:top w:val="nil"/>
              <w:left w:val="nil"/>
              <w:bottom w:val="nil"/>
              <w:right w:val="single" w:sz="4" w:space="0" w:color="auto"/>
            </w:tcBorders>
            <w:shd w:val="clear" w:color="auto" w:fill="auto"/>
            <w:noWrap/>
            <w:vAlign w:val="bottom"/>
            <w:hideMark/>
          </w:tcPr>
          <w:p w14:paraId="2117DDA2"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2B9E5CF4"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364DC5AA"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1E89E470"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CABAZITAXEL -&gt; ABIRATERONE -&gt; ENZALUTAMIDE</w:t>
            </w:r>
          </w:p>
        </w:tc>
        <w:tc>
          <w:tcPr>
            <w:tcW w:w="960" w:type="dxa"/>
            <w:tcBorders>
              <w:top w:val="nil"/>
              <w:left w:val="nil"/>
              <w:bottom w:val="nil"/>
              <w:right w:val="single" w:sz="4" w:space="0" w:color="auto"/>
            </w:tcBorders>
            <w:shd w:val="clear" w:color="auto" w:fill="auto"/>
            <w:noWrap/>
            <w:vAlign w:val="bottom"/>
            <w:hideMark/>
          </w:tcPr>
          <w:p w14:paraId="2B0D51AA"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3902AA58"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6CB2FF6F"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60A4E079"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CABAZITAXEL -&gt; ENZALUTAMIDE -&gt; ABIRATERONE</w:t>
            </w:r>
          </w:p>
        </w:tc>
        <w:tc>
          <w:tcPr>
            <w:tcW w:w="960" w:type="dxa"/>
            <w:tcBorders>
              <w:top w:val="nil"/>
              <w:left w:val="nil"/>
              <w:bottom w:val="nil"/>
              <w:right w:val="single" w:sz="4" w:space="0" w:color="auto"/>
            </w:tcBorders>
            <w:shd w:val="clear" w:color="auto" w:fill="auto"/>
            <w:noWrap/>
            <w:vAlign w:val="bottom"/>
            <w:hideMark/>
          </w:tcPr>
          <w:p w14:paraId="30447A5E"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4E173E04"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5723FE2F"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29FE3951"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ENZALUTAMIDE -&gt; ABIRATERONE -&gt; DOCETAXEL</w:t>
            </w:r>
          </w:p>
        </w:tc>
        <w:tc>
          <w:tcPr>
            <w:tcW w:w="960" w:type="dxa"/>
            <w:tcBorders>
              <w:top w:val="nil"/>
              <w:left w:val="nil"/>
              <w:bottom w:val="nil"/>
              <w:right w:val="single" w:sz="4" w:space="0" w:color="auto"/>
            </w:tcBorders>
            <w:shd w:val="clear" w:color="auto" w:fill="auto"/>
            <w:noWrap/>
            <w:vAlign w:val="bottom"/>
            <w:hideMark/>
          </w:tcPr>
          <w:p w14:paraId="18E992CC"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53B162B1"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5AC57003"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1ADB41C5"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ABIRATERONE -&gt; CABAZITAXEL -&gt; ENZALUTAMIDE</w:t>
            </w:r>
          </w:p>
        </w:tc>
        <w:tc>
          <w:tcPr>
            <w:tcW w:w="960" w:type="dxa"/>
            <w:tcBorders>
              <w:top w:val="nil"/>
              <w:left w:val="nil"/>
              <w:bottom w:val="nil"/>
              <w:right w:val="single" w:sz="4" w:space="0" w:color="auto"/>
            </w:tcBorders>
            <w:shd w:val="clear" w:color="auto" w:fill="auto"/>
            <w:noWrap/>
            <w:vAlign w:val="bottom"/>
            <w:hideMark/>
          </w:tcPr>
          <w:p w14:paraId="6876DD3C"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33122941"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0CD5EE27"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63671547"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ABIRATERONE -&gt; DOCETAXEL -&gt; ENZALUTAMIDE -&gt; CABAZITAXEL</w:t>
            </w:r>
          </w:p>
        </w:tc>
        <w:tc>
          <w:tcPr>
            <w:tcW w:w="960" w:type="dxa"/>
            <w:tcBorders>
              <w:top w:val="nil"/>
              <w:left w:val="nil"/>
              <w:bottom w:val="nil"/>
              <w:right w:val="single" w:sz="4" w:space="0" w:color="auto"/>
            </w:tcBorders>
            <w:shd w:val="clear" w:color="auto" w:fill="auto"/>
            <w:noWrap/>
            <w:vAlign w:val="bottom"/>
            <w:hideMark/>
          </w:tcPr>
          <w:p w14:paraId="04A83E1B"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45634835"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2956E6F1"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061DF9EE"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ABIRATERONE -&gt; ENZALUTAMIDE -&gt; DOCETAXEL -&gt; CABAZITAXEL</w:t>
            </w:r>
          </w:p>
        </w:tc>
        <w:tc>
          <w:tcPr>
            <w:tcW w:w="960" w:type="dxa"/>
            <w:tcBorders>
              <w:top w:val="nil"/>
              <w:left w:val="nil"/>
              <w:bottom w:val="nil"/>
              <w:right w:val="single" w:sz="4" w:space="0" w:color="auto"/>
            </w:tcBorders>
            <w:shd w:val="clear" w:color="auto" w:fill="auto"/>
            <w:noWrap/>
            <w:vAlign w:val="bottom"/>
            <w:hideMark/>
          </w:tcPr>
          <w:p w14:paraId="4709D5EF"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5F610DAF"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2919A7DD"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05E66267"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CABAZITAXEL</w:t>
            </w:r>
          </w:p>
        </w:tc>
        <w:tc>
          <w:tcPr>
            <w:tcW w:w="960" w:type="dxa"/>
            <w:tcBorders>
              <w:top w:val="nil"/>
              <w:left w:val="nil"/>
              <w:bottom w:val="nil"/>
              <w:right w:val="single" w:sz="4" w:space="0" w:color="auto"/>
            </w:tcBorders>
            <w:shd w:val="clear" w:color="auto" w:fill="auto"/>
            <w:noWrap/>
            <w:vAlign w:val="bottom"/>
            <w:hideMark/>
          </w:tcPr>
          <w:p w14:paraId="7259BB64"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7776F172"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44B6D7B9"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58499017"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CABAZITAXEL -&gt; ABIRATERONE</w:t>
            </w:r>
          </w:p>
        </w:tc>
        <w:tc>
          <w:tcPr>
            <w:tcW w:w="960" w:type="dxa"/>
            <w:tcBorders>
              <w:top w:val="nil"/>
              <w:left w:val="nil"/>
              <w:bottom w:val="nil"/>
              <w:right w:val="single" w:sz="4" w:space="0" w:color="auto"/>
            </w:tcBorders>
            <w:shd w:val="clear" w:color="auto" w:fill="auto"/>
            <w:noWrap/>
            <w:vAlign w:val="bottom"/>
            <w:hideMark/>
          </w:tcPr>
          <w:p w14:paraId="1929B526"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701730C5"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07C3DC91"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357EAC19"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CABAZITAXEL -&gt; ABIRATERONE -&gt; ENZALUTAMIDE</w:t>
            </w:r>
          </w:p>
        </w:tc>
        <w:tc>
          <w:tcPr>
            <w:tcW w:w="960" w:type="dxa"/>
            <w:tcBorders>
              <w:top w:val="nil"/>
              <w:left w:val="nil"/>
              <w:bottom w:val="nil"/>
              <w:right w:val="single" w:sz="4" w:space="0" w:color="auto"/>
            </w:tcBorders>
            <w:shd w:val="clear" w:color="auto" w:fill="auto"/>
            <w:noWrap/>
            <w:vAlign w:val="bottom"/>
            <w:hideMark/>
          </w:tcPr>
          <w:p w14:paraId="579D1764"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40974F24"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27729864" w14:textId="77777777" w:rsidTr="00AA2820">
        <w:trPr>
          <w:trHeight w:val="300"/>
        </w:trPr>
        <w:tc>
          <w:tcPr>
            <w:tcW w:w="6340" w:type="dxa"/>
            <w:tcBorders>
              <w:top w:val="nil"/>
              <w:left w:val="single" w:sz="4" w:space="0" w:color="auto"/>
              <w:bottom w:val="nil"/>
              <w:right w:val="single" w:sz="4" w:space="0" w:color="auto"/>
            </w:tcBorders>
            <w:shd w:val="clear" w:color="auto" w:fill="auto"/>
            <w:noWrap/>
            <w:vAlign w:val="bottom"/>
            <w:hideMark/>
          </w:tcPr>
          <w:p w14:paraId="7FF15AE6"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DOCETAXEL -&gt; ENZALUTAMIDE -&gt; CABAZITAXEL -&gt; ABIRATERONE</w:t>
            </w:r>
          </w:p>
        </w:tc>
        <w:tc>
          <w:tcPr>
            <w:tcW w:w="960" w:type="dxa"/>
            <w:tcBorders>
              <w:top w:val="nil"/>
              <w:left w:val="nil"/>
              <w:bottom w:val="nil"/>
              <w:right w:val="single" w:sz="4" w:space="0" w:color="auto"/>
            </w:tcBorders>
            <w:shd w:val="clear" w:color="auto" w:fill="auto"/>
            <w:noWrap/>
            <w:vAlign w:val="bottom"/>
            <w:hideMark/>
          </w:tcPr>
          <w:p w14:paraId="69391A8B"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nil"/>
              <w:right w:val="single" w:sz="4" w:space="0" w:color="auto"/>
            </w:tcBorders>
            <w:shd w:val="clear" w:color="auto" w:fill="auto"/>
            <w:noWrap/>
            <w:vAlign w:val="bottom"/>
            <w:hideMark/>
          </w:tcPr>
          <w:p w14:paraId="4EBC4367"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r w:rsidR="00AA2820" w:rsidRPr="00904D90" w14:paraId="14AB5CD7" w14:textId="77777777" w:rsidTr="00AA2820">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24D033A"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lastRenderedPageBreak/>
              <w:t>ENZALUTAMIDE -&gt; CABAZITAXEL</w:t>
            </w:r>
          </w:p>
        </w:tc>
        <w:tc>
          <w:tcPr>
            <w:tcW w:w="960" w:type="dxa"/>
            <w:tcBorders>
              <w:top w:val="nil"/>
              <w:left w:val="nil"/>
              <w:bottom w:val="single" w:sz="4" w:space="0" w:color="auto"/>
              <w:right w:val="single" w:sz="4" w:space="0" w:color="auto"/>
            </w:tcBorders>
            <w:shd w:val="clear" w:color="auto" w:fill="auto"/>
            <w:noWrap/>
            <w:vAlign w:val="bottom"/>
            <w:hideMark/>
          </w:tcPr>
          <w:p w14:paraId="0F81AC2E"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CB70798" w14:textId="77777777" w:rsidR="00AA2820" w:rsidRPr="00904D90" w:rsidRDefault="00AA2820" w:rsidP="00AA2820">
            <w:pPr>
              <w:spacing w:after="0"/>
              <w:rPr>
                <w:rFonts w:eastAsia="Times New Roman" w:cs="Times New Roman"/>
                <w:sz w:val="20"/>
                <w:szCs w:val="20"/>
              </w:rPr>
            </w:pPr>
            <w:r w:rsidRPr="00904D90">
              <w:rPr>
                <w:rFonts w:eastAsia="Times New Roman" w:cs="Times New Roman"/>
                <w:sz w:val="20"/>
                <w:szCs w:val="20"/>
              </w:rPr>
              <w:t> </w:t>
            </w:r>
          </w:p>
        </w:tc>
      </w:tr>
    </w:tbl>
    <w:p w14:paraId="5BFB9938" w14:textId="5E67B1C4" w:rsidR="0096682E" w:rsidRDefault="0066087D" w:rsidP="009362D7">
      <w:pPr>
        <w:spacing w:after="0"/>
      </w:pPr>
      <w:r w:rsidRPr="00BF29F8">
        <w:rPr>
          <w:rStyle w:val="FiguretitleChar"/>
          <w:rFonts w:asciiTheme="minorHAnsi" w:eastAsiaTheme="minorEastAsia" w:hAnsiTheme="minorHAnsi" w:cstheme="minorBidi"/>
          <w:b w:val="0"/>
          <w:sz w:val="20"/>
          <w:szCs w:val="20"/>
          <w:lang w:val="en-AU"/>
        </w:rPr>
        <w:t>Source: DHS Supplied Prescriptions database, extracted April 2016</w:t>
      </w:r>
      <w:r>
        <w:rPr>
          <w:rStyle w:val="FiguretitleChar"/>
          <w:rFonts w:asciiTheme="minorHAnsi" w:eastAsiaTheme="minorEastAsia" w:hAnsiTheme="minorHAnsi" w:cstheme="minorBidi"/>
          <w:b w:val="0"/>
          <w:sz w:val="20"/>
          <w:szCs w:val="20"/>
          <w:lang w:val="en-AU"/>
        </w:rPr>
        <w:t>.</w:t>
      </w:r>
    </w:p>
    <w:p w14:paraId="6ACF3E89" w14:textId="77777777" w:rsidR="002E080E" w:rsidRPr="00990D5A" w:rsidRDefault="002E080E" w:rsidP="00904D90">
      <w:pPr>
        <w:pStyle w:val="Heading3"/>
        <w:keepNext/>
      </w:pPr>
      <w:r w:rsidRPr="00990D5A">
        <w:t>Duration of therapy</w:t>
      </w:r>
    </w:p>
    <w:p w14:paraId="355487DF" w14:textId="345EDEC1" w:rsidR="00B168D7" w:rsidRPr="00B02785" w:rsidRDefault="00193C34" w:rsidP="00B168D7">
      <w:pPr>
        <w:spacing w:after="0"/>
      </w:pPr>
      <w:r>
        <w:t>The duration of therapy was examined for cabazitaxel and abiraterone. This was not done for e</w:t>
      </w:r>
      <w:r w:rsidR="008A4F0A" w:rsidRPr="00B02785">
        <w:t>nzalutamide as it was a relatively recent listing (from December 2014) with limited longitudinal data.</w:t>
      </w:r>
      <w:r w:rsidR="00B168D7">
        <w:t xml:space="preserve"> </w:t>
      </w:r>
      <w:r w:rsidR="00682825" w:rsidRPr="00B02785">
        <w:t xml:space="preserve">The </w:t>
      </w:r>
      <w:r w:rsidR="008A4F0A" w:rsidRPr="00B02785">
        <w:t xml:space="preserve">mean and </w:t>
      </w:r>
      <w:r w:rsidR="00682825" w:rsidRPr="00B02785">
        <w:t xml:space="preserve">median duration of </w:t>
      </w:r>
      <w:r w:rsidR="00B168D7">
        <w:t xml:space="preserve">treatment with cabazitaxel and abiraterone is </w:t>
      </w:r>
      <w:r w:rsidR="00E06699">
        <w:t>presented in Table 19</w:t>
      </w:r>
      <w:r w:rsidR="00862203" w:rsidRPr="00B02785">
        <w:t xml:space="preserve">. </w:t>
      </w:r>
    </w:p>
    <w:p w14:paraId="117A19DB" w14:textId="4CFD44B7" w:rsidR="00BB4398" w:rsidRPr="009E283B" w:rsidRDefault="008E7CF1" w:rsidP="00904D90">
      <w:pPr>
        <w:pStyle w:val="Tabletitle"/>
      </w:pPr>
      <w:r w:rsidRPr="009E283B">
        <w:t xml:space="preserve">Table </w:t>
      </w:r>
      <w:r w:rsidR="00E06699" w:rsidRPr="009E283B">
        <w:t>19</w:t>
      </w:r>
      <w:r w:rsidR="00904D90">
        <w:t>:</w:t>
      </w:r>
      <w:r w:rsidRPr="009E283B">
        <w:t xml:space="preserve"> Treatment duration for cabazitaxel and abiraterone</w:t>
      </w:r>
      <w:r w:rsidR="00A326FD" w:rsidRPr="009E283B">
        <w:t>, excluding treatment breaks</w:t>
      </w:r>
    </w:p>
    <w:tbl>
      <w:tblPr>
        <w:tblStyle w:val="TableGrid"/>
        <w:tblW w:w="0" w:type="auto"/>
        <w:tblLook w:val="04A0" w:firstRow="1" w:lastRow="0" w:firstColumn="1" w:lastColumn="0" w:noHBand="0" w:noVBand="1"/>
        <w:tblCaption w:val="Treatment duration for cabazitaxel and abiraterone, excluding treatment breaks"/>
        <w:tblDescription w:val="A table of the Treatment duration for cabazitaxel and abiraterone, excluding treatment breaks"/>
      </w:tblPr>
      <w:tblGrid>
        <w:gridCol w:w="4332"/>
        <w:gridCol w:w="1228"/>
        <w:gridCol w:w="786"/>
        <w:gridCol w:w="854"/>
        <w:gridCol w:w="1131"/>
        <w:gridCol w:w="842"/>
      </w:tblGrid>
      <w:tr w:rsidR="00D61AA9" w:rsidRPr="00FA3C4D" w14:paraId="2B5943A2" w14:textId="77777777" w:rsidTr="00EF2359">
        <w:trPr>
          <w:tblHeader/>
        </w:trPr>
        <w:tc>
          <w:tcPr>
            <w:tcW w:w="4361" w:type="dxa"/>
            <w:tcBorders>
              <w:top w:val="single" w:sz="4" w:space="0" w:color="auto"/>
              <w:left w:val="single" w:sz="4" w:space="0" w:color="auto"/>
            </w:tcBorders>
            <w:shd w:val="clear" w:color="auto" w:fill="BFBFBF" w:themeFill="background1" w:themeFillShade="BF"/>
          </w:tcPr>
          <w:p w14:paraId="5FA54C2B" w14:textId="690E0A1A" w:rsidR="00D61AA9" w:rsidRPr="00FA3C4D" w:rsidRDefault="00D61AA9" w:rsidP="00A35800">
            <w:pPr>
              <w:rPr>
                <w:b/>
                <w:sz w:val="20"/>
                <w:szCs w:val="20"/>
              </w:rPr>
            </w:pPr>
          </w:p>
        </w:tc>
        <w:tc>
          <w:tcPr>
            <w:tcW w:w="1230" w:type="dxa"/>
            <w:shd w:val="clear" w:color="auto" w:fill="BFBFBF" w:themeFill="background1" w:themeFillShade="BF"/>
          </w:tcPr>
          <w:p w14:paraId="4FA832EB" w14:textId="21F0E4F1" w:rsidR="00D61AA9" w:rsidRPr="00FA3C4D" w:rsidRDefault="00D61AA9" w:rsidP="00BB4398">
            <w:pPr>
              <w:jc w:val="center"/>
              <w:rPr>
                <w:b/>
                <w:sz w:val="20"/>
                <w:szCs w:val="20"/>
              </w:rPr>
            </w:pPr>
            <w:r w:rsidRPr="00FA3C4D">
              <w:rPr>
                <w:b/>
                <w:sz w:val="20"/>
                <w:szCs w:val="20"/>
              </w:rPr>
              <w:t>Number of init</w:t>
            </w:r>
            <w:r w:rsidR="005358E9" w:rsidRPr="00FA3C4D">
              <w:rPr>
                <w:b/>
                <w:sz w:val="20"/>
                <w:szCs w:val="20"/>
              </w:rPr>
              <w:t>i</w:t>
            </w:r>
            <w:r w:rsidR="00BB4398" w:rsidRPr="00FA3C4D">
              <w:rPr>
                <w:b/>
                <w:sz w:val="20"/>
                <w:szCs w:val="20"/>
              </w:rPr>
              <w:t>ators</w:t>
            </w:r>
          </w:p>
        </w:tc>
        <w:tc>
          <w:tcPr>
            <w:tcW w:w="754" w:type="dxa"/>
            <w:shd w:val="clear" w:color="auto" w:fill="BFBFBF" w:themeFill="background1" w:themeFillShade="BF"/>
          </w:tcPr>
          <w:p w14:paraId="77FDE649" w14:textId="5F4E087B" w:rsidR="00D61AA9" w:rsidRPr="00FA3C4D" w:rsidRDefault="00D61AA9" w:rsidP="00285A64">
            <w:pPr>
              <w:jc w:val="center"/>
              <w:rPr>
                <w:b/>
                <w:sz w:val="20"/>
                <w:szCs w:val="20"/>
              </w:rPr>
            </w:pPr>
            <w:r w:rsidRPr="00FA3C4D">
              <w:rPr>
                <w:b/>
                <w:sz w:val="20"/>
                <w:szCs w:val="20"/>
              </w:rPr>
              <w:t>Mean</w:t>
            </w:r>
          </w:p>
          <w:p w14:paraId="6368056E" w14:textId="62787A26" w:rsidR="00D61AA9" w:rsidRPr="00FA3C4D" w:rsidRDefault="00D61AA9" w:rsidP="00285A64">
            <w:pPr>
              <w:jc w:val="center"/>
              <w:rPr>
                <w:b/>
                <w:sz w:val="20"/>
                <w:szCs w:val="20"/>
              </w:rPr>
            </w:pPr>
            <w:r w:rsidRPr="00FA3C4D">
              <w:rPr>
                <w:b/>
                <w:sz w:val="20"/>
                <w:szCs w:val="20"/>
              </w:rPr>
              <w:t>(years)</w:t>
            </w:r>
          </w:p>
        </w:tc>
        <w:tc>
          <w:tcPr>
            <w:tcW w:w="851" w:type="dxa"/>
            <w:shd w:val="clear" w:color="auto" w:fill="BFBFBF" w:themeFill="background1" w:themeFillShade="BF"/>
          </w:tcPr>
          <w:p w14:paraId="5E5C10DA" w14:textId="77777777" w:rsidR="00D61AA9" w:rsidRPr="00FA3C4D" w:rsidRDefault="00D61AA9" w:rsidP="00285A64">
            <w:pPr>
              <w:jc w:val="center"/>
              <w:rPr>
                <w:b/>
                <w:sz w:val="20"/>
                <w:szCs w:val="20"/>
              </w:rPr>
            </w:pPr>
            <w:r w:rsidRPr="00FA3C4D">
              <w:rPr>
                <w:b/>
                <w:sz w:val="20"/>
                <w:szCs w:val="20"/>
              </w:rPr>
              <w:t>Median</w:t>
            </w:r>
          </w:p>
          <w:p w14:paraId="28A537CF" w14:textId="0CFF58C9" w:rsidR="00D61AA9" w:rsidRPr="00FA3C4D" w:rsidRDefault="00D61AA9" w:rsidP="00285A64">
            <w:pPr>
              <w:jc w:val="center"/>
              <w:rPr>
                <w:b/>
                <w:sz w:val="20"/>
                <w:szCs w:val="20"/>
              </w:rPr>
            </w:pPr>
            <w:r w:rsidRPr="00FA3C4D">
              <w:rPr>
                <w:b/>
                <w:sz w:val="20"/>
                <w:szCs w:val="20"/>
              </w:rPr>
              <w:t>(years)</w:t>
            </w:r>
          </w:p>
        </w:tc>
        <w:tc>
          <w:tcPr>
            <w:tcW w:w="1134" w:type="dxa"/>
            <w:shd w:val="clear" w:color="auto" w:fill="BFBFBF" w:themeFill="background1" w:themeFillShade="BF"/>
          </w:tcPr>
          <w:p w14:paraId="3AFDC57A" w14:textId="77777777" w:rsidR="00D61AA9" w:rsidRPr="00FA3C4D" w:rsidRDefault="00D61AA9" w:rsidP="00285A64">
            <w:pPr>
              <w:jc w:val="center"/>
              <w:rPr>
                <w:b/>
                <w:sz w:val="20"/>
                <w:szCs w:val="20"/>
              </w:rPr>
            </w:pPr>
            <w:r w:rsidRPr="00FA3C4D">
              <w:rPr>
                <w:b/>
                <w:sz w:val="20"/>
                <w:szCs w:val="20"/>
              </w:rPr>
              <w:t>Lower 95%CI</w:t>
            </w:r>
          </w:p>
          <w:p w14:paraId="655ADAC9" w14:textId="348DA479" w:rsidR="00D61AA9" w:rsidRPr="00FA3C4D" w:rsidRDefault="00D61AA9" w:rsidP="00285A64">
            <w:pPr>
              <w:jc w:val="center"/>
              <w:rPr>
                <w:b/>
                <w:sz w:val="20"/>
                <w:szCs w:val="20"/>
              </w:rPr>
            </w:pPr>
            <w:r w:rsidRPr="00FA3C4D">
              <w:rPr>
                <w:b/>
                <w:sz w:val="20"/>
                <w:szCs w:val="20"/>
              </w:rPr>
              <w:t>(years)</w:t>
            </w:r>
          </w:p>
        </w:tc>
        <w:tc>
          <w:tcPr>
            <w:tcW w:w="843" w:type="dxa"/>
            <w:shd w:val="clear" w:color="auto" w:fill="BFBFBF" w:themeFill="background1" w:themeFillShade="BF"/>
          </w:tcPr>
          <w:p w14:paraId="38EB96EA" w14:textId="77777777" w:rsidR="00D61AA9" w:rsidRPr="00FA3C4D" w:rsidRDefault="00D61AA9" w:rsidP="00285A64">
            <w:pPr>
              <w:jc w:val="center"/>
              <w:rPr>
                <w:b/>
                <w:sz w:val="20"/>
                <w:szCs w:val="20"/>
              </w:rPr>
            </w:pPr>
            <w:r w:rsidRPr="00FA3C4D">
              <w:rPr>
                <w:b/>
                <w:sz w:val="20"/>
                <w:szCs w:val="20"/>
              </w:rPr>
              <w:t>Upper 95%CI</w:t>
            </w:r>
          </w:p>
          <w:p w14:paraId="69884202" w14:textId="41096A7F" w:rsidR="00D61AA9" w:rsidRPr="00FA3C4D" w:rsidRDefault="00D61AA9" w:rsidP="00285A64">
            <w:pPr>
              <w:jc w:val="center"/>
              <w:rPr>
                <w:b/>
                <w:sz w:val="20"/>
                <w:szCs w:val="20"/>
              </w:rPr>
            </w:pPr>
            <w:r w:rsidRPr="00FA3C4D">
              <w:rPr>
                <w:b/>
                <w:sz w:val="20"/>
                <w:szCs w:val="20"/>
              </w:rPr>
              <w:t>(years)</w:t>
            </w:r>
          </w:p>
        </w:tc>
      </w:tr>
      <w:tr w:rsidR="00D61AA9" w:rsidRPr="00FA3C4D" w14:paraId="544D0446" w14:textId="77777777" w:rsidTr="005358E9">
        <w:tc>
          <w:tcPr>
            <w:tcW w:w="4361" w:type="dxa"/>
          </w:tcPr>
          <w:p w14:paraId="07692DA2" w14:textId="437F2DF3" w:rsidR="00D61AA9" w:rsidRPr="00FA3C4D" w:rsidRDefault="00193C34" w:rsidP="00A35800">
            <w:pPr>
              <w:rPr>
                <w:sz w:val="20"/>
                <w:szCs w:val="20"/>
              </w:rPr>
            </w:pPr>
            <w:r w:rsidRPr="00FA3C4D">
              <w:rPr>
                <w:sz w:val="20"/>
                <w:szCs w:val="20"/>
              </w:rPr>
              <w:t>Cabazitaxel</w:t>
            </w:r>
          </w:p>
        </w:tc>
        <w:tc>
          <w:tcPr>
            <w:tcW w:w="1230" w:type="dxa"/>
          </w:tcPr>
          <w:p w14:paraId="277CD096" w14:textId="7CADDBD8" w:rsidR="00D61AA9" w:rsidRPr="00FA3C4D" w:rsidRDefault="00D61AA9" w:rsidP="00285A64">
            <w:pPr>
              <w:jc w:val="center"/>
              <w:rPr>
                <w:sz w:val="20"/>
                <w:szCs w:val="20"/>
              </w:rPr>
            </w:pPr>
            <w:r w:rsidRPr="00FA3C4D">
              <w:rPr>
                <w:sz w:val="20"/>
                <w:szCs w:val="20"/>
              </w:rPr>
              <w:t>3,242</w:t>
            </w:r>
            <w:r w:rsidR="0065093D" w:rsidRPr="00FA3C4D">
              <w:rPr>
                <w:sz w:val="20"/>
                <w:szCs w:val="20"/>
                <w:vertAlign w:val="superscript"/>
              </w:rPr>
              <w:t xml:space="preserve"> a</w:t>
            </w:r>
          </w:p>
        </w:tc>
        <w:tc>
          <w:tcPr>
            <w:tcW w:w="754" w:type="dxa"/>
          </w:tcPr>
          <w:p w14:paraId="6908598B" w14:textId="5F2D8D16" w:rsidR="00D61AA9" w:rsidRPr="00FA3C4D" w:rsidRDefault="00C42336" w:rsidP="00285A64">
            <w:pPr>
              <w:jc w:val="center"/>
              <w:rPr>
                <w:sz w:val="20"/>
                <w:szCs w:val="20"/>
              </w:rPr>
            </w:pPr>
            <w:r w:rsidRPr="00FA3C4D">
              <w:rPr>
                <w:sz w:val="20"/>
                <w:szCs w:val="20"/>
              </w:rPr>
              <w:t>0.45</w:t>
            </w:r>
          </w:p>
        </w:tc>
        <w:tc>
          <w:tcPr>
            <w:tcW w:w="851" w:type="dxa"/>
          </w:tcPr>
          <w:p w14:paraId="00602475" w14:textId="0CAC9479" w:rsidR="00D61AA9" w:rsidRPr="00FA3C4D" w:rsidRDefault="00C42336" w:rsidP="00285A64">
            <w:pPr>
              <w:jc w:val="center"/>
              <w:rPr>
                <w:sz w:val="20"/>
                <w:szCs w:val="20"/>
              </w:rPr>
            </w:pPr>
            <w:r w:rsidRPr="00FA3C4D">
              <w:rPr>
                <w:sz w:val="20"/>
                <w:szCs w:val="20"/>
              </w:rPr>
              <w:t>0.34</w:t>
            </w:r>
          </w:p>
        </w:tc>
        <w:tc>
          <w:tcPr>
            <w:tcW w:w="1134" w:type="dxa"/>
          </w:tcPr>
          <w:p w14:paraId="036352C2" w14:textId="31A91749" w:rsidR="00D61AA9" w:rsidRPr="00FA3C4D" w:rsidRDefault="00C42336" w:rsidP="00285A64">
            <w:pPr>
              <w:jc w:val="center"/>
              <w:rPr>
                <w:sz w:val="20"/>
                <w:szCs w:val="20"/>
              </w:rPr>
            </w:pPr>
            <w:r w:rsidRPr="00FA3C4D">
              <w:rPr>
                <w:sz w:val="20"/>
                <w:szCs w:val="20"/>
              </w:rPr>
              <w:t>0.29</w:t>
            </w:r>
          </w:p>
        </w:tc>
        <w:tc>
          <w:tcPr>
            <w:tcW w:w="843" w:type="dxa"/>
          </w:tcPr>
          <w:p w14:paraId="146A7D13" w14:textId="55E0202F" w:rsidR="00D61AA9" w:rsidRPr="00FA3C4D" w:rsidRDefault="00C42336" w:rsidP="00285A64">
            <w:pPr>
              <w:jc w:val="center"/>
              <w:rPr>
                <w:sz w:val="20"/>
                <w:szCs w:val="20"/>
              </w:rPr>
            </w:pPr>
            <w:r w:rsidRPr="00FA3C4D">
              <w:rPr>
                <w:sz w:val="20"/>
                <w:szCs w:val="20"/>
              </w:rPr>
              <w:t>0.36</w:t>
            </w:r>
          </w:p>
        </w:tc>
      </w:tr>
      <w:tr w:rsidR="00D61AA9" w:rsidRPr="00FA3C4D" w14:paraId="19248231" w14:textId="77777777" w:rsidTr="005358E9">
        <w:tc>
          <w:tcPr>
            <w:tcW w:w="4361" w:type="dxa"/>
          </w:tcPr>
          <w:p w14:paraId="190A874F" w14:textId="61857659" w:rsidR="00D61AA9" w:rsidRPr="00FA3C4D" w:rsidRDefault="00D61AA9" w:rsidP="00A35800">
            <w:pPr>
              <w:rPr>
                <w:sz w:val="20"/>
                <w:szCs w:val="20"/>
              </w:rPr>
            </w:pPr>
            <w:r w:rsidRPr="00FA3C4D">
              <w:rPr>
                <w:sz w:val="20"/>
                <w:szCs w:val="20"/>
              </w:rPr>
              <w:t>Abiraterone</w:t>
            </w:r>
          </w:p>
        </w:tc>
        <w:tc>
          <w:tcPr>
            <w:tcW w:w="1230" w:type="dxa"/>
          </w:tcPr>
          <w:p w14:paraId="0C04D8E9" w14:textId="1E238FB1" w:rsidR="00D61AA9" w:rsidRPr="00FA3C4D" w:rsidRDefault="00BB4398" w:rsidP="00285A64">
            <w:pPr>
              <w:jc w:val="center"/>
              <w:rPr>
                <w:sz w:val="20"/>
                <w:szCs w:val="20"/>
                <w:vertAlign w:val="superscript"/>
              </w:rPr>
            </w:pPr>
            <w:r w:rsidRPr="00FA3C4D">
              <w:rPr>
                <w:sz w:val="20"/>
                <w:szCs w:val="20"/>
              </w:rPr>
              <w:t>1,353</w:t>
            </w:r>
            <w:r w:rsidR="0065093D" w:rsidRPr="00FA3C4D">
              <w:rPr>
                <w:sz w:val="20"/>
                <w:szCs w:val="20"/>
                <w:vertAlign w:val="superscript"/>
              </w:rPr>
              <w:t>b</w:t>
            </w:r>
          </w:p>
        </w:tc>
        <w:tc>
          <w:tcPr>
            <w:tcW w:w="754" w:type="dxa"/>
          </w:tcPr>
          <w:p w14:paraId="43F5B2C6" w14:textId="21760CC0" w:rsidR="00D61AA9" w:rsidRPr="00FA3C4D" w:rsidRDefault="00BB4398" w:rsidP="00285A64">
            <w:pPr>
              <w:jc w:val="center"/>
              <w:rPr>
                <w:sz w:val="20"/>
                <w:szCs w:val="20"/>
              </w:rPr>
            </w:pPr>
            <w:r w:rsidRPr="00FA3C4D">
              <w:rPr>
                <w:sz w:val="20"/>
                <w:szCs w:val="20"/>
              </w:rPr>
              <w:t>0.76</w:t>
            </w:r>
          </w:p>
        </w:tc>
        <w:tc>
          <w:tcPr>
            <w:tcW w:w="851" w:type="dxa"/>
          </w:tcPr>
          <w:p w14:paraId="43D81DF0" w14:textId="2BC5AD5F" w:rsidR="00D61AA9" w:rsidRPr="00FA3C4D" w:rsidRDefault="00BB4398" w:rsidP="00285A64">
            <w:pPr>
              <w:jc w:val="center"/>
              <w:rPr>
                <w:sz w:val="20"/>
                <w:szCs w:val="20"/>
              </w:rPr>
            </w:pPr>
            <w:r w:rsidRPr="00FA3C4D">
              <w:rPr>
                <w:sz w:val="20"/>
                <w:szCs w:val="20"/>
              </w:rPr>
              <w:t>0.56</w:t>
            </w:r>
          </w:p>
        </w:tc>
        <w:tc>
          <w:tcPr>
            <w:tcW w:w="1134" w:type="dxa"/>
          </w:tcPr>
          <w:p w14:paraId="55014904" w14:textId="2A431890" w:rsidR="00D61AA9" w:rsidRPr="00FA3C4D" w:rsidRDefault="00BB4398" w:rsidP="00285A64">
            <w:pPr>
              <w:jc w:val="center"/>
              <w:rPr>
                <w:sz w:val="20"/>
                <w:szCs w:val="20"/>
              </w:rPr>
            </w:pPr>
            <w:r w:rsidRPr="00FA3C4D">
              <w:rPr>
                <w:sz w:val="20"/>
                <w:szCs w:val="20"/>
              </w:rPr>
              <w:t>0.49</w:t>
            </w:r>
          </w:p>
        </w:tc>
        <w:tc>
          <w:tcPr>
            <w:tcW w:w="843" w:type="dxa"/>
          </w:tcPr>
          <w:p w14:paraId="2D5B0D93" w14:textId="25A6105C" w:rsidR="00D61AA9" w:rsidRPr="00FA3C4D" w:rsidRDefault="00BB4398" w:rsidP="00285A64">
            <w:pPr>
              <w:jc w:val="center"/>
              <w:rPr>
                <w:sz w:val="20"/>
                <w:szCs w:val="20"/>
              </w:rPr>
            </w:pPr>
            <w:r w:rsidRPr="00FA3C4D">
              <w:rPr>
                <w:sz w:val="20"/>
                <w:szCs w:val="20"/>
              </w:rPr>
              <w:t>0.58</w:t>
            </w:r>
          </w:p>
        </w:tc>
      </w:tr>
    </w:tbl>
    <w:p w14:paraId="3A54E321" w14:textId="28412096" w:rsidR="0065093D" w:rsidRDefault="0065093D" w:rsidP="0065093D">
      <w:pPr>
        <w:spacing w:after="0"/>
        <w:rPr>
          <w:sz w:val="20"/>
          <w:szCs w:val="20"/>
        </w:rPr>
      </w:pPr>
      <w:r w:rsidRPr="0065093D">
        <w:rPr>
          <w:sz w:val="20"/>
          <w:szCs w:val="20"/>
          <w:vertAlign w:val="superscript"/>
        </w:rPr>
        <w:t>a</w:t>
      </w:r>
      <w:r w:rsidRPr="0065093D">
        <w:rPr>
          <w:sz w:val="20"/>
          <w:szCs w:val="20"/>
        </w:rPr>
        <w:t xml:space="preserve"> Includes pa</w:t>
      </w:r>
      <w:r>
        <w:rPr>
          <w:sz w:val="20"/>
          <w:szCs w:val="20"/>
        </w:rPr>
        <w:t>tients who initiated cabazitaxel</w:t>
      </w:r>
      <w:r w:rsidRPr="0065093D">
        <w:rPr>
          <w:sz w:val="20"/>
          <w:szCs w:val="20"/>
        </w:rPr>
        <w:t xml:space="preserve"> b</w:t>
      </w:r>
      <w:r>
        <w:rPr>
          <w:sz w:val="20"/>
          <w:szCs w:val="20"/>
        </w:rPr>
        <w:t>etween October 2012 and March 2013</w:t>
      </w:r>
      <w:r w:rsidRPr="0065093D">
        <w:rPr>
          <w:sz w:val="20"/>
          <w:szCs w:val="20"/>
        </w:rPr>
        <w:t>.</w:t>
      </w:r>
    </w:p>
    <w:p w14:paraId="6BA07E10" w14:textId="360F4704" w:rsidR="0065093D" w:rsidRDefault="0065093D" w:rsidP="0065093D">
      <w:pPr>
        <w:spacing w:after="0"/>
        <w:rPr>
          <w:sz w:val="20"/>
          <w:szCs w:val="20"/>
        </w:rPr>
      </w:pPr>
      <w:r>
        <w:rPr>
          <w:sz w:val="20"/>
          <w:szCs w:val="20"/>
          <w:vertAlign w:val="superscript"/>
        </w:rPr>
        <w:t>b</w:t>
      </w:r>
      <w:r w:rsidRPr="0065093D">
        <w:rPr>
          <w:sz w:val="20"/>
          <w:szCs w:val="20"/>
        </w:rPr>
        <w:t xml:space="preserve"> Includes patients who initiated abiraterone between October 2013 and March 2014.</w:t>
      </w:r>
    </w:p>
    <w:p w14:paraId="041AE9FA" w14:textId="77777777" w:rsidR="007C7B4D" w:rsidRDefault="007C7B4D" w:rsidP="0065093D">
      <w:pPr>
        <w:spacing w:after="0"/>
        <w:rPr>
          <w:sz w:val="20"/>
          <w:szCs w:val="20"/>
        </w:rPr>
      </w:pPr>
    </w:p>
    <w:p w14:paraId="659A4D9D" w14:textId="2A3FF5FC" w:rsidR="0065093D" w:rsidRPr="00970EA1" w:rsidRDefault="00335EEC" w:rsidP="0065093D">
      <w:pPr>
        <w:spacing w:after="0"/>
      </w:pPr>
      <w:r w:rsidRPr="00970EA1">
        <w:t>For the patients initiating on cabazitaxel and abiraterone included in the duration of therapy analysis above, a summary of the numb</w:t>
      </w:r>
      <w:bookmarkStart w:id="0" w:name="_GoBack"/>
      <w:bookmarkEnd w:id="0"/>
      <w:r w:rsidRPr="00970EA1">
        <w:t xml:space="preserve">er of prescriptions received by these </w:t>
      </w:r>
      <w:r w:rsidR="00E06699" w:rsidRPr="00970EA1">
        <w:t>cohorts is presented in Table 20</w:t>
      </w:r>
      <w:r w:rsidRPr="00970EA1">
        <w:t xml:space="preserve">. </w:t>
      </w:r>
      <w:r w:rsidR="00E1711B" w:rsidRPr="00970EA1">
        <w:t xml:space="preserve">The mean number of scripts for each drug was higher than predicted (10.9 vs. </w:t>
      </w:r>
      <w:r w:rsidR="00305F0F" w:rsidRPr="00305F0F">
        <w:rPr>
          <w:highlight w:val="black"/>
        </w:rPr>
        <w:t>X</w:t>
      </w:r>
      <w:r w:rsidR="00E1711B" w:rsidRPr="00305F0F">
        <w:t xml:space="preserve"> scripts</w:t>
      </w:r>
      <w:r w:rsidR="00E1711B" w:rsidRPr="00970EA1">
        <w:t xml:space="preserve"> for cabazitaxel and 9.5 vs. </w:t>
      </w:r>
      <w:r w:rsidR="00305F0F" w:rsidRPr="00305F0F">
        <w:rPr>
          <w:highlight w:val="black"/>
        </w:rPr>
        <w:t>XXX</w:t>
      </w:r>
      <w:r w:rsidR="00E1711B" w:rsidRPr="00305F0F">
        <w:t xml:space="preserve"> scripts</w:t>
      </w:r>
      <w:r w:rsidR="00E1711B" w:rsidRPr="00970EA1">
        <w:t xml:space="preserve"> for abiraterone). </w:t>
      </w:r>
    </w:p>
    <w:p w14:paraId="6343E4DD" w14:textId="7AEBA5A3" w:rsidR="0065093D" w:rsidRPr="00821B90" w:rsidRDefault="0065093D" w:rsidP="00A35800"/>
    <w:p w14:paraId="13EE12C0" w14:textId="3317B48F" w:rsidR="00821B90" w:rsidRPr="00821B90" w:rsidRDefault="00821B90" w:rsidP="00A35800">
      <w:r w:rsidRPr="00821B90">
        <w:t>Possible factors influencing duration of use of abiraterone could include continued use beyond disease progression or use in earlier lines of therapy.</w:t>
      </w:r>
      <w:r>
        <w:t xml:space="preserve"> The higher than expected number of prescriptions for cabazitaxel may be due to no other treatment options being available to the initiating cohort at the time.</w:t>
      </w:r>
    </w:p>
    <w:p w14:paraId="5A8816DB" w14:textId="5700E9F7" w:rsidR="00836D25" w:rsidRPr="00723AF9" w:rsidRDefault="00836D25" w:rsidP="00904D90">
      <w:pPr>
        <w:pStyle w:val="Tabletitle"/>
      </w:pPr>
      <w:r w:rsidRPr="00B02785">
        <w:t xml:space="preserve">Table </w:t>
      </w:r>
      <w:r w:rsidR="00E06699">
        <w:t>20</w:t>
      </w:r>
      <w:r w:rsidR="00904D90">
        <w:t>:</w:t>
      </w:r>
      <w:r w:rsidRPr="00B02785">
        <w:t xml:space="preserve"> </w:t>
      </w:r>
      <w:r>
        <w:t>Number of prescriptions for cabazitaxel and abiraterone</w:t>
      </w:r>
    </w:p>
    <w:tbl>
      <w:tblPr>
        <w:tblW w:w="7712" w:type="dxa"/>
        <w:tblInd w:w="93" w:type="dxa"/>
        <w:tblLook w:val="04A0" w:firstRow="1" w:lastRow="0" w:firstColumn="1" w:lastColumn="0" w:noHBand="0" w:noVBand="1"/>
        <w:tblCaption w:val="Number of prescriptions for cabazitaxel and abiraterone"/>
        <w:tblDescription w:val="A table of the Number of prescriptions for cabazitaxel and abiraterone"/>
      </w:tblPr>
      <w:tblGrid>
        <w:gridCol w:w="1600"/>
        <w:gridCol w:w="2272"/>
        <w:gridCol w:w="960"/>
        <w:gridCol w:w="960"/>
        <w:gridCol w:w="960"/>
        <w:gridCol w:w="960"/>
      </w:tblGrid>
      <w:tr w:rsidR="00836D25" w:rsidRPr="00836D25" w14:paraId="36BC4129" w14:textId="77777777" w:rsidTr="00FA3C4D">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AD426B4" w14:textId="77777777" w:rsidR="00836D25" w:rsidRPr="00836D25" w:rsidRDefault="00836D25" w:rsidP="00836D25">
            <w:pPr>
              <w:spacing w:after="0"/>
              <w:jc w:val="center"/>
              <w:rPr>
                <w:rFonts w:ascii="Calibri" w:eastAsia="Times New Roman" w:hAnsi="Calibri" w:cs="Times New Roman"/>
                <w:b/>
                <w:bCs/>
                <w:sz w:val="20"/>
                <w:szCs w:val="20"/>
              </w:rPr>
            </w:pPr>
            <w:r w:rsidRPr="00836D25">
              <w:rPr>
                <w:rFonts w:ascii="Calibri" w:eastAsia="Times New Roman" w:hAnsi="Calibri" w:cs="Times New Roman"/>
                <w:b/>
                <w:bCs/>
                <w:sz w:val="20"/>
                <w:szCs w:val="20"/>
              </w:rPr>
              <w:t>Drug</w:t>
            </w:r>
          </w:p>
        </w:tc>
        <w:tc>
          <w:tcPr>
            <w:tcW w:w="227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7DD94CA" w14:textId="77777777" w:rsidR="00836D25" w:rsidRPr="00836D25" w:rsidRDefault="00836D25" w:rsidP="00836D25">
            <w:pPr>
              <w:spacing w:after="0"/>
              <w:jc w:val="center"/>
              <w:rPr>
                <w:rFonts w:ascii="Calibri" w:eastAsia="Times New Roman" w:hAnsi="Calibri" w:cs="Times New Roman"/>
                <w:b/>
                <w:bCs/>
                <w:sz w:val="20"/>
                <w:szCs w:val="20"/>
              </w:rPr>
            </w:pPr>
            <w:r w:rsidRPr="00836D25">
              <w:rPr>
                <w:rFonts w:ascii="Calibri" w:eastAsia="Times New Roman" w:hAnsi="Calibri" w:cs="Times New Roman"/>
                <w:b/>
                <w:bCs/>
                <w:sz w:val="20"/>
                <w:szCs w:val="20"/>
              </w:rPr>
              <w:t>Number of patients</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AA1FB94" w14:textId="77777777" w:rsidR="00836D25" w:rsidRPr="00836D25" w:rsidRDefault="00836D25" w:rsidP="00836D25">
            <w:pPr>
              <w:spacing w:after="0"/>
              <w:jc w:val="center"/>
              <w:rPr>
                <w:rFonts w:ascii="Calibri" w:eastAsia="Times New Roman" w:hAnsi="Calibri" w:cs="Times New Roman"/>
                <w:b/>
                <w:bCs/>
                <w:sz w:val="20"/>
                <w:szCs w:val="20"/>
              </w:rPr>
            </w:pPr>
            <w:r w:rsidRPr="00836D25">
              <w:rPr>
                <w:rFonts w:ascii="Calibri" w:eastAsia="Times New Roman" w:hAnsi="Calibri" w:cs="Times New Roman"/>
                <w:b/>
                <w:bCs/>
                <w:sz w:val="20"/>
                <w:szCs w:val="20"/>
              </w:rPr>
              <w:t>Median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33D095A" w14:textId="77777777" w:rsidR="00836D25" w:rsidRPr="00836D25" w:rsidRDefault="00836D25" w:rsidP="00836D25">
            <w:pPr>
              <w:spacing w:after="0"/>
              <w:jc w:val="center"/>
              <w:rPr>
                <w:rFonts w:ascii="Calibri" w:eastAsia="Times New Roman" w:hAnsi="Calibri" w:cs="Times New Roman"/>
                <w:b/>
                <w:bCs/>
                <w:sz w:val="20"/>
                <w:szCs w:val="20"/>
              </w:rPr>
            </w:pPr>
            <w:r w:rsidRPr="00836D25">
              <w:rPr>
                <w:rFonts w:ascii="Calibri" w:eastAsia="Times New Roman" w:hAnsi="Calibri" w:cs="Times New Roman"/>
                <w:b/>
                <w:bCs/>
                <w:sz w:val="20"/>
                <w:szCs w:val="20"/>
              </w:rPr>
              <w:t>Mean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79C7818" w14:textId="77777777" w:rsidR="00836D25" w:rsidRPr="00836D25" w:rsidRDefault="00836D25" w:rsidP="00836D25">
            <w:pPr>
              <w:spacing w:after="0"/>
              <w:jc w:val="center"/>
              <w:rPr>
                <w:rFonts w:ascii="Calibri" w:eastAsia="Times New Roman" w:hAnsi="Calibri" w:cs="Times New Roman"/>
                <w:b/>
                <w:bCs/>
                <w:sz w:val="20"/>
                <w:szCs w:val="20"/>
              </w:rPr>
            </w:pPr>
            <w:r w:rsidRPr="00836D25">
              <w:rPr>
                <w:rFonts w:ascii="Calibri" w:eastAsia="Times New Roman" w:hAnsi="Calibri" w:cs="Times New Roman"/>
                <w:b/>
                <w:bCs/>
                <w:sz w:val="20"/>
                <w:szCs w:val="20"/>
              </w:rPr>
              <w:t>Min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8B8059E" w14:textId="77777777" w:rsidR="00836D25" w:rsidRPr="00836D25" w:rsidRDefault="00836D25" w:rsidP="00836D25">
            <w:pPr>
              <w:spacing w:after="0"/>
              <w:jc w:val="center"/>
              <w:rPr>
                <w:rFonts w:ascii="Calibri" w:eastAsia="Times New Roman" w:hAnsi="Calibri" w:cs="Times New Roman"/>
                <w:b/>
                <w:bCs/>
                <w:sz w:val="20"/>
                <w:szCs w:val="20"/>
              </w:rPr>
            </w:pPr>
            <w:r w:rsidRPr="00836D25">
              <w:rPr>
                <w:rFonts w:ascii="Calibri" w:eastAsia="Times New Roman" w:hAnsi="Calibri" w:cs="Times New Roman"/>
                <w:b/>
                <w:bCs/>
                <w:sz w:val="20"/>
                <w:szCs w:val="20"/>
              </w:rPr>
              <w:t>Max</w:t>
            </w:r>
          </w:p>
        </w:tc>
      </w:tr>
      <w:tr w:rsidR="00836D25" w:rsidRPr="00836D25" w14:paraId="11E5E856" w14:textId="77777777" w:rsidTr="00836D2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1C95A9" w14:textId="1B53E9D1" w:rsidR="00836D25" w:rsidRPr="00836D25" w:rsidRDefault="00836D25" w:rsidP="00836D25">
            <w:pPr>
              <w:spacing w:after="0"/>
              <w:rPr>
                <w:rFonts w:ascii="Calibri" w:eastAsia="Times New Roman" w:hAnsi="Calibri" w:cs="Times New Roman"/>
                <w:sz w:val="20"/>
                <w:szCs w:val="20"/>
              </w:rPr>
            </w:pPr>
            <w:r w:rsidRPr="00836D25">
              <w:rPr>
                <w:rFonts w:ascii="Calibri" w:eastAsia="Times New Roman" w:hAnsi="Calibri" w:cs="Times New Roman"/>
                <w:sz w:val="20"/>
                <w:szCs w:val="20"/>
              </w:rPr>
              <w:t>Cabazitaxel</w:t>
            </w:r>
            <w:r>
              <w:rPr>
                <w:rFonts w:ascii="Arial Narrow" w:hAnsi="Arial Narrow"/>
                <w:sz w:val="20"/>
                <w:szCs w:val="20"/>
                <w:vertAlign w:val="superscript"/>
              </w:rPr>
              <w:t xml:space="preserve"> a</w:t>
            </w:r>
          </w:p>
        </w:tc>
        <w:tc>
          <w:tcPr>
            <w:tcW w:w="2272" w:type="dxa"/>
            <w:tcBorders>
              <w:top w:val="nil"/>
              <w:left w:val="nil"/>
              <w:bottom w:val="single" w:sz="4" w:space="0" w:color="auto"/>
              <w:right w:val="single" w:sz="4" w:space="0" w:color="auto"/>
            </w:tcBorders>
            <w:shd w:val="clear" w:color="auto" w:fill="auto"/>
            <w:noWrap/>
            <w:vAlign w:val="bottom"/>
            <w:hideMark/>
          </w:tcPr>
          <w:p w14:paraId="36A67772" w14:textId="31E1B982" w:rsidR="00836D25" w:rsidRPr="00836D25" w:rsidRDefault="00836D25" w:rsidP="00836D25">
            <w:pPr>
              <w:spacing w:after="0"/>
              <w:jc w:val="center"/>
              <w:rPr>
                <w:rFonts w:ascii="Calibri" w:eastAsia="Times New Roman" w:hAnsi="Calibri" w:cs="Times New Roman"/>
                <w:sz w:val="20"/>
                <w:szCs w:val="20"/>
              </w:rPr>
            </w:pPr>
            <w:r w:rsidRPr="00836D25">
              <w:rPr>
                <w:rFonts w:ascii="Calibri" w:eastAsia="Times New Roman" w:hAnsi="Calibri" w:cs="Times New Roman"/>
                <w:sz w:val="20"/>
                <w:szCs w:val="20"/>
              </w:rPr>
              <w:t xml:space="preserve">2,304 </w:t>
            </w:r>
          </w:p>
        </w:tc>
        <w:tc>
          <w:tcPr>
            <w:tcW w:w="960" w:type="dxa"/>
            <w:tcBorders>
              <w:top w:val="nil"/>
              <w:left w:val="nil"/>
              <w:bottom w:val="single" w:sz="4" w:space="0" w:color="auto"/>
              <w:right w:val="single" w:sz="4" w:space="0" w:color="auto"/>
            </w:tcBorders>
            <w:shd w:val="clear" w:color="auto" w:fill="auto"/>
            <w:noWrap/>
            <w:vAlign w:val="bottom"/>
            <w:hideMark/>
          </w:tcPr>
          <w:p w14:paraId="2B411E6A" w14:textId="77777777" w:rsidR="00836D25" w:rsidRPr="00836D25" w:rsidRDefault="00836D25" w:rsidP="00836D25">
            <w:pPr>
              <w:spacing w:after="0"/>
              <w:jc w:val="center"/>
              <w:rPr>
                <w:rFonts w:ascii="Calibri" w:eastAsia="Times New Roman" w:hAnsi="Calibri" w:cs="Times New Roman"/>
                <w:sz w:val="20"/>
                <w:szCs w:val="20"/>
              </w:rPr>
            </w:pPr>
            <w:r w:rsidRPr="00836D25">
              <w:rPr>
                <w:rFonts w:ascii="Calibri" w:eastAsia="Times New Roman" w:hAnsi="Calibri" w:cs="Times New Roman"/>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14:paraId="7C38A5B7" w14:textId="77777777" w:rsidR="00836D25" w:rsidRPr="00836D25" w:rsidRDefault="00836D25" w:rsidP="00836D25">
            <w:pPr>
              <w:spacing w:after="0"/>
              <w:jc w:val="center"/>
              <w:rPr>
                <w:rFonts w:ascii="Calibri" w:eastAsia="Times New Roman" w:hAnsi="Calibri" w:cs="Times New Roman"/>
                <w:sz w:val="20"/>
                <w:szCs w:val="20"/>
              </w:rPr>
            </w:pPr>
            <w:r w:rsidRPr="00836D25">
              <w:rPr>
                <w:rFonts w:ascii="Calibri" w:eastAsia="Times New Roman" w:hAnsi="Calibri" w:cs="Times New Roman"/>
                <w:sz w:val="20"/>
                <w:szCs w:val="20"/>
              </w:rPr>
              <w:t>10.9</w:t>
            </w:r>
          </w:p>
        </w:tc>
        <w:tc>
          <w:tcPr>
            <w:tcW w:w="960" w:type="dxa"/>
            <w:tcBorders>
              <w:top w:val="nil"/>
              <w:left w:val="nil"/>
              <w:bottom w:val="single" w:sz="4" w:space="0" w:color="auto"/>
              <w:right w:val="single" w:sz="4" w:space="0" w:color="auto"/>
            </w:tcBorders>
            <w:shd w:val="clear" w:color="auto" w:fill="auto"/>
            <w:noWrap/>
            <w:vAlign w:val="bottom"/>
            <w:hideMark/>
          </w:tcPr>
          <w:p w14:paraId="243A5C30" w14:textId="77777777" w:rsidR="00836D25" w:rsidRPr="00836D25" w:rsidRDefault="00836D25" w:rsidP="00836D25">
            <w:pPr>
              <w:spacing w:after="0"/>
              <w:jc w:val="center"/>
              <w:rPr>
                <w:rFonts w:ascii="Calibri" w:eastAsia="Times New Roman" w:hAnsi="Calibri" w:cs="Times New Roman"/>
                <w:sz w:val="20"/>
                <w:szCs w:val="20"/>
              </w:rPr>
            </w:pPr>
            <w:r w:rsidRPr="00836D25">
              <w:rPr>
                <w:rFonts w:ascii="Calibri" w:eastAsia="Times New Roman" w:hAnsi="Calibri" w:cs="Times New Roman"/>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6DEF56E8" w14:textId="77777777" w:rsidR="00836D25" w:rsidRPr="00836D25" w:rsidRDefault="00836D25" w:rsidP="00836D25">
            <w:pPr>
              <w:spacing w:after="0"/>
              <w:jc w:val="center"/>
              <w:rPr>
                <w:rFonts w:ascii="Calibri" w:eastAsia="Times New Roman" w:hAnsi="Calibri" w:cs="Times New Roman"/>
                <w:sz w:val="20"/>
                <w:szCs w:val="20"/>
              </w:rPr>
            </w:pPr>
            <w:r w:rsidRPr="00836D25">
              <w:rPr>
                <w:rFonts w:ascii="Calibri" w:eastAsia="Times New Roman" w:hAnsi="Calibri" w:cs="Times New Roman"/>
                <w:sz w:val="20"/>
                <w:szCs w:val="20"/>
              </w:rPr>
              <w:t>55</w:t>
            </w:r>
          </w:p>
        </w:tc>
      </w:tr>
      <w:tr w:rsidR="00836D25" w:rsidRPr="00836D25" w14:paraId="1236C74A" w14:textId="77777777" w:rsidTr="00836D2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C0EEDDB" w14:textId="3B2697CC" w:rsidR="00836D25" w:rsidRPr="00836D25" w:rsidRDefault="00836D25" w:rsidP="00836D25">
            <w:pPr>
              <w:spacing w:after="0"/>
              <w:rPr>
                <w:rFonts w:ascii="Calibri" w:eastAsia="Times New Roman" w:hAnsi="Calibri" w:cs="Times New Roman"/>
                <w:sz w:val="20"/>
                <w:szCs w:val="20"/>
              </w:rPr>
            </w:pPr>
            <w:r w:rsidRPr="00836D25">
              <w:rPr>
                <w:rFonts w:ascii="Calibri" w:eastAsia="Times New Roman" w:hAnsi="Calibri" w:cs="Times New Roman"/>
                <w:sz w:val="20"/>
                <w:szCs w:val="20"/>
              </w:rPr>
              <w:t>Abiraterone</w:t>
            </w:r>
            <w:r>
              <w:rPr>
                <w:rFonts w:ascii="Arial Narrow" w:hAnsi="Arial Narrow"/>
                <w:sz w:val="20"/>
                <w:szCs w:val="20"/>
                <w:vertAlign w:val="superscript"/>
              </w:rPr>
              <w:t xml:space="preserve"> b</w:t>
            </w:r>
          </w:p>
        </w:tc>
        <w:tc>
          <w:tcPr>
            <w:tcW w:w="2272" w:type="dxa"/>
            <w:tcBorders>
              <w:top w:val="nil"/>
              <w:left w:val="nil"/>
              <w:bottom w:val="single" w:sz="4" w:space="0" w:color="auto"/>
              <w:right w:val="single" w:sz="4" w:space="0" w:color="auto"/>
            </w:tcBorders>
            <w:shd w:val="clear" w:color="auto" w:fill="auto"/>
            <w:noWrap/>
            <w:vAlign w:val="bottom"/>
            <w:hideMark/>
          </w:tcPr>
          <w:p w14:paraId="23C7B065" w14:textId="3B9683EC" w:rsidR="00836D25" w:rsidRPr="00836D25" w:rsidRDefault="00836D25" w:rsidP="00836D25">
            <w:pPr>
              <w:spacing w:after="0"/>
              <w:jc w:val="center"/>
              <w:rPr>
                <w:rFonts w:ascii="Calibri" w:eastAsia="Times New Roman" w:hAnsi="Calibri" w:cs="Times New Roman"/>
                <w:sz w:val="20"/>
                <w:szCs w:val="20"/>
              </w:rPr>
            </w:pPr>
            <w:r w:rsidRPr="00836D25">
              <w:rPr>
                <w:rFonts w:ascii="Calibri" w:eastAsia="Times New Roman" w:hAnsi="Calibri" w:cs="Times New Roman"/>
                <w:sz w:val="20"/>
                <w:szCs w:val="20"/>
              </w:rPr>
              <w:t xml:space="preserve">9,232 </w:t>
            </w:r>
          </w:p>
        </w:tc>
        <w:tc>
          <w:tcPr>
            <w:tcW w:w="960" w:type="dxa"/>
            <w:tcBorders>
              <w:top w:val="nil"/>
              <w:left w:val="nil"/>
              <w:bottom w:val="single" w:sz="4" w:space="0" w:color="auto"/>
              <w:right w:val="single" w:sz="4" w:space="0" w:color="auto"/>
            </w:tcBorders>
            <w:shd w:val="clear" w:color="auto" w:fill="auto"/>
            <w:noWrap/>
            <w:vAlign w:val="bottom"/>
            <w:hideMark/>
          </w:tcPr>
          <w:p w14:paraId="3EC6D142" w14:textId="77777777" w:rsidR="00836D25" w:rsidRPr="00836D25" w:rsidRDefault="00836D25" w:rsidP="00836D25">
            <w:pPr>
              <w:spacing w:after="0"/>
              <w:jc w:val="center"/>
              <w:rPr>
                <w:rFonts w:ascii="Calibri" w:eastAsia="Times New Roman" w:hAnsi="Calibri" w:cs="Times New Roman"/>
                <w:sz w:val="20"/>
                <w:szCs w:val="20"/>
              </w:rPr>
            </w:pPr>
            <w:r w:rsidRPr="00836D25">
              <w:rPr>
                <w:rFonts w:ascii="Calibri" w:eastAsia="Times New Roman" w:hAnsi="Calibri" w:cs="Times New Roman"/>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14:paraId="6C569E26" w14:textId="77777777" w:rsidR="00836D25" w:rsidRPr="00836D25" w:rsidRDefault="00836D25" w:rsidP="00836D25">
            <w:pPr>
              <w:spacing w:after="0"/>
              <w:jc w:val="center"/>
              <w:rPr>
                <w:rFonts w:ascii="Calibri" w:eastAsia="Times New Roman" w:hAnsi="Calibri" w:cs="Times New Roman"/>
                <w:sz w:val="20"/>
                <w:szCs w:val="20"/>
              </w:rPr>
            </w:pPr>
            <w:r w:rsidRPr="00836D25">
              <w:rPr>
                <w:rFonts w:ascii="Calibri" w:eastAsia="Times New Roman" w:hAnsi="Calibri" w:cs="Times New Roman"/>
                <w:sz w:val="20"/>
                <w:szCs w:val="20"/>
              </w:rPr>
              <w:t>9.5</w:t>
            </w:r>
          </w:p>
        </w:tc>
        <w:tc>
          <w:tcPr>
            <w:tcW w:w="960" w:type="dxa"/>
            <w:tcBorders>
              <w:top w:val="nil"/>
              <w:left w:val="nil"/>
              <w:bottom w:val="single" w:sz="4" w:space="0" w:color="auto"/>
              <w:right w:val="single" w:sz="4" w:space="0" w:color="auto"/>
            </w:tcBorders>
            <w:shd w:val="clear" w:color="auto" w:fill="auto"/>
            <w:noWrap/>
            <w:vAlign w:val="bottom"/>
            <w:hideMark/>
          </w:tcPr>
          <w:p w14:paraId="51FE1B74" w14:textId="77777777" w:rsidR="00836D25" w:rsidRPr="00836D25" w:rsidRDefault="00836D25" w:rsidP="00836D25">
            <w:pPr>
              <w:spacing w:after="0"/>
              <w:jc w:val="center"/>
              <w:rPr>
                <w:rFonts w:ascii="Calibri" w:eastAsia="Times New Roman" w:hAnsi="Calibri" w:cs="Times New Roman"/>
                <w:sz w:val="20"/>
                <w:szCs w:val="20"/>
              </w:rPr>
            </w:pPr>
            <w:r w:rsidRPr="00836D25">
              <w:rPr>
                <w:rFonts w:ascii="Calibri" w:eastAsia="Times New Roman" w:hAnsi="Calibri" w:cs="Times New Roman"/>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C701087" w14:textId="77777777" w:rsidR="00836D25" w:rsidRPr="00836D25" w:rsidRDefault="00836D25" w:rsidP="00836D25">
            <w:pPr>
              <w:spacing w:after="0"/>
              <w:jc w:val="center"/>
              <w:rPr>
                <w:rFonts w:ascii="Calibri" w:eastAsia="Times New Roman" w:hAnsi="Calibri" w:cs="Times New Roman"/>
                <w:sz w:val="20"/>
                <w:szCs w:val="20"/>
              </w:rPr>
            </w:pPr>
            <w:r w:rsidRPr="00836D25">
              <w:rPr>
                <w:rFonts w:ascii="Calibri" w:eastAsia="Times New Roman" w:hAnsi="Calibri" w:cs="Times New Roman"/>
                <w:sz w:val="20"/>
                <w:szCs w:val="20"/>
              </w:rPr>
              <w:t>42</w:t>
            </w:r>
          </w:p>
        </w:tc>
      </w:tr>
    </w:tbl>
    <w:p w14:paraId="330E0F05" w14:textId="77777777" w:rsidR="00836D25" w:rsidRDefault="00836D25" w:rsidP="00836D25">
      <w:pPr>
        <w:spacing w:after="0"/>
        <w:rPr>
          <w:sz w:val="20"/>
          <w:szCs w:val="20"/>
        </w:rPr>
      </w:pPr>
      <w:r w:rsidRPr="0065093D">
        <w:rPr>
          <w:sz w:val="20"/>
          <w:szCs w:val="20"/>
          <w:vertAlign w:val="superscript"/>
        </w:rPr>
        <w:t>a</w:t>
      </w:r>
      <w:r w:rsidRPr="0065093D">
        <w:rPr>
          <w:sz w:val="20"/>
          <w:szCs w:val="20"/>
        </w:rPr>
        <w:t xml:space="preserve"> Includes pa</w:t>
      </w:r>
      <w:r>
        <w:rPr>
          <w:sz w:val="20"/>
          <w:szCs w:val="20"/>
        </w:rPr>
        <w:t>tients who initiated cabazitaxel</w:t>
      </w:r>
      <w:r w:rsidRPr="0065093D">
        <w:rPr>
          <w:sz w:val="20"/>
          <w:szCs w:val="20"/>
        </w:rPr>
        <w:t xml:space="preserve"> b</w:t>
      </w:r>
      <w:r>
        <w:rPr>
          <w:sz w:val="20"/>
          <w:szCs w:val="20"/>
        </w:rPr>
        <w:t>etween October 2012 and March 2013</w:t>
      </w:r>
      <w:r w:rsidRPr="0065093D">
        <w:rPr>
          <w:sz w:val="20"/>
          <w:szCs w:val="20"/>
        </w:rPr>
        <w:t>.</w:t>
      </w:r>
    </w:p>
    <w:p w14:paraId="3D62FA86" w14:textId="77777777" w:rsidR="00836D25" w:rsidRPr="0065093D" w:rsidRDefault="00836D25" w:rsidP="00836D25">
      <w:pPr>
        <w:spacing w:after="0"/>
        <w:rPr>
          <w:sz w:val="20"/>
          <w:szCs w:val="20"/>
        </w:rPr>
      </w:pPr>
      <w:r>
        <w:rPr>
          <w:sz w:val="20"/>
          <w:szCs w:val="20"/>
          <w:vertAlign w:val="superscript"/>
        </w:rPr>
        <w:t>b</w:t>
      </w:r>
      <w:r w:rsidRPr="0065093D">
        <w:rPr>
          <w:sz w:val="20"/>
          <w:szCs w:val="20"/>
        </w:rPr>
        <w:t xml:space="preserve"> Includes patients who initiated abiraterone between October 2013 and March 2014.</w:t>
      </w:r>
    </w:p>
    <w:p w14:paraId="42768241" w14:textId="77777777" w:rsidR="000D1EDD" w:rsidRPr="00B02785" w:rsidRDefault="000D1EDD" w:rsidP="00A35800">
      <w:pPr>
        <w:rPr>
          <w:highlight w:val="yellow"/>
        </w:rPr>
      </w:pPr>
    </w:p>
    <w:p w14:paraId="3CDD043C" w14:textId="77777777" w:rsidR="00B067C4" w:rsidRDefault="00B067C4">
      <w:pPr>
        <w:spacing w:line="276" w:lineRule="auto"/>
        <w:rPr>
          <w:b/>
          <w:sz w:val="28"/>
        </w:rPr>
      </w:pPr>
      <w:r>
        <w:br w:type="page"/>
      </w:r>
    </w:p>
    <w:p w14:paraId="1D5395DE" w14:textId="410D78B8" w:rsidR="0012318D" w:rsidRPr="00B02785" w:rsidRDefault="001B5D37" w:rsidP="000D1EDD">
      <w:pPr>
        <w:pStyle w:val="Heading2"/>
      </w:pPr>
      <w:r w:rsidRPr="00B02785">
        <w:lastRenderedPageBreak/>
        <w:t xml:space="preserve">Analysis </w:t>
      </w:r>
      <w:r w:rsidR="00481108" w:rsidRPr="00B02785">
        <w:t xml:space="preserve">of </w:t>
      </w:r>
      <w:r w:rsidR="0063631C" w:rsidRPr="00B02785">
        <w:t>e</w:t>
      </w:r>
      <w:r w:rsidR="00736041" w:rsidRPr="00B02785">
        <w:t>xpenditure</w:t>
      </w:r>
    </w:p>
    <w:p w14:paraId="14FB2D19" w14:textId="77777777" w:rsidR="00F27D34" w:rsidRDefault="00FB3D47" w:rsidP="00F965BE">
      <w:pPr>
        <w:rPr>
          <w:b/>
          <w:color w:val="000000" w:themeColor="text1"/>
        </w:rPr>
      </w:pPr>
      <w:r w:rsidRPr="00904D90">
        <w:rPr>
          <w:rStyle w:val="TabletitleChar"/>
        </w:rPr>
        <w:t>Table 21</w:t>
      </w:r>
      <w:r w:rsidR="00904D90" w:rsidRPr="00904D90">
        <w:rPr>
          <w:rStyle w:val="TabletitleChar"/>
        </w:rPr>
        <w:t>:</w:t>
      </w:r>
      <w:r w:rsidR="0012318D" w:rsidRPr="00904D90">
        <w:rPr>
          <w:rStyle w:val="TabletitleChar"/>
        </w:rPr>
        <w:t xml:space="preserve"> Number of prescriptions and benefits paid for cabazitaxel, abiraterone and</w:t>
      </w:r>
      <w:r w:rsidR="0012318D" w:rsidRPr="00B02785">
        <w:rPr>
          <w:b/>
          <w:color w:val="000000" w:themeColor="text1"/>
        </w:rPr>
        <w:t xml:space="preserve"> enzalutamide</w:t>
      </w:r>
    </w:p>
    <w:tbl>
      <w:tblPr>
        <w:tblStyle w:val="TableGrid"/>
        <w:tblW w:w="9080" w:type="dxa"/>
        <w:tblLook w:val="04A0" w:firstRow="1" w:lastRow="0" w:firstColumn="1" w:lastColumn="0" w:noHBand="0" w:noVBand="1"/>
        <w:tblCaption w:val="Number of prescriptions and benefits paid for cabazitaxel, abiraterone and enzalutamide"/>
        <w:tblDescription w:val="Table of Number of prescriptions and benefits paid for cabazitaxel, abiraterone and enzalutamide"/>
      </w:tblPr>
      <w:tblGrid>
        <w:gridCol w:w="2780"/>
        <w:gridCol w:w="1500"/>
        <w:gridCol w:w="1600"/>
        <w:gridCol w:w="1600"/>
        <w:gridCol w:w="1600"/>
      </w:tblGrid>
      <w:tr w:rsidR="00F27D34" w:rsidRPr="00904D90" w14:paraId="06FFC5EB" w14:textId="77777777" w:rsidTr="00553C78">
        <w:trPr>
          <w:trHeight w:val="300"/>
          <w:tblHeader/>
        </w:trPr>
        <w:tc>
          <w:tcPr>
            <w:tcW w:w="2780" w:type="dxa"/>
            <w:tcBorders>
              <w:top w:val="single" w:sz="4" w:space="0" w:color="auto"/>
              <w:left w:val="single" w:sz="4" w:space="0" w:color="auto"/>
            </w:tcBorders>
            <w:shd w:val="clear" w:color="auto" w:fill="BFBFBF" w:themeFill="background1" w:themeFillShade="BF"/>
            <w:noWrap/>
            <w:hideMark/>
          </w:tcPr>
          <w:p w14:paraId="5D5A3FEA" w14:textId="77777777" w:rsidR="00F27D34" w:rsidRPr="00904D90" w:rsidRDefault="00F27D34" w:rsidP="00C506C2">
            <w:pPr>
              <w:rPr>
                <w:color w:val="000000" w:themeColor="text1"/>
                <w:sz w:val="20"/>
                <w:szCs w:val="20"/>
              </w:rPr>
            </w:pPr>
          </w:p>
        </w:tc>
        <w:tc>
          <w:tcPr>
            <w:tcW w:w="1500" w:type="dxa"/>
            <w:shd w:val="clear" w:color="auto" w:fill="BFBFBF" w:themeFill="background1" w:themeFillShade="BF"/>
            <w:noWrap/>
            <w:hideMark/>
          </w:tcPr>
          <w:p w14:paraId="6A52D03F" w14:textId="77777777" w:rsidR="00F27D34" w:rsidRPr="00904D90" w:rsidRDefault="00F27D34" w:rsidP="00C506C2">
            <w:pPr>
              <w:jc w:val="center"/>
              <w:rPr>
                <w:b/>
                <w:bCs/>
                <w:color w:val="000000" w:themeColor="text1"/>
                <w:sz w:val="20"/>
                <w:szCs w:val="20"/>
              </w:rPr>
            </w:pPr>
            <w:r w:rsidRPr="00904D90">
              <w:rPr>
                <w:b/>
                <w:bCs/>
                <w:color w:val="000000" w:themeColor="text1"/>
                <w:sz w:val="20"/>
                <w:szCs w:val="20"/>
              </w:rPr>
              <w:t>2012</w:t>
            </w:r>
          </w:p>
        </w:tc>
        <w:tc>
          <w:tcPr>
            <w:tcW w:w="1600" w:type="dxa"/>
            <w:shd w:val="clear" w:color="auto" w:fill="BFBFBF" w:themeFill="background1" w:themeFillShade="BF"/>
            <w:noWrap/>
            <w:hideMark/>
          </w:tcPr>
          <w:p w14:paraId="060BE25F" w14:textId="77777777" w:rsidR="00F27D34" w:rsidRPr="00904D90" w:rsidRDefault="00F27D34" w:rsidP="00C506C2">
            <w:pPr>
              <w:jc w:val="center"/>
              <w:rPr>
                <w:b/>
                <w:bCs/>
                <w:color w:val="000000" w:themeColor="text1"/>
                <w:sz w:val="20"/>
                <w:szCs w:val="20"/>
              </w:rPr>
            </w:pPr>
            <w:r w:rsidRPr="00904D90">
              <w:rPr>
                <w:b/>
                <w:bCs/>
                <w:color w:val="000000" w:themeColor="text1"/>
                <w:sz w:val="20"/>
                <w:szCs w:val="20"/>
              </w:rPr>
              <w:t>2013</w:t>
            </w:r>
          </w:p>
        </w:tc>
        <w:tc>
          <w:tcPr>
            <w:tcW w:w="1600" w:type="dxa"/>
            <w:shd w:val="clear" w:color="auto" w:fill="BFBFBF" w:themeFill="background1" w:themeFillShade="BF"/>
            <w:noWrap/>
            <w:hideMark/>
          </w:tcPr>
          <w:p w14:paraId="10F8160E" w14:textId="77777777" w:rsidR="00F27D34" w:rsidRPr="00904D90" w:rsidRDefault="00F27D34" w:rsidP="00C506C2">
            <w:pPr>
              <w:jc w:val="center"/>
              <w:rPr>
                <w:b/>
                <w:bCs/>
                <w:color w:val="000000" w:themeColor="text1"/>
                <w:sz w:val="20"/>
                <w:szCs w:val="20"/>
              </w:rPr>
            </w:pPr>
            <w:r w:rsidRPr="00904D90">
              <w:rPr>
                <w:b/>
                <w:bCs/>
                <w:color w:val="000000" w:themeColor="text1"/>
                <w:sz w:val="20"/>
                <w:szCs w:val="20"/>
              </w:rPr>
              <w:t>2014</w:t>
            </w:r>
          </w:p>
        </w:tc>
        <w:tc>
          <w:tcPr>
            <w:tcW w:w="1600" w:type="dxa"/>
            <w:shd w:val="clear" w:color="auto" w:fill="BFBFBF" w:themeFill="background1" w:themeFillShade="BF"/>
            <w:noWrap/>
            <w:hideMark/>
          </w:tcPr>
          <w:p w14:paraId="1872CBC3" w14:textId="77777777" w:rsidR="00F27D34" w:rsidRPr="00904D90" w:rsidRDefault="00F27D34" w:rsidP="00C506C2">
            <w:pPr>
              <w:jc w:val="center"/>
              <w:rPr>
                <w:b/>
                <w:bCs/>
                <w:color w:val="000000" w:themeColor="text1"/>
                <w:sz w:val="20"/>
                <w:szCs w:val="20"/>
              </w:rPr>
            </w:pPr>
            <w:r w:rsidRPr="00904D90">
              <w:rPr>
                <w:b/>
                <w:bCs/>
                <w:color w:val="000000" w:themeColor="text1"/>
                <w:sz w:val="20"/>
                <w:szCs w:val="20"/>
              </w:rPr>
              <w:t>2015</w:t>
            </w:r>
          </w:p>
        </w:tc>
      </w:tr>
      <w:tr w:rsidR="00F27D34" w:rsidRPr="00904D90" w14:paraId="6820B3A8" w14:textId="77777777" w:rsidTr="00C506C2">
        <w:trPr>
          <w:trHeight w:val="300"/>
        </w:trPr>
        <w:tc>
          <w:tcPr>
            <w:tcW w:w="9080" w:type="dxa"/>
            <w:gridSpan w:val="5"/>
            <w:shd w:val="clear" w:color="auto" w:fill="BFBFBF" w:themeFill="background1" w:themeFillShade="BF"/>
            <w:noWrap/>
            <w:hideMark/>
          </w:tcPr>
          <w:p w14:paraId="1D588630" w14:textId="77777777" w:rsidR="00F27D34" w:rsidRPr="00904D90" w:rsidRDefault="00F27D34" w:rsidP="00C506C2">
            <w:pPr>
              <w:rPr>
                <w:b/>
                <w:bCs/>
                <w:color w:val="000000" w:themeColor="text1"/>
                <w:sz w:val="20"/>
                <w:szCs w:val="20"/>
              </w:rPr>
            </w:pPr>
            <w:r w:rsidRPr="00904D90">
              <w:rPr>
                <w:b/>
                <w:bCs/>
                <w:color w:val="000000" w:themeColor="text1"/>
                <w:sz w:val="20"/>
                <w:szCs w:val="20"/>
              </w:rPr>
              <w:t>Cabazitaxel</w:t>
            </w:r>
          </w:p>
        </w:tc>
      </w:tr>
      <w:tr w:rsidR="00F27D34" w:rsidRPr="00904D90" w14:paraId="345D9B99" w14:textId="77777777" w:rsidTr="00C506C2">
        <w:trPr>
          <w:trHeight w:val="300"/>
        </w:trPr>
        <w:tc>
          <w:tcPr>
            <w:tcW w:w="2780" w:type="dxa"/>
            <w:noWrap/>
            <w:hideMark/>
          </w:tcPr>
          <w:p w14:paraId="4999142A" w14:textId="77777777" w:rsidR="00F27D34" w:rsidRPr="00904D90" w:rsidRDefault="00F27D34" w:rsidP="00C506C2">
            <w:pPr>
              <w:rPr>
                <w:color w:val="000000" w:themeColor="text1"/>
                <w:sz w:val="20"/>
                <w:szCs w:val="20"/>
              </w:rPr>
            </w:pPr>
            <w:r w:rsidRPr="00904D90">
              <w:rPr>
                <w:color w:val="000000" w:themeColor="text1"/>
                <w:sz w:val="20"/>
                <w:szCs w:val="20"/>
              </w:rPr>
              <w:t>Total prescriptions</w:t>
            </w:r>
          </w:p>
        </w:tc>
        <w:tc>
          <w:tcPr>
            <w:tcW w:w="1500" w:type="dxa"/>
            <w:noWrap/>
            <w:vAlign w:val="bottom"/>
            <w:hideMark/>
          </w:tcPr>
          <w:p w14:paraId="10A76AD3" w14:textId="77777777" w:rsidR="00F27D34" w:rsidRPr="00904D90" w:rsidRDefault="00F27D34" w:rsidP="00C506C2">
            <w:pPr>
              <w:jc w:val="right"/>
              <w:rPr>
                <w:sz w:val="20"/>
                <w:szCs w:val="20"/>
              </w:rPr>
            </w:pPr>
            <w:r w:rsidRPr="00904D90">
              <w:rPr>
                <w:sz w:val="20"/>
                <w:szCs w:val="20"/>
              </w:rPr>
              <w:t>731</w:t>
            </w:r>
          </w:p>
        </w:tc>
        <w:tc>
          <w:tcPr>
            <w:tcW w:w="1600" w:type="dxa"/>
            <w:noWrap/>
            <w:vAlign w:val="bottom"/>
            <w:hideMark/>
          </w:tcPr>
          <w:p w14:paraId="01B9D2C9" w14:textId="77777777" w:rsidR="00F27D34" w:rsidRPr="00904D90" w:rsidRDefault="00F27D34" w:rsidP="00C506C2">
            <w:pPr>
              <w:jc w:val="right"/>
              <w:rPr>
                <w:sz w:val="20"/>
                <w:szCs w:val="20"/>
              </w:rPr>
            </w:pPr>
            <w:r w:rsidRPr="00904D90">
              <w:rPr>
                <w:sz w:val="20"/>
                <w:szCs w:val="20"/>
              </w:rPr>
              <w:t>2225</w:t>
            </w:r>
          </w:p>
        </w:tc>
        <w:tc>
          <w:tcPr>
            <w:tcW w:w="1600" w:type="dxa"/>
            <w:noWrap/>
            <w:vAlign w:val="bottom"/>
            <w:hideMark/>
          </w:tcPr>
          <w:p w14:paraId="50D809FD" w14:textId="77777777" w:rsidR="00F27D34" w:rsidRPr="00904D90" w:rsidRDefault="00F27D34" w:rsidP="00C506C2">
            <w:pPr>
              <w:jc w:val="right"/>
              <w:rPr>
                <w:sz w:val="20"/>
                <w:szCs w:val="20"/>
              </w:rPr>
            </w:pPr>
            <w:r w:rsidRPr="00904D90">
              <w:rPr>
                <w:sz w:val="20"/>
                <w:szCs w:val="20"/>
              </w:rPr>
              <w:t>2467</w:t>
            </w:r>
          </w:p>
        </w:tc>
        <w:tc>
          <w:tcPr>
            <w:tcW w:w="1600" w:type="dxa"/>
            <w:noWrap/>
            <w:vAlign w:val="bottom"/>
            <w:hideMark/>
          </w:tcPr>
          <w:p w14:paraId="0B0405C2" w14:textId="77777777" w:rsidR="00F27D34" w:rsidRPr="00904D90" w:rsidRDefault="00F27D34" w:rsidP="00C506C2">
            <w:pPr>
              <w:jc w:val="right"/>
              <w:rPr>
                <w:sz w:val="20"/>
                <w:szCs w:val="20"/>
              </w:rPr>
            </w:pPr>
            <w:r w:rsidRPr="00904D90">
              <w:rPr>
                <w:sz w:val="20"/>
                <w:szCs w:val="20"/>
              </w:rPr>
              <w:t>3110</w:t>
            </w:r>
          </w:p>
        </w:tc>
      </w:tr>
      <w:tr w:rsidR="00F27D34" w:rsidRPr="00904D90" w14:paraId="7F678FA5" w14:textId="77777777" w:rsidTr="00C506C2">
        <w:trPr>
          <w:trHeight w:val="300"/>
        </w:trPr>
        <w:tc>
          <w:tcPr>
            <w:tcW w:w="2780" w:type="dxa"/>
            <w:noWrap/>
            <w:hideMark/>
          </w:tcPr>
          <w:p w14:paraId="0627184C" w14:textId="77777777" w:rsidR="00F27D34" w:rsidRPr="00904D90" w:rsidRDefault="00F27D34" w:rsidP="00C506C2">
            <w:pPr>
              <w:rPr>
                <w:color w:val="000000" w:themeColor="text1"/>
                <w:sz w:val="20"/>
                <w:szCs w:val="20"/>
              </w:rPr>
            </w:pPr>
            <w:r w:rsidRPr="00904D90">
              <w:rPr>
                <w:color w:val="000000" w:themeColor="text1"/>
                <w:sz w:val="20"/>
                <w:szCs w:val="20"/>
              </w:rPr>
              <w:t>Total benefits</w:t>
            </w:r>
          </w:p>
        </w:tc>
        <w:tc>
          <w:tcPr>
            <w:tcW w:w="1500" w:type="dxa"/>
            <w:noWrap/>
            <w:vAlign w:val="bottom"/>
            <w:hideMark/>
          </w:tcPr>
          <w:p w14:paraId="24DBDBAD" w14:textId="77777777" w:rsidR="00F27D34" w:rsidRPr="00904D90" w:rsidRDefault="00F27D34" w:rsidP="00C506C2">
            <w:pPr>
              <w:jc w:val="right"/>
              <w:rPr>
                <w:sz w:val="20"/>
                <w:szCs w:val="20"/>
              </w:rPr>
            </w:pPr>
            <w:r w:rsidRPr="00904D90">
              <w:rPr>
                <w:sz w:val="20"/>
                <w:szCs w:val="20"/>
              </w:rPr>
              <w:t xml:space="preserve">$4,360,373 </w:t>
            </w:r>
          </w:p>
        </w:tc>
        <w:tc>
          <w:tcPr>
            <w:tcW w:w="1600" w:type="dxa"/>
            <w:noWrap/>
            <w:vAlign w:val="bottom"/>
            <w:hideMark/>
          </w:tcPr>
          <w:p w14:paraId="21873AF1" w14:textId="77777777" w:rsidR="00F27D34" w:rsidRPr="00904D90" w:rsidRDefault="00F27D34" w:rsidP="00C506C2">
            <w:pPr>
              <w:jc w:val="right"/>
              <w:rPr>
                <w:sz w:val="20"/>
                <w:szCs w:val="20"/>
              </w:rPr>
            </w:pPr>
            <w:r w:rsidRPr="00904D90">
              <w:rPr>
                <w:sz w:val="20"/>
                <w:szCs w:val="20"/>
              </w:rPr>
              <w:t xml:space="preserve"> $13,281,636 </w:t>
            </w:r>
          </w:p>
        </w:tc>
        <w:tc>
          <w:tcPr>
            <w:tcW w:w="1600" w:type="dxa"/>
            <w:noWrap/>
            <w:vAlign w:val="bottom"/>
            <w:hideMark/>
          </w:tcPr>
          <w:p w14:paraId="5BECE0C7" w14:textId="77777777" w:rsidR="00F27D34" w:rsidRPr="00904D90" w:rsidRDefault="00F27D34" w:rsidP="00C506C2">
            <w:pPr>
              <w:jc w:val="right"/>
              <w:rPr>
                <w:sz w:val="20"/>
                <w:szCs w:val="20"/>
              </w:rPr>
            </w:pPr>
            <w:r w:rsidRPr="00904D90">
              <w:rPr>
                <w:sz w:val="20"/>
                <w:szCs w:val="20"/>
              </w:rPr>
              <w:t xml:space="preserve"> $14,805,301 </w:t>
            </w:r>
          </w:p>
        </w:tc>
        <w:tc>
          <w:tcPr>
            <w:tcW w:w="1600" w:type="dxa"/>
            <w:noWrap/>
            <w:vAlign w:val="bottom"/>
            <w:hideMark/>
          </w:tcPr>
          <w:p w14:paraId="29781919" w14:textId="77777777" w:rsidR="00F27D34" w:rsidRPr="00904D90" w:rsidRDefault="00F27D34" w:rsidP="00C506C2">
            <w:pPr>
              <w:jc w:val="right"/>
              <w:rPr>
                <w:sz w:val="20"/>
                <w:szCs w:val="20"/>
              </w:rPr>
            </w:pPr>
            <w:r w:rsidRPr="00904D90">
              <w:rPr>
                <w:sz w:val="20"/>
                <w:szCs w:val="20"/>
              </w:rPr>
              <w:t xml:space="preserve"> $18,650,884 </w:t>
            </w:r>
          </w:p>
        </w:tc>
      </w:tr>
      <w:tr w:rsidR="00F27D34" w:rsidRPr="00904D90" w14:paraId="091F85E5" w14:textId="77777777" w:rsidTr="00C506C2">
        <w:trPr>
          <w:trHeight w:val="300"/>
        </w:trPr>
        <w:tc>
          <w:tcPr>
            <w:tcW w:w="2780" w:type="dxa"/>
            <w:noWrap/>
            <w:hideMark/>
          </w:tcPr>
          <w:p w14:paraId="42FEBCA7" w14:textId="77777777" w:rsidR="00F27D34" w:rsidRPr="00904D90" w:rsidRDefault="00F27D34" w:rsidP="00C506C2">
            <w:pPr>
              <w:rPr>
                <w:color w:val="000000" w:themeColor="text1"/>
                <w:sz w:val="20"/>
                <w:szCs w:val="20"/>
              </w:rPr>
            </w:pPr>
            <w:r w:rsidRPr="00904D90">
              <w:rPr>
                <w:color w:val="000000" w:themeColor="text1"/>
                <w:sz w:val="20"/>
                <w:szCs w:val="20"/>
              </w:rPr>
              <w:t>Patient contributions</w:t>
            </w:r>
          </w:p>
        </w:tc>
        <w:tc>
          <w:tcPr>
            <w:tcW w:w="1500" w:type="dxa"/>
            <w:noWrap/>
            <w:vAlign w:val="bottom"/>
            <w:hideMark/>
          </w:tcPr>
          <w:p w14:paraId="41983B58" w14:textId="77777777" w:rsidR="00F27D34" w:rsidRPr="00904D90" w:rsidRDefault="00F27D34" w:rsidP="00C506C2">
            <w:pPr>
              <w:jc w:val="right"/>
              <w:rPr>
                <w:sz w:val="20"/>
                <w:szCs w:val="20"/>
              </w:rPr>
            </w:pPr>
            <w:r w:rsidRPr="00904D90">
              <w:rPr>
                <w:sz w:val="20"/>
                <w:szCs w:val="20"/>
              </w:rPr>
              <w:t>$2,934</w:t>
            </w:r>
          </w:p>
        </w:tc>
        <w:tc>
          <w:tcPr>
            <w:tcW w:w="1600" w:type="dxa"/>
            <w:noWrap/>
            <w:vAlign w:val="bottom"/>
            <w:hideMark/>
          </w:tcPr>
          <w:p w14:paraId="08296F4C" w14:textId="77777777" w:rsidR="00F27D34" w:rsidRPr="00904D90" w:rsidRDefault="00F27D34" w:rsidP="00C506C2">
            <w:pPr>
              <w:jc w:val="right"/>
              <w:rPr>
                <w:sz w:val="20"/>
                <w:szCs w:val="20"/>
              </w:rPr>
            </w:pPr>
            <w:r w:rsidRPr="00904D90">
              <w:rPr>
                <w:sz w:val="20"/>
                <w:szCs w:val="20"/>
              </w:rPr>
              <w:t>$8,749</w:t>
            </w:r>
          </w:p>
        </w:tc>
        <w:tc>
          <w:tcPr>
            <w:tcW w:w="1600" w:type="dxa"/>
            <w:noWrap/>
            <w:vAlign w:val="bottom"/>
            <w:hideMark/>
          </w:tcPr>
          <w:p w14:paraId="389F5F4C" w14:textId="77777777" w:rsidR="00F27D34" w:rsidRPr="00904D90" w:rsidRDefault="00F27D34" w:rsidP="00C506C2">
            <w:pPr>
              <w:jc w:val="right"/>
              <w:rPr>
                <w:sz w:val="20"/>
                <w:szCs w:val="20"/>
              </w:rPr>
            </w:pPr>
            <w:r w:rsidRPr="00904D90">
              <w:rPr>
                <w:sz w:val="20"/>
                <w:szCs w:val="20"/>
              </w:rPr>
              <w:t>$9,187</w:t>
            </w:r>
          </w:p>
        </w:tc>
        <w:tc>
          <w:tcPr>
            <w:tcW w:w="1600" w:type="dxa"/>
            <w:noWrap/>
            <w:vAlign w:val="bottom"/>
            <w:hideMark/>
          </w:tcPr>
          <w:p w14:paraId="5517B249" w14:textId="77777777" w:rsidR="00F27D34" w:rsidRPr="00904D90" w:rsidRDefault="00F27D34" w:rsidP="00C506C2">
            <w:pPr>
              <w:jc w:val="right"/>
              <w:rPr>
                <w:sz w:val="20"/>
                <w:szCs w:val="20"/>
              </w:rPr>
            </w:pPr>
            <w:r w:rsidRPr="00904D90">
              <w:rPr>
                <w:sz w:val="20"/>
                <w:szCs w:val="20"/>
              </w:rPr>
              <w:t>$13,905</w:t>
            </w:r>
          </w:p>
        </w:tc>
      </w:tr>
      <w:tr w:rsidR="00F27D34" w:rsidRPr="00904D90" w14:paraId="6333C95F" w14:textId="77777777" w:rsidTr="00C506C2">
        <w:trPr>
          <w:trHeight w:val="300"/>
        </w:trPr>
        <w:tc>
          <w:tcPr>
            <w:tcW w:w="2780" w:type="dxa"/>
            <w:noWrap/>
            <w:hideMark/>
          </w:tcPr>
          <w:p w14:paraId="196060D6" w14:textId="77777777" w:rsidR="00F27D34" w:rsidRPr="00904D90" w:rsidRDefault="00F27D34" w:rsidP="00C506C2">
            <w:pPr>
              <w:rPr>
                <w:color w:val="000000" w:themeColor="text1"/>
                <w:sz w:val="20"/>
                <w:szCs w:val="20"/>
              </w:rPr>
            </w:pPr>
            <w:r w:rsidRPr="00904D90">
              <w:rPr>
                <w:color w:val="000000" w:themeColor="text1"/>
                <w:sz w:val="20"/>
                <w:szCs w:val="20"/>
              </w:rPr>
              <w:t>Net cost to Government</w:t>
            </w:r>
          </w:p>
        </w:tc>
        <w:tc>
          <w:tcPr>
            <w:tcW w:w="1500" w:type="dxa"/>
            <w:noWrap/>
            <w:vAlign w:val="bottom"/>
            <w:hideMark/>
          </w:tcPr>
          <w:p w14:paraId="216F9F87" w14:textId="77777777" w:rsidR="00F27D34" w:rsidRPr="00904D90" w:rsidRDefault="00F27D34" w:rsidP="00C506C2">
            <w:pPr>
              <w:jc w:val="right"/>
              <w:rPr>
                <w:sz w:val="20"/>
                <w:szCs w:val="20"/>
              </w:rPr>
            </w:pPr>
            <w:r w:rsidRPr="00904D90">
              <w:rPr>
                <w:sz w:val="20"/>
                <w:szCs w:val="20"/>
              </w:rPr>
              <w:t>$4,357,439</w:t>
            </w:r>
          </w:p>
        </w:tc>
        <w:tc>
          <w:tcPr>
            <w:tcW w:w="1600" w:type="dxa"/>
            <w:noWrap/>
            <w:vAlign w:val="bottom"/>
            <w:hideMark/>
          </w:tcPr>
          <w:p w14:paraId="5247B0D8" w14:textId="77777777" w:rsidR="00F27D34" w:rsidRPr="00904D90" w:rsidRDefault="00F27D34" w:rsidP="00C506C2">
            <w:pPr>
              <w:jc w:val="right"/>
              <w:rPr>
                <w:sz w:val="20"/>
                <w:szCs w:val="20"/>
              </w:rPr>
            </w:pPr>
            <w:r w:rsidRPr="00904D90">
              <w:rPr>
                <w:sz w:val="20"/>
                <w:szCs w:val="20"/>
              </w:rPr>
              <w:t>$13,272,887</w:t>
            </w:r>
          </w:p>
        </w:tc>
        <w:tc>
          <w:tcPr>
            <w:tcW w:w="1600" w:type="dxa"/>
            <w:noWrap/>
            <w:vAlign w:val="bottom"/>
            <w:hideMark/>
          </w:tcPr>
          <w:p w14:paraId="23582E27" w14:textId="77777777" w:rsidR="00F27D34" w:rsidRPr="00904D90" w:rsidRDefault="00F27D34" w:rsidP="00C506C2">
            <w:pPr>
              <w:jc w:val="right"/>
              <w:rPr>
                <w:sz w:val="20"/>
                <w:szCs w:val="20"/>
              </w:rPr>
            </w:pPr>
            <w:r w:rsidRPr="00904D90">
              <w:rPr>
                <w:sz w:val="20"/>
                <w:szCs w:val="20"/>
              </w:rPr>
              <w:t>$14,796,114</w:t>
            </w:r>
          </w:p>
        </w:tc>
        <w:tc>
          <w:tcPr>
            <w:tcW w:w="1600" w:type="dxa"/>
            <w:noWrap/>
            <w:vAlign w:val="bottom"/>
            <w:hideMark/>
          </w:tcPr>
          <w:p w14:paraId="08EF664A" w14:textId="77777777" w:rsidR="00F27D34" w:rsidRPr="00904D90" w:rsidRDefault="00F27D34" w:rsidP="00C506C2">
            <w:pPr>
              <w:jc w:val="right"/>
              <w:rPr>
                <w:sz w:val="20"/>
                <w:szCs w:val="20"/>
              </w:rPr>
            </w:pPr>
            <w:r w:rsidRPr="00904D90">
              <w:rPr>
                <w:sz w:val="20"/>
                <w:szCs w:val="20"/>
              </w:rPr>
              <w:t>$18,636,979</w:t>
            </w:r>
          </w:p>
        </w:tc>
      </w:tr>
      <w:tr w:rsidR="00F27D34" w:rsidRPr="00904D90" w14:paraId="11E69EFB" w14:textId="77777777" w:rsidTr="00C506C2">
        <w:trPr>
          <w:trHeight w:val="300"/>
        </w:trPr>
        <w:tc>
          <w:tcPr>
            <w:tcW w:w="9080" w:type="dxa"/>
            <w:gridSpan w:val="5"/>
            <w:shd w:val="clear" w:color="auto" w:fill="BFBFBF" w:themeFill="background1" w:themeFillShade="BF"/>
            <w:noWrap/>
            <w:hideMark/>
          </w:tcPr>
          <w:p w14:paraId="54C12CF5" w14:textId="77777777" w:rsidR="00F27D34" w:rsidRPr="00904D90" w:rsidRDefault="00F27D34" w:rsidP="00C506C2">
            <w:pPr>
              <w:rPr>
                <w:b/>
                <w:bCs/>
                <w:color w:val="000000" w:themeColor="text1"/>
                <w:sz w:val="20"/>
                <w:szCs w:val="20"/>
              </w:rPr>
            </w:pPr>
            <w:r w:rsidRPr="00904D90">
              <w:rPr>
                <w:b/>
                <w:bCs/>
                <w:color w:val="000000" w:themeColor="text1"/>
                <w:sz w:val="20"/>
                <w:szCs w:val="20"/>
              </w:rPr>
              <w:t>Abiraterone</w:t>
            </w:r>
          </w:p>
        </w:tc>
      </w:tr>
      <w:tr w:rsidR="00F27D34" w:rsidRPr="00904D90" w14:paraId="639BEEB7" w14:textId="77777777" w:rsidTr="00C506C2">
        <w:trPr>
          <w:trHeight w:val="300"/>
        </w:trPr>
        <w:tc>
          <w:tcPr>
            <w:tcW w:w="2780" w:type="dxa"/>
            <w:noWrap/>
            <w:hideMark/>
          </w:tcPr>
          <w:p w14:paraId="576DACD8" w14:textId="77777777" w:rsidR="00F27D34" w:rsidRPr="00904D90" w:rsidRDefault="00F27D34" w:rsidP="00C506C2">
            <w:pPr>
              <w:rPr>
                <w:color w:val="000000" w:themeColor="text1"/>
                <w:sz w:val="20"/>
                <w:szCs w:val="20"/>
              </w:rPr>
            </w:pPr>
            <w:r w:rsidRPr="00904D90">
              <w:rPr>
                <w:color w:val="000000" w:themeColor="text1"/>
                <w:sz w:val="20"/>
                <w:szCs w:val="20"/>
              </w:rPr>
              <w:t>Total prescriptions</w:t>
            </w:r>
          </w:p>
        </w:tc>
        <w:tc>
          <w:tcPr>
            <w:tcW w:w="1500" w:type="dxa"/>
            <w:noWrap/>
            <w:hideMark/>
          </w:tcPr>
          <w:p w14:paraId="258CB403" w14:textId="77777777" w:rsidR="00F27D34" w:rsidRPr="00904D90" w:rsidRDefault="00F27D34" w:rsidP="00C506C2">
            <w:pPr>
              <w:jc w:val="center"/>
              <w:rPr>
                <w:color w:val="000000" w:themeColor="text1"/>
                <w:sz w:val="20"/>
                <w:szCs w:val="20"/>
              </w:rPr>
            </w:pPr>
            <w:r w:rsidRPr="00904D90">
              <w:rPr>
                <w:color w:val="000000" w:themeColor="text1"/>
                <w:sz w:val="20"/>
                <w:szCs w:val="20"/>
              </w:rPr>
              <w:t>-</w:t>
            </w:r>
          </w:p>
        </w:tc>
        <w:tc>
          <w:tcPr>
            <w:tcW w:w="1600" w:type="dxa"/>
            <w:noWrap/>
            <w:vAlign w:val="bottom"/>
            <w:hideMark/>
          </w:tcPr>
          <w:p w14:paraId="21E28CE4" w14:textId="77777777" w:rsidR="00F27D34" w:rsidRPr="00904D90" w:rsidRDefault="00F27D34" w:rsidP="00C506C2">
            <w:pPr>
              <w:jc w:val="right"/>
              <w:rPr>
                <w:sz w:val="20"/>
                <w:szCs w:val="20"/>
              </w:rPr>
            </w:pPr>
            <w:r w:rsidRPr="00904D90">
              <w:rPr>
                <w:sz w:val="20"/>
                <w:szCs w:val="20"/>
              </w:rPr>
              <w:t>4192</w:t>
            </w:r>
          </w:p>
        </w:tc>
        <w:tc>
          <w:tcPr>
            <w:tcW w:w="1600" w:type="dxa"/>
            <w:noWrap/>
            <w:vAlign w:val="bottom"/>
            <w:hideMark/>
          </w:tcPr>
          <w:p w14:paraId="0B43CA58" w14:textId="77777777" w:rsidR="00F27D34" w:rsidRPr="00904D90" w:rsidRDefault="00F27D34" w:rsidP="00C506C2">
            <w:pPr>
              <w:jc w:val="right"/>
              <w:rPr>
                <w:sz w:val="20"/>
                <w:szCs w:val="20"/>
              </w:rPr>
            </w:pPr>
            <w:r w:rsidRPr="00904D90">
              <w:rPr>
                <w:sz w:val="20"/>
                <w:szCs w:val="20"/>
              </w:rPr>
              <w:t>11841</w:t>
            </w:r>
          </w:p>
        </w:tc>
        <w:tc>
          <w:tcPr>
            <w:tcW w:w="1600" w:type="dxa"/>
            <w:noWrap/>
            <w:vAlign w:val="bottom"/>
            <w:hideMark/>
          </w:tcPr>
          <w:p w14:paraId="42B63855" w14:textId="77777777" w:rsidR="00F27D34" w:rsidRPr="00904D90" w:rsidRDefault="00F27D34" w:rsidP="00C506C2">
            <w:pPr>
              <w:jc w:val="right"/>
              <w:rPr>
                <w:sz w:val="20"/>
                <w:szCs w:val="20"/>
              </w:rPr>
            </w:pPr>
            <w:r w:rsidRPr="00904D90">
              <w:rPr>
                <w:sz w:val="20"/>
                <w:szCs w:val="20"/>
              </w:rPr>
              <w:t>11533</w:t>
            </w:r>
          </w:p>
        </w:tc>
      </w:tr>
      <w:tr w:rsidR="00F27D34" w:rsidRPr="00904D90" w14:paraId="40E7286B" w14:textId="77777777" w:rsidTr="00C506C2">
        <w:trPr>
          <w:trHeight w:val="300"/>
        </w:trPr>
        <w:tc>
          <w:tcPr>
            <w:tcW w:w="2780" w:type="dxa"/>
            <w:noWrap/>
            <w:hideMark/>
          </w:tcPr>
          <w:p w14:paraId="7021DA83" w14:textId="77777777" w:rsidR="00F27D34" w:rsidRPr="00904D90" w:rsidRDefault="00F27D34" w:rsidP="00C506C2">
            <w:pPr>
              <w:rPr>
                <w:color w:val="000000" w:themeColor="text1"/>
                <w:sz w:val="20"/>
                <w:szCs w:val="20"/>
              </w:rPr>
            </w:pPr>
            <w:r w:rsidRPr="00904D90">
              <w:rPr>
                <w:color w:val="000000" w:themeColor="text1"/>
                <w:sz w:val="20"/>
                <w:szCs w:val="20"/>
              </w:rPr>
              <w:t>Total benefits</w:t>
            </w:r>
          </w:p>
        </w:tc>
        <w:tc>
          <w:tcPr>
            <w:tcW w:w="1500" w:type="dxa"/>
            <w:noWrap/>
            <w:hideMark/>
          </w:tcPr>
          <w:p w14:paraId="5DC8D357" w14:textId="77777777" w:rsidR="00F27D34" w:rsidRPr="00904D90" w:rsidRDefault="00F27D34" w:rsidP="00C506C2">
            <w:pPr>
              <w:jc w:val="center"/>
              <w:rPr>
                <w:color w:val="000000" w:themeColor="text1"/>
                <w:sz w:val="20"/>
                <w:szCs w:val="20"/>
              </w:rPr>
            </w:pPr>
            <w:r w:rsidRPr="00904D90">
              <w:rPr>
                <w:color w:val="000000" w:themeColor="text1"/>
                <w:sz w:val="20"/>
                <w:szCs w:val="20"/>
              </w:rPr>
              <w:t>-</w:t>
            </w:r>
          </w:p>
        </w:tc>
        <w:tc>
          <w:tcPr>
            <w:tcW w:w="1600" w:type="dxa"/>
            <w:noWrap/>
            <w:vAlign w:val="bottom"/>
            <w:hideMark/>
          </w:tcPr>
          <w:p w14:paraId="7C60A544" w14:textId="77777777" w:rsidR="00F27D34" w:rsidRPr="00904D90" w:rsidRDefault="00F27D34" w:rsidP="00C506C2">
            <w:pPr>
              <w:jc w:val="right"/>
              <w:rPr>
                <w:sz w:val="20"/>
                <w:szCs w:val="20"/>
              </w:rPr>
            </w:pPr>
            <w:r w:rsidRPr="00904D90">
              <w:rPr>
                <w:sz w:val="20"/>
                <w:szCs w:val="20"/>
              </w:rPr>
              <w:t xml:space="preserve"> $15,190,125 </w:t>
            </w:r>
          </w:p>
        </w:tc>
        <w:tc>
          <w:tcPr>
            <w:tcW w:w="1600" w:type="dxa"/>
            <w:noWrap/>
            <w:vAlign w:val="bottom"/>
            <w:hideMark/>
          </w:tcPr>
          <w:p w14:paraId="22B11ACA" w14:textId="77777777" w:rsidR="00F27D34" w:rsidRPr="00904D90" w:rsidRDefault="00F27D34" w:rsidP="00C506C2">
            <w:pPr>
              <w:jc w:val="right"/>
              <w:rPr>
                <w:sz w:val="20"/>
                <w:szCs w:val="20"/>
              </w:rPr>
            </w:pPr>
            <w:r w:rsidRPr="00904D90">
              <w:rPr>
                <w:sz w:val="20"/>
                <w:szCs w:val="20"/>
              </w:rPr>
              <w:t xml:space="preserve"> $42,977,963 </w:t>
            </w:r>
          </w:p>
        </w:tc>
        <w:tc>
          <w:tcPr>
            <w:tcW w:w="1600" w:type="dxa"/>
            <w:noWrap/>
            <w:vAlign w:val="bottom"/>
            <w:hideMark/>
          </w:tcPr>
          <w:p w14:paraId="7F5D7F3C" w14:textId="77777777" w:rsidR="00F27D34" w:rsidRPr="00904D90" w:rsidRDefault="00F27D34" w:rsidP="00C506C2">
            <w:pPr>
              <w:jc w:val="right"/>
              <w:rPr>
                <w:sz w:val="20"/>
                <w:szCs w:val="20"/>
              </w:rPr>
            </w:pPr>
            <w:r w:rsidRPr="00904D90">
              <w:rPr>
                <w:sz w:val="20"/>
                <w:szCs w:val="20"/>
              </w:rPr>
              <w:t xml:space="preserve"> $41,907,802 </w:t>
            </w:r>
          </w:p>
        </w:tc>
      </w:tr>
      <w:tr w:rsidR="00F27D34" w:rsidRPr="00904D90" w14:paraId="0B3B908A" w14:textId="77777777" w:rsidTr="00C506C2">
        <w:trPr>
          <w:trHeight w:val="300"/>
        </w:trPr>
        <w:tc>
          <w:tcPr>
            <w:tcW w:w="2780" w:type="dxa"/>
            <w:noWrap/>
            <w:hideMark/>
          </w:tcPr>
          <w:p w14:paraId="7F0661DD" w14:textId="77777777" w:rsidR="00F27D34" w:rsidRPr="00904D90" w:rsidRDefault="00F27D34" w:rsidP="00C506C2">
            <w:pPr>
              <w:rPr>
                <w:color w:val="000000" w:themeColor="text1"/>
                <w:sz w:val="20"/>
                <w:szCs w:val="20"/>
              </w:rPr>
            </w:pPr>
            <w:r w:rsidRPr="00904D90">
              <w:rPr>
                <w:color w:val="000000" w:themeColor="text1"/>
                <w:sz w:val="20"/>
                <w:szCs w:val="20"/>
              </w:rPr>
              <w:t>Patient contributions</w:t>
            </w:r>
          </w:p>
        </w:tc>
        <w:tc>
          <w:tcPr>
            <w:tcW w:w="1500" w:type="dxa"/>
            <w:noWrap/>
            <w:hideMark/>
          </w:tcPr>
          <w:p w14:paraId="32E5690D" w14:textId="77777777" w:rsidR="00F27D34" w:rsidRPr="00904D90" w:rsidRDefault="00F27D34" w:rsidP="00C506C2">
            <w:pPr>
              <w:jc w:val="center"/>
              <w:rPr>
                <w:color w:val="000000" w:themeColor="text1"/>
                <w:sz w:val="20"/>
                <w:szCs w:val="20"/>
              </w:rPr>
            </w:pPr>
            <w:r w:rsidRPr="00904D90">
              <w:rPr>
                <w:color w:val="000000" w:themeColor="text1"/>
                <w:sz w:val="20"/>
                <w:szCs w:val="20"/>
              </w:rPr>
              <w:t>-</w:t>
            </w:r>
          </w:p>
        </w:tc>
        <w:tc>
          <w:tcPr>
            <w:tcW w:w="1600" w:type="dxa"/>
            <w:noWrap/>
            <w:vAlign w:val="bottom"/>
            <w:hideMark/>
          </w:tcPr>
          <w:p w14:paraId="25FBE4AD" w14:textId="77777777" w:rsidR="00F27D34" w:rsidRPr="00904D90" w:rsidRDefault="00F27D34" w:rsidP="00C506C2">
            <w:pPr>
              <w:jc w:val="right"/>
              <w:rPr>
                <w:sz w:val="20"/>
                <w:szCs w:val="20"/>
              </w:rPr>
            </w:pPr>
            <w:r w:rsidRPr="00904D90">
              <w:rPr>
                <w:sz w:val="20"/>
                <w:szCs w:val="20"/>
              </w:rPr>
              <w:t>$32,319</w:t>
            </w:r>
          </w:p>
        </w:tc>
        <w:tc>
          <w:tcPr>
            <w:tcW w:w="1600" w:type="dxa"/>
            <w:noWrap/>
            <w:vAlign w:val="bottom"/>
            <w:hideMark/>
          </w:tcPr>
          <w:p w14:paraId="4B80893A" w14:textId="77777777" w:rsidR="00F27D34" w:rsidRPr="00904D90" w:rsidRDefault="00F27D34" w:rsidP="00C506C2">
            <w:pPr>
              <w:jc w:val="right"/>
              <w:rPr>
                <w:sz w:val="20"/>
                <w:szCs w:val="20"/>
              </w:rPr>
            </w:pPr>
            <w:r w:rsidRPr="00904D90">
              <w:rPr>
                <w:sz w:val="20"/>
                <w:szCs w:val="20"/>
              </w:rPr>
              <w:t>$105,836</w:t>
            </w:r>
          </w:p>
        </w:tc>
        <w:tc>
          <w:tcPr>
            <w:tcW w:w="1600" w:type="dxa"/>
            <w:noWrap/>
            <w:vAlign w:val="bottom"/>
            <w:hideMark/>
          </w:tcPr>
          <w:p w14:paraId="1D1D61BF" w14:textId="77777777" w:rsidR="00F27D34" w:rsidRPr="00904D90" w:rsidRDefault="00F27D34" w:rsidP="00C506C2">
            <w:pPr>
              <w:jc w:val="right"/>
              <w:rPr>
                <w:sz w:val="20"/>
                <w:szCs w:val="20"/>
              </w:rPr>
            </w:pPr>
            <w:r w:rsidRPr="00904D90">
              <w:rPr>
                <w:sz w:val="20"/>
                <w:szCs w:val="20"/>
              </w:rPr>
              <w:t>$103,503</w:t>
            </w:r>
          </w:p>
        </w:tc>
      </w:tr>
      <w:tr w:rsidR="00F27D34" w:rsidRPr="00904D90" w14:paraId="57136637" w14:textId="77777777" w:rsidTr="00C506C2">
        <w:trPr>
          <w:trHeight w:val="300"/>
        </w:trPr>
        <w:tc>
          <w:tcPr>
            <w:tcW w:w="2780" w:type="dxa"/>
            <w:noWrap/>
            <w:hideMark/>
          </w:tcPr>
          <w:p w14:paraId="0724C1CC" w14:textId="77777777" w:rsidR="00F27D34" w:rsidRPr="00904D90" w:rsidRDefault="00F27D34" w:rsidP="00C506C2">
            <w:pPr>
              <w:rPr>
                <w:color w:val="000000" w:themeColor="text1"/>
                <w:sz w:val="20"/>
                <w:szCs w:val="20"/>
              </w:rPr>
            </w:pPr>
            <w:r w:rsidRPr="00904D90">
              <w:rPr>
                <w:color w:val="000000" w:themeColor="text1"/>
                <w:sz w:val="20"/>
                <w:szCs w:val="20"/>
              </w:rPr>
              <w:t>Net cost to Government</w:t>
            </w:r>
          </w:p>
        </w:tc>
        <w:tc>
          <w:tcPr>
            <w:tcW w:w="1500" w:type="dxa"/>
            <w:noWrap/>
            <w:hideMark/>
          </w:tcPr>
          <w:p w14:paraId="282B6369" w14:textId="77777777" w:rsidR="00F27D34" w:rsidRPr="00904D90" w:rsidRDefault="00F27D34" w:rsidP="00C506C2">
            <w:pPr>
              <w:jc w:val="center"/>
              <w:rPr>
                <w:color w:val="000000" w:themeColor="text1"/>
                <w:sz w:val="20"/>
                <w:szCs w:val="20"/>
              </w:rPr>
            </w:pPr>
            <w:r w:rsidRPr="00904D90">
              <w:rPr>
                <w:color w:val="000000" w:themeColor="text1"/>
                <w:sz w:val="20"/>
                <w:szCs w:val="20"/>
              </w:rPr>
              <w:t>-</w:t>
            </w:r>
          </w:p>
        </w:tc>
        <w:tc>
          <w:tcPr>
            <w:tcW w:w="1600" w:type="dxa"/>
            <w:noWrap/>
            <w:vAlign w:val="bottom"/>
            <w:hideMark/>
          </w:tcPr>
          <w:p w14:paraId="239184BE" w14:textId="77777777" w:rsidR="00F27D34" w:rsidRPr="00904D90" w:rsidRDefault="00F27D34" w:rsidP="00C506C2">
            <w:pPr>
              <w:jc w:val="right"/>
              <w:rPr>
                <w:sz w:val="20"/>
                <w:szCs w:val="20"/>
              </w:rPr>
            </w:pPr>
            <w:r w:rsidRPr="00904D90">
              <w:rPr>
                <w:sz w:val="20"/>
                <w:szCs w:val="20"/>
              </w:rPr>
              <w:t>$15,157,806</w:t>
            </w:r>
          </w:p>
        </w:tc>
        <w:tc>
          <w:tcPr>
            <w:tcW w:w="1600" w:type="dxa"/>
            <w:noWrap/>
            <w:vAlign w:val="bottom"/>
            <w:hideMark/>
          </w:tcPr>
          <w:p w14:paraId="209E3F72" w14:textId="77777777" w:rsidR="00F27D34" w:rsidRPr="00904D90" w:rsidRDefault="00F27D34" w:rsidP="00C506C2">
            <w:pPr>
              <w:jc w:val="right"/>
              <w:rPr>
                <w:sz w:val="20"/>
                <w:szCs w:val="20"/>
              </w:rPr>
            </w:pPr>
            <w:r w:rsidRPr="00904D90">
              <w:rPr>
                <w:sz w:val="20"/>
                <w:szCs w:val="20"/>
              </w:rPr>
              <w:t>$42,872,127</w:t>
            </w:r>
          </w:p>
        </w:tc>
        <w:tc>
          <w:tcPr>
            <w:tcW w:w="1600" w:type="dxa"/>
            <w:noWrap/>
            <w:vAlign w:val="bottom"/>
            <w:hideMark/>
          </w:tcPr>
          <w:p w14:paraId="71F4CAC2" w14:textId="77777777" w:rsidR="00F27D34" w:rsidRPr="00904D90" w:rsidRDefault="00F27D34" w:rsidP="00C506C2">
            <w:pPr>
              <w:jc w:val="right"/>
              <w:rPr>
                <w:sz w:val="20"/>
                <w:szCs w:val="20"/>
              </w:rPr>
            </w:pPr>
            <w:r w:rsidRPr="00904D90">
              <w:rPr>
                <w:sz w:val="20"/>
                <w:szCs w:val="20"/>
              </w:rPr>
              <w:t>$41,804,300</w:t>
            </w:r>
          </w:p>
        </w:tc>
      </w:tr>
      <w:tr w:rsidR="00F27D34" w:rsidRPr="00904D90" w14:paraId="61FBCA97" w14:textId="77777777" w:rsidTr="00C506C2">
        <w:trPr>
          <w:trHeight w:val="300"/>
        </w:trPr>
        <w:tc>
          <w:tcPr>
            <w:tcW w:w="9080" w:type="dxa"/>
            <w:gridSpan w:val="5"/>
            <w:shd w:val="clear" w:color="auto" w:fill="BFBFBF" w:themeFill="background1" w:themeFillShade="BF"/>
            <w:noWrap/>
            <w:hideMark/>
          </w:tcPr>
          <w:p w14:paraId="1E4541D8" w14:textId="77777777" w:rsidR="00F27D34" w:rsidRPr="00904D90" w:rsidRDefault="00F27D34" w:rsidP="00C506C2">
            <w:pPr>
              <w:rPr>
                <w:b/>
                <w:bCs/>
                <w:color w:val="000000" w:themeColor="text1"/>
                <w:sz w:val="20"/>
                <w:szCs w:val="20"/>
              </w:rPr>
            </w:pPr>
            <w:r w:rsidRPr="00904D90">
              <w:rPr>
                <w:b/>
                <w:bCs/>
                <w:color w:val="000000" w:themeColor="text1"/>
                <w:sz w:val="20"/>
                <w:szCs w:val="20"/>
              </w:rPr>
              <w:t>Enzalutamide</w:t>
            </w:r>
          </w:p>
        </w:tc>
      </w:tr>
      <w:tr w:rsidR="00F27D34" w:rsidRPr="00904D90" w14:paraId="602EB6F2" w14:textId="77777777" w:rsidTr="00C506C2">
        <w:trPr>
          <w:trHeight w:val="300"/>
        </w:trPr>
        <w:tc>
          <w:tcPr>
            <w:tcW w:w="2780" w:type="dxa"/>
            <w:noWrap/>
            <w:hideMark/>
          </w:tcPr>
          <w:p w14:paraId="1397FBDE" w14:textId="77777777" w:rsidR="00F27D34" w:rsidRPr="00904D90" w:rsidRDefault="00F27D34" w:rsidP="00C506C2">
            <w:pPr>
              <w:rPr>
                <w:color w:val="000000" w:themeColor="text1"/>
                <w:sz w:val="20"/>
                <w:szCs w:val="20"/>
              </w:rPr>
            </w:pPr>
            <w:r w:rsidRPr="00904D90">
              <w:rPr>
                <w:color w:val="000000" w:themeColor="text1"/>
                <w:sz w:val="20"/>
                <w:szCs w:val="20"/>
              </w:rPr>
              <w:t>Total prescriptions</w:t>
            </w:r>
          </w:p>
        </w:tc>
        <w:tc>
          <w:tcPr>
            <w:tcW w:w="1500" w:type="dxa"/>
            <w:noWrap/>
            <w:hideMark/>
          </w:tcPr>
          <w:p w14:paraId="48A63489" w14:textId="77777777" w:rsidR="00F27D34" w:rsidRPr="00904D90" w:rsidRDefault="00F27D34" w:rsidP="00C506C2">
            <w:pPr>
              <w:jc w:val="center"/>
              <w:rPr>
                <w:color w:val="000000" w:themeColor="text1"/>
                <w:sz w:val="20"/>
                <w:szCs w:val="20"/>
              </w:rPr>
            </w:pPr>
            <w:r w:rsidRPr="00904D90">
              <w:rPr>
                <w:color w:val="000000" w:themeColor="text1"/>
                <w:sz w:val="20"/>
                <w:szCs w:val="20"/>
              </w:rPr>
              <w:t>-</w:t>
            </w:r>
          </w:p>
        </w:tc>
        <w:tc>
          <w:tcPr>
            <w:tcW w:w="1600" w:type="dxa"/>
            <w:noWrap/>
            <w:hideMark/>
          </w:tcPr>
          <w:p w14:paraId="2B3A5126" w14:textId="77777777" w:rsidR="00F27D34" w:rsidRPr="00904D90" w:rsidRDefault="00F27D34" w:rsidP="00C506C2">
            <w:pPr>
              <w:jc w:val="center"/>
              <w:rPr>
                <w:color w:val="000000" w:themeColor="text1"/>
                <w:sz w:val="20"/>
                <w:szCs w:val="20"/>
              </w:rPr>
            </w:pPr>
            <w:r w:rsidRPr="00904D90">
              <w:rPr>
                <w:color w:val="000000" w:themeColor="text1"/>
                <w:sz w:val="20"/>
                <w:szCs w:val="20"/>
              </w:rPr>
              <w:t>-</w:t>
            </w:r>
          </w:p>
        </w:tc>
        <w:tc>
          <w:tcPr>
            <w:tcW w:w="1600" w:type="dxa"/>
            <w:noWrap/>
            <w:vAlign w:val="bottom"/>
            <w:hideMark/>
          </w:tcPr>
          <w:p w14:paraId="7747EF6D" w14:textId="77777777" w:rsidR="00F27D34" w:rsidRPr="00904D90" w:rsidRDefault="00F27D34" w:rsidP="00C506C2">
            <w:pPr>
              <w:jc w:val="right"/>
              <w:rPr>
                <w:sz w:val="20"/>
                <w:szCs w:val="20"/>
              </w:rPr>
            </w:pPr>
            <w:r w:rsidRPr="00904D90">
              <w:rPr>
                <w:sz w:val="20"/>
                <w:szCs w:val="20"/>
              </w:rPr>
              <w:t>357</w:t>
            </w:r>
          </w:p>
        </w:tc>
        <w:tc>
          <w:tcPr>
            <w:tcW w:w="1600" w:type="dxa"/>
            <w:noWrap/>
            <w:vAlign w:val="bottom"/>
            <w:hideMark/>
          </w:tcPr>
          <w:p w14:paraId="1DB91386" w14:textId="77777777" w:rsidR="00F27D34" w:rsidRPr="00904D90" w:rsidRDefault="00F27D34" w:rsidP="00C506C2">
            <w:pPr>
              <w:jc w:val="right"/>
              <w:rPr>
                <w:sz w:val="20"/>
                <w:szCs w:val="20"/>
              </w:rPr>
            </w:pPr>
            <w:r w:rsidRPr="00904D90">
              <w:rPr>
                <w:sz w:val="20"/>
                <w:szCs w:val="20"/>
              </w:rPr>
              <w:t>11546</w:t>
            </w:r>
          </w:p>
        </w:tc>
      </w:tr>
      <w:tr w:rsidR="00F27D34" w:rsidRPr="00904D90" w14:paraId="6235036B" w14:textId="77777777" w:rsidTr="00C506C2">
        <w:trPr>
          <w:trHeight w:val="300"/>
        </w:trPr>
        <w:tc>
          <w:tcPr>
            <w:tcW w:w="2780" w:type="dxa"/>
            <w:noWrap/>
            <w:hideMark/>
          </w:tcPr>
          <w:p w14:paraId="7B2D55C0" w14:textId="77777777" w:rsidR="00F27D34" w:rsidRPr="00904D90" w:rsidRDefault="00F27D34" w:rsidP="00C506C2">
            <w:pPr>
              <w:rPr>
                <w:color w:val="000000" w:themeColor="text1"/>
                <w:sz w:val="20"/>
                <w:szCs w:val="20"/>
              </w:rPr>
            </w:pPr>
            <w:r w:rsidRPr="00904D90">
              <w:rPr>
                <w:color w:val="000000" w:themeColor="text1"/>
                <w:sz w:val="20"/>
                <w:szCs w:val="20"/>
              </w:rPr>
              <w:t>Total benefits</w:t>
            </w:r>
          </w:p>
        </w:tc>
        <w:tc>
          <w:tcPr>
            <w:tcW w:w="1500" w:type="dxa"/>
            <w:noWrap/>
            <w:hideMark/>
          </w:tcPr>
          <w:p w14:paraId="153F9FE9" w14:textId="77777777" w:rsidR="00F27D34" w:rsidRPr="00904D90" w:rsidRDefault="00F27D34" w:rsidP="00C506C2">
            <w:pPr>
              <w:jc w:val="center"/>
              <w:rPr>
                <w:color w:val="000000" w:themeColor="text1"/>
                <w:sz w:val="20"/>
                <w:szCs w:val="20"/>
              </w:rPr>
            </w:pPr>
            <w:r w:rsidRPr="00904D90">
              <w:rPr>
                <w:color w:val="000000" w:themeColor="text1"/>
                <w:sz w:val="20"/>
                <w:szCs w:val="20"/>
              </w:rPr>
              <w:t>-</w:t>
            </w:r>
          </w:p>
        </w:tc>
        <w:tc>
          <w:tcPr>
            <w:tcW w:w="1600" w:type="dxa"/>
            <w:noWrap/>
            <w:hideMark/>
          </w:tcPr>
          <w:p w14:paraId="44E67C8B" w14:textId="77777777" w:rsidR="00F27D34" w:rsidRPr="00904D90" w:rsidRDefault="00F27D34" w:rsidP="00C506C2">
            <w:pPr>
              <w:jc w:val="center"/>
              <w:rPr>
                <w:color w:val="000000" w:themeColor="text1"/>
                <w:sz w:val="20"/>
                <w:szCs w:val="20"/>
              </w:rPr>
            </w:pPr>
            <w:r w:rsidRPr="00904D90">
              <w:rPr>
                <w:color w:val="000000" w:themeColor="text1"/>
                <w:sz w:val="20"/>
                <w:szCs w:val="20"/>
              </w:rPr>
              <w:t>-</w:t>
            </w:r>
          </w:p>
        </w:tc>
        <w:tc>
          <w:tcPr>
            <w:tcW w:w="1600" w:type="dxa"/>
            <w:noWrap/>
            <w:vAlign w:val="bottom"/>
            <w:hideMark/>
          </w:tcPr>
          <w:p w14:paraId="5944C499" w14:textId="77777777" w:rsidR="00F27D34" w:rsidRPr="00904D90" w:rsidRDefault="00F27D34" w:rsidP="00C506C2">
            <w:pPr>
              <w:jc w:val="right"/>
              <w:rPr>
                <w:sz w:val="20"/>
                <w:szCs w:val="20"/>
              </w:rPr>
            </w:pPr>
            <w:r w:rsidRPr="00904D90">
              <w:rPr>
                <w:sz w:val="20"/>
                <w:szCs w:val="20"/>
              </w:rPr>
              <w:t xml:space="preserve"> $1,332,606 </w:t>
            </w:r>
          </w:p>
        </w:tc>
        <w:tc>
          <w:tcPr>
            <w:tcW w:w="1600" w:type="dxa"/>
            <w:noWrap/>
            <w:vAlign w:val="bottom"/>
            <w:hideMark/>
          </w:tcPr>
          <w:p w14:paraId="3E371532" w14:textId="77777777" w:rsidR="00F27D34" w:rsidRPr="00904D90" w:rsidRDefault="00F27D34" w:rsidP="00C506C2">
            <w:pPr>
              <w:jc w:val="right"/>
              <w:rPr>
                <w:sz w:val="20"/>
                <w:szCs w:val="20"/>
              </w:rPr>
            </w:pPr>
            <w:r w:rsidRPr="00904D90">
              <w:rPr>
                <w:sz w:val="20"/>
                <w:szCs w:val="20"/>
              </w:rPr>
              <w:t xml:space="preserve"> $43,027,220 </w:t>
            </w:r>
          </w:p>
        </w:tc>
      </w:tr>
      <w:tr w:rsidR="00F27D34" w:rsidRPr="00904D90" w14:paraId="4B197EE3" w14:textId="77777777" w:rsidTr="00C506C2">
        <w:trPr>
          <w:trHeight w:val="300"/>
        </w:trPr>
        <w:tc>
          <w:tcPr>
            <w:tcW w:w="2780" w:type="dxa"/>
            <w:noWrap/>
            <w:hideMark/>
          </w:tcPr>
          <w:p w14:paraId="26D0FB10" w14:textId="77777777" w:rsidR="00F27D34" w:rsidRPr="00904D90" w:rsidRDefault="00F27D34" w:rsidP="00C506C2">
            <w:pPr>
              <w:rPr>
                <w:color w:val="000000" w:themeColor="text1"/>
                <w:sz w:val="20"/>
                <w:szCs w:val="20"/>
              </w:rPr>
            </w:pPr>
            <w:r w:rsidRPr="00904D90">
              <w:rPr>
                <w:color w:val="000000" w:themeColor="text1"/>
                <w:sz w:val="20"/>
                <w:szCs w:val="20"/>
              </w:rPr>
              <w:t>Patient contributions</w:t>
            </w:r>
          </w:p>
        </w:tc>
        <w:tc>
          <w:tcPr>
            <w:tcW w:w="1500" w:type="dxa"/>
            <w:noWrap/>
            <w:hideMark/>
          </w:tcPr>
          <w:p w14:paraId="3A3C4A76" w14:textId="77777777" w:rsidR="00F27D34" w:rsidRPr="00904D90" w:rsidRDefault="00F27D34" w:rsidP="00C506C2">
            <w:pPr>
              <w:jc w:val="center"/>
              <w:rPr>
                <w:color w:val="000000" w:themeColor="text1"/>
                <w:sz w:val="20"/>
                <w:szCs w:val="20"/>
              </w:rPr>
            </w:pPr>
            <w:r w:rsidRPr="00904D90">
              <w:rPr>
                <w:color w:val="000000" w:themeColor="text1"/>
                <w:sz w:val="20"/>
                <w:szCs w:val="20"/>
              </w:rPr>
              <w:t>-</w:t>
            </w:r>
          </w:p>
        </w:tc>
        <w:tc>
          <w:tcPr>
            <w:tcW w:w="1600" w:type="dxa"/>
            <w:noWrap/>
            <w:hideMark/>
          </w:tcPr>
          <w:p w14:paraId="36016CCE" w14:textId="77777777" w:rsidR="00F27D34" w:rsidRPr="00904D90" w:rsidRDefault="00F27D34" w:rsidP="00C506C2">
            <w:pPr>
              <w:jc w:val="center"/>
              <w:rPr>
                <w:color w:val="000000" w:themeColor="text1"/>
                <w:sz w:val="20"/>
                <w:szCs w:val="20"/>
              </w:rPr>
            </w:pPr>
            <w:r w:rsidRPr="00904D90">
              <w:rPr>
                <w:color w:val="000000" w:themeColor="text1"/>
                <w:sz w:val="20"/>
                <w:szCs w:val="20"/>
              </w:rPr>
              <w:t>-</w:t>
            </w:r>
          </w:p>
        </w:tc>
        <w:tc>
          <w:tcPr>
            <w:tcW w:w="1600" w:type="dxa"/>
            <w:noWrap/>
            <w:vAlign w:val="bottom"/>
            <w:hideMark/>
          </w:tcPr>
          <w:p w14:paraId="6FB7EFCD" w14:textId="77777777" w:rsidR="00F27D34" w:rsidRPr="00904D90" w:rsidRDefault="00F27D34" w:rsidP="00C506C2">
            <w:pPr>
              <w:jc w:val="right"/>
              <w:rPr>
                <w:sz w:val="20"/>
                <w:szCs w:val="20"/>
              </w:rPr>
            </w:pPr>
            <w:r w:rsidRPr="00904D90">
              <w:rPr>
                <w:sz w:val="20"/>
                <w:szCs w:val="20"/>
              </w:rPr>
              <w:t>$2,548</w:t>
            </w:r>
          </w:p>
        </w:tc>
        <w:tc>
          <w:tcPr>
            <w:tcW w:w="1600" w:type="dxa"/>
            <w:noWrap/>
            <w:vAlign w:val="bottom"/>
            <w:hideMark/>
          </w:tcPr>
          <w:p w14:paraId="7E778AEC" w14:textId="77777777" w:rsidR="00F27D34" w:rsidRPr="00904D90" w:rsidRDefault="00F27D34" w:rsidP="00C506C2">
            <w:pPr>
              <w:jc w:val="right"/>
              <w:rPr>
                <w:sz w:val="20"/>
                <w:szCs w:val="20"/>
              </w:rPr>
            </w:pPr>
            <w:r w:rsidRPr="00904D90">
              <w:rPr>
                <w:sz w:val="20"/>
                <w:szCs w:val="20"/>
              </w:rPr>
              <w:t>$104,345</w:t>
            </w:r>
          </w:p>
        </w:tc>
      </w:tr>
      <w:tr w:rsidR="00F27D34" w:rsidRPr="00904D90" w14:paraId="7E37476C" w14:textId="77777777" w:rsidTr="00C506C2">
        <w:trPr>
          <w:trHeight w:val="300"/>
        </w:trPr>
        <w:tc>
          <w:tcPr>
            <w:tcW w:w="2780" w:type="dxa"/>
            <w:noWrap/>
            <w:hideMark/>
          </w:tcPr>
          <w:p w14:paraId="2C25ADBF" w14:textId="77777777" w:rsidR="00F27D34" w:rsidRPr="00904D90" w:rsidRDefault="00F27D34" w:rsidP="00C506C2">
            <w:pPr>
              <w:rPr>
                <w:color w:val="000000" w:themeColor="text1"/>
                <w:sz w:val="20"/>
                <w:szCs w:val="20"/>
              </w:rPr>
            </w:pPr>
            <w:r w:rsidRPr="00904D90">
              <w:rPr>
                <w:color w:val="000000" w:themeColor="text1"/>
                <w:sz w:val="20"/>
                <w:szCs w:val="20"/>
              </w:rPr>
              <w:t>Net cost to Government</w:t>
            </w:r>
          </w:p>
        </w:tc>
        <w:tc>
          <w:tcPr>
            <w:tcW w:w="1500" w:type="dxa"/>
            <w:noWrap/>
            <w:hideMark/>
          </w:tcPr>
          <w:p w14:paraId="3C8745B7" w14:textId="77777777" w:rsidR="00F27D34" w:rsidRPr="00904D90" w:rsidRDefault="00F27D34" w:rsidP="00C506C2">
            <w:pPr>
              <w:jc w:val="center"/>
              <w:rPr>
                <w:color w:val="000000" w:themeColor="text1"/>
                <w:sz w:val="20"/>
                <w:szCs w:val="20"/>
              </w:rPr>
            </w:pPr>
            <w:r w:rsidRPr="00904D90">
              <w:rPr>
                <w:color w:val="000000" w:themeColor="text1"/>
                <w:sz w:val="20"/>
                <w:szCs w:val="20"/>
              </w:rPr>
              <w:t>-</w:t>
            </w:r>
          </w:p>
        </w:tc>
        <w:tc>
          <w:tcPr>
            <w:tcW w:w="1600" w:type="dxa"/>
            <w:noWrap/>
            <w:hideMark/>
          </w:tcPr>
          <w:p w14:paraId="2C8A4257" w14:textId="77777777" w:rsidR="00F27D34" w:rsidRPr="00904D90" w:rsidRDefault="00F27D34" w:rsidP="00C506C2">
            <w:pPr>
              <w:jc w:val="center"/>
              <w:rPr>
                <w:color w:val="000000" w:themeColor="text1"/>
                <w:sz w:val="20"/>
                <w:szCs w:val="20"/>
              </w:rPr>
            </w:pPr>
            <w:r w:rsidRPr="00904D90">
              <w:rPr>
                <w:color w:val="000000" w:themeColor="text1"/>
                <w:sz w:val="20"/>
                <w:szCs w:val="20"/>
              </w:rPr>
              <w:t>-</w:t>
            </w:r>
          </w:p>
        </w:tc>
        <w:tc>
          <w:tcPr>
            <w:tcW w:w="1600" w:type="dxa"/>
            <w:noWrap/>
            <w:vAlign w:val="bottom"/>
            <w:hideMark/>
          </w:tcPr>
          <w:p w14:paraId="4F1FDAAC" w14:textId="77777777" w:rsidR="00F27D34" w:rsidRPr="00904D90" w:rsidRDefault="00F27D34" w:rsidP="00C506C2">
            <w:pPr>
              <w:jc w:val="right"/>
              <w:rPr>
                <w:sz w:val="20"/>
                <w:szCs w:val="20"/>
              </w:rPr>
            </w:pPr>
            <w:r w:rsidRPr="00904D90">
              <w:rPr>
                <w:sz w:val="20"/>
                <w:szCs w:val="20"/>
              </w:rPr>
              <w:t>$1,330,058</w:t>
            </w:r>
          </w:p>
        </w:tc>
        <w:tc>
          <w:tcPr>
            <w:tcW w:w="1600" w:type="dxa"/>
            <w:noWrap/>
            <w:vAlign w:val="bottom"/>
            <w:hideMark/>
          </w:tcPr>
          <w:p w14:paraId="1414D4E0" w14:textId="77777777" w:rsidR="00F27D34" w:rsidRPr="00904D90" w:rsidRDefault="00F27D34" w:rsidP="00C506C2">
            <w:pPr>
              <w:jc w:val="right"/>
              <w:rPr>
                <w:sz w:val="20"/>
                <w:szCs w:val="20"/>
              </w:rPr>
            </w:pPr>
            <w:r w:rsidRPr="00904D90">
              <w:rPr>
                <w:sz w:val="20"/>
                <w:szCs w:val="20"/>
              </w:rPr>
              <w:t>$42,922,875</w:t>
            </w:r>
          </w:p>
        </w:tc>
      </w:tr>
      <w:tr w:rsidR="00F27D34" w:rsidRPr="00904D90" w14:paraId="2D71D631" w14:textId="77777777" w:rsidTr="00C506C2">
        <w:trPr>
          <w:trHeight w:val="300"/>
        </w:trPr>
        <w:tc>
          <w:tcPr>
            <w:tcW w:w="9080" w:type="dxa"/>
            <w:gridSpan w:val="5"/>
            <w:shd w:val="clear" w:color="auto" w:fill="BFBFBF" w:themeFill="background1" w:themeFillShade="BF"/>
            <w:noWrap/>
          </w:tcPr>
          <w:p w14:paraId="29BC0753" w14:textId="77777777" w:rsidR="00F27D34" w:rsidRPr="00904D90" w:rsidRDefault="00F27D34" w:rsidP="00C506C2">
            <w:pPr>
              <w:rPr>
                <w:color w:val="000000" w:themeColor="text1"/>
                <w:sz w:val="20"/>
                <w:szCs w:val="20"/>
              </w:rPr>
            </w:pPr>
            <w:r w:rsidRPr="00904D90">
              <w:rPr>
                <w:b/>
                <w:bCs/>
                <w:color w:val="000000" w:themeColor="text1"/>
                <w:sz w:val="20"/>
                <w:szCs w:val="20"/>
              </w:rPr>
              <w:t>Overall market utilisation</w:t>
            </w:r>
          </w:p>
        </w:tc>
      </w:tr>
      <w:tr w:rsidR="00F27D34" w:rsidRPr="00904D90" w14:paraId="18B233F5" w14:textId="77777777" w:rsidTr="00C506C2">
        <w:trPr>
          <w:trHeight w:val="300"/>
        </w:trPr>
        <w:tc>
          <w:tcPr>
            <w:tcW w:w="2780" w:type="dxa"/>
            <w:noWrap/>
          </w:tcPr>
          <w:p w14:paraId="0332E3E1" w14:textId="77777777" w:rsidR="00F27D34" w:rsidRPr="00904D90" w:rsidRDefault="00F27D34" w:rsidP="00C506C2">
            <w:pPr>
              <w:rPr>
                <w:color w:val="000000" w:themeColor="text1"/>
                <w:sz w:val="20"/>
                <w:szCs w:val="20"/>
              </w:rPr>
            </w:pPr>
            <w:r w:rsidRPr="00904D90">
              <w:rPr>
                <w:color w:val="000000" w:themeColor="text1"/>
                <w:sz w:val="20"/>
                <w:szCs w:val="20"/>
              </w:rPr>
              <w:t>Total prescriptions</w:t>
            </w:r>
          </w:p>
        </w:tc>
        <w:tc>
          <w:tcPr>
            <w:tcW w:w="1500" w:type="dxa"/>
            <w:noWrap/>
            <w:vAlign w:val="bottom"/>
          </w:tcPr>
          <w:p w14:paraId="525CEC8E" w14:textId="77777777" w:rsidR="00F27D34" w:rsidRPr="00904D90" w:rsidRDefault="00F27D34" w:rsidP="00C506C2">
            <w:pPr>
              <w:jc w:val="right"/>
              <w:rPr>
                <w:sz w:val="20"/>
                <w:szCs w:val="20"/>
              </w:rPr>
            </w:pPr>
            <w:r w:rsidRPr="00904D90">
              <w:rPr>
                <w:sz w:val="20"/>
                <w:szCs w:val="20"/>
              </w:rPr>
              <w:t>731</w:t>
            </w:r>
          </w:p>
        </w:tc>
        <w:tc>
          <w:tcPr>
            <w:tcW w:w="1600" w:type="dxa"/>
            <w:noWrap/>
            <w:vAlign w:val="bottom"/>
          </w:tcPr>
          <w:p w14:paraId="51EBD7CF" w14:textId="77777777" w:rsidR="00F27D34" w:rsidRPr="00904D90" w:rsidRDefault="00F27D34" w:rsidP="00C506C2">
            <w:pPr>
              <w:jc w:val="right"/>
              <w:rPr>
                <w:sz w:val="20"/>
                <w:szCs w:val="20"/>
              </w:rPr>
            </w:pPr>
            <w:r w:rsidRPr="00904D90">
              <w:rPr>
                <w:sz w:val="20"/>
                <w:szCs w:val="20"/>
              </w:rPr>
              <w:t>6417</w:t>
            </w:r>
          </w:p>
        </w:tc>
        <w:tc>
          <w:tcPr>
            <w:tcW w:w="1600" w:type="dxa"/>
            <w:noWrap/>
            <w:vAlign w:val="bottom"/>
          </w:tcPr>
          <w:p w14:paraId="5FC2F0F8" w14:textId="77777777" w:rsidR="00F27D34" w:rsidRPr="00904D90" w:rsidRDefault="00F27D34" w:rsidP="00C506C2">
            <w:pPr>
              <w:jc w:val="right"/>
              <w:rPr>
                <w:sz w:val="20"/>
                <w:szCs w:val="20"/>
              </w:rPr>
            </w:pPr>
            <w:r w:rsidRPr="00904D90">
              <w:rPr>
                <w:sz w:val="20"/>
                <w:szCs w:val="20"/>
              </w:rPr>
              <w:t>14665</w:t>
            </w:r>
          </w:p>
        </w:tc>
        <w:tc>
          <w:tcPr>
            <w:tcW w:w="1600" w:type="dxa"/>
            <w:noWrap/>
            <w:vAlign w:val="bottom"/>
          </w:tcPr>
          <w:p w14:paraId="54A352F4" w14:textId="77777777" w:rsidR="00F27D34" w:rsidRPr="00904D90" w:rsidRDefault="00F27D34" w:rsidP="00C506C2">
            <w:pPr>
              <w:jc w:val="right"/>
              <w:rPr>
                <w:sz w:val="20"/>
                <w:szCs w:val="20"/>
              </w:rPr>
            </w:pPr>
            <w:r w:rsidRPr="00904D90">
              <w:rPr>
                <w:sz w:val="20"/>
                <w:szCs w:val="20"/>
              </w:rPr>
              <w:t>26189</w:t>
            </w:r>
          </w:p>
        </w:tc>
      </w:tr>
      <w:tr w:rsidR="00F27D34" w:rsidRPr="00904D90" w14:paraId="4A33D72D" w14:textId="77777777" w:rsidTr="00C506C2">
        <w:trPr>
          <w:trHeight w:val="300"/>
        </w:trPr>
        <w:tc>
          <w:tcPr>
            <w:tcW w:w="2780" w:type="dxa"/>
            <w:noWrap/>
          </w:tcPr>
          <w:p w14:paraId="07800544" w14:textId="77777777" w:rsidR="00F27D34" w:rsidRPr="00904D90" w:rsidRDefault="00F27D34" w:rsidP="00C506C2">
            <w:pPr>
              <w:rPr>
                <w:color w:val="000000" w:themeColor="text1"/>
                <w:sz w:val="20"/>
                <w:szCs w:val="20"/>
              </w:rPr>
            </w:pPr>
            <w:r w:rsidRPr="00904D90">
              <w:rPr>
                <w:color w:val="000000" w:themeColor="text1"/>
                <w:sz w:val="20"/>
                <w:szCs w:val="20"/>
              </w:rPr>
              <w:t>Total benefits</w:t>
            </w:r>
          </w:p>
        </w:tc>
        <w:tc>
          <w:tcPr>
            <w:tcW w:w="1500" w:type="dxa"/>
            <w:noWrap/>
            <w:vAlign w:val="bottom"/>
          </w:tcPr>
          <w:p w14:paraId="5556AB36" w14:textId="77777777" w:rsidR="00F27D34" w:rsidRPr="00904D90" w:rsidRDefault="00F27D34" w:rsidP="00C506C2">
            <w:pPr>
              <w:jc w:val="right"/>
              <w:rPr>
                <w:sz w:val="20"/>
                <w:szCs w:val="20"/>
              </w:rPr>
            </w:pPr>
            <w:r w:rsidRPr="00904D90">
              <w:rPr>
                <w:sz w:val="20"/>
                <w:szCs w:val="20"/>
              </w:rPr>
              <w:t xml:space="preserve"> $ 4,360,373 </w:t>
            </w:r>
          </w:p>
        </w:tc>
        <w:tc>
          <w:tcPr>
            <w:tcW w:w="1600" w:type="dxa"/>
            <w:noWrap/>
            <w:vAlign w:val="bottom"/>
          </w:tcPr>
          <w:p w14:paraId="78F32894" w14:textId="77777777" w:rsidR="00F27D34" w:rsidRPr="00904D90" w:rsidRDefault="00F27D34" w:rsidP="00C506C2">
            <w:pPr>
              <w:jc w:val="right"/>
              <w:rPr>
                <w:sz w:val="20"/>
                <w:szCs w:val="20"/>
              </w:rPr>
            </w:pPr>
            <w:r w:rsidRPr="00904D90">
              <w:rPr>
                <w:sz w:val="20"/>
                <w:szCs w:val="20"/>
              </w:rPr>
              <w:t xml:space="preserve"> $  28,471,761 </w:t>
            </w:r>
          </w:p>
        </w:tc>
        <w:tc>
          <w:tcPr>
            <w:tcW w:w="1600" w:type="dxa"/>
            <w:noWrap/>
            <w:vAlign w:val="bottom"/>
          </w:tcPr>
          <w:p w14:paraId="2368C089" w14:textId="77777777" w:rsidR="00F27D34" w:rsidRPr="00904D90" w:rsidRDefault="00F27D34" w:rsidP="00C506C2">
            <w:pPr>
              <w:jc w:val="right"/>
              <w:rPr>
                <w:sz w:val="20"/>
                <w:szCs w:val="20"/>
              </w:rPr>
            </w:pPr>
            <w:r w:rsidRPr="00904D90">
              <w:rPr>
                <w:sz w:val="20"/>
                <w:szCs w:val="20"/>
              </w:rPr>
              <w:t xml:space="preserve"> $59,115,870 </w:t>
            </w:r>
          </w:p>
        </w:tc>
        <w:tc>
          <w:tcPr>
            <w:tcW w:w="1600" w:type="dxa"/>
            <w:noWrap/>
            <w:vAlign w:val="bottom"/>
          </w:tcPr>
          <w:p w14:paraId="04AF0A89" w14:textId="77777777" w:rsidR="00F27D34" w:rsidRPr="00904D90" w:rsidRDefault="00F27D34" w:rsidP="00C506C2">
            <w:pPr>
              <w:jc w:val="right"/>
              <w:rPr>
                <w:sz w:val="20"/>
                <w:szCs w:val="20"/>
              </w:rPr>
            </w:pPr>
            <w:r w:rsidRPr="00904D90">
              <w:rPr>
                <w:sz w:val="20"/>
                <w:szCs w:val="20"/>
              </w:rPr>
              <w:t xml:space="preserve"> $  103,585,906 </w:t>
            </w:r>
          </w:p>
        </w:tc>
      </w:tr>
      <w:tr w:rsidR="00F27D34" w:rsidRPr="00904D90" w14:paraId="42D106E3" w14:textId="77777777" w:rsidTr="00C506C2">
        <w:trPr>
          <w:trHeight w:val="300"/>
        </w:trPr>
        <w:tc>
          <w:tcPr>
            <w:tcW w:w="2780" w:type="dxa"/>
            <w:noWrap/>
          </w:tcPr>
          <w:p w14:paraId="41D2B609" w14:textId="77777777" w:rsidR="00F27D34" w:rsidRPr="00904D90" w:rsidRDefault="00F27D34" w:rsidP="00C506C2">
            <w:pPr>
              <w:rPr>
                <w:color w:val="000000" w:themeColor="text1"/>
                <w:sz w:val="20"/>
                <w:szCs w:val="20"/>
              </w:rPr>
            </w:pPr>
            <w:r w:rsidRPr="00904D90">
              <w:rPr>
                <w:color w:val="000000" w:themeColor="text1"/>
                <w:sz w:val="20"/>
                <w:szCs w:val="20"/>
              </w:rPr>
              <w:t>Patient contributions</w:t>
            </w:r>
          </w:p>
        </w:tc>
        <w:tc>
          <w:tcPr>
            <w:tcW w:w="1500" w:type="dxa"/>
            <w:noWrap/>
            <w:vAlign w:val="bottom"/>
          </w:tcPr>
          <w:p w14:paraId="4B9E4532" w14:textId="77777777" w:rsidR="00F27D34" w:rsidRPr="00904D90" w:rsidRDefault="00F27D34" w:rsidP="00C506C2">
            <w:pPr>
              <w:jc w:val="right"/>
              <w:rPr>
                <w:sz w:val="20"/>
                <w:szCs w:val="20"/>
              </w:rPr>
            </w:pPr>
            <w:r w:rsidRPr="00904D90">
              <w:rPr>
                <w:sz w:val="20"/>
                <w:szCs w:val="20"/>
              </w:rPr>
              <w:t>$2,934</w:t>
            </w:r>
          </w:p>
        </w:tc>
        <w:tc>
          <w:tcPr>
            <w:tcW w:w="1600" w:type="dxa"/>
            <w:noWrap/>
            <w:vAlign w:val="bottom"/>
          </w:tcPr>
          <w:p w14:paraId="11D16569" w14:textId="77777777" w:rsidR="00F27D34" w:rsidRPr="00904D90" w:rsidRDefault="00F27D34" w:rsidP="00C506C2">
            <w:pPr>
              <w:jc w:val="right"/>
              <w:rPr>
                <w:sz w:val="20"/>
                <w:szCs w:val="20"/>
              </w:rPr>
            </w:pPr>
            <w:r w:rsidRPr="00904D90">
              <w:rPr>
                <w:sz w:val="20"/>
                <w:szCs w:val="20"/>
              </w:rPr>
              <w:t>$41,068</w:t>
            </w:r>
          </w:p>
        </w:tc>
        <w:tc>
          <w:tcPr>
            <w:tcW w:w="1600" w:type="dxa"/>
            <w:noWrap/>
            <w:vAlign w:val="bottom"/>
          </w:tcPr>
          <w:p w14:paraId="292C233F" w14:textId="77777777" w:rsidR="00F27D34" w:rsidRPr="00904D90" w:rsidRDefault="00F27D34" w:rsidP="00C506C2">
            <w:pPr>
              <w:jc w:val="right"/>
              <w:rPr>
                <w:sz w:val="20"/>
                <w:szCs w:val="20"/>
              </w:rPr>
            </w:pPr>
            <w:r w:rsidRPr="00904D90">
              <w:rPr>
                <w:sz w:val="20"/>
                <w:szCs w:val="20"/>
              </w:rPr>
              <w:t>$117,570</w:t>
            </w:r>
          </w:p>
        </w:tc>
        <w:tc>
          <w:tcPr>
            <w:tcW w:w="1600" w:type="dxa"/>
            <w:noWrap/>
            <w:vAlign w:val="bottom"/>
          </w:tcPr>
          <w:p w14:paraId="1D50E0E9" w14:textId="77777777" w:rsidR="00F27D34" w:rsidRPr="00904D90" w:rsidRDefault="00F27D34" w:rsidP="00C506C2">
            <w:pPr>
              <w:jc w:val="right"/>
              <w:rPr>
                <w:sz w:val="20"/>
                <w:szCs w:val="20"/>
              </w:rPr>
            </w:pPr>
            <w:r w:rsidRPr="00904D90">
              <w:rPr>
                <w:sz w:val="20"/>
                <w:szCs w:val="20"/>
              </w:rPr>
              <w:t>$221,752</w:t>
            </w:r>
          </w:p>
        </w:tc>
      </w:tr>
      <w:tr w:rsidR="00F27D34" w:rsidRPr="00904D90" w14:paraId="7B4BDB57" w14:textId="77777777" w:rsidTr="00C506C2">
        <w:trPr>
          <w:trHeight w:val="300"/>
        </w:trPr>
        <w:tc>
          <w:tcPr>
            <w:tcW w:w="2780" w:type="dxa"/>
            <w:noWrap/>
          </w:tcPr>
          <w:p w14:paraId="68020DCD" w14:textId="77777777" w:rsidR="00F27D34" w:rsidRPr="00904D90" w:rsidRDefault="00F27D34" w:rsidP="00C506C2">
            <w:pPr>
              <w:rPr>
                <w:color w:val="000000" w:themeColor="text1"/>
                <w:sz w:val="20"/>
                <w:szCs w:val="20"/>
              </w:rPr>
            </w:pPr>
            <w:r w:rsidRPr="00904D90">
              <w:rPr>
                <w:color w:val="000000" w:themeColor="text1"/>
                <w:sz w:val="20"/>
                <w:szCs w:val="20"/>
              </w:rPr>
              <w:t>Net cost to Government</w:t>
            </w:r>
          </w:p>
        </w:tc>
        <w:tc>
          <w:tcPr>
            <w:tcW w:w="1500" w:type="dxa"/>
            <w:noWrap/>
            <w:vAlign w:val="bottom"/>
          </w:tcPr>
          <w:p w14:paraId="31D85B6C" w14:textId="77777777" w:rsidR="00F27D34" w:rsidRPr="00904D90" w:rsidRDefault="00F27D34" w:rsidP="00C506C2">
            <w:pPr>
              <w:jc w:val="right"/>
              <w:rPr>
                <w:sz w:val="20"/>
                <w:szCs w:val="20"/>
              </w:rPr>
            </w:pPr>
            <w:r w:rsidRPr="00904D90">
              <w:rPr>
                <w:sz w:val="20"/>
                <w:szCs w:val="20"/>
              </w:rPr>
              <w:t>$4,357,439</w:t>
            </w:r>
          </w:p>
        </w:tc>
        <w:tc>
          <w:tcPr>
            <w:tcW w:w="1600" w:type="dxa"/>
            <w:noWrap/>
            <w:vAlign w:val="bottom"/>
          </w:tcPr>
          <w:p w14:paraId="543811EE" w14:textId="77777777" w:rsidR="00F27D34" w:rsidRPr="00904D90" w:rsidRDefault="00F27D34" w:rsidP="00C506C2">
            <w:pPr>
              <w:jc w:val="right"/>
              <w:rPr>
                <w:sz w:val="20"/>
                <w:szCs w:val="20"/>
              </w:rPr>
            </w:pPr>
            <w:r w:rsidRPr="00904D90">
              <w:rPr>
                <w:sz w:val="20"/>
                <w:szCs w:val="20"/>
              </w:rPr>
              <w:t>$28,430,693</w:t>
            </w:r>
          </w:p>
        </w:tc>
        <w:tc>
          <w:tcPr>
            <w:tcW w:w="1600" w:type="dxa"/>
            <w:noWrap/>
            <w:vAlign w:val="bottom"/>
          </w:tcPr>
          <w:p w14:paraId="0614AD2F" w14:textId="77777777" w:rsidR="00F27D34" w:rsidRPr="00904D90" w:rsidRDefault="00F27D34" w:rsidP="00C506C2">
            <w:pPr>
              <w:jc w:val="right"/>
              <w:rPr>
                <w:sz w:val="20"/>
                <w:szCs w:val="20"/>
              </w:rPr>
            </w:pPr>
            <w:r w:rsidRPr="00904D90">
              <w:rPr>
                <w:sz w:val="20"/>
                <w:szCs w:val="20"/>
              </w:rPr>
              <w:t>$58,998,300</w:t>
            </w:r>
          </w:p>
        </w:tc>
        <w:tc>
          <w:tcPr>
            <w:tcW w:w="1600" w:type="dxa"/>
            <w:noWrap/>
            <w:vAlign w:val="bottom"/>
          </w:tcPr>
          <w:p w14:paraId="62448FC1" w14:textId="77777777" w:rsidR="00F27D34" w:rsidRPr="00904D90" w:rsidRDefault="00F27D34" w:rsidP="00C506C2">
            <w:pPr>
              <w:jc w:val="right"/>
              <w:rPr>
                <w:sz w:val="20"/>
                <w:szCs w:val="20"/>
              </w:rPr>
            </w:pPr>
            <w:r w:rsidRPr="00904D90">
              <w:rPr>
                <w:sz w:val="20"/>
                <w:szCs w:val="20"/>
              </w:rPr>
              <w:t>$103,364,154</w:t>
            </w:r>
          </w:p>
        </w:tc>
      </w:tr>
    </w:tbl>
    <w:p w14:paraId="36BD57F3" w14:textId="69C99FD4" w:rsidR="00F965BE" w:rsidRPr="00F81818" w:rsidRDefault="00FE34F1" w:rsidP="00F27D34">
      <w:pPr>
        <w:spacing w:after="0"/>
        <w:rPr>
          <w:b/>
          <w:color w:val="000000" w:themeColor="text1"/>
          <w:sz w:val="20"/>
          <w:szCs w:val="20"/>
        </w:rPr>
      </w:pPr>
      <w:r>
        <w:rPr>
          <w:color w:val="000000" w:themeColor="text1"/>
        </w:rPr>
        <w:t xml:space="preserve"> </w:t>
      </w:r>
      <w:r w:rsidR="00F965BE" w:rsidRPr="00F81818">
        <w:rPr>
          <w:rStyle w:val="FiguretitleChar"/>
          <w:rFonts w:asciiTheme="minorHAnsi" w:hAnsiTheme="minorHAnsi"/>
          <w:b w:val="0"/>
          <w:sz w:val="20"/>
          <w:szCs w:val="20"/>
        </w:rPr>
        <w:t>Source: DHS Supplied Prescriptions database, extracted April 2016.</w:t>
      </w:r>
      <w:r w:rsidR="00F965BE" w:rsidRPr="00F81818">
        <w:rPr>
          <w:b/>
          <w:color w:val="000000" w:themeColor="text1"/>
          <w:sz w:val="20"/>
          <w:szCs w:val="20"/>
        </w:rPr>
        <w:t xml:space="preserve"> </w:t>
      </w:r>
    </w:p>
    <w:p w14:paraId="18E3C3C5" w14:textId="77777777" w:rsidR="00F965BE" w:rsidRPr="00F965BE" w:rsidRDefault="00F965BE" w:rsidP="00F27D34">
      <w:pPr>
        <w:spacing w:after="0"/>
        <w:rPr>
          <w:color w:val="000000" w:themeColor="text1"/>
          <w:sz w:val="20"/>
          <w:szCs w:val="20"/>
        </w:rPr>
      </w:pPr>
      <w:r w:rsidRPr="00F965BE">
        <w:rPr>
          <w:color w:val="000000" w:themeColor="text1"/>
          <w:sz w:val="20"/>
          <w:szCs w:val="20"/>
        </w:rPr>
        <w:t>Figures are based on the date of supply and the published prices for the medicines. Special Pricing Arrangements apply for each of these medicines.</w:t>
      </w:r>
    </w:p>
    <w:p w14:paraId="71EFADD2" w14:textId="77777777" w:rsidR="00815DFC" w:rsidRPr="00B02785" w:rsidRDefault="00815DFC" w:rsidP="00FC3825">
      <w:pPr>
        <w:rPr>
          <w:color w:val="000000" w:themeColor="text1"/>
        </w:rPr>
      </w:pPr>
    </w:p>
    <w:p w14:paraId="1FBCF1EF" w14:textId="77777777" w:rsidR="00B067C4" w:rsidRDefault="00B067C4">
      <w:pPr>
        <w:spacing w:line="276" w:lineRule="auto"/>
        <w:rPr>
          <w:b/>
          <w:sz w:val="32"/>
          <w:szCs w:val="32"/>
        </w:rPr>
      </w:pPr>
      <w:r>
        <w:rPr>
          <w:sz w:val="32"/>
          <w:szCs w:val="32"/>
        </w:rPr>
        <w:br w:type="page"/>
      </w:r>
    </w:p>
    <w:p w14:paraId="5B42001B" w14:textId="05F84007" w:rsidR="008B247E" w:rsidRPr="00A43B5F" w:rsidRDefault="00D151EB" w:rsidP="00D33DFE">
      <w:pPr>
        <w:pStyle w:val="Heading2"/>
        <w:rPr>
          <w:sz w:val="32"/>
          <w:szCs w:val="32"/>
        </w:rPr>
      </w:pPr>
      <w:r w:rsidRPr="00A43B5F">
        <w:rPr>
          <w:sz w:val="32"/>
          <w:szCs w:val="32"/>
        </w:rPr>
        <w:lastRenderedPageBreak/>
        <w:t xml:space="preserve">Analysis </w:t>
      </w:r>
      <w:r w:rsidR="00C0076F" w:rsidRPr="00A43B5F">
        <w:rPr>
          <w:sz w:val="32"/>
          <w:szCs w:val="32"/>
        </w:rPr>
        <w:t xml:space="preserve">of </w:t>
      </w:r>
      <w:r w:rsidR="0063631C" w:rsidRPr="00A43B5F">
        <w:rPr>
          <w:sz w:val="32"/>
          <w:szCs w:val="32"/>
        </w:rPr>
        <w:t>a</w:t>
      </w:r>
      <w:r w:rsidR="00C0076F" w:rsidRPr="00A43B5F">
        <w:rPr>
          <w:sz w:val="32"/>
          <w:szCs w:val="32"/>
        </w:rPr>
        <w:t xml:space="preserve">ctual versus </w:t>
      </w:r>
      <w:r w:rsidR="0063631C" w:rsidRPr="00A43B5F">
        <w:rPr>
          <w:sz w:val="32"/>
          <w:szCs w:val="32"/>
        </w:rPr>
        <w:t>p</w:t>
      </w:r>
      <w:r w:rsidR="00C0076F" w:rsidRPr="00A43B5F">
        <w:rPr>
          <w:sz w:val="32"/>
          <w:szCs w:val="32"/>
        </w:rPr>
        <w:t xml:space="preserve">redicted </w:t>
      </w:r>
      <w:r w:rsidR="0063631C" w:rsidRPr="00A43B5F">
        <w:rPr>
          <w:sz w:val="32"/>
          <w:szCs w:val="32"/>
        </w:rPr>
        <w:t>u</w:t>
      </w:r>
      <w:r w:rsidR="00C0076F" w:rsidRPr="00A43B5F">
        <w:rPr>
          <w:sz w:val="32"/>
          <w:szCs w:val="32"/>
        </w:rPr>
        <w:t>tilisation</w:t>
      </w:r>
    </w:p>
    <w:p w14:paraId="2A19C46E" w14:textId="5CD01EFD" w:rsidR="00592F50" w:rsidRDefault="00EE27AA" w:rsidP="00904D90">
      <w:pPr>
        <w:pStyle w:val="Heading3"/>
      </w:pPr>
      <w:r w:rsidRPr="00A43B5F">
        <w:t>Cabazitaxel and a</w:t>
      </w:r>
      <w:r w:rsidR="00592F50" w:rsidRPr="00A43B5F">
        <w:t>biraterone</w:t>
      </w:r>
    </w:p>
    <w:p w14:paraId="7733B632" w14:textId="5FEA4E9B" w:rsidR="00B959B4" w:rsidRPr="00904D90" w:rsidRDefault="00D33DFE" w:rsidP="00904D90">
      <w:pPr>
        <w:pStyle w:val="Tabletitle"/>
      </w:pPr>
      <w:r w:rsidRPr="00904D90">
        <w:t>T</w:t>
      </w:r>
      <w:r w:rsidR="00FB3D47" w:rsidRPr="00904D90">
        <w:t>able 22</w:t>
      </w:r>
      <w:r w:rsidR="00904D90">
        <w:t>:</w:t>
      </w:r>
      <w:r w:rsidR="00B959B4" w:rsidRPr="00904D90">
        <w:t xml:space="preserve"> Predicted vs. A</w:t>
      </w:r>
      <w:r w:rsidR="00A627A8" w:rsidRPr="00904D90">
        <w:t xml:space="preserve">ctual comparison for </w:t>
      </w:r>
      <w:r w:rsidR="009D671F" w:rsidRPr="00904D90">
        <w:t xml:space="preserve">cabazitaxel and </w:t>
      </w:r>
      <w:r w:rsidR="00A627A8" w:rsidRPr="00904D90">
        <w:t>abiraterone</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dicted vs. Actual comparison for cabazitaxel and abiraterone"/>
        <w:tblDescription w:val="A table of the Predicted vs. Actual comparison for cabazitaxel and abiraterone"/>
      </w:tblPr>
      <w:tblGrid>
        <w:gridCol w:w="2682"/>
        <w:gridCol w:w="1728"/>
        <w:gridCol w:w="1275"/>
        <w:gridCol w:w="1418"/>
        <w:gridCol w:w="1418"/>
      </w:tblGrid>
      <w:tr w:rsidR="002D57C5" w:rsidRPr="00904D90" w14:paraId="7B038CFB" w14:textId="77777777" w:rsidTr="00B067C4">
        <w:trPr>
          <w:trHeight w:val="661"/>
          <w:tblHeader/>
        </w:trPr>
        <w:tc>
          <w:tcPr>
            <w:tcW w:w="2682" w:type="dxa"/>
            <w:shd w:val="clear" w:color="auto" w:fill="BFBFBF" w:themeFill="background1" w:themeFillShade="BF"/>
            <w:noWrap/>
            <w:hideMark/>
          </w:tcPr>
          <w:p w14:paraId="0F2E3572" w14:textId="77777777" w:rsidR="002D57C5" w:rsidRPr="00904D90" w:rsidRDefault="002D57C5" w:rsidP="00904D90">
            <w:pPr>
              <w:pStyle w:val="TableText"/>
              <w:jc w:val="center"/>
              <w:rPr>
                <w:rFonts w:asciiTheme="minorHAnsi" w:hAnsiTheme="minorHAnsi"/>
                <w:szCs w:val="20"/>
              </w:rPr>
            </w:pPr>
          </w:p>
        </w:tc>
        <w:tc>
          <w:tcPr>
            <w:tcW w:w="1728" w:type="dxa"/>
            <w:shd w:val="clear" w:color="auto" w:fill="BFBFBF" w:themeFill="background1" w:themeFillShade="BF"/>
            <w:hideMark/>
          </w:tcPr>
          <w:p w14:paraId="7AC51966" w14:textId="77777777" w:rsidR="002D57C5" w:rsidRPr="00904D90" w:rsidRDefault="002D57C5" w:rsidP="00904D90">
            <w:pPr>
              <w:pStyle w:val="TableText"/>
              <w:jc w:val="center"/>
              <w:rPr>
                <w:rFonts w:asciiTheme="minorHAnsi" w:hAnsiTheme="minorHAnsi"/>
                <w:b/>
                <w:bCs/>
                <w:szCs w:val="20"/>
              </w:rPr>
            </w:pPr>
          </w:p>
        </w:tc>
        <w:tc>
          <w:tcPr>
            <w:tcW w:w="1275" w:type="dxa"/>
            <w:shd w:val="clear" w:color="auto" w:fill="BFBFBF" w:themeFill="background1" w:themeFillShade="BF"/>
          </w:tcPr>
          <w:p w14:paraId="766C46BA" w14:textId="77777777" w:rsidR="002D57C5" w:rsidRPr="00904D90" w:rsidRDefault="002D57C5" w:rsidP="00904D90">
            <w:pPr>
              <w:pStyle w:val="TableText"/>
              <w:jc w:val="center"/>
              <w:rPr>
                <w:rFonts w:asciiTheme="minorHAnsi" w:hAnsiTheme="minorHAnsi"/>
                <w:b/>
                <w:color w:val="000000" w:themeColor="text1"/>
                <w:szCs w:val="20"/>
              </w:rPr>
            </w:pPr>
            <w:r w:rsidRPr="00904D90">
              <w:rPr>
                <w:rFonts w:asciiTheme="minorHAnsi" w:hAnsiTheme="minorHAnsi"/>
                <w:b/>
                <w:color w:val="000000" w:themeColor="text1"/>
                <w:szCs w:val="20"/>
              </w:rPr>
              <w:t>2013</w:t>
            </w:r>
          </w:p>
        </w:tc>
        <w:tc>
          <w:tcPr>
            <w:tcW w:w="1418" w:type="dxa"/>
            <w:shd w:val="clear" w:color="auto" w:fill="BFBFBF" w:themeFill="background1" w:themeFillShade="BF"/>
          </w:tcPr>
          <w:p w14:paraId="32E24455" w14:textId="77777777" w:rsidR="002D57C5" w:rsidRPr="00904D90" w:rsidRDefault="002D57C5" w:rsidP="00904D90">
            <w:pPr>
              <w:pStyle w:val="TableText"/>
              <w:jc w:val="center"/>
              <w:rPr>
                <w:rFonts w:asciiTheme="minorHAnsi" w:hAnsiTheme="minorHAnsi"/>
                <w:b/>
                <w:color w:val="000000" w:themeColor="text1"/>
                <w:szCs w:val="20"/>
              </w:rPr>
            </w:pPr>
            <w:r w:rsidRPr="00904D90">
              <w:rPr>
                <w:rFonts w:asciiTheme="minorHAnsi" w:hAnsiTheme="minorHAnsi"/>
                <w:b/>
                <w:color w:val="000000" w:themeColor="text1"/>
                <w:szCs w:val="20"/>
              </w:rPr>
              <w:t>2014</w:t>
            </w:r>
          </w:p>
        </w:tc>
        <w:tc>
          <w:tcPr>
            <w:tcW w:w="1418" w:type="dxa"/>
            <w:shd w:val="clear" w:color="auto" w:fill="BFBFBF" w:themeFill="background1" w:themeFillShade="BF"/>
          </w:tcPr>
          <w:p w14:paraId="2D6446F9" w14:textId="77777777" w:rsidR="002D57C5" w:rsidRPr="00904D90" w:rsidRDefault="002D57C5" w:rsidP="00904D90">
            <w:pPr>
              <w:pStyle w:val="TableText"/>
              <w:jc w:val="center"/>
              <w:rPr>
                <w:rFonts w:asciiTheme="minorHAnsi" w:hAnsiTheme="minorHAnsi"/>
                <w:b/>
                <w:color w:val="000000" w:themeColor="text1"/>
                <w:szCs w:val="20"/>
              </w:rPr>
            </w:pPr>
            <w:r w:rsidRPr="00904D90">
              <w:rPr>
                <w:rFonts w:asciiTheme="minorHAnsi" w:hAnsiTheme="minorHAnsi"/>
                <w:b/>
                <w:color w:val="000000" w:themeColor="text1"/>
                <w:szCs w:val="20"/>
              </w:rPr>
              <w:t>2015</w:t>
            </w:r>
          </w:p>
        </w:tc>
      </w:tr>
      <w:tr w:rsidR="0094246E" w:rsidRPr="00904D90" w14:paraId="37CA27B7" w14:textId="77777777" w:rsidTr="00B067C4">
        <w:trPr>
          <w:trHeight w:val="315"/>
        </w:trPr>
        <w:tc>
          <w:tcPr>
            <w:tcW w:w="2682" w:type="dxa"/>
            <w:vMerge w:val="restart"/>
            <w:shd w:val="clear" w:color="auto" w:fill="auto"/>
            <w:noWrap/>
          </w:tcPr>
          <w:p w14:paraId="524460CF" w14:textId="77777777" w:rsidR="0094246E" w:rsidRPr="00391391" w:rsidRDefault="0094246E" w:rsidP="00904D90">
            <w:pPr>
              <w:pStyle w:val="TableText"/>
              <w:rPr>
                <w:rFonts w:asciiTheme="minorHAnsi" w:hAnsiTheme="minorHAnsi"/>
                <w:szCs w:val="20"/>
              </w:rPr>
            </w:pPr>
            <w:r w:rsidRPr="00391391">
              <w:rPr>
                <w:rFonts w:asciiTheme="minorHAnsi" w:hAnsiTheme="minorHAnsi"/>
                <w:szCs w:val="20"/>
              </w:rPr>
              <w:t>Predicted treated patients</w:t>
            </w:r>
          </w:p>
        </w:tc>
        <w:tc>
          <w:tcPr>
            <w:tcW w:w="1728" w:type="dxa"/>
            <w:shd w:val="clear" w:color="auto" w:fill="auto"/>
          </w:tcPr>
          <w:p w14:paraId="2442C722" w14:textId="77777777" w:rsidR="0094246E" w:rsidRPr="0094246E" w:rsidRDefault="0094246E" w:rsidP="00904D90">
            <w:pPr>
              <w:pStyle w:val="TableText"/>
              <w:rPr>
                <w:rFonts w:asciiTheme="minorHAnsi" w:hAnsiTheme="minorHAnsi"/>
                <w:szCs w:val="20"/>
              </w:rPr>
            </w:pPr>
            <w:r w:rsidRPr="0094246E">
              <w:rPr>
                <w:rFonts w:asciiTheme="minorHAnsi" w:hAnsiTheme="minorHAnsi"/>
                <w:szCs w:val="20"/>
              </w:rPr>
              <w:t>Cabazitaxel</w:t>
            </w:r>
          </w:p>
        </w:tc>
        <w:tc>
          <w:tcPr>
            <w:tcW w:w="1275" w:type="dxa"/>
            <w:shd w:val="clear" w:color="auto" w:fill="auto"/>
          </w:tcPr>
          <w:p w14:paraId="30DE2657" w14:textId="2101ABFA"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shd w:val="clear" w:color="auto" w:fill="auto"/>
          </w:tcPr>
          <w:p w14:paraId="557199EB" w14:textId="1B45F2B2"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tcPr>
          <w:p w14:paraId="022A9CB3" w14:textId="2131D40A"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r>
      <w:tr w:rsidR="0094246E" w:rsidRPr="00904D90" w14:paraId="27D5F6E3" w14:textId="77777777" w:rsidTr="00B067C4">
        <w:trPr>
          <w:trHeight w:val="315"/>
        </w:trPr>
        <w:tc>
          <w:tcPr>
            <w:tcW w:w="2682" w:type="dxa"/>
            <w:vMerge/>
            <w:shd w:val="clear" w:color="auto" w:fill="auto"/>
            <w:noWrap/>
          </w:tcPr>
          <w:p w14:paraId="61626329" w14:textId="77777777" w:rsidR="0094246E" w:rsidRPr="00391391" w:rsidRDefault="0094246E" w:rsidP="00904D90">
            <w:pPr>
              <w:pStyle w:val="TableText"/>
              <w:rPr>
                <w:rFonts w:asciiTheme="minorHAnsi" w:hAnsiTheme="minorHAnsi"/>
                <w:szCs w:val="20"/>
              </w:rPr>
            </w:pPr>
          </w:p>
        </w:tc>
        <w:tc>
          <w:tcPr>
            <w:tcW w:w="1728" w:type="dxa"/>
            <w:shd w:val="clear" w:color="auto" w:fill="auto"/>
          </w:tcPr>
          <w:p w14:paraId="1682F7E9" w14:textId="77777777" w:rsidR="0094246E" w:rsidRPr="0094246E" w:rsidRDefault="0094246E" w:rsidP="00904D90">
            <w:pPr>
              <w:pStyle w:val="TableText"/>
              <w:rPr>
                <w:rFonts w:asciiTheme="minorHAnsi" w:hAnsiTheme="minorHAnsi"/>
                <w:szCs w:val="20"/>
              </w:rPr>
            </w:pPr>
            <w:r w:rsidRPr="0094246E">
              <w:rPr>
                <w:rFonts w:asciiTheme="minorHAnsi" w:hAnsiTheme="minorHAnsi"/>
                <w:szCs w:val="20"/>
              </w:rPr>
              <w:t>Abiraterone</w:t>
            </w:r>
          </w:p>
        </w:tc>
        <w:tc>
          <w:tcPr>
            <w:tcW w:w="1275" w:type="dxa"/>
            <w:shd w:val="clear" w:color="auto" w:fill="auto"/>
          </w:tcPr>
          <w:p w14:paraId="396D5B38" w14:textId="2E03E1C4"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shd w:val="clear" w:color="auto" w:fill="auto"/>
          </w:tcPr>
          <w:p w14:paraId="33514850" w14:textId="6F2ED67A"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tcPr>
          <w:p w14:paraId="504FFE27" w14:textId="12352A6A"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r>
      <w:tr w:rsidR="002D57C5" w:rsidRPr="00904D90" w14:paraId="240C9E20" w14:textId="77777777" w:rsidTr="00B067C4">
        <w:trPr>
          <w:trHeight w:val="315"/>
        </w:trPr>
        <w:tc>
          <w:tcPr>
            <w:tcW w:w="2682" w:type="dxa"/>
            <w:vMerge w:val="restart"/>
            <w:shd w:val="clear" w:color="auto" w:fill="auto"/>
            <w:noWrap/>
          </w:tcPr>
          <w:p w14:paraId="566D1856" w14:textId="77777777" w:rsidR="002D57C5" w:rsidRPr="00391391" w:rsidRDefault="002D57C5" w:rsidP="00904D90">
            <w:pPr>
              <w:pStyle w:val="TableText"/>
              <w:rPr>
                <w:rFonts w:asciiTheme="minorHAnsi" w:hAnsiTheme="minorHAnsi"/>
                <w:szCs w:val="20"/>
              </w:rPr>
            </w:pPr>
            <w:r w:rsidRPr="00391391">
              <w:rPr>
                <w:rFonts w:asciiTheme="minorHAnsi" w:hAnsiTheme="minorHAnsi"/>
                <w:szCs w:val="20"/>
              </w:rPr>
              <w:t>Actual treated patients</w:t>
            </w:r>
          </w:p>
        </w:tc>
        <w:tc>
          <w:tcPr>
            <w:tcW w:w="1728" w:type="dxa"/>
            <w:shd w:val="clear" w:color="auto" w:fill="auto"/>
          </w:tcPr>
          <w:p w14:paraId="324B8C16" w14:textId="77777777" w:rsidR="002D57C5" w:rsidRPr="0094246E" w:rsidRDefault="002D57C5" w:rsidP="00904D90">
            <w:pPr>
              <w:pStyle w:val="TableText"/>
              <w:rPr>
                <w:rFonts w:asciiTheme="minorHAnsi" w:hAnsiTheme="minorHAnsi"/>
                <w:szCs w:val="20"/>
              </w:rPr>
            </w:pPr>
            <w:r w:rsidRPr="0094246E">
              <w:rPr>
                <w:rFonts w:asciiTheme="minorHAnsi" w:hAnsiTheme="minorHAnsi"/>
                <w:szCs w:val="20"/>
              </w:rPr>
              <w:t>Cabazitaxel</w:t>
            </w:r>
          </w:p>
        </w:tc>
        <w:tc>
          <w:tcPr>
            <w:tcW w:w="1275" w:type="dxa"/>
            <w:shd w:val="clear" w:color="auto" w:fill="auto"/>
          </w:tcPr>
          <w:p w14:paraId="1749F09A"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438</w:t>
            </w:r>
          </w:p>
        </w:tc>
        <w:tc>
          <w:tcPr>
            <w:tcW w:w="1418" w:type="dxa"/>
            <w:shd w:val="clear" w:color="auto" w:fill="auto"/>
          </w:tcPr>
          <w:p w14:paraId="0A9FF7CD"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494</w:t>
            </w:r>
          </w:p>
        </w:tc>
        <w:tc>
          <w:tcPr>
            <w:tcW w:w="1418" w:type="dxa"/>
          </w:tcPr>
          <w:p w14:paraId="35F21B43"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630</w:t>
            </w:r>
          </w:p>
        </w:tc>
      </w:tr>
      <w:tr w:rsidR="002D57C5" w:rsidRPr="00904D90" w14:paraId="27C4FC56" w14:textId="77777777" w:rsidTr="00B067C4">
        <w:trPr>
          <w:trHeight w:val="315"/>
        </w:trPr>
        <w:tc>
          <w:tcPr>
            <w:tcW w:w="2682" w:type="dxa"/>
            <w:vMerge/>
            <w:shd w:val="clear" w:color="auto" w:fill="auto"/>
            <w:noWrap/>
          </w:tcPr>
          <w:p w14:paraId="131B01BA" w14:textId="77777777" w:rsidR="002D57C5" w:rsidRPr="00391391" w:rsidRDefault="002D57C5" w:rsidP="00904D90">
            <w:pPr>
              <w:pStyle w:val="TableText"/>
              <w:rPr>
                <w:rFonts w:asciiTheme="minorHAnsi" w:hAnsiTheme="minorHAnsi"/>
                <w:szCs w:val="20"/>
              </w:rPr>
            </w:pPr>
          </w:p>
        </w:tc>
        <w:tc>
          <w:tcPr>
            <w:tcW w:w="1728" w:type="dxa"/>
            <w:shd w:val="clear" w:color="auto" w:fill="auto"/>
          </w:tcPr>
          <w:p w14:paraId="0E1DF6B8" w14:textId="77777777" w:rsidR="002D57C5" w:rsidRPr="0094246E" w:rsidRDefault="002D57C5" w:rsidP="00904D90">
            <w:pPr>
              <w:pStyle w:val="TableText"/>
              <w:rPr>
                <w:rFonts w:asciiTheme="minorHAnsi" w:hAnsiTheme="minorHAnsi"/>
                <w:szCs w:val="20"/>
              </w:rPr>
            </w:pPr>
            <w:r w:rsidRPr="0094246E">
              <w:rPr>
                <w:rFonts w:asciiTheme="minorHAnsi" w:hAnsiTheme="minorHAnsi"/>
                <w:szCs w:val="20"/>
              </w:rPr>
              <w:t>Abiraterone</w:t>
            </w:r>
          </w:p>
        </w:tc>
        <w:tc>
          <w:tcPr>
            <w:tcW w:w="1275" w:type="dxa"/>
            <w:shd w:val="clear" w:color="auto" w:fill="auto"/>
          </w:tcPr>
          <w:p w14:paraId="2E8EA286"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1,182</w:t>
            </w:r>
          </w:p>
        </w:tc>
        <w:tc>
          <w:tcPr>
            <w:tcW w:w="1418" w:type="dxa"/>
            <w:shd w:val="clear" w:color="auto" w:fill="auto"/>
          </w:tcPr>
          <w:p w14:paraId="30FDB291"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2,194</w:t>
            </w:r>
          </w:p>
        </w:tc>
        <w:tc>
          <w:tcPr>
            <w:tcW w:w="1418" w:type="dxa"/>
          </w:tcPr>
          <w:p w14:paraId="0FB82DE2"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2,039</w:t>
            </w:r>
          </w:p>
        </w:tc>
      </w:tr>
      <w:tr w:rsidR="0094246E" w:rsidRPr="00904D90" w14:paraId="3C067F32" w14:textId="77777777" w:rsidTr="00B067C4">
        <w:trPr>
          <w:trHeight w:val="315"/>
        </w:trPr>
        <w:tc>
          <w:tcPr>
            <w:tcW w:w="2682" w:type="dxa"/>
            <w:vMerge w:val="restart"/>
            <w:shd w:val="clear" w:color="auto" w:fill="auto"/>
            <w:noWrap/>
          </w:tcPr>
          <w:p w14:paraId="4B1142C9" w14:textId="77777777" w:rsidR="0094246E" w:rsidRPr="00391391" w:rsidRDefault="0094246E" w:rsidP="00904D90">
            <w:pPr>
              <w:pStyle w:val="TableText"/>
              <w:rPr>
                <w:rFonts w:asciiTheme="minorHAnsi" w:hAnsiTheme="minorHAnsi"/>
                <w:szCs w:val="20"/>
              </w:rPr>
            </w:pPr>
            <w:r w:rsidRPr="00391391">
              <w:rPr>
                <w:rFonts w:asciiTheme="minorHAnsi" w:hAnsiTheme="minorHAnsi"/>
                <w:szCs w:val="20"/>
              </w:rPr>
              <w:t>Difference in predicted versus actual treated patients</w:t>
            </w:r>
          </w:p>
        </w:tc>
        <w:tc>
          <w:tcPr>
            <w:tcW w:w="1728" w:type="dxa"/>
            <w:shd w:val="clear" w:color="auto" w:fill="auto"/>
          </w:tcPr>
          <w:p w14:paraId="703C0729" w14:textId="77777777" w:rsidR="0094246E" w:rsidRPr="0094246E" w:rsidRDefault="0094246E" w:rsidP="00904D90">
            <w:pPr>
              <w:pStyle w:val="TableText"/>
              <w:rPr>
                <w:rFonts w:asciiTheme="minorHAnsi" w:hAnsiTheme="minorHAnsi"/>
                <w:szCs w:val="20"/>
              </w:rPr>
            </w:pPr>
            <w:r w:rsidRPr="0094246E">
              <w:rPr>
                <w:rFonts w:asciiTheme="minorHAnsi" w:hAnsiTheme="minorHAnsi"/>
                <w:szCs w:val="20"/>
              </w:rPr>
              <w:t>Cabazitaxel</w:t>
            </w:r>
          </w:p>
        </w:tc>
        <w:tc>
          <w:tcPr>
            <w:tcW w:w="1275" w:type="dxa"/>
            <w:shd w:val="clear" w:color="auto" w:fill="auto"/>
          </w:tcPr>
          <w:p w14:paraId="49EBB08C" w14:textId="3E8606D8"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shd w:val="clear" w:color="auto" w:fill="auto"/>
          </w:tcPr>
          <w:p w14:paraId="71E0C00D" w14:textId="633D6908"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tcPr>
          <w:p w14:paraId="5634A0B7" w14:textId="5C06AE27"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r>
      <w:tr w:rsidR="0094246E" w:rsidRPr="00904D90" w14:paraId="5B1BB97A" w14:textId="77777777" w:rsidTr="00B067C4">
        <w:trPr>
          <w:trHeight w:val="315"/>
        </w:trPr>
        <w:tc>
          <w:tcPr>
            <w:tcW w:w="2682" w:type="dxa"/>
            <w:vMerge/>
            <w:shd w:val="clear" w:color="auto" w:fill="auto"/>
            <w:noWrap/>
          </w:tcPr>
          <w:p w14:paraId="604A7E86" w14:textId="77777777" w:rsidR="0094246E" w:rsidRPr="00391391" w:rsidRDefault="0094246E" w:rsidP="00904D90">
            <w:pPr>
              <w:pStyle w:val="TableText"/>
              <w:rPr>
                <w:rFonts w:asciiTheme="minorHAnsi" w:hAnsiTheme="minorHAnsi"/>
                <w:szCs w:val="20"/>
              </w:rPr>
            </w:pPr>
          </w:p>
        </w:tc>
        <w:tc>
          <w:tcPr>
            <w:tcW w:w="1728" w:type="dxa"/>
            <w:shd w:val="clear" w:color="auto" w:fill="auto"/>
          </w:tcPr>
          <w:p w14:paraId="24E4C0F5" w14:textId="77777777" w:rsidR="0094246E" w:rsidRPr="0094246E" w:rsidRDefault="0094246E" w:rsidP="00904D90">
            <w:pPr>
              <w:pStyle w:val="TableText"/>
              <w:rPr>
                <w:rFonts w:asciiTheme="minorHAnsi" w:hAnsiTheme="minorHAnsi"/>
                <w:szCs w:val="20"/>
              </w:rPr>
            </w:pPr>
            <w:r w:rsidRPr="0094246E">
              <w:rPr>
                <w:rFonts w:asciiTheme="minorHAnsi" w:hAnsiTheme="minorHAnsi"/>
                <w:szCs w:val="20"/>
              </w:rPr>
              <w:t>Abiraterone</w:t>
            </w:r>
          </w:p>
        </w:tc>
        <w:tc>
          <w:tcPr>
            <w:tcW w:w="1275" w:type="dxa"/>
            <w:shd w:val="clear" w:color="auto" w:fill="auto"/>
          </w:tcPr>
          <w:p w14:paraId="76CB4E84" w14:textId="3142DB9E"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shd w:val="clear" w:color="auto" w:fill="auto"/>
          </w:tcPr>
          <w:p w14:paraId="70902426" w14:textId="1FAB2856"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tcPr>
          <w:p w14:paraId="64C7ABEE" w14:textId="3D1A36CF"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r>
      <w:tr w:rsidR="0094246E" w:rsidRPr="00904D90" w14:paraId="0933B87D" w14:textId="77777777" w:rsidTr="00B067C4">
        <w:trPr>
          <w:trHeight w:val="315"/>
        </w:trPr>
        <w:tc>
          <w:tcPr>
            <w:tcW w:w="2682" w:type="dxa"/>
            <w:vMerge w:val="restart"/>
            <w:shd w:val="clear" w:color="auto" w:fill="auto"/>
            <w:noWrap/>
          </w:tcPr>
          <w:p w14:paraId="51A76C5D" w14:textId="77777777" w:rsidR="0094246E" w:rsidRPr="00391391" w:rsidRDefault="0094246E" w:rsidP="00904D90">
            <w:pPr>
              <w:pStyle w:val="TableText"/>
              <w:rPr>
                <w:rFonts w:asciiTheme="minorHAnsi" w:hAnsiTheme="minorHAnsi"/>
                <w:szCs w:val="20"/>
              </w:rPr>
            </w:pPr>
            <w:r w:rsidRPr="00391391">
              <w:rPr>
                <w:rFonts w:asciiTheme="minorHAnsi" w:hAnsiTheme="minorHAnsi"/>
                <w:szCs w:val="20"/>
              </w:rPr>
              <w:t>Predicted number of prescriptions</w:t>
            </w:r>
          </w:p>
        </w:tc>
        <w:tc>
          <w:tcPr>
            <w:tcW w:w="1728" w:type="dxa"/>
            <w:shd w:val="clear" w:color="auto" w:fill="auto"/>
          </w:tcPr>
          <w:p w14:paraId="1EF50CF8" w14:textId="77777777" w:rsidR="0094246E" w:rsidRPr="0094246E" w:rsidRDefault="0094246E" w:rsidP="00904D90">
            <w:pPr>
              <w:pStyle w:val="TableText"/>
              <w:rPr>
                <w:rFonts w:asciiTheme="minorHAnsi" w:hAnsiTheme="minorHAnsi"/>
                <w:szCs w:val="20"/>
              </w:rPr>
            </w:pPr>
            <w:r w:rsidRPr="0094246E">
              <w:rPr>
                <w:rFonts w:asciiTheme="minorHAnsi" w:hAnsiTheme="minorHAnsi"/>
                <w:szCs w:val="20"/>
              </w:rPr>
              <w:t>Cabazitaxel</w:t>
            </w:r>
          </w:p>
        </w:tc>
        <w:tc>
          <w:tcPr>
            <w:tcW w:w="1275" w:type="dxa"/>
            <w:shd w:val="clear" w:color="auto" w:fill="auto"/>
          </w:tcPr>
          <w:p w14:paraId="39FF5020" w14:textId="5124B8BF"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shd w:val="clear" w:color="auto" w:fill="auto"/>
          </w:tcPr>
          <w:p w14:paraId="12B1A0C9" w14:textId="514C0E65"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tcPr>
          <w:p w14:paraId="43720B99" w14:textId="176B9E43"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r>
      <w:tr w:rsidR="0094246E" w:rsidRPr="00904D90" w14:paraId="5C218C10" w14:textId="77777777" w:rsidTr="00B067C4">
        <w:trPr>
          <w:trHeight w:val="315"/>
        </w:trPr>
        <w:tc>
          <w:tcPr>
            <w:tcW w:w="2682" w:type="dxa"/>
            <w:vMerge/>
            <w:shd w:val="clear" w:color="auto" w:fill="auto"/>
            <w:noWrap/>
          </w:tcPr>
          <w:p w14:paraId="203946F7" w14:textId="77777777" w:rsidR="0094246E" w:rsidRPr="00391391" w:rsidRDefault="0094246E" w:rsidP="00904D90">
            <w:pPr>
              <w:pStyle w:val="TableText"/>
              <w:rPr>
                <w:rFonts w:asciiTheme="minorHAnsi" w:hAnsiTheme="minorHAnsi"/>
                <w:szCs w:val="20"/>
              </w:rPr>
            </w:pPr>
          </w:p>
        </w:tc>
        <w:tc>
          <w:tcPr>
            <w:tcW w:w="1728" w:type="dxa"/>
            <w:shd w:val="clear" w:color="auto" w:fill="auto"/>
          </w:tcPr>
          <w:p w14:paraId="50642402" w14:textId="77777777" w:rsidR="0094246E" w:rsidRPr="0094246E" w:rsidRDefault="0094246E" w:rsidP="00904D90">
            <w:pPr>
              <w:pStyle w:val="TableText"/>
              <w:rPr>
                <w:rFonts w:asciiTheme="minorHAnsi" w:hAnsiTheme="minorHAnsi"/>
                <w:szCs w:val="20"/>
              </w:rPr>
            </w:pPr>
            <w:r w:rsidRPr="0094246E">
              <w:rPr>
                <w:rFonts w:asciiTheme="minorHAnsi" w:hAnsiTheme="minorHAnsi"/>
                <w:szCs w:val="20"/>
              </w:rPr>
              <w:t>Abiraterone</w:t>
            </w:r>
          </w:p>
        </w:tc>
        <w:tc>
          <w:tcPr>
            <w:tcW w:w="1275" w:type="dxa"/>
            <w:shd w:val="clear" w:color="auto" w:fill="auto"/>
          </w:tcPr>
          <w:p w14:paraId="2CC635FF" w14:textId="3B306B16"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shd w:val="clear" w:color="auto" w:fill="auto"/>
          </w:tcPr>
          <w:p w14:paraId="4B12463C" w14:textId="09F72F1D"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tcPr>
          <w:p w14:paraId="171D5A65" w14:textId="0AC7646E"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r>
      <w:tr w:rsidR="002D57C5" w:rsidRPr="00904D90" w14:paraId="6C4A4C79" w14:textId="77777777" w:rsidTr="00B067C4">
        <w:trPr>
          <w:trHeight w:val="315"/>
        </w:trPr>
        <w:tc>
          <w:tcPr>
            <w:tcW w:w="2682" w:type="dxa"/>
            <w:vMerge w:val="restart"/>
            <w:shd w:val="clear" w:color="auto" w:fill="auto"/>
            <w:noWrap/>
          </w:tcPr>
          <w:p w14:paraId="0E072492" w14:textId="77777777" w:rsidR="002D57C5" w:rsidRPr="00391391" w:rsidRDefault="002D57C5" w:rsidP="00904D90">
            <w:pPr>
              <w:pStyle w:val="TableText"/>
              <w:rPr>
                <w:rFonts w:asciiTheme="minorHAnsi" w:hAnsiTheme="minorHAnsi"/>
                <w:szCs w:val="20"/>
              </w:rPr>
            </w:pPr>
            <w:r w:rsidRPr="00391391">
              <w:rPr>
                <w:rFonts w:asciiTheme="minorHAnsi" w:hAnsiTheme="minorHAnsi"/>
                <w:szCs w:val="20"/>
              </w:rPr>
              <w:t>Actual number of prescriptions</w:t>
            </w:r>
          </w:p>
        </w:tc>
        <w:tc>
          <w:tcPr>
            <w:tcW w:w="1728" w:type="dxa"/>
            <w:shd w:val="clear" w:color="auto" w:fill="auto"/>
          </w:tcPr>
          <w:p w14:paraId="4312B7F3" w14:textId="77777777" w:rsidR="002D57C5" w:rsidRPr="0094246E" w:rsidRDefault="002D57C5" w:rsidP="00904D90">
            <w:pPr>
              <w:pStyle w:val="TableText"/>
              <w:rPr>
                <w:rFonts w:asciiTheme="minorHAnsi" w:hAnsiTheme="minorHAnsi"/>
                <w:szCs w:val="20"/>
              </w:rPr>
            </w:pPr>
            <w:r w:rsidRPr="0094246E">
              <w:rPr>
                <w:rFonts w:asciiTheme="minorHAnsi" w:hAnsiTheme="minorHAnsi"/>
                <w:szCs w:val="20"/>
              </w:rPr>
              <w:t>Cabazitaxel</w:t>
            </w:r>
          </w:p>
        </w:tc>
        <w:tc>
          <w:tcPr>
            <w:tcW w:w="1275" w:type="dxa"/>
            <w:shd w:val="clear" w:color="auto" w:fill="auto"/>
          </w:tcPr>
          <w:p w14:paraId="4027C6FC"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2225</w:t>
            </w:r>
          </w:p>
        </w:tc>
        <w:tc>
          <w:tcPr>
            <w:tcW w:w="1418" w:type="dxa"/>
            <w:shd w:val="clear" w:color="auto" w:fill="auto"/>
          </w:tcPr>
          <w:p w14:paraId="510985FE"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2467</w:t>
            </w:r>
          </w:p>
        </w:tc>
        <w:tc>
          <w:tcPr>
            <w:tcW w:w="1418" w:type="dxa"/>
          </w:tcPr>
          <w:p w14:paraId="75662FF2"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3110</w:t>
            </w:r>
          </w:p>
        </w:tc>
      </w:tr>
      <w:tr w:rsidR="002D57C5" w:rsidRPr="00904D90" w14:paraId="5D44BECB" w14:textId="77777777" w:rsidTr="00B067C4">
        <w:trPr>
          <w:trHeight w:val="315"/>
        </w:trPr>
        <w:tc>
          <w:tcPr>
            <w:tcW w:w="2682" w:type="dxa"/>
            <w:vMerge/>
            <w:shd w:val="clear" w:color="auto" w:fill="auto"/>
            <w:noWrap/>
          </w:tcPr>
          <w:p w14:paraId="7964BE02" w14:textId="77777777" w:rsidR="002D57C5" w:rsidRPr="00391391" w:rsidRDefault="002D57C5" w:rsidP="00904D90">
            <w:pPr>
              <w:pStyle w:val="TableText"/>
              <w:rPr>
                <w:rFonts w:asciiTheme="minorHAnsi" w:hAnsiTheme="minorHAnsi"/>
                <w:szCs w:val="20"/>
              </w:rPr>
            </w:pPr>
          </w:p>
        </w:tc>
        <w:tc>
          <w:tcPr>
            <w:tcW w:w="1728" w:type="dxa"/>
            <w:shd w:val="clear" w:color="auto" w:fill="auto"/>
          </w:tcPr>
          <w:p w14:paraId="28DA3CE7" w14:textId="77777777" w:rsidR="002D57C5" w:rsidRPr="0094246E" w:rsidRDefault="002D57C5" w:rsidP="00904D90">
            <w:pPr>
              <w:pStyle w:val="TableText"/>
              <w:rPr>
                <w:rFonts w:asciiTheme="minorHAnsi" w:hAnsiTheme="minorHAnsi"/>
                <w:szCs w:val="20"/>
              </w:rPr>
            </w:pPr>
            <w:r w:rsidRPr="0094246E">
              <w:rPr>
                <w:rFonts w:asciiTheme="minorHAnsi" w:hAnsiTheme="minorHAnsi"/>
                <w:szCs w:val="20"/>
              </w:rPr>
              <w:t>Abiraterone</w:t>
            </w:r>
          </w:p>
        </w:tc>
        <w:tc>
          <w:tcPr>
            <w:tcW w:w="1275" w:type="dxa"/>
            <w:shd w:val="clear" w:color="auto" w:fill="auto"/>
            <w:vAlign w:val="bottom"/>
          </w:tcPr>
          <w:p w14:paraId="575F2C3A"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4192</w:t>
            </w:r>
          </w:p>
        </w:tc>
        <w:tc>
          <w:tcPr>
            <w:tcW w:w="1418" w:type="dxa"/>
            <w:shd w:val="clear" w:color="auto" w:fill="auto"/>
            <w:vAlign w:val="bottom"/>
          </w:tcPr>
          <w:p w14:paraId="7930A3C1"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11841</w:t>
            </w:r>
          </w:p>
        </w:tc>
        <w:tc>
          <w:tcPr>
            <w:tcW w:w="1418" w:type="dxa"/>
            <w:vAlign w:val="bottom"/>
          </w:tcPr>
          <w:p w14:paraId="5A071886"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11533</w:t>
            </w:r>
          </w:p>
        </w:tc>
      </w:tr>
      <w:tr w:rsidR="0094246E" w:rsidRPr="00904D90" w14:paraId="54326D26" w14:textId="77777777" w:rsidTr="00B067C4">
        <w:trPr>
          <w:trHeight w:val="315"/>
        </w:trPr>
        <w:tc>
          <w:tcPr>
            <w:tcW w:w="2682" w:type="dxa"/>
            <w:vMerge w:val="restart"/>
            <w:shd w:val="clear" w:color="auto" w:fill="auto"/>
            <w:noWrap/>
          </w:tcPr>
          <w:p w14:paraId="31586416" w14:textId="77777777" w:rsidR="0094246E" w:rsidRPr="00391391" w:rsidRDefault="0094246E" w:rsidP="00904D90">
            <w:pPr>
              <w:pStyle w:val="TableText"/>
              <w:rPr>
                <w:rFonts w:asciiTheme="minorHAnsi" w:hAnsiTheme="minorHAnsi"/>
                <w:szCs w:val="20"/>
              </w:rPr>
            </w:pPr>
            <w:r w:rsidRPr="00391391">
              <w:rPr>
                <w:rFonts w:asciiTheme="minorHAnsi" w:hAnsiTheme="minorHAnsi"/>
                <w:szCs w:val="20"/>
              </w:rPr>
              <w:t>Difference in predicted versus actual number of prescriptions</w:t>
            </w:r>
          </w:p>
        </w:tc>
        <w:tc>
          <w:tcPr>
            <w:tcW w:w="1728" w:type="dxa"/>
            <w:shd w:val="clear" w:color="auto" w:fill="auto"/>
          </w:tcPr>
          <w:p w14:paraId="270480E0" w14:textId="77777777" w:rsidR="0094246E" w:rsidRPr="0094246E" w:rsidRDefault="0094246E" w:rsidP="00904D90">
            <w:pPr>
              <w:pStyle w:val="TableText"/>
              <w:rPr>
                <w:rFonts w:asciiTheme="minorHAnsi" w:hAnsiTheme="minorHAnsi"/>
                <w:szCs w:val="20"/>
              </w:rPr>
            </w:pPr>
            <w:r w:rsidRPr="0094246E">
              <w:rPr>
                <w:rFonts w:asciiTheme="minorHAnsi" w:hAnsiTheme="minorHAnsi"/>
                <w:szCs w:val="20"/>
              </w:rPr>
              <w:t>Cabazitaxel</w:t>
            </w:r>
          </w:p>
        </w:tc>
        <w:tc>
          <w:tcPr>
            <w:tcW w:w="1275" w:type="dxa"/>
            <w:shd w:val="clear" w:color="auto" w:fill="auto"/>
          </w:tcPr>
          <w:p w14:paraId="72D0E5E4" w14:textId="0DBF05FD"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shd w:val="clear" w:color="auto" w:fill="auto"/>
          </w:tcPr>
          <w:p w14:paraId="531057D5" w14:textId="37056D52"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tcPr>
          <w:p w14:paraId="350677E5" w14:textId="0CE5B950"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r>
      <w:tr w:rsidR="0094246E" w:rsidRPr="00904D90" w14:paraId="6680CDB3" w14:textId="77777777" w:rsidTr="00B067C4">
        <w:trPr>
          <w:trHeight w:val="315"/>
        </w:trPr>
        <w:tc>
          <w:tcPr>
            <w:tcW w:w="2682" w:type="dxa"/>
            <w:vMerge/>
            <w:shd w:val="clear" w:color="auto" w:fill="auto"/>
            <w:noWrap/>
          </w:tcPr>
          <w:p w14:paraId="2D92264B" w14:textId="77777777" w:rsidR="0094246E" w:rsidRPr="00391391" w:rsidRDefault="0094246E" w:rsidP="00904D90">
            <w:pPr>
              <w:pStyle w:val="TableText"/>
              <w:rPr>
                <w:rFonts w:asciiTheme="minorHAnsi" w:hAnsiTheme="minorHAnsi"/>
                <w:szCs w:val="20"/>
              </w:rPr>
            </w:pPr>
          </w:p>
        </w:tc>
        <w:tc>
          <w:tcPr>
            <w:tcW w:w="1728" w:type="dxa"/>
            <w:shd w:val="clear" w:color="auto" w:fill="auto"/>
          </w:tcPr>
          <w:p w14:paraId="5AD3DCC4" w14:textId="77777777" w:rsidR="0094246E" w:rsidRPr="0094246E" w:rsidRDefault="0094246E" w:rsidP="00904D90">
            <w:pPr>
              <w:pStyle w:val="TableText"/>
              <w:rPr>
                <w:rFonts w:asciiTheme="minorHAnsi" w:hAnsiTheme="minorHAnsi"/>
                <w:szCs w:val="20"/>
              </w:rPr>
            </w:pPr>
            <w:r w:rsidRPr="0094246E">
              <w:rPr>
                <w:rFonts w:asciiTheme="minorHAnsi" w:hAnsiTheme="minorHAnsi"/>
                <w:szCs w:val="20"/>
              </w:rPr>
              <w:t>Abiraterone</w:t>
            </w:r>
          </w:p>
        </w:tc>
        <w:tc>
          <w:tcPr>
            <w:tcW w:w="1275" w:type="dxa"/>
            <w:shd w:val="clear" w:color="auto" w:fill="auto"/>
          </w:tcPr>
          <w:p w14:paraId="0CC93D06" w14:textId="0B284CC5"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shd w:val="clear" w:color="auto" w:fill="auto"/>
          </w:tcPr>
          <w:p w14:paraId="1F36BF49" w14:textId="371FF38E"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tcPr>
          <w:p w14:paraId="12551E87" w14:textId="5C4F8645"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r>
      <w:tr w:rsidR="0094246E" w:rsidRPr="00904D90" w14:paraId="7FCC8B2D" w14:textId="77777777" w:rsidTr="00457765">
        <w:trPr>
          <w:trHeight w:val="315"/>
        </w:trPr>
        <w:tc>
          <w:tcPr>
            <w:tcW w:w="2682" w:type="dxa"/>
            <w:vMerge w:val="restart"/>
            <w:shd w:val="clear" w:color="auto" w:fill="auto"/>
            <w:noWrap/>
          </w:tcPr>
          <w:p w14:paraId="76602FC1" w14:textId="77777777" w:rsidR="0094246E" w:rsidRPr="00391391" w:rsidRDefault="0094246E" w:rsidP="00904D90">
            <w:pPr>
              <w:pStyle w:val="TableText"/>
              <w:rPr>
                <w:rFonts w:asciiTheme="minorHAnsi" w:hAnsiTheme="minorHAnsi"/>
                <w:szCs w:val="20"/>
              </w:rPr>
            </w:pPr>
            <w:r w:rsidRPr="00391391">
              <w:rPr>
                <w:rFonts w:asciiTheme="minorHAnsi" w:hAnsiTheme="minorHAnsi"/>
                <w:szCs w:val="20"/>
              </w:rPr>
              <w:t>Predicted Net drug cost to the PBS and RPBS excluding patient co-payments</w:t>
            </w:r>
          </w:p>
        </w:tc>
        <w:tc>
          <w:tcPr>
            <w:tcW w:w="1728" w:type="dxa"/>
            <w:shd w:val="clear" w:color="auto" w:fill="auto"/>
          </w:tcPr>
          <w:p w14:paraId="6314F63F" w14:textId="77777777" w:rsidR="0094246E" w:rsidRPr="0094246E" w:rsidRDefault="0094246E" w:rsidP="00904D90">
            <w:pPr>
              <w:pStyle w:val="TableText"/>
              <w:rPr>
                <w:rFonts w:asciiTheme="minorHAnsi" w:hAnsiTheme="minorHAnsi"/>
                <w:szCs w:val="20"/>
              </w:rPr>
            </w:pPr>
            <w:r w:rsidRPr="0094246E">
              <w:rPr>
                <w:rFonts w:asciiTheme="minorHAnsi" w:hAnsiTheme="minorHAnsi"/>
                <w:szCs w:val="20"/>
              </w:rPr>
              <w:t>Cabazitaxel</w:t>
            </w:r>
          </w:p>
        </w:tc>
        <w:tc>
          <w:tcPr>
            <w:tcW w:w="1275" w:type="dxa"/>
            <w:shd w:val="clear" w:color="auto" w:fill="auto"/>
          </w:tcPr>
          <w:p w14:paraId="3637C7BF" w14:textId="77D0F3AD"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shd w:val="clear" w:color="auto" w:fill="auto"/>
          </w:tcPr>
          <w:p w14:paraId="14F6C3B4" w14:textId="33EE635F"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tcPr>
          <w:p w14:paraId="59BE97A5" w14:textId="12D185A4"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r>
      <w:tr w:rsidR="0094246E" w:rsidRPr="00904D90" w14:paraId="6D0DABAF" w14:textId="77777777" w:rsidTr="00B067C4">
        <w:trPr>
          <w:trHeight w:val="315"/>
        </w:trPr>
        <w:tc>
          <w:tcPr>
            <w:tcW w:w="2682" w:type="dxa"/>
            <w:vMerge/>
            <w:shd w:val="clear" w:color="auto" w:fill="auto"/>
            <w:noWrap/>
          </w:tcPr>
          <w:p w14:paraId="65042F50" w14:textId="77777777" w:rsidR="0094246E" w:rsidRPr="00391391" w:rsidRDefault="0094246E" w:rsidP="00904D90">
            <w:pPr>
              <w:pStyle w:val="TableText"/>
              <w:rPr>
                <w:rFonts w:asciiTheme="minorHAnsi" w:hAnsiTheme="minorHAnsi"/>
                <w:szCs w:val="20"/>
              </w:rPr>
            </w:pPr>
          </w:p>
        </w:tc>
        <w:tc>
          <w:tcPr>
            <w:tcW w:w="1728" w:type="dxa"/>
            <w:shd w:val="clear" w:color="auto" w:fill="auto"/>
          </w:tcPr>
          <w:p w14:paraId="6C97F48A" w14:textId="77777777" w:rsidR="0094246E" w:rsidRPr="0094246E" w:rsidRDefault="0094246E" w:rsidP="00904D90">
            <w:pPr>
              <w:pStyle w:val="TableText"/>
              <w:rPr>
                <w:rFonts w:asciiTheme="minorHAnsi" w:hAnsiTheme="minorHAnsi"/>
                <w:szCs w:val="20"/>
              </w:rPr>
            </w:pPr>
            <w:r w:rsidRPr="0094246E">
              <w:rPr>
                <w:rFonts w:asciiTheme="minorHAnsi" w:hAnsiTheme="minorHAnsi"/>
                <w:szCs w:val="20"/>
              </w:rPr>
              <w:t>Abiraterone</w:t>
            </w:r>
          </w:p>
        </w:tc>
        <w:tc>
          <w:tcPr>
            <w:tcW w:w="1275" w:type="dxa"/>
            <w:shd w:val="clear" w:color="auto" w:fill="auto"/>
          </w:tcPr>
          <w:p w14:paraId="1C8D423A" w14:textId="645D96E1"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shd w:val="clear" w:color="auto" w:fill="auto"/>
          </w:tcPr>
          <w:p w14:paraId="72327AB7" w14:textId="1C134063"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c>
          <w:tcPr>
            <w:tcW w:w="1418" w:type="dxa"/>
          </w:tcPr>
          <w:p w14:paraId="159AC1E8" w14:textId="30186B4B"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szCs w:val="20"/>
                <w:highlight w:val="black"/>
              </w:rPr>
              <w:t>XXX</w:t>
            </w:r>
          </w:p>
        </w:tc>
      </w:tr>
      <w:tr w:rsidR="002D57C5" w:rsidRPr="00904D90" w14:paraId="5A9BDE74" w14:textId="77777777" w:rsidTr="00B067C4">
        <w:trPr>
          <w:trHeight w:val="315"/>
        </w:trPr>
        <w:tc>
          <w:tcPr>
            <w:tcW w:w="2682" w:type="dxa"/>
            <w:vMerge w:val="restart"/>
            <w:shd w:val="clear" w:color="auto" w:fill="auto"/>
            <w:noWrap/>
          </w:tcPr>
          <w:p w14:paraId="40804093" w14:textId="77777777" w:rsidR="002D57C5" w:rsidRPr="00391391" w:rsidRDefault="002D57C5" w:rsidP="00904D90">
            <w:pPr>
              <w:pStyle w:val="TableText"/>
              <w:rPr>
                <w:rFonts w:asciiTheme="minorHAnsi" w:hAnsiTheme="minorHAnsi"/>
                <w:szCs w:val="20"/>
              </w:rPr>
            </w:pPr>
            <w:r w:rsidRPr="00391391">
              <w:rPr>
                <w:rFonts w:asciiTheme="minorHAnsi" w:hAnsiTheme="minorHAnsi"/>
                <w:szCs w:val="20"/>
              </w:rPr>
              <w:t>Actual Net drug cost to the PBS and RPBS excluding patient co-payments</w:t>
            </w:r>
          </w:p>
        </w:tc>
        <w:tc>
          <w:tcPr>
            <w:tcW w:w="1728" w:type="dxa"/>
            <w:shd w:val="clear" w:color="auto" w:fill="auto"/>
          </w:tcPr>
          <w:p w14:paraId="133A25BD" w14:textId="77777777" w:rsidR="002D57C5" w:rsidRPr="0094246E" w:rsidRDefault="002D57C5" w:rsidP="00904D90">
            <w:pPr>
              <w:pStyle w:val="TableText"/>
              <w:rPr>
                <w:rFonts w:asciiTheme="minorHAnsi" w:hAnsiTheme="minorHAnsi"/>
                <w:szCs w:val="20"/>
              </w:rPr>
            </w:pPr>
            <w:r w:rsidRPr="0094246E">
              <w:rPr>
                <w:rFonts w:asciiTheme="minorHAnsi" w:hAnsiTheme="minorHAnsi"/>
                <w:szCs w:val="20"/>
              </w:rPr>
              <w:t>Cabazitaxel</w:t>
            </w:r>
          </w:p>
        </w:tc>
        <w:tc>
          <w:tcPr>
            <w:tcW w:w="1275" w:type="dxa"/>
            <w:shd w:val="clear" w:color="auto" w:fill="auto"/>
            <w:vAlign w:val="bottom"/>
          </w:tcPr>
          <w:p w14:paraId="38C69170"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$13,272,887</w:t>
            </w:r>
          </w:p>
        </w:tc>
        <w:tc>
          <w:tcPr>
            <w:tcW w:w="1418" w:type="dxa"/>
            <w:shd w:val="clear" w:color="auto" w:fill="auto"/>
            <w:vAlign w:val="bottom"/>
          </w:tcPr>
          <w:p w14:paraId="34C63DFF"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$14,796,114</w:t>
            </w:r>
          </w:p>
        </w:tc>
        <w:tc>
          <w:tcPr>
            <w:tcW w:w="1418" w:type="dxa"/>
            <w:vAlign w:val="bottom"/>
          </w:tcPr>
          <w:p w14:paraId="34451DFA"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$18,636,979</w:t>
            </w:r>
          </w:p>
        </w:tc>
      </w:tr>
      <w:tr w:rsidR="002D57C5" w:rsidRPr="00904D90" w14:paraId="2BE1BAA4" w14:textId="77777777" w:rsidTr="00B067C4">
        <w:trPr>
          <w:trHeight w:val="315"/>
        </w:trPr>
        <w:tc>
          <w:tcPr>
            <w:tcW w:w="2682" w:type="dxa"/>
            <w:vMerge/>
            <w:shd w:val="clear" w:color="auto" w:fill="auto"/>
            <w:noWrap/>
          </w:tcPr>
          <w:p w14:paraId="28B1F1CB" w14:textId="77777777" w:rsidR="002D57C5" w:rsidRPr="00391391" w:rsidRDefault="002D57C5" w:rsidP="00904D90">
            <w:pPr>
              <w:pStyle w:val="TableText"/>
              <w:rPr>
                <w:rFonts w:asciiTheme="minorHAnsi" w:hAnsiTheme="minorHAnsi"/>
                <w:szCs w:val="20"/>
              </w:rPr>
            </w:pPr>
          </w:p>
        </w:tc>
        <w:tc>
          <w:tcPr>
            <w:tcW w:w="1728" w:type="dxa"/>
            <w:shd w:val="clear" w:color="auto" w:fill="auto"/>
          </w:tcPr>
          <w:p w14:paraId="4D95B091" w14:textId="77777777" w:rsidR="002D57C5" w:rsidRPr="0094246E" w:rsidRDefault="002D57C5" w:rsidP="00904D90">
            <w:pPr>
              <w:pStyle w:val="TableText"/>
              <w:rPr>
                <w:rFonts w:asciiTheme="minorHAnsi" w:hAnsiTheme="minorHAnsi"/>
                <w:szCs w:val="20"/>
              </w:rPr>
            </w:pPr>
            <w:r w:rsidRPr="0094246E">
              <w:rPr>
                <w:rFonts w:asciiTheme="minorHAnsi" w:hAnsiTheme="minorHAnsi"/>
                <w:szCs w:val="20"/>
              </w:rPr>
              <w:t>Abiraterone</w:t>
            </w:r>
          </w:p>
        </w:tc>
        <w:tc>
          <w:tcPr>
            <w:tcW w:w="1275" w:type="dxa"/>
            <w:shd w:val="clear" w:color="auto" w:fill="auto"/>
            <w:vAlign w:val="bottom"/>
          </w:tcPr>
          <w:p w14:paraId="02A390E2"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$15,157,806</w:t>
            </w:r>
          </w:p>
        </w:tc>
        <w:tc>
          <w:tcPr>
            <w:tcW w:w="1418" w:type="dxa"/>
            <w:shd w:val="clear" w:color="auto" w:fill="auto"/>
            <w:vAlign w:val="bottom"/>
          </w:tcPr>
          <w:p w14:paraId="57F9D849"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$42,872,127</w:t>
            </w:r>
          </w:p>
        </w:tc>
        <w:tc>
          <w:tcPr>
            <w:tcW w:w="1418" w:type="dxa"/>
            <w:vAlign w:val="bottom"/>
          </w:tcPr>
          <w:p w14:paraId="26EB4C7A" w14:textId="77777777" w:rsidR="002D57C5" w:rsidRPr="00904D90" w:rsidRDefault="002D57C5" w:rsidP="00904D90">
            <w:pPr>
              <w:pStyle w:val="TableText"/>
              <w:jc w:val="center"/>
              <w:rPr>
                <w:rFonts w:asciiTheme="minorHAnsi" w:hAnsiTheme="minorHAnsi"/>
                <w:szCs w:val="20"/>
              </w:rPr>
            </w:pPr>
            <w:r w:rsidRPr="00904D90">
              <w:rPr>
                <w:rFonts w:asciiTheme="minorHAnsi" w:hAnsiTheme="minorHAnsi"/>
                <w:szCs w:val="20"/>
              </w:rPr>
              <w:t>$41,804,300</w:t>
            </w:r>
          </w:p>
        </w:tc>
      </w:tr>
      <w:tr w:rsidR="0094246E" w:rsidRPr="00904D90" w14:paraId="3DDDA2FE" w14:textId="77777777" w:rsidTr="00457765">
        <w:trPr>
          <w:trHeight w:val="315"/>
        </w:trPr>
        <w:tc>
          <w:tcPr>
            <w:tcW w:w="2682" w:type="dxa"/>
            <w:vMerge w:val="restart"/>
            <w:shd w:val="clear" w:color="auto" w:fill="auto"/>
            <w:noWrap/>
          </w:tcPr>
          <w:p w14:paraId="0DC1E2A6" w14:textId="77777777" w:rsidR="0094246E" w:rsidRPr="00391391" w:rsidRDefault="0094246E" w:rsidP="00904D90">
            <w:pPr>
              <w:pStyle w:val="TableText"/>
              <w:rPr>
                <w:rFonts w:asciiTheme="minorHAnsi" w:hAnsiTheme="minorHAnsi"/>
                <w:szCs w:val="20"/>
              </w:rPr>
            </w:pPr>
            <w:r w:rsidRPr="00391391">
              <w:rPr>
                <w:rFonts w:asciiTheme="minorHAnsi" w:hAnsiTheme="minorHAnsi"/>
                <w:szCs w:val="20"/>
              </w:rPr>
              <w:t>Difference in predicted versus actual net expenditure</w:t>
            </w:r>
          </w:p>
        </w:tc>
        <w:tc>
          <w:tcPr>
            <w:tcW w:w="1728" w:type="dxa"/>
            <w:shd w:val="clear" w:color="auto" w:fill="auto"/>
          </w:tcPr>
          <w:p w14:paraId="6220AF34" w14:textId="77777777" w:rsidR="0094246E" w:rsidRPr="0094246E" w:rsidRDefault="0094246E" w:rsidP="00904D90">
            <w:pPr>
              <w:pStyle w:val="TableText"/>
              <w:rPr>
                <w:rFonts w:asciiTheme="minorHAnsi" w:hAnsiTheme="minorHAnsi"/>
                <w:szCs w:val="20"/>
              </w:rPr>
            </w:pPr>
            <w:r w:rsidRPr="0094246E">
              <w:rPr>
                <w:rFonts w:asciiTheme="minorHAnsi" w:hAnsiTheme="minorHAnsi"/>
                <w:szCs w:val="20"/>
              </w:rPr>
              <w:t>Cabazitaxel</w:t>
            </w:r>
          </w:p>
        </w:tc>
        <w:tc>
          <w:tcPr>
            <w:tcW w:w="1275" w:type="dxa"/>
            <w:shd w:val="clear" w:color="auto" w:fill="auto"/>
          </w:tcPr>
          <w:p w14:paraId="1AEE40E0" w14:textId="566A2166"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color w:val="000000"/>
                <w:szCs w:val="20"/>
                <w:highlight w:val="black"/>
              </w:rPr>
              <w:t>XXX</w:t>
            </w:r>
          </w:p>
        </w:tc>
        <w:tc>
          <w:tcPr>
            <w:tcW w:w="1418" w:type="dxa"/>
            <w:shd w:val="clear" w:color="auto" w:fill="auto"/>
          </w:tcPr>
          <w:p w14:paraId="413B82D4" w14:textId="22E738A0"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color w:val="000000"/>
                <w:szCs w:val="20"/>
                <w:highlight w:val="black"/>
              </w:rPr>
              <w:t>XXX</w:t>
            </w:r>
          </w:p>
        </w:tc>
        <w:tc>
          <w:tcPr>
            <w:tcW w:w="1418" w:type="dxa"/>
          </w:tcPr>
          <w:p w14:paraId="2316D45C" w14:textId="54677704"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color w:val="000000"/>
                <w:szCs w:val="20"/>
                <w:highlight w:val="black"/>
              </w:rPr>
              <w:t>XXX</w:t>
            </w:r>
          </w:p>
        </w:tc>
      </w:tr>
      <w:tr w:rsidR="0094246E" w:rsidRPr="00904D90" w14:paraId="308F04FC" w14:textId="77777777" w:rsidTr="00457765">
        <w:trPr>
          <w:trHeight w:val="315"/>
        </w:trPr>
        <w:tc>
          <w:tcPr>
            <w:tcW w:w="2682" w:type="dxa"/>
            <w:vMerge/>
            <w:shd w:val="clear" w:color="auto" w:fill="auto"/>
            <w:noWrap/>
          </w:tcPr>
          <w:p w14:paraId="7AC2AE61" w14:textId="77777777" w:rsidR="0094246E" w:rsidRPr="00904D90" w:rsidRDefault="0094246E" w:rsidP="00904D90">
            <w:pPr>
              <w:pStyle w:val="TableText"/>
              <w:rPr>
                <w:rFonts w:asciiTheme="minorHAnsi" w:hAnsiTheme="minorHAnsi"/>
                <w:szCs w:val="20"/>
                <w:highlight w:val="yellow"/>
              </w:rPr>
            </w:pPr>
          </w:p>
        </w:tc>
        <w:tc>
          <w:tcPr>
            <w:tcW w:w="1728" w:type="dxa"/>
            <w:shd w:val="clear" w:color="auto" w:fill="auto"/>
          </w:tcPr>
          <w:p w14:paraId="19A8C3B7" w14:textId="77777777" w:rsidR="0094246E" w:rsidRPr="0094246E" w:rsidRDefault="0094246E" w:rsidP="00904D90">
            <w:pPr>
              <w:pStyle w:val="TableText"/>
              <w:rPr>
                <w:rFonts w:asciiTheme="minorHAnsi" w:hAnsiTheme="minorHAnsi"/>
                <w:szCs w:val="20"/>
              </w:rPr>
            </w:pPr>
            <w:r w:rsidRPr="0094246E">
              <w:rPr>
                <w:rFonts w:asciiTheme="minorHAnsi" w:hAnsiTheme="minorHAnsi"/>
                <w:szCs w:val="20"/>
              </w:rPr>
              <w:t>Abiraterone</w:t>
            </w:r>
          </w:p>
        </w:tc>
        <w:tc>
          <w:tcPr>
            <w:tcW w:w="1275" w:type="dxa"/>
            <w:shd w:val="clear" w:color="auto" w:fill="auto"/>
          </w:tcPr>
          <w:p w14:paraId="7A68FC59" w14:textId="77FE5980"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color w:val="000000"/>
                <w:szCs w:val="20"/>
                <w:highlight w:val="black"/>
              </w:rPr>
              <w:t>XXX</w:t>
            </w:r>
          </w:p>
        </w:tc>
        <w:tc>
          <w:tcPr>
            <w:tcW w:w="1418" w:type="dxa"/>
            <w:shd w:val="clear" w:color="auto" w:fill="auto"/>
          </w:tcPr>
          <w:p w14:paraId="28A5DD5E" w14:textId="4DE22CCA"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color w:val="000000"/>
                <w:szCs w:val="20"/>
                <w:highlight w:val="black"/>
              </w:rPr>
              <w:t>XXX</w:t>
            </w:r>
          </w:p>
        </w:tc>
        <w:tc>
          <w:tcPr>
            <w:tcW w:w="1418" w:type="dxa"/>
          </w:tcPr>
          <w:p w14:paraId="7E2A1C5D" w14:textId="62EA1976" w:rsidR="0094246E" w:rsidRPr="0094246E" w:rsidRDefault="0094246E" w:rsidP="00904D90">
            <w:pPr>
              <w:pStyle w:val="TableText"/>
              <w:jc w:val="center"/>
              <w:rPr>
                <w:rFonts w:asciiTheme="minorHAnsi" w:hAnsiTheme="minorHAnsi"/>
                <w:szCs w:val="20"/>
                <w:highlight w:val="black"/>
              </w:rPr>
            </w:pPr>
            <w:r w:rsidRPr="0094246E">
              <w:rPr>
                <w:rFonts w:asciiTheme="minorHAnsi" w:hAnsiTheme="minorHAnsi"/>
                <w:color w:val="000000"/>
                <w:szCs w:val="20"/>
                <w:highlight w:val="black"/>
              </w:rPr>
              <w:t>XXX</w:t>
            </w:r>
          </w:p>
        </w:tc>
      </w:tr>
    </w:tbl>
    <w:p w14:paraId="79BF1248" w14:textId="77777777" w:rsidR="002D57C5" w:rsidRPr="00B02785" w:rsidRDefault="002D57C5" w:rsidP="002D57C5">
      <w:pPr>
        <w:autoSpaceDE w:val="0"/>
        <w:autoSpaceDN w:val="0"/>
        <w:adjustRightInd w:val="0"/>
        <w:spacing w:after="0"/>
        <w:rPr>
          <w:rFonts w:ascii="Calibri" w:hAnsi="Calibri" w:cs="Calibri"/>
          <w:b/>
          <w:color w:val="000000"/>
          <w:sz w:val="20"/>
        </w:rPr>
      </w:pPr>
      <w:r w:rsidRPr="00B02785">
        <w:rPr>
          <w:rFonts w:ascii="Calibri" w:hAnsi="Calibri" w:cs="Calibri"/>
          <w:color w:val="000000"/>
          <w:sz w:val="20"/>
        </w:rPr>
        <w:t>Note:</w:t>
      </w:r>
      <w:r w:rsidRPr="00B02785">
        <w:rPr>
          <w:rFonts w:ascii="Calibri" w:hAnsi="Calibri" w:cs="Calibri"/>
          <w:b/>
          <w:color w:val="000000"/>
          <w:sz w:val="20"/>
        </w:rPr>
        <w:t xml:space="preserve"> </w:t>
      </w:r>
      <w:r w:rsidRPr="00B02785">
        <w:rPr>
          <w:rFonts w:ascii="Calibri" w:hAnsi="Calibri" w:cs="Calibri"/>
          <w:color w:val="000000"/>
          <w:sz w:val="20"/>
        </w:rPr>
        <w:t xml:space="preserve">All expenditure figures are for date of supply and are based on published prices and are net of patient co-payments. Abiraterone has a special pricing arrangement and government expenditure may be less than presented here. </w:t>
      </w:r>
    </w:p>
    <w:p w14:paraId="0FD9414C" w14:textId="5EB18613" w:rsidR="002D57C5" w:rsidRPr="00B02785" w:rsidRDefault="002D57C5" w:rsidP="002D57C5">
      <w:pPr>
        <w:spacing w:after="0"/>
        <w:rPr>
          <w:rFonts w:ascii="Calibri" w:hAnsi="Calibri" w:cs="Calibri"/>
          <w:color w:val="000000"/>
          <w:sz w:val="20"/>
        </w:rPr>
      </w:pPr>
      <w:r w:rsidRPr="00B02785">
        <w:rPr>
          <w:rFonts w:ascii="Calibri" w:hAnsi="Calibri" w:cs="Calibri"/>
          <w:color w:val="000000"/>
          <w:sz w:val="20"/>
        </w:rPr>
        <w:t xml:space="preserve">The actual figures were sourced from the Department of Human Services </w:t>
      </w:r>
      <w:r w:rsidRPr="00B02785">
        <w:rPr>
          <w:rFonts w:eastAsia="Calibri" w:cs="Arial"/>
          <w:sz w:val="20"/>
          <w:szCs w:val="20"/>
        </w:rPr>
        <w:t>PBS Prescriptions Database</w:t>
      </w:r>
      <w:r w:rsidRPr="00B02785">
        <w:rPr>
          <w:rFonts w:ascii="Calibri" w:hAnsi="Calibri" w:cs="Calibri"/>
          <w:color w:val="000000"/>
          <w:sz w:val="20"/>
        </w:rPr>
        <w:t xml:space="preserve"> accessed February 2016. </w:t>
      </w:r>
    </w:p>
    <w:p w14:paraId="289C7453" w14:textId="77777777" w:rsidR="006A74D4" w:rsidRDefault="006A74D4" w:rsidP="00D4733F"/>
    <w:p w14:paraId="0EE4C243" w14:textId="73B2049B" w:rsidR="00D4733F" w:rsidRPr="006A74D4" w:rsidRDefault="00D4733F" w:rsidP="00D4733F">
      <w:pPr>
        <w:rPr>
          <w:rFonts w:ascii="Calibri" w:hAnsi="Calibri" w:cs="Calibri"/>
          <w:color w:val="000000"/>
        </w:rPr>
      </w:pPr>
      <w:r w:rsidRPr="006A74D4">
        <w:rPr>
          <w:rFonts w:ascii="Calibri" w:hAnsi="Calibri" w:cs="Calibri"/>
          <w:color w:val="000000"/>
        </w:rPr>
        <w:t xml:space="preserve">In its consideration of cabazitaxel, the PBAC raised that wastage could occur with the availability of only the 60 mg vial as lower doses may be used in practice. </w:t>
      </w:r>
      <w:r w:rsidR="00FB3D47" w:rsidRPr="006A74D4">
        <w:rPr>
          <w:rFonts w:ascii="Calibri" w:hAnsi="Calibri" w:cs="Calibri"/>
          <w:color w:val="000000"/>
        </w:rPr>
        <w:t>Table 23</w:t>
      </w:r>
      <w:r w:rsidRPr="006A74D4">
        <w:rPr>
          <w:rFonts w:ascii="Calibri" w:hAnsi="Calibri" w:cs="Calibri"/>
          <w:color w:val="000000"/>
        </w:rPr>
        <w:t xml:space="preserve"> shows that the median qua</w:t>
      </w:r>
      <w:r w:rsidR="003808B4">
        <w:rPr>
          <w:rFonts w:ascii="Calibri" w:hAnsi="Calibri" w:cs="Calibri"/>
          <w:color w:val="000000"/>
        </w:rPr>
        <w:t xml:space="preserve">ntity of dispensed cabazitaxel </w:t>
      </w:r>
      <w:r w:rsidRPr="006A74D4">
        <w:rPr>
          <w:rFonts w:ascii="Calibri" w:hAnsi="Calibri" w:cs="Calibri"/>
          <w:color w:val="000000"/>
        </w:rPr>
        <w:t>was consistent</w:t>
      </w:r>
      <w:r w:rsidR="006F0E17">
        <w:rPr>
          <w:rFonts w:ascii="Calibri" w:hAnsi="Calibri" w:cs="Calibri"/>
          <w:color w:val="000000"/>
        </w:rPr>
        <w:t>ly lower than</w:t>
      </w:r>
      <w:r w:rsidR="00FB43E9">
        <w:rPr>
          <w:rFonts w:ascii="Calibri" w:hAnsi="Calibri" w:cs="Calibri"/>
          <w:color w:val="000000"/>
        </w:rPr>
        <w:t xml:space="preserve"> the mean anticipated dose of </w:t>
      </w:r>
      <w:r w:rsidR="00FB43E9" w:rsidRPr="00FB43E9">
        <w:rPr>
          <w:rFonts w:ascii="Calibri" w:hAnsi="Calibri" w:cs="Calibri"/>
          <w:color w:val="000000"/>
          <w:highlight w:val="black"/>
        </w:rPr>
        <w:t>XX</w:t>
      </w:r>
      <w:r w:rsidR="006F0E17">
        <w:rPr>
          <w:rFonts w:ascii="Calibri" w:hAnsi="Calibri" w:cs="Calibri"/>
          <w:color w:val="000000"/>
        </w:rPr>
        <w:t>mg and the vial quantity of 60mg</w:t>
      </w:r>
      <w:r w:rsidRPr="006A74D4">
        <w:rPr>
          <w:rFonts w:ascii="Calibri" w:hAnsi="Calibri" w:cs="Calibri"/>
          <w:color w:val="000000"/>
        </w:rPr>
        <w:t>.</w:t>
      </w:r>
      <w:r w:rsidR="006F0E17">
        <w:rPr>
          <w:rFonts w:ascii="Calibri" w:hAnsi="Calibri" w:cs="Calibri"/>
          <w:color w:val="000000"/>
        </w:rPr>
        <w:t xml:space="preserve"> </w:t>
      </w:r>
    </w:p>
    <w:p w14:paraId="78FD3052" w14:textId="17D4BEE8" w:rsidR="00D4733F" w:rsidRPr="008E4E15" w:rsidRDefault="00FB3D47" w:rsidP="00904D90">
      <w:pPr>
        <w:pStyle w:val="Tabletitle"/>
        <w:rPr>
          <w:rFonts w:ascii="Calibri" w:hAnsi="Calibri" w:cs="Calibri"/>
          <w:color w:val="000000"/>
          <w:sz w:val="20"/>
        </w:rPr>
      </w:pPr>
      <w:r>
        <w:lastRenderedPageBreak/>
        <w:t>Table 23</w:t>
      </w:r>
      <w:r w:rsidR="00904D90">
        <w:t>:</w:t>
      </w:r>
      <w:r w:rsidR="00D4733F" w:rsidRPr="008E4E15">
        <w:t xml:space="preserve"> </w:t>
      </w:r>
      <w:r w:rsidR="00D4733F">
        <w:t>Quantity of cabazitaxel supplied per prescription</w:t>
      </w:r>
    </w:p>
    <w:tbl>
      <w:tblPr>
        <w:tblW w:w="6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Quantity of cabazitaxel supplied per prescription"/>
        <w:tblDescription w:val="A table of the Quantity of cabazitaxel supplied per prescription"/>
      </w:tblPr>
      <w:tblGrid>
        <w:gridCol w:w="1235"/>
        <w:gridCol w:w="1300"/>
        <w:gridCol w:w="872"/>
        <w:gridCol w:w="914"/>
        <w:gridCol w:w="917"/>
        <w:gridCol w:w="917"/>
      </w:tblGrid>
      <w:tr w:rsidR="00D4733F" w:rsidRPr="00904D90" w14:paraId="30C6FDB9" w14:textId="77777777" w:rsidTr="00B067C4">
        <w:trPr>
          <w:trHeight w:val="798"/>
        </w:trPr>
        <w:tc>
          <w:tcPr>
            <w:tcW w:w="1235" w:type="dxa"/>
            <w:shd w:val="clear" w:color="auto" w:fill="BFBFBF" w:themeFill="background1" w:themeFillShade="BF"/>
          </w:tcPr>
          <w:p w14:paraId="2433AB88" w14:textId="77777777" w:rsidR="00D4733F" w:rsidRPr="00904D90" w:rsidRDefault="00D4733F" w:rsidP="0075014F">
            <w:pPr>
              <w:spacing w:after="0"/>
              <w:jc w:val="center"/>
              <w:rPr>
                <w:rFonts w:eastAsia="Times New Roman" w:cs="Times New Roman"/>
                <w:b/>
                <w:bCs/>
                <w:color w:val="000000"/>
                <w:sz w:val="20"/>
                <w:szCs w:val="20"/>
              </w:rPr>
            </w:pPr>
            <w:r w:rsidRPr="00904D90">
              <w:rPr>
                <w:rFonts w:eastAsia="Times New Roman" w:cs="Times New Roman"/>
                <w:b/>
                <w:bCs/>
                <w:color w:val="000000"/>
                <w:sz w:val="20"/>
                <w:szCs w:val="20"/>
              </w:rPr>
              <w:t>Calendar year</w:t>
            </w:r>
          </w:p>
        </w:tc>
        <w:tc>
          <w:tcPr>
            <w:tcW w:w="1300" w:type="dxa"/>
            <w:shd w:val="clear" w:color="auto" w:fill="BFBFBF" w:themeFill="background1" w:themeFillShade="BF"/>
            <w:hideMark/>
          </w:tcPr>
          <w:p w14:paraId="6D484FE7" w14:textId="77777777" w:rsidR="00D4733F" w:rsidRPr="00904D90" w:rsidRDefault="00D4733F" w:rsidP="0075014F">
            <w:pPr>
              <w:spacing w:after="0"/>
              <w:jc w:val="center"/>
              <w:rPr>
                <w:rFonts w:eastAsia="Times New Roman" w:cs="Times New Roman"/>
                <w:b/>
                <w:bCs/>
                <w:color w:val="000000"/>
                <w:sz w:val="20"/>
                <w:szCs w:val="20"/>
              </w:rPr>
            </w:pPr>
            <w:r w:rsidRPr="00904D90">
              <w:rPr>
                <w:rFonts w:eastAsia="Times New Roman" w:cs="Times New Roman"/>
                <w:b/>
                <w:bCs/>
                <w:color w:val="000000"/>
                <w:sz w:val="20"/>
                <w:szCs w:val="20"/>
              </w:rPr>
              <w:t>Number of prescriptions</w:t>
            </w:r>
          </w:p>
        </w:tc>
        <w:tc>
          <w:tcPr>
            <w:tcW w:w="872" w:type="dxa"/>
            <w:shd w:val="clear" w:color="auto" w:fill="BFBFBF" w:themeFill="background1" w:themeFillShade="BF"/>
            <w:hideMark/>
          </w:tcPr>
          <w:p w14:paraId="0A2E4669" w14:textId="77777777" w:rsidR="00D4733F" w:rsidRPr="00904D90" w:rsidRDefault="00D4733F" w:rsidP="0075014F">
            <w:pPr>
              <w:spacing w:after="0"/>
              <w:jc w:val="center"/>
              <w:rPr>
                <w:rFonts w:eastAsia="Times New Roman" w:cs="Times New Roman"/>
                <w:b/>
                <w:bCs/>
                <w:color w:val="000000"/>
                <w:sz w:val="20"/>
                <w:szCs w:val="20"/>
              </w:rPr>
            </w:pPr>
            <w:r w:rsidRPr="00904D90">
              <w:rPr>
                <w:rFonts w:eastAsia="Times New Roman" w:cs="Times New Roman"/>
                <w:b/>
                <w:bCs/>
                <w:color w:val="000000"/>
                <w:sz w:val="20"/>
                <w:szCs w:val="20"/>
              </w:rPr>
              <w:t xml:space="preserve">Mean </w:t>
            </w:r>
          </w:p>
          <w:p w14:paraId="2C4FD66E" w14:textId="77777777" w:rsidR="00D4733F" w:rsidRPr="00904D90" w:rsidRDefault="00D4733F" w:rsidP="0075014F">
            <w:pPr>
              <w:spacing w:after="0"/>
              <w:jc w:val="center"/>
              <w:rPr>
                <w:rFonts w:eastAsia="Times New Roman" w:cs="Times New Roman"/>
                <w:b/>
                <w:bCs/>
                <w:color w:val="000000"/>
                <w:sz w:val="20"/>
                <w:szCs w:val="20"/>
              </w:rPr>
            </w:pPr>
          </w:p>
          <w:p w14:paraId="0DE1FADA" w14:textId="77777777" w:rsidR="00D4733F" w:rsidRPr="00904D90" w:rsidRDefault="00D4733F" w:rsidP="0075014F">
            <w:pPr>
              <w:spacing w:after="0"/>
              <w:jc w:val="center"/>
              <w:rPr>
                <w:rFonts w:eastAsia="Times New Roman" w:cs="Times New Roman"/>
                <w:b/>
                <w:bCs/>
                <w:color w:val="000000"/>
                <w:sz w:val="20"/>
                <w:szCs w:val="20"/>
              </w:rPr>
            </w:pPr>
            <w:r w:rsidRPr="00904D90">
              <w:rPr>
                <w:rFonts w:eastAsia="Times New Roman" w:cs="Times New Roman"/>
                <w:b/>
                <w:bCs/>
                <w:color w:val="000000"/>
                <w:sz w:val="20"/>
                <w:szCs w:val="20"/>
              </w:rPr>
              <w:t>(mg)</w:t>
            </w:r>
          </w:p>
        </w:tc>
        <w:tc>
          <w:tcPr>
            <w:tcW w:w="914" w:type="dxa"/>
            <w:shd w:val="clear" w:color="auto" w:fill="BFBFBF" w:themeFill="background1" w:themeFillShade="BF"/>
            <w:hideMark/>
          </w:tcPr>
          <w:p w14:paraId="31613C36" w14:textId="77777777" w:rsidR="00D4733F" w:rsidRPr="00904D90" w:rsidRDefault="00D4733F" w:rsidP="0075014F">
            <w:pPr>
              <w:spacing w:after="0"/>
              <w:jc w:val="center"/>
              <w:rPr>
                <w:rFonts w:eastAsia="Times New Roman" w:cs="Times New Roman"/>
                <w:b/>
                <w:bCs/>
                <w:color w:val="000000"/>
                <w:sz w:val="20"/>
                <w:szCs w:val="20"/>
              </w:rPr>
            </w:pPr>
            <w:r w:rsidRPr="00904D90">
              <w:rPr>
                <w:rFonts w:eastAsia="Times New Roman" w:cs="Times New Roman"/>
                <w:b/>
                <w:bCs/>
                <w:color w:val="000000"/>
                <w:sz w:val="20"/>
                <w:szCs w:val="20"/>
              </w:rPr>
              <w:t xml:space="preserve">Median </w:t>
            </w:r>
          </w:p>
          <w:p w14:paraId="7A4FB43D" w14:textId="77777777" w:rsidR="00D4733F" w:rsidRPr="00904D90" w:rsidRDefault="00D4733F" w:rsidP="0075014F">
            <w:pPr>
              <w:spacing w:after="0"/>
              <w:jc w:val="center"/>
              <w:rPr>
                <w:rFonts w:eastAsia="Times New Roman" w:cs="Times New Roman"/>
                <w:b/>
                <w:bCs/>
                <w:color w:val="000000"/>
                <w:sz w:val="20"/>
                <w:szCs w:val="20"/>
              </w:rPr>
            </w:pPr>
          </w:p>
          <w:p w14:paraId="5EC27315" w14:textId="77777777" w:rsidR="00D4733F" w:rsidRPr="00904D90" w:rsidRDefault="00D4733F" w:rsidP="0075014F">
            <w:pPr>
              <w:spacing w:after="0"/>
              <w:jc w:val="center"/>
              <w:rPr>
                <w:rFonts w:eastAsia="Times New Roman" w:cs="Times New Roman"/>
                <w:b/>
                <w:bCs/>
                <w:color w:val="000000"/>
                <w:sz w:val="20"/>
                <w:szCs w:val="20"/>
              </w:rPr>
            </w:pPr>
            <w:r w:rsidRPr="00904D90">
              <w:rPr>
                <w:rFonts w:eastAsia="Times New Roman" w:cs="Times New Roman"/>
                <w:b/>
                <w:bCs/>
                <w:color w:val="000000"/>
                <w:sz w:val="20"/>
                <w:szCs w:val="20"/>
              </w:rPr>
              <w:t>(mg)</w:t>
            </w:r>
          </w:p>
        </w:tc>
        <w:tc>
          <w:tcPr>
            <w:tcW w:w="917" w:type="dxa"/>
            <w:shd w:val="clear" w:color="auto" w:fill="BFBFBF" w:themeFill="background1" w:themeFillShade="BF"/>
            <w:hideMark/>
          </w:tcPr>
          <w:p w14:paraId="64C5CE42" w14:textId="77777777" w:rsidR="00D4733F" w:rsidRPr="00904D90" w:rsidRDefault="00D4733F" w:rsidP="0075014F">
            <w:pPr>
              <w:spacing w:after="0"/>
              <w:jc w:val="center"/>
              <w:rPr>
                <w:rFonts w:eastAsia="Times New Roman" w:cs="Times New Roman"/>
                <w:b/>
                <w:bCs/>
                <w:color w:val="000000"/>
                <w:sz w:val="20"/>
                <w:szCs w:val="20"/>
              </w:rPr>
            </w:pPr>
            <w:r w:rsidRPr="00904D90">
              <w:rPr>
                <w:rFonts w:eastAsia="Times New Roman" w:cs="Times New Roman"/>
                <w:b/>
                <w:bCs/>
                <w:color w:val="000000"/>
                <w:sz w:val="20"/>
                <w:szCs w:val="20"/>
              </w:rPr>
              <w:t>Lower quartile (mg)</w:t>
            </w:r>
          </w:p>
        </w:tc>
        <w:tc>
          <w:tcPr>
            <w:tcW w:w="917" w:type="dxa"/>
            <w:shd w:val="clear" w:color="auto" w:fill="BFBFBF" w:themeFill="background1" w:themeFillShade="BF"/>
            <w:hideMark/>
          </w:tcPr>
          <w:p w14:paraId="1386ADD2" w14:textId="77777777" w:rsidR="00D4733F" w:rsidRPr="00904D90" w:rsidRDefault="00D4733F" w:rsidP="0075014F">
            <w:pPr>
              <w:spacing w:after="0"/>
              <w:jc w:val="center"/>
              <w:rPr>
                <w:rFonts w:eastAsia="Times New Roman" w:cs="Times New Roman"/>
                <w:b/>
                <w:bCs/>
                <w:color w:val="000000"/>
                <w:sz w:val="20"/>
                <w:szCs w:val="20"/>
              </w:rPr>
            </w:pPr>
            <w:r w:rsidRPr="00904D90">
              <w:rPr>
                <w:rFonts w:eastAsia="Times New Roman" w:cs="Times New Roman"/>
                <w:b/>
                <w:bCs/>
                <w:color w:val="000000"/>
                <w:sz w:val="20"/>
                <w:szCs w:val="20"/>
              </w:rPr>
              <w:t>Upper quartile (mg)</w:t>
            </w:r>
          </w:p>
        </w:tc>
      </w:tr>
      <w:tr w:rsidR="00D4733F" w:rsidRPr="00904D90" w14:paraId="7AFA8EB5" w14:textId="77777777" w:rsidTr="00B067C4">
        <w:trPr>
          <w:trHeight w:val="300"/>
        </w:trPr>
        <w:tc>
          <w:tcPr>
            <w:tcW w:w="1235" w:type="dxa"/>
            <w:vAlign w:val="center"/>
          </w:tcPr>
          <w:p w14:paraId="5D007108"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2012</w:t>
            </w:r>
          </w:p>
        </w:tc>
        <w:tc>
          <w:tcPr>
            <w:tcW w:w="1300" w:type="dxa"/>
            <w:shd w:val="clear" w:color="auto" w:fill="auto"/>
            <w:vAlign w:val="center"/>
            <w:hideMark/>
          </w:tcPr>
          <w:p w14:paraId="74FD1D0A" w14:textId="2E9A29CE"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731</w:t>
            </w:r>
          </w:p>
        </w:tc>
        <w:tc>
          <w:tcPr>
            <w:tcW w:w="872" w:type="dxa"/>
            <w:shd w:val="clear" w:color="auto" w:fill="auto"/>
            <w:vAlign w:val="center"/>
            <w:hideMark/>
          </w:tcPr>
          <w:p w14:paraId="2D50005F"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41.5</w:t>
            </w:r>
          </w:p>
        </w:tc>
        <w:tc>
          <w:tcPr>
            <w:tcW w:w="914" w:type="dxa"/>
            <w:shd w:val="clear" w:color="auto" w:fill="auto"/>
            <w:vAlign w:val="center"/>
            <w:hideMark/>
          </w:tcPr>
          <w:p w14:paraId="712AFA06"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40</w:t>
            </w:r>
          </w:p>
        </w:tc>
        <w:tc>
          <w:tcPr>
            <w:tcW w:w="917" w:type="dxa"/>
            <w:shd w:val="clear" w:color="auto" w:fill="auto"/>
            <w:vAlign w:val="center"/>
            <w:hideMark/>
          </w:tcPr>
          <w:p w14:paraId="18C6BD41"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36</w:t>
            </w:r>
          </w:p>
        </w:tc>
        <w:tc>
          <w:tcPr>
            <w:tcW w:w="917" w:type="dxa"/>
            <w:shd w:val="clear" w:color="auto" w:fill="auto"/>
            <w:vAlign w:val="center"/>
            <w:hideMark/>
          </w:tcPr>
          <w:p w14:paraId="1B5730DF"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50</w:t>
            </w:r>
          </w:p>
        </w:tc>
      </w:tr>
      <w:tr w:rsidR="00D4733F" w:rsidRPr="00904D90" w14:paraId="3978E1E8" w14:textId="77777777" w:rsidTr="00B067C4">
        <w:trPr>
          <w:trHeight w:val="300"/>
        </w:trPr>
        <w:tc>
          <w:tcPr>
            <w:tcW w:w="1235" w:type="dxa"/>
            <w:vAlign w:val="center"/>
          </w:tcPr>
          <w:p w14:paraId="7941C2B1"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2013</w:t>
            </w:r>
          </w:p>
        </w:tc>
        <w:tc>
          <w:tcPr>
            <w:tcW w:w="1300" w:type="dxa"/>
            <w:shd w:val="clear" w:color="auto" w:fill="auto"/>
            <w:vAlign w:val="center"/>
            <w:hideMark/>
          </w:tcPr>
          <w:p w14:paraId="6AD6F3C3" w14:textId="6B427E5A"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2,225</w:t>
            </w:r>
          </w:p>
        </w:tc>
        <w:tc>
          <w:tcPr>
            <w:tcW w:w="872" w:type="dxa"/>
            <w:shd w:val="clear" w:color="auto" w:fill="auto"/>
            <w:vAlign w:val="center"/>
            <w:hideMark/>
          </w:tcPr>
          <w:p w14:paraId="53527C98"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41.4</w:t>
            </w:r>
          </w:p>
        </w:tc>
        <w:tc>
          <w:tcPr>
            <w:tcW w:w="914" w:type="dxa"/>
            <w:shd w:val="clear" w:color="auto" w:fill="auto"/>
            <w:vAlign w:val="center"/>
            <w:hideMark/>
          </w:tcPr>
          <w:p w14:paraId="1E82BDB2"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40</w:t>
            </w:r>
          </w:p>
        </w:tc>
        <w:tc>
          <w:tcPr>
            <w:tcW w:w="917" w:type="dxa"/>
            <w:shd w:val="clear" w:color="auto" w:fill="auto"/>
            <w:vAlign w:val="center"/>
            <w:hideMark/>
          </w:tcPr>
          <w:p w14:paraId="18B40D6A"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36</w:t>
            </w:r>
          </w:p>
        </w:tc>
        <w:tc>
          <w:tcPr>
            <w:tcW w:w="917" w:type="dxa"/>
            <w:shd w:val="clear" w:color="auto" w:fill="auto"/>
            <w:vAlign w:val="center"/>
            <w:hideMark/>
          </w:tcPr>
          <w:p w14:paraId="4E735461"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48</w:t>
            </w:r>
          </w:p>
        </w:tc>
      </w:tr>
      <w:tr w:rsidR="00D4733F" w:rsidRPr="00904D90" w14:paraId="62F0B25A" w14:textId="77777777" w:rsidTr="00B067C4">
        <w:trPr>
          <w:trHeight w:val="300"/>
        </w:trPr>
        <w:tc>
          <w:tcPr>
            <w:tcW w:w="1235" w:type="dxa"/>
            <w:vAlign w:val="center"/>
          </w:tcPr>
          <w:p w14:paraId="6D7F64DC"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2014</w:t>
            </w:r>
          </w:p>
        </w:tc>
        <w:tc>
          <w:tcPr>
            <w:tcW w:w="1300" w:type="dxa"/>
            <w:shd w:val="clear" w:color="auto" w:fill="auto"/>
            <w:vAlign w:val="center"/>
            <w:hideMark/>
          </w:tcPr>
          <w:p w14:paraId="4B4D351F" w14:textId="70F63D93"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2,467</w:t>
            </w:r>
          </w:p>
        </w:tc>
        <w:tc>
          <w:tcPr>
            <w:tcW w:w="872" w:type="dxa"/>
            <w:shd w:val="clear" w:color="auto" w:fill="auto"/>
            <w:vAlign w:val="center"/>
            <w:hideMark/>
          </w:tcPr>
          <w:p w14:paraId="6BFBC0FF"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41.6</w:t>
            </w:r>
          </w:p>
        </w:tc>
        <w:tc>
          <w:tcPr>
            <w:tcW w:w="914" w:type="dxa"/>
            <w:shd w:val="clear" w:color="auto" w:fill="auto"/>
            <w:vAlign w:val="center"/>
            <w:hideMark/>
          </w:tcPr>
          <w:p w14:paraId="3427F591"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40</w:t>
            </w:r>
          </w:p>
        </w:tc>
        <w:tc>
          <w:tcPr>
            <w:tcW w:w="917" w:type="dxa"/>
            <w:shd w:val="clear" w:color="auto" w:fill="auto"/>
            <w:vAlign w:val="center"/>
            <w:hideMark/>
          </w:tcPr>
          <w:p w14:paraId="7C0489F9"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38</w:t>
            </w:r>
          </w:p>
        </w:tc>
        <w:tc>
          <w:tcPr>
            <w:tcW w:w="917" w:type="dxa"/>
            <w:shd w:val="clear" w:color="auto" w:fill="auto"/>
            <w:vAlign w:val="center"/>
            <w:hideMark/>
          </w:tcPr>
          <w:p w14:paraId="552E0E8A"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49</w:t>
            </w:r>
          </w:p>
        </w:tc>
      </w:tr>
      <w:tr w:rsidR="00D4733F" w:rsidRPr="00904D90" w14:paraId="5694B4EA" w14:textId="77777777" w:rsidTr="00B067C4">
        <w:trPr>
          <w:trHeight w:val="300"/>
        </w:trPr>
        <w:tc>
          <w:tcPr>
            <w:tcW w:w="1235" w:type="dxa"/>
            <w:vAlign w:val="center"/>
          </w:tcPr>
          <w:p w14:paraId="46F707F4"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2015</w:t>
            </w:r>
          </w:p>
        </w:tc>
        <w:tc>
          <w:tcPr>
            <w:tcW w:w="1300" w:type="dxa"/>
            <w:shd w:val="clear" w:color="auto" w:fill="auto"/>
            <w:vAlign w:val="center"/>
            <w:hideMark/>
          </w:tcPr>
          <w:p w14:paraId="0DF8ECA4" w14:textId="31A52C69"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3,110</w:t>
            </w:r>
          </w:p>
        </w:tc>
        <w:tc>
          <w:tcPr>
            <w:tcW w:w="872" w:type="dxa"/>
            <w:shd w:val="clear" w:color="auto" w:fill="auto"/>
            <w:vAlign w:val="center"/>
            <w:hideMark/>
          </w:tcPr>
          <w:p w14:paraId="219B109E"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41.8</w:t>
            </w:r>
          </w:p>
        </w:tc>
        <w:tc>
          <w:tcPr>
            <w:tcW w:w="914" w:type="dxa"/>
            <w:shd w:val="clear" w:color="auto" w:fill="auto"/>
            <w:vAlign w:val="center"/>
            <w:hideMark/>
          </w:tcPr>
          <w:p w14:paraId="54D94A59"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40</w:t>
            </w:r>
          </w:p>
        </w:tc>
        <w:tc>
          <w:tcPr>
            <w:tcW w:w="917" w:type="dxa"/>
            <w:shd w:val="clear" w:color="auto" w:fill="auto"/>
            <w:vAlign w:val="center"/>
            <w:hideMark/>
          </w:tcPr>
          <w:p w14:paraId="2F062714"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38</w:t>
            </w:r>
          </w:p>
        </w:tc>
        <w:tc>
          <w:tcPr>
            <w:tcW w:w="917" w:type="dxa"/>
            <w:shd w:val="clear" w:color="auto" w:fill="auto"/>
            <w:vAlign w:val="center"/>
            <w:hideMark/>
          </w:tcPr>
          <w:p w14:paraId="1A15EF94" w14:textId="77777777" w:rsidR="00D4733F" w:rsidRPr="00904D90" w:rsidRDefault="00D4733F" w:rsidP="00B067C4">
            <w:pPr>
              <w:spacing w:after="0"/>
              <w:jc w:val="center"/>
              <w:rPr>
                <w:rFonts w:eastAsia="Times New Roman" w:cs="Arial"/>
                <w:color w:val="000000"/>
                <w:sz w:val="20"/>
                <w:szCs w:val="20"/>
              </w:rPr>
            </w:pPr>
            <w:r w:rsidRPr="00904D90">
              <w:rPr>
                <w:rFonts w:eastAsia="Times New Roman" w:cs="Arial"/>
                <w:color w:val="000000"/>
                <w:sz w:val="20"/>
                <w:szCs w:val="20"/>
              </w:rPr>
              <w:t>50</w:t>
            </w:r>
          </w:p>
        </w:tc>
      </w:tr>
    </w:tbl>
    <w:p w14:paraId="77ED5DE6" w14:textId="683825C8" w:rsidR="0066087D" w:rsidRDefault="0066087D" w:rsidP="0066087D">
      <w:r w:rsidRPr="00BF29F8">
        <w:rPr>
          <w:rStyle w:val="FiguretitleChar"/>
          <w:rFonts w:asciiTheme="minorHAnsi" w:eastAsiaTheme="minorEastAsia" w:hAnsiTheme="minorHAnsi" w:cstheme="minorBidi"/>
          <w:b w:val="0"/>
          <w:sz w:val="20"/>
          <w:szCs w:val="20"/>
          <w:lang w:val="en-AU"/>
        </w:rPr>
        <w:t>Source: DHS Supplied Prescriptions database, extracted April 2016</w:t>
      </w:r>
      <w:r>
        <w:rPr>
          <w:rStyle w:val="FiguretitleChar"/>
          <w:rFonts w:asciiTheme="minorHAnsi" w:eastAsiaTheme="minorEastAsia" w:hAnsiTheme="minorHAnsi" w:cstheme="minorBidi"/>
          <w:b w:val="0"/>
          <w:sz w:val="20"/>
          <w:szCs w:val="20"/>
          <w:lang w:val="en-AU"/>
        </w:rPr>
        <w:t>.</w:t>
      </w:r>
    </w:p>
    <w:p w14:paraId="5D91AE08" w14:textId="02C3AB2E" w:rsidR="00592F50" w:rsidRDefault="00592F50" w:rsidP="00904D90">
      <w:pPr>
        <w:pStyle w:val="Heading3"/>
        <w:keepNext/>
      </w:pPr>
      <w:r w:rsidRPr="006A74D4">
        <w:t>Enzalutamide</w:t>
      </w:r>
    </w:p>
    <w:p w14:paraId="5B3F1241" w14:textId="5091E3B5" w:rsidR="00592F50" w:rsidRPr="00904D90" w:rsidRDefault="00FB3D47" w:rsidP="00904D90">
      <w:pPr>
        <w:pStyle w:val="Tabletitle"/>
      </w:pPr>
      <w:r w:rsidRPr="00904D90">
        <w:t>Table 24</w:t>
      </w:r>
      <w:r w:rsidR="00904D90" w:rsidRPr="00904D90">
        <w:t>:</w:t>
      </w:r>
      <w:r w:rsidR="00592F50" w:rsidRPr="00904D90">
        <w:t xml:space="preserve"> Predicted vs. Actual comparison for </w:t>
      </w:r>
      <w:r w:rsidR="006F2845" w:rsidRPr="00904D90">
        <w:t>enzalutamide</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dicted vs. Actual comparison for enzalutamide"/>
        <w:tblDescription w:val="A table of the Predicted vs. Actual comparison for enzalutamide"/>
      </w:tblPr>
      <w:tblGrid>
        <w:gridCol w:w="2682"/>
        <w:gridCol w:w="2011"/>
        <w:gridCol w:w="1985"/>
      </w:tblGrid>
      <w:tr w:rsidR="00C4297F" w:rsidRPr="00FA3C4D" w14:paraId="21271A5F" w14:textId="77777777" w:rsidTr="00B067C4">
        <w:trPr>
          <w:trHeight w:val="661"/>
          <w:tblHeader/>
        </w:trPr>
        <w:tc>
          <w:tcPr>
            <w:tcW w:w="2682" w:type="dxa"/>
            <w:shd w:val="clear" w:color="auto" w:fill="BFBFBF" w:themeFill="background1" w:themeFillShade="BF"/>
            <w:noWrap/>
            <w:vAlign w:val="center"/>
            <w:hideMark/>
          </w:tcPr>
          <w:p w14:paraId="6F63F29F" w14:textId="77777777" w:rsidR="00C4297F" w:rsidRPr="00FA3C4D" w:rsidRDefault="00C4297F" w:rsidP="004F7278">
            <w:pPr>
              <w:pStyle w:val="TableText"/>
              <w:spacing w:before="0" w:after="0"/>
              <w:rPr>
                <w:rFonts w:asciiTheme="minorHAnsi" w:hAnsiTheme="minorHAnsi"/>
                <w:szCs w:val="20"/>
              </w:rPr>
            </w:pPr>
          </w:p>
        </w:tc>
        <w:tc>
          <w:tcPr>
            <w:tcW w:w="2011" w:type="dxa"/>
            <w:shd w:val="clear" w:color="auto" w:fill="BFBFBF" w:themeFill="background1" w:themeFillShade="BF"/>
            <w:vAlign w:val="center"/>
            <w:hideMark/>
          </w:tcPr>
          <w:p w14:paraId="685FAA7B" w14:textId="77777777" w:rsidR="00C4297F" w:rsidRPr="00FA3C4D" w:rsidRDefault="00C4297F" w:rsidP="004F7278">
            <w:pPr>
              <w:pStyle w:val="TableText"/>
              <w:spacing w:before="0" w:after="0"/>
              <w:rPr>
                <w:rFonts w:asciiTheme="minorHAnsi" w:hAnsiTheme="minorHAnsi"/>
                <w:b/>
                <w:bCs/>
                <w:szCs w:val="20"/>
              </w:rPr>
            </w:pPr>
          </w:p>
        </w:tc>
        <w:tc>
          <w:tcPr>
            <w:tcW w:w="1985" w:type="dxa"/>
            <w:shd w:val="clear" w:color="auto" w:fill="BFBFBF" w:themeFill="background1" w:themeFillShade="BF"/>
            <w:vAlign w:val="center"/>
          </w:tcPr>
          <w:p w14:paraId="0708631C" w14:textId="3FAAFF83" w:rsidR="00C4297F" w:rsidRPr="00FA3C4D" w:rsidRDefault="00CE6DDB" w:rsidP="004F7278">
            <w:pPr>
              <w:pStyle w:val="TableText"/>
              <w:spacing w:before="0" w:after="0"/>
              <w:jc w:val="center"/>
              <w:rPr>
                <w:rFonts w:asciiTheme="minorHAnsi" w:hAnsiTheme="minorHAnsi"/>
                <w:b/>
                <w:color w:val="000000" w:themeColor="text1"/>
                <w:szCs w:val="20"/>
              </w:rPr>
            </w:pPr>
            <w:r w:rsidRPr="00FA3C4D">
              <w:rPr>
                <w:rFonts w:asciiTheme="minorHAnsi" w:hAnsiTheme="minorHAnsi"/>
                <w:b/>
                <w:color w:val="000000" w:themeColor="text1"/>
                <w:szCs w:val="20"/>
              </w:rPr>
              <w:t>2015</w:t>
            </w:r>
          </w:p>
        </w:tc>
      </w:tr>
      <w:tr w:rsidR="00090D25" w:rsidRPr="00FA3C4D" w14:paraId="2ADD7AEA" w14:textId="77777777" w:rsidTr="00B067C4">
        <w:trPr>
          <w:trHeight w:val="315"/>
        </w:trPr>
        <w:tc>
          <w:tcPr>
            <w:tcW w:w="2682" w:type="dxa"/>
            <w:vMerge w:val="restart"/>
            <w:shd w:val="clear" w:color="auto" w:fill="auto"/>
            <w:noWrap/>
            <w:vAlign w:val="center"/>
          </w:tcPr>
          <w:p w14:paraId="742B601D" w14:textId="77777777" w:rsidR="00090D25" w:rsidRPr="00FA3C4D" w:rsidRDefault="00090D25" w:rsidP="004F7278">
            <w:pPr>
              <w:pStyle w:val="TableText"/>
              <w:spacing w:before="0" w:after="0"/>
              <w:rPr>
                <w:rFonts w:asciiTheme="minorHAnsi" w:hAnsiTheme="minorHAnsi"/>
                <w:szCs w:val="20"/>
              </w:rPr>
            </w:pPr>
            <w:r w:rsidRPr="00FA3C4D">
              <w:rPr>
                <w:rFonts w:asciiTheme="minorHAnsi" w:hAnsiTheme="minorHAnsi"/>
                <w:szCs w:val="20"/>
              </w:rPr>
              <w:t>Treated patients</w:t>
            </w:r>
          </w:p>
        </w:tc>
        <w:tc>
          <w:tcPr>
            <w:tcW w:w="2011" w:type="dxa"/>
            <w:shd w:val="clear" w:color="auto" w:fill="auto"/>
            <w:vAlign w:val="center"/>
          </w:tcPr>
          <w:p w14:paraId="3F131BD1" w14:textId="77777777" w:rsidR="00090D25" w:rsidRPr="00B51DA4" w:rsidRDefault="00090D25" w:rsidP="004F7278">
            <w:pPr>
              <w:pStyle w:val="TableText"/>
              <w:spacing w:before="0" w:after="0"/>
              <w:rPr>
                <w:rFonts w:asciiTheme="minorHAnsi" w:hAnsiTheme="minorHAnsi"/>
                <w:szCs w:val="20"/>
              </w:rPr>
            </w:pPr>
            <w:r w:rsidRPr="00B51DA4">
              <w:rPr>
                <w:rFonts w:asciiTheme="minorHAnsi" w:hAnsiTheme="minorHAnsi"/>
                <w:szCs w:val="20"/>
              </w:rPr>
              <w:t>Predicted</w:t>
            </w:r>
          </w:p>
        </w:tc>
        <w:tc>
          <w:tcPr>
            <w:tcW w:w="1985" w:type="dxa"/>
            <w:shd w:val="clear" w:color="auto" w:fill="auto"/>
            <w:vAlign w:val="center"/>
          </w:tcPr>
          <w:p w14:paraId="5B1EEE53" w14:textId="08B49FCC" w:rsidR="00090D25" w:rsidRPr="00FA3C4D" w:rsidRDefault="00D95976" w:rsidP="004F7278">
            <w:pPr>
              <w:pStyle w:val="TableText"/>
              <w:spacing w:before="0" w:after="0"/>
              <w:jc w:val="center"/>
              <w:rPr>
                <w:rFonts w:asciiTheme="minorHAnsi" w:hAnsiTheme="minorHAnsi"/>
                <w:szCs w:val="20"/>
                <w:highlight w:val="yellow"/>
              </w:rPr>
            </w:pPr>
            <w:r w:rsidRPr="00D95976">
              <w:rPr>
                <w:rFonts w:asciiTheme="minorHAnsi" w:hAnsiTheme="minorHAnsi"/>
                <w:szCs w:val="20"/>
                <w:highlight w:val="black"/>
              </w:rPr>
              <w:t>XXX</w:t>
            </w:r>
          </w:p>
        </w:tc>
      </w:tr>
      <w:tr w:rsidR="00090D25" w:rsidRPr="00FA3C4D" w14:paraId="7CB31A3F" w14:textId="77777777" w:rsidTr="00B067C4">
        <w:trPr>
          <w:trHeight w:val="385"/>
        </w:trPr>
        <w:tc>
          <w:tcPr>
            <w:tcW w:w="2682" w:type="dxa"/>
            <w:vMerge/>
            <w:shd w:val="clear" w:color="auto" w:fill="auto"/>
            <w:noWrap/>
            <w:vAlign w:val="center"/>
          </w:tcPr>
          <w:p w14:paraId="0DC13FC6" w14:textId="77777777" w:rsidR="00090D25" w:rsidRPr="00FA3C4D" w:rsidRDefault="00090D25" w:rsidP="004F7278">
            <w:pPr>
              <w:pStyle w:val="TableText"/>
              <w:spacing w:before="0" w:after="0"/>
              <w:rPr>
                <w:rFonts w:asciiTheme="minorHAnsi" w:hAnsiTheme="minorHAnsi"/>
                <w:szCs w:val="20"/>
              </w:rPr>
            </w:pPr>
          </w:p>
        </w:tc>
        <w:tc>
          <w:tcPr>
            <w:tcW w:w="2011" w:type="dxa"/>
            <w:shd w:val="clear" w:color="auto" w:fill="auto"/>
            <w:vAlign w:val="center"/>
          </w:tcPr>
          <w:p w14:paraId="49B83D76" w14:textId="77777777" w:rsidR="00090D25" w:rsidRPr="00B51DA4" w:rsidRDefault="00090D25" w:rsidP="004F7278">
            <w:pPr>
              <w:pStyle w:val="TableText"/>
              <w:spacing w:before="0" w:after="0"/>
              <w:rPr>
                <w:rFonts w:asciiTheme="minorHAnsi" w:hAnsiTheme="minorHAnsi"/>
                <w:szCs w:val="20"/>
              </w:rPr>
            </w:pPr>
            <w:r w:rsidRPr="00B51DA4">
              <w:rPr>
                <w:rFonts w:asciiTheme="minorHAnsi" w:hAnsiTheme="minorHAnsi"/>
                <w:szCs w:val="20"/>
              </w:rPr>
              <w:t>Actual</w:t>
            </w:r>
          </w:p>
        </w:tc>
        <w:tc>
          <w:tcPr>
            <w:tcW w:w="1985" w:type="dxa"/>
            <w:shd w:val="clear" w:color="auto" w:fill="auto"/>
            <w:vAlign w:val="center"/>
          </w:tcPr>
          <w:p w14:paraId="3C1AA9FD" w14:textId="2BC89DB3" w:rsidR="00090D25" w:rsidRPr="00FA3C4D" w:rsidRDefault="00090D25" w:rsidP="004F7278">
            <w:pPr>
              <w:spacing w:after="0"/>
              <w:jc w:val="center"/>
              <w:rPr>
                <w:sz w:val="20"/>
                <w:szCs w:val="20"/>
              </w:rPr>
            </w:pPr>
            <w:r w:rsidRPr="00FA3C4D">
              <w:rPr>
                <w:sz w:val="20"/>
                <w:szCs w:val="20"/>
              </w:rPr>
              <w:t>2,255</w:t>
            </w:r>
          </w:p>
        </w:tc>
      </w:tr>
      <w:tr w:rsidR="00D95976" w:rsidRPr="00FA3C4D" w14:paraId="1ABBC345" w14:textId="77777777" w:rsidTr="00457765">
        <w:trPr>
          <w:trHeight w:val="315"/>
        </w:trPr>
        <w:tc>
          <w:tcPr>
            <w:tcW w:w="2682" w:type="dxa"/>
            <w:vMerge/>
            <w:shd w:val="clear" w:color="auto" w:fill="auto"/>
            <w:noWrap/>
            <w:vAlign w:val="center"/>
          </w:tcPr>
          <w:p w14:paraId="7E02D73F" w14:textId="77777777" w:rsidR="00D95976" w:rsidRPr="00FA3C4D" w:rsidRDefault="00D95976" w:rsidP="004F7278">
            <w:pPr>
              <w:pStyle w:val="TableText"/>
              <w:spacing w:before="0" w:after="0"/>
              <w:rPr>
                <w:rFonts w:asciiTheme="minorHAnsi" w:hAnsiTheme="minorHAnsi"/>
                <w:szCs w:val="20"/>
              </w:rPr>
            </w:pPr>
          </w:p>
        </w:tc>
        <w:tc>
          <w:tcPr>
            <w:tcW w:w="2011" w:type="dxa"/>
            <w:shd w:val="clear" w:color="auto" w:fill="auto"/>
            <w:vAlign w:val="center"/>
          </w:tcPr>
          <w:p w14:paraId="4E088F89" w14:textId="0BEE0FD1" w:rsidR="00D95976" w:rsidRPr="00B51DA4" w:rsidRDefault="00D95976" w:rsidP="004F7278">
            <w:pPr>
              <w:pStyle w:val="TableText"/>
              <w:spacing w:before="0" w:after="0"/>
              <w:rPr>
                <w:rFonts w:asciiTheme="minorHAnsi" w:hAnsiTheme="minorHAnsi"/>
                <w:szCs w:val="20"/>
              </w:rPr>
            </w:pPr>
            <w:r w:rsidRPr="00B51DA4">
              <w:rPr>
                <w:rFonts w:asciiTheme="minorHAnsi" w:hAnsiTheme="minorHAnsi"/>
                <w:szCs w:val="20"/>
              </w:rPr>
              <w:t>Difference</w:t>
            </w:r>
          </w:p>
        </w:tc>
        <w:tc>
          <w:tcPr>
            <w:tcW w:w="1985" w:type="dxa"/>
            <w:shd w:val="clear" w:color="auto" w:fill="auto"/>
          </w:tcPr>
          <w:p w14:paraId="39775A27" w14:textId="06EE4953" w:rsidR="00D95976" w:rsidRPr="00D95976" w:rsidRDefault="00D95976" w:rsidP="004F7278">
            <w:pPr>
              <w:pStyle w:val="TableText"/>
              <w:spacing w:before="0" w:after="0"/>
              <w:jc w:val="center"/>
              <w:rPr>
                <w:rFonts w:asciiTheme="minorHAnsi" w:hAnsiTheme="minorHAnsi"/>
                <w:szCs w:val="20"/>
                <w:highlight w:val="black"/>
              </w:rPr>
            </w:pPr>
            <w:r w:rsidRPr="00D95976">
              <w:rPr>
                <w:rFonts w:asciiTheme="minorHAnsi" w:hAnsiTheme="minorHAnsi"/>
                <w:szCs w:val="20"/>
                <w:highlight w:val="black"/>
              </w:rPr>
              <w:t>XXX</w:t>
            </w:r>
          </w:p>
        </w:tc>
      </w:tr>
      <w:tr w:rsidR="00D95976" w:rsidRPr="00FA3C4D" w14:paraId="1A910793" w14:textId="77777777" w:rsidTr="00457765">
        <w:trPr>
          <w:trHeight w:val="315"/>
        </w:trPr>
        <w:tc>
          <w:tcPr>
            <w:tcW w:w="2682" w:type="dxa"/>
            <w:vMerge w:val="restart"/>
            <w:shd w:val="clear" w:color="auto" w:fill="auto"/>
            <w:noWrap/>
            <w:vAlign w:val="center"/>
          </w:tcPr>
          <w:p w14:paraId="303EF1A7" w14:textId="77777777" w:rsidR="00D95976" w:rsidRPr="00FA3C4D" w:rsidRDefault="00D95976" w:rsidP="004F7278">
            <w:pPr>
              <w:pStyle w:val="TableText"/>
              <w:spacing w:before="0" w:after="0"/>
              <w:rPr>
                <w:rFonts w:asciiTheme="minorHAnsi" w:hAnsiTheme="minorHAnsi"/>
                <w:szCs w:val="20"/>
              </w:rPr>
            </w:pPr>
            <w:r w:rsidRPr="00FA3C4D">
              <w:rPr>
                <w:rFonts w:asciiTheme="minorHAnsi" w:hAnsiTheme="minorHAnsi"/>
                <w:szCs w:val="20"/>
              </w:rPr>
              <w:t>Number of prescriptions</w:t>
            </w:r>
          </w:p>
          <w:p w14:paraId="79C9675C" w14:textId="77777777" w:rsidR="00D95976" w:rsidRPr="00FA3C4D" w:rsidRDefault="00D95976" w:rsidP="004F7278">
            <w:pPr>
              <w:pStyle w:val="TableText"/>
              <w:spacing w:before="0" w:after="0"/>
              <w:rPr>
                <w:rFonts w:asciiTheme="minorHAnsi" w:hAnsiTheme="minorHAnsi"/>
                <w:szCs w:val="20"/>
              </w:rPr>
            </w:pPr>
          </w:p>
        </w:tc>
        <w:tc>
          <w:tcPr>
            <w:tcW w:w="2011" w:type="dxa"/>
            <w:shd w:val="clear" w:color="auto" w:fill="auto"/>
            <w:vAlign w:val="center"/>
          </w:tcPr>
          <w:p w14:paraId="3E8F3081" w14:textId="77777777" w:rsidR="00D95976" w:rsidRPr="00D95976" w:rsidRDefault="00D95976" w:rsidP="004F7278">
            <w:pPr>
              <w:pStyle w:val="TableText"/>
              <w:spacing w:before="0" w:after="0"/>
              <w:rPr>
                <w:rFonts w:asciiTheme="minorHAnsi" w:hAnsiTheme="minorHAnsi"/>
                <w:szCs w:val="20"/>
              </w:rPr>
            </w:pPr>
            <w:r w:rsidRPr="00D95976">
              <w:rPr>
                <w:rFonts w:asciiTheme="minorHAnsi" w:hAnsiTheme="minorHAnsi"/>
                <w:szCs w:val="20"/>
              </w:rPr>
              <w:t>Predicted</w:t>
            </w:r>
          </w:p>
        </w:tc>
        <w:tc>
          <w:tcPr>
            <w:tcW w:w="1985" w:type="dxa"/>
            <w:shd w:val="clear" w:color="auto" w:fill="auto"/>
          </w:tcPr>
          <w:p w14:paraId="164496EA" w14:textId="7FD4586B" w:rsidR="00D95976" w:rsidRPr="00D95976" w:rsidRDefault="00D95976" w:rsidP="004F7278">
            <w:pPr>
              <w:pStyle w:val="TableText"/>
              <w:spacing w:before="0" w:after="0"/>
              <w:jc w:val="center"/>
              <w:rPr>
                <w:rFonts w:asciiTheme="minorHAnsi" w:hAnsiTheme="minorHAnsi"/>
                <w:szCs w:val="20"/>
                <w:highlight w:val="black"/>
              </w:rPr>
            </w:pPr>
            <w:r w:rsidRPr="00D95976">
              <w:rPr>
                <w:rFonts w:asciiTheme="minorHAnsi" w:hAnsiTheme="minorHAnsi"/>
                <w:szCs w:val="20"/>
                <w:highlight w:val="black"/>
              </w:rPr>
              <w:t>XXX</w:t>
            </w:r>
          </w:p>
        </w:tc>
      </w:tr>
      <w:tr w:rsidR="00090D25" w:rsidRPr="00FA3C4D" w14:paraId="0A2C7E2C" w14:textId="77777777" w:rsidTr="00B067C4">
        <w:trPr>
          <w:trHeight w:val="315"/>
        </w:trPr>
        <w:tc>
          <w:tcPr>
            <w:tcW w:w="2682" w:type="dxa"/>
            <w:vMerge/>
            <w:shd w:val="clear" w:color="auto" w:fill="auto"/>
            <w:noWrap/>
            <w:vAlign w:val="center"/>
          </w:tcPr>
          <w:p w14:paraId="48DC6007" w14:textId="77777777" w:rsidR="00090D25" w:rsidRPr="00FA3C4D" w:rsidRDefault="00090D25" w:rsidP="004F7278">
            <w:pPr>
              <w:pStyle w:val="TableText"/>
              <w:spacing w:before="0" w:after="0"/>
              <w:rPr>
                <w:rFonts w:asciiTheme="minorHAnsi" w:hAnsiTheme="minorHAnsi"/>
                <w:szCs w:val="20"/>
              </w:rPr>
            </w:pPr>
          </w:p>
        </w:tc>
        <w:tc>
          <w:tcPr>
            <w:tcW w:w="2011" w:type="dxa"/>
            <w:shd w:val="clear" w:color="auto" w:fill="auto"/>
            <w:vAlign w:val="center"/>
          </w:tcPr>
          <w:p w14:paraId="495CCD46" w14:textId="77777777" w:rsidR="00090D25" w:rsidRPr="00D95976" w:rsidRDefault="00090D25" w:rsidP="004F7278">
            <w:pPr>
              <w:pStyle w:val="TableText"/>
              <w:spacing w:before="0" w:after="0"/>
              <w:rPr>
                <w:rFonts w:asciiTheme="minorHAnsi" w:hAnsiTheme="minorHAnsi"/>
                <w:szCs w:val="20"/>
              </w:rPr>
            </w:pPr>
            <w:r w:rsidRPr="00D95976">
              <w:rPr>
                <w:rFonts w:asciiTheme="minorHAnsi" w:hAnsiTheme="minorHAnsi"/>
                <w:szCs w:val="20"/>
              </w:rPr>
              <w:t>Actual</w:t>
            </w:r>
          </w:p>
        </w:tc>
        <w:tc>
          <w:tcPr>
            <w:tcW w:w="1985" w:type="dxa"/>
            <w:shd w:val="clear" w:color="auto" w:fill="auto"/>
            <w:vAlign w:val="center"/>
          </w:tcPr>
          <w:p w14:paraId="083BE361" w14:textId="7767270A" w:rsidR="00090D25" w:rsidRPr="00FA3C4D" w:rsidRDefault="00090D25" w:rsidP="004F7278">
            <w:pPr>
              <w:spacing w:after="0"/>
              <w:jc w:val="center"/>
              <w:rPr>
                <w:sz w:val="20"/>
                <w:szCs w:val="20"/>
              </w:rPr>
            </w:pPr>
            <w:r w:rsidRPr="00FA3C4D">
              <w:rPr>
                <w:sz w:val="20"/>
                <w:szCs w:val="20"/>
              </w:rPr>
              <w:t>11,423</w:t>
            </w:r>
          </w:p>
        </w:tc>
      </w:tr>
      <w:tr w:rsidR="00D95976" w:rsidRPr="00FA3C4D" w14:paraId="703ACD74" w14:textId="77777777" w:rsidTr="00457765">
        <w:trPr>
          <w:trHeight w:val="315"/>
        </w:trPr>
        <w:tc>
          <w:tcPr>
            <w:tcW w:w="2682" w:type="dxa"/>
            <w:vMerge/>
            <w:shd w:val="clear" w:color="auto" w:fill="auto"/>
            <w:noWrap/>
            <w:vAlign w:val="center"/>
          </w:tcPr>
          <w:p w14:paraId="67F118A7" w14:textId="77777777" w:rsidR="00D95976" w:rsidRPr="00FA3C4D" w:rsidRDefault="00D95976" w:rsidP="004F7278">
            <w:pPr>
              <w:pStyle w:val="TableText"/>
              <w:spacing w:before="0" w:after="0"/>
              <w:rPr>
                <w:rFonts w:asciiTheme="minorHAnsi" w:hAnsiTheme="minorHAnsi"/>
                <w:szCs w:val="20"/>
              </w:rPr>
            </w:pPr>
          </w:p>
        </w:tc>
        <w:tc>
          <w:tcPr>
            <w:tcW w:w="2011" w:type="dxa"/>
            <w:shd w:val="clear" w:color="auto" w:fill="auto"/>
            <w:vAlign w:val="center"/>
          </w:tcPr>
          <w:p w14:paraId="274BA120" w14:textId="46E18C55" w:rsidR="00D95976" w:rsidRPr="00D95976" w:rsidRDefault="00D95976" w:rsidP="004F7278">
            <w:pPr>
              <w:pStyle w:val="TableText"/>
              <w:spacing w:before="0" w:after="0"/>
              <w:rPr>
                <w:rFonts w:asciiTheme="minorHAnsi" w:hAnsiTheme="minorHAnsi"/>
                <w:szCs w:val="20"/>
              </w:rPr>
            </w:pPr>
            <w:r w:rsidRPr="00D95976">
              <w:rPr>
                <w:rFonts w:asciiTheme="minorHAnsi" w:hAnsiTheme="minorHAnsi"/>
                <w:szCs w:val="20"/>
              </w:rPr>
              <w:t>Difference</w:t>
            </w:r>
          </w:p>
        </w:tc>
        <w:tc>
          <w:tcPr>
            <w:tcW w:w="1985" w:type="dxa"/>
          </w:tcPr>
          <w:p w14:paraId="1B711607" w14:textId="737DD24D" w:rsidR="00D95976" w:rsidRPr="00D95976" w:rsidRDefault="00D95976" w:rsidP="004F7278">
            <w:pPr>
              <w:pStyle w:val="TableText"/>
              <w:spacing w:before="0" w:after="0"/>
              <w:jc w:val="center"/>
              <w:rPr>
                <w:rFonts w:asciiTheme="minorHAnsi" w:hAnsiTheme="minorHAnsi"/>
                <w:szCs w:val="20"/>
                <w:highlight w:val="black"/>
              </w:rPr>
            </w:pPr>
            <w:r w:rsidRPr="00D95976">
              <w:rPr>
                <w:rFonts w:asciiTheme="minorHAnsi" w:hAnsiTheme="minorHAnsi"/>
                <w:szCs w:val="20"/>
                <w:highlight w:val="black"/>
              </w:rPr>
              <w:t>XXX</w:t>
            </w:r>
          </w:p>
        </w:tc>
      </w:tr>
      <w:tr w:rsidR="00D95976" w:rsidRPr="00FA3C4D" w14:paraId="223098EF" w14:textId="77777777" w:rsidTr="00457765">
        <w:trPr>
          <w:trHeight w:val="315"/>
        </w:trPr>
        <w:tc>
          <w:tcPr>
            <w:tcW w:w="2682" w:type="dxa"/>
            <w:vMerge w:val="restart"/>
            <w:shd w:val="clear" w:color="auto" w:fill="auto"/>
            <w:noWrap/>
            <w:vAlign w:val="center"/>
          </w:tcPr>
          <w:p w14:paraId="1AE8DE45" w14:textId="0520B491" w:rsidR="00D95976" w:rsidRPr="00FA3C4D" w:rsidRDefault="00D95976" w:rsidP="004F7278">
            <w:pPr>
              <w:pStyle w:val="TableText"/>
              <w:spacing w:before="0" w:after="0"/>
              <w:rPr>
                <w:rFonts w:asciiTheme="minorHAnsi" w:hAnsiTheme="minorHAnsi"/>
                <w:szCs w:val="20"/>
              </w:rPr>
            </w:pPr>
            <w:r w:rsidRPr="00FA3C4D">
              <w:rPr>
                <w:rFonts w:asciiTheme="minorHAnsi" w:hAnsiTheme="minorHAnsi"/>
                <w:szCs w:val="20"/>
              </w:rPr>
              <w:t>Net drug cost to the PBS and RPBS excluding patient co-payments</w:t>
            </w:r>
          </w:p>
        </w:tc>
        <w:tc>
          <w:tcPr>
            <w:tcW w:w="2011" w:type="dxa"/>
            <w:shd w:val="clear" w:color="auto" w:fill="auto"/>
            <w:vAlign w:val="center"/>
          </w:tcPr>
          <w:p w14:paraId="72A3AB98" w14:textId="77777777" w:rsidR="00D95976" w:rsidRPr="00B51DA4" w:rsidRDefault="00D95976" w:rsidP="004F7278">
            <w:pPr>
              <w:pStyle w:val="TableText"/>
              <w:spacing w:before="0" w:after="0"/>
              <w:rPr>
                <w:rFonts w:asciiTheme="minorHAnsi" w:hAnsiTheme="minorHAnsi"/>
                <w:szCs w:val="20"/>
              </w:rPr>
            </w:pPr>
            <w:r w:rsidRPr="00B51DA4">
              <w:rPr>
                <w:rFonts w:asciiTheme="minorHAnsi" w:hAnsiTheme="minorHAnsi"/>
                <w:szCs w:val="20"/>
              </w:rPr>
              <w:t>Predicted</w:t>
            </w:r>
          </w:p>
        </w:tc>
        <w:tc>
          <w:tcPr>
            <w:tcW w:w="1985" w:type="dxa"/>
          </w:tcPr>
          <w:p w14:paraId="0BFADEB5" w14:textId="571136BC" w:rsidR="00D95976" w:rsidRPr="00D95976" w:rsidRDefault="00D95976" w:rsidP="004F7278">
            <w:pPr>
              <w:spacing w:after="0"/>
              <w:jc w:val="center"/>
              <w:rPr>
                <w:sz w:val="20"/>
                <w:szCs w:val="20"/>
                <w:highlight w:val="black"/>
              </w:rPr>
            </w:pPr>
            <w:r w:rsidRPr="00D95976">
              <w:rPr>
                <w:szCs w:val="20"/>
                <w:highlight w:val="black"/>
              </w:rPr>
              <w:t>XXX</w:t>
            </w:r>
          </w:p>
        </w:tc>
      </w:tr>
      <w:tr w:rsidR="00090D25" w:rsidRPr="00FA3C4D" w14:paraId="1151D530" w14:textId="77777777" w:rsidTr="00B067C4">
        <w:trPr>
          <w:trHeight w:val="315"/>
        </w:trPr>
        <w:tc>
          <w:tcPr>
            <w:tcW w:w="2682" w:type="dxa"/>
            <w:vMerge/>
            <w:shd w:val="clear" w:color="auto" w:fill="auto"/>
            <w:noWrap/>
            <w:vAlign w:val="center"/>
          </w:tcPr>
          <w:p w14:paraId="3D67D6D3" w14:textId="77777777" w:rsidR="00090D25" w:rsidRPr="00FA3C4D" w:rsidRDefault="00090D25" w:rsidP="004F7278">
            <w:pPr>
              <w:pStyle w:val="TableText"/>
              <w:spacing w:before="0" w:after="0"/>
              <w:rPr>
                <w:rFonts w:asciiTheme="minorHAnsi" w:hAnsiTheme="minorHAnsi"/>
                <w:szCs w:val="20"/>
              </w:rPr>
            </w:pPr>
          </w:p>
        </w:tc>
        <w:tc>
          <w:tcPr>
            <w:tcW w:w="2011" w:type="dxa"/>
            <w:shd w:val="clear" w:color="auto" w:fill="auto"/>
            <w:vAlign w:val="center"/>
          </w:tcPr>
          <w:p w14:paraId="53A939DD" w14:textId="77777777" w:rsidR="00090D25" w:rsidRPr="00B51DA4" w:rsidRDefault="00090D25" w:rsidP="004F7278">
            <w:pPr>
              <w:pStyle w:val="TableText"/>
              <w:spacing w:before="0" w:after="0"/>
              <w:rPr>
                <w:rFonts w:asciiTheme="minorHAnsi" w:hAnsiTheme="minorHAnsi"/>
                <w:szCs w:val="20"/>
              </w:rPr>
            </w:pPr>
            <w:r w:rsidRPr="00B51DA4">
              <w:rPr>
                <w:rFonts w:asciiTheme="minorHAnsi" w:hAnsiTheme="minorHAnsi"/>
                <w:szCs w:val="20"/>
              </w:rPr>
              <w:t>Actual</w:t>
            </w:r>
          </w:p>
        </w:tc>
        <w:tc>
          <w:tcPr>
            <w:tcW w:w="1985" w:type="dxa"/>
            <w:vAlign w:val="center"/>
          </w:tcPr>
          <w:p w14:paraId="1E1DABA1" w14:textId="0475D193" w:rsidR="00090D25" w:rsidRPr="00FA3C4D" w:rsidRDefault="00090D25" w:rsidP="004F7278">
            <w:pPr>
              <w:spacing w:after="0"/>
              <w:jc w:val="center"/>
              <w:rPr>
                <w:sz w:val="20"/>
                <w:szCs w:val="20"/>
              </w:rPr>
            </w:pPr>
            <w:r w:rsidRPr="00FA3C4D">
              <w:rPr>
                <w:sz w:val="20"/>
                <w:szCs w:val="20"/>
              </w:rPr>
              <w:t>$42,463,786</w:t>
            </w:r>
          </w:p>
        </w:tc>
      </w:tr>
      <w:tr w:rsidR="00090D25" w:rsidRPr="00FA3C4D" w14:paraId="543395F0" w14:textId="77777777" w:rsidTr="00B067C4">
        <w:trPr>
          <w:trHeight w:val="315"/>
        </w:trPr>
        <w:tc>
          <w:tcPr>
            <w:tcW w:w="2682" w:type="dxa"/>
            <w:vMerge/>
            <w:shd w:val="clear" w:color="auto" w:fill="auto"/>
            <w:noWrap/>
            <w:vAlign w:val="center"/>
          </w:tcPr>
          <w:p w14:paraId="0B6C5940" w14:textId="77777777" w:rsidR="00090D25" w:rsidRPr="00FA3C4D" w:rsidRDefault="00090D25" w:rsidP="004F7278">
            <w:pPr>
              <w:pStyle w:val="TableText"/>
              <w:spacing w:before="0" w:after="0"/>
              <w:rPr>
                <w:rFonts w:asciiTheme="minorHAnsi" w:hAnsiTheme="minorHAnsi"/>
                <w:szCs w:val="20"/>
              </w:rPr>
            </w:pPr>
          </w:p>
        </w:tc>
        <w:tc>
          <w:tcPr>
            <w:tcW w:w="2011" w:type="dxa"/>
            <w:shd w:val="clear" w:color="auto" w:fill="auto"/>
            <w:vAlign w:val="center"/>
          </w:tcPr>
          <w:p w14:paraId="56A89250" w14:textId="55D176B0" w:rsidR="00090D25" w:rsidRPr="00B51DA4" w:rsidRDefault="00BC2D92" w:rsidP="004F7278">
            <w:pPr>
              <w:pStyle w:val="TableText"/>
              <w:spacing w:before="0" w:after="0"/>
              <w:rPr>
                <w:rFonts w:asciiTheme="minorHAnsi" w:hAnsiTheme="minorHAnsi"/>
                <w:szCs w:val="20"/>
              </w:rPr>
            </w:pPr>
            <w:r w:rsidRPr="00B51DA4">
              <w:rPr>
                <w:rFonts w:asciiTheme="minorHAnsi" w:hAnsiTheme="minorHAnsi"/>
                <w:szCs w:val="20"/>
              </w:rPr>
              <w:t>Difference</w:t>
            </w:r>
          </w:p>
        </w:tc>
        <w:tc>
          <w:tcPr>
            <w:tcW w:w="1985" w:type="dxa"/>
            <w:vAlign w:val="center"/>
          </w:tcPr>
          <w:p w14:paraId="1C01EB65" w14:textId="6CA5F438" w:rsidR="00090D25" w:rsidRPr="00FA3C4D" w:rsidRDefault="00D95976" w:rsidP="004F7278">
            <w:pPr>
              <w:pStyle w:val="TableText"/>
              <w:spacing w:before="0" w:after="0"/>
              <w:jc w:val="center"/>
              <w:rPr>
                <w:rFonts w:asciiTheme="minorHAnsi" w:hAnsiTheme="minorHAnsi"/>
                <w:szCs w:val="20"/>
                <w:highlight w:val="yellow"/>
              </w:rPr>
            </w:pPr>
            <w:r w:rsidRPr="00D95976">
              <w:rPr>
                <w:rFonts w:asciiTheme="minorHAnsi" w:hAnsiTheme="minorHAnsi"/>
                <w:szCs w:val="20"/>
                <w:highlight w:val="black"/>
              </w:rPr>
              <w:t>XXX</w:t>
            </w:r>
          </w:p>
        </w:tc>
      </w:tr>
    </w:tbl>
    <w:p w14:paraId="5A0BF47F" w14:textId="77777777" w:rsidR="00592F50" w:rsidRPr="00B02785" w:rsidRDefault="00592F50" w:rsidP="00592F50">
      <w:pPr>
        <w:autoSpaceDE w:val="0"/>
        <w:autoSpaceDN w:val="0"/>
        <w:adjustRightInd w:val="0"/>
        <w:spacing w:after="0"/>
        <w:rPr>
          <w:rFonts w:ascii="Calibri" w:hAnsi="Calibri" w:cs="Calibri"/>
          <w:b/>
          <w:color w:val="000000"/>
          <w:sz w:val="20"/>
        </w:rPr>
      </w:pPr>
      <w:r w:rsidRPr="00B02785">
        <w:rPr>
          <w:rFonts w:ascii="Calibri" w:hAnsi="Calibri" w:cs="Calibri"/>
          <w:color w:val="000000"/>
          <w:sz w:val="20"/>
        </w:rPr>
        <w:t>Note:</w:t>
      </w:r>
      <w:r w:rsidRPr="00B02785">
        <w:rPr>
          <w:rFonts w:ascii="Calibri" w:hAnsi="Calibri" w:cs="Calibri"/>
          <w:b/>
          <w:color w:val="000000"/>
          <w:sz w:val="20"/>
        </w:rPr>
        <w:t xml:space="preserve"> </w:t>
      </w:r>
      <w:r w:rsidRPr="00B02785">
        <w:rPr>
          <w:rFonts w:ascii="Calibri" w:hAnsi="Calibri" w:cs="Calibri"/>
          <w:color w:val="000000"/>
          <w:sz w:val="20"/>
        </w:rPr>
        <w:t xml:space="preserve">All expenditure figures are for date of supply and are based on published prices and are net of patient co-payments. Abiraterone has a special pricing arrangement and government expenditure may be less than presented here. </w:t>
      </w:r>
    </w:p>
    <w:p w14:paraId="4F20583D" w14:textId="67212D12" w:rsidR="00851871" w:rsidRPr="00EF5407" w:rsidRDefault="00592F50" w:rsidP="00EF5407">
      <w:pPr>
        <w:spacing w:after="0"/>
        <w:rPr>
          <w:rFonts w:ascii="Calibri" w:hAnsi="Calibri" w:cs="Calibri"/>
          <w:color w:val="000000"/>
          <w:sz w:val="20"/>
        </w:rPr>
      </w:pPr>
      <w:r w:rsidRPr="00B02785">
        <w:rPr>
          <w:rFonts w:ascii="Calibri" w:hAnsi="Calibri" w:cs="Calibri"/>
          <w:color w:val="000000"/>
          <w:sz w:val="20"/>
        </w:rPr>
        <w:t xml:space="preserve">The actual figures were sourced from the Department of Human Services </w:t>
      </w:r>
      <w:r w:rsidRPr="00B02785">
        <w:rPr>
          <w:rFonts w:eastAsia="Calibri" w:cs="Arial"/>
          <w:sz w:val="20"/>
          <w:szCs w:val="20"/>
        </w:rPr>
        <w:t>PBS Prescriptions Database</w:t>
      </w:r>
      <w:r w:rsidRPr="00B02785">
        <w:rPr>
          <w:rFonts w:ascii="Calibri" w:hAnsi="Calibri" w:cs="Calibri"/>
          <w:color w:val="000000"/>
          <w:sz w:val="20"/>
        </w:rPr>
        <w:t xml:space="preserve"> accessed February 2016. These figures are based on t</w:t>
      </w:r>
      <w:r w:rsidR="00EF5407">
        <w:rPr>
          <w:rFonts w:ascii="Calibri" w:hAnsi="Calibri" w:cs="Calibri"/>
          <w:color w:val="000000"/>
          <w:sz w:val="20"/>
        </w:rPr>
        <w:t>he date of prescription supply.</w:t>
      </w:r>
    </w:p>
    <w:p w14:paraId="5C553DDD" w14:textId="77777777" w:rsidR="00851871" w:rsidRDefault="00851871" w:rsidP="00EF5407">
      <w:pPr>
        <w:pStyle w:val="Heading1"/>
      </w:pPr>
      <w:r>
        <w:t>DUSC consideration</w:t>
      </w:r>
      <w:r w:rsidRPr="00A43B5F">
        <w:t xml:space="preserve"> </w:t>
      </w:r>
    </w:p>
    <w:p w14:paraId="16DC886E" w14:textId="63A42B3D" w:rsidR="002A700A" w:rsidRPr="002A700A" w:rsidRDefault="002A700A" w:rsidP="002B2B47">
      <w:pPr>
        <w:spacing w:after="0"/>
        <w:contextualSpacing/>
        <w:rPr>
          <w:lang w:val="en-US"/>
        </w:rPr>
      </w:pPr>
      <w:r w:rsidRPr="002A700A">
        <w:t xml:space="preserve">DUSC noted the </w:t>
      </w:r>
      <w:r w:rsidRPr="002A700A">
        <w:rPr>
          <w:rFonts w:cs="Times New Roman"/>
          <w:color w:val="000000"/>
        </w:rPr>
        <w:t>ChemoHormonal Therapy versus Androgen Ablation Randomised trial (CHAARTED) trial demonstrated the clinical efficacy of docetaxel in earlier lines of therapy when taken in combination with androgen deprivation therapy.  DUSC considered the place in therapy of docetaxel may have changed following the publication of these results, and its change from an Authority Required (Streamlined) listing to unrestricted listing on 1 November 2014.</w:t>
      </w:r>
      <w:r w:rsidR="002B2B47">
        <w:t xml:space="preserve"> </w:t>
      </w:r>
    </w:p>
    <w:p w14:paraId="5C4F6B90" w14:textId="77777777" w:rsidR="002A700A" w:rsidRPr="002A700A" w:rsidRDefault="002A700A" w:rsidP="002A700A">
      <w:pPr>
        <w:spacing w:after="0"/>
      </w:pPr>
    </w:p>
    <w:p w14:paraId="6DDE6A12" w14:textId="77777777" w:rsidR="002A700A" w:rsidRPr="002A700A" w:rsidRDefault="002A700A" w:rsidP="002A700A">
      <w:pPr>
        <w:spacing w:after="0"/>
      </w:pPr>
      <w:r w:rsidRPr="002A700A">
        <w:t xml:space="preserve">DUSC recalled the submission related to the listing of enzalutamide claimed its use would substitute for abiraterone. DUSC noted the growth in the number of treated patients following the introduction of both abiraterone and enzalutamide, indicating that enzalutamide had added to the market rather than substituting for abiraterone and its use in first-line may be greater than anticipated. </w:t>
      </w:r>
    </w:p>
    <w:p w14:paraId="089830EC" w14:textId="77777777" w:rsidR="002A700A" w:rsidRPr="002A700A" w:rsidRDefault="002A700A" w:rsidP="002A700A">
      <w:pPr>
        <w:spacing w:after="0"/>
      </w:pPr>
    </w:p>
    <w:p w14:paraId="5199954A" w14:textId="77777777" w:rsidR="002A700A" w:rsidRPr="002A700A" w:rsidRDefault="002A700A" w:rsidP="002A700A">
      <w:pPr>
        <w:spacing w:after="0"/>
      </w:pPr>
      <w:r w:rsidRPr="002A700A">
        <w:lastRenderedPageBreak/>
        <w:t>DUSC noted the PBS restrictions do not allow sequential treatment with the oral treatments. However, if a patient develops intolerance of a severity necessitating permanent treatment withdrawal with either abiraterone or enzalutamide, the patient is permitted to switch to the other medicine.</w:t>
      </w:r>
    </w:p>
    <w:p w14:paraId="0C0123A2" w14:textId="77777777" w:rsidR="002A700A" w:rsidRPr="002A700A" w:rsidRDefault="002A700A" w:rsidP="002A700A">
      <w:pPr>
        <w:spacing w:after="0"/>
      </w:pPr>
    </w:p>
    <w:p w14:paraId="22C0B8F9" w14:textId="77777777" w:rsidR="002A700A" w:rsidRPr="002A700A" w:rsidRDefault="002A700A" w:rsidP="002A700A">
      <w:pPr>
        <w:spacing w:after="0"/>
      </w:pPr>
      <w:r w:rsidRPr="002A700A">
        <w:t>DUSC noted the drug sequence analysis of the time period 1 January to 1 March 2015, after enzalutamide was listed, showed 11% of patients transitioned between oral treatments. DUSC recalled in the trial 5% of patients developed intolerance to an oral treatment and needed to be switched. DUSC considered a proportion of the 11% of patients who transitioned between oral treatments is legitimate use after patients develop intolerance, but the remainder is likely to be sequential use following progression on one treatment.</w:t>
      </w:r>
    </w:p>
    <w:p w14:paraId="5684E7FF" w14:textId="77777777" w:rsidR="002A700A" w:rsidRPr="002A700A" w:rsidRDefault="002A700A" w:rsidP="002A700A">
      <w:pPr>
        <w:spacing w:after="0"/>
      </w:pPr>
    </w:p>
    <w:p w14:paraId="43C4FCAD" w14:textId="3703D311" w:rsidR="002A700A" w:rsidRPr="002A700A" w:rsidRDefault="002A700A" w:rsidP="002A700A">
      <w:pPr>
        <w:spacing w:after="0"/>
      </w:pPr>
      <w:r w:rsidRPr="002A700A">
        <w:t>DUSC noted that of the 842 initiators in cohort 1, who initiated treatment between 1</w:t>
      </w:r>
      <w:r w:rsidR="00634B5F">
        <w:t> </w:t>
      </w:r>
      <w:r w:rsidRPr="002A700A">
        <w:t xml:space="preserve">January and 31 July 2013 prior to the listing of abiraterone, 22% received cabazitaxel after being supplied abiraterone or enzalutamide. DUSC commented that although this drug transition is not specifically precluded by the PBS restriction, the cost-effectiveness of this practice had not been considered by the PBAC and was considered to be use beyond that intended. </w:t>
      </w:r>
    </w:p>
    <w:p w14:paraId="771E46EB" w14:textId="77777777" w:rsidR="002A700A" w:rsidRPr="002A700A" w:rsidRDefault="002A700A" w:rsidP="002A700A">
      <w:pPr>
        <w:spacing w:after="0"/>
      </w:pPr>
    </w:p>
    <w:p w14:paraId="5F93AFE9" w14:textId="77777777" w:rsidR="002A700A" w:rsidRPr="002A700A" w:rsidRDefault="002A700A" w:rsidP="002A700A">
      <w:pPr>
        <w:spacing w:after="0"/>
      </w:pPr>
      <w:r w:rsidRPr="002A700A">
        <w:t>DUSC noted the drug sequence analysis of the time period 1 January to 1 March 2015, after enzalutamide was listed, showed 24% of patients initiated on an oral treatment. DUSC recalled PBAC had considered submissions from the sponsors of abiraterone and enzalutamide for use in patients without prior to docetaxel, and these submissions were rejected. DUSC considered that there is considerable risk that enzalutamide and abiraterone may be used in this place in therapy outside of the current PBS restrictions.</w:t>
      </w:r>
    </w:p>
    <w:p w14:paraId="3FD0784D" w14:textId="77777777" w:rsidR="002A700A" w:rsidRPr="002A700A" w:rsidRDefault="002A700A" w:rsidP="002A700A">
      <w:pPr>
        <w:spacing w:after="0"/>
        <w:rPr>
          <w:lang w:val="en-US"/>
        </w:rPr>
      </w:pPr>
    </w:p>
    <w:p w14:paraId="695D09D5" w14:textId="74DD7664" w:rsidR="002A700A" w:rsidRPr="002A700A" w:rsidRDefault="002A700A" w:rsidP="001638F7">
      <w:pPr>
        <w:spacing w:after="0"/>
      </w:pPr>
      <w:r w:rsidRPr="002A700A">
        <w:t xml:space="preserve">DUSC noted the restriction of abiraterone changed from December 2014 to allow treatment of patients with predicted intolerance to docetaxel. DUSC questioned how clinicians would interpret and apply a prediction of intolerance in practice. </w:t>
      </w:r>
      <w:r w:rsidR="001A20F1" w:rsidRPr="002A700A">
        <w:t xml:space="preserve">The DUSC analysis stated that the “proportion of patients receiving only one supply of docetaxel (7.6%) may represent the small population that the PBAC (July 2014) considered would be intolerant to this drug.” </w:t>
      </w:r>
      <w:r w:rsidR="001A20F1">
        <w:t xml:space="preserve"> </w:t>
      </w:r>
      <w:r w:rsidRPr="002A700A">
        <w:t xml:space="preserve">DUSC noted that at the time of the recommendation PBAC said there would be a </w:t>
      </w:r>
      <w:r w:rsidRPr="002A700A">
        <w:rPr>
          <w:iCs/>
        </w:rPr>
        <w:t>small</w:t>
      </w:r>
      <w:r w:rsidRPr="002A700A">
        <w:t xml:space="preserve"> patient population genuinely predicted to be intolerant. </w:t>
      </w:r>
    </w:p>
    <w:p w14:paraId="314F1A8E" w14:textId="77777777" w:rsidR="002A700A" w:rsidRPr="002A700A" w:rsidRDefault="002A700A" w:rsidP="002A700A">
      <w:pPr>
        <w:spacing w:after="0"/>
      </w:pPr>
    </w:p>
    <w:p w14:paraId="393ECB2A" w14:textId="20637C3A" w:rsidR="00690C6E" w:rsidRPr="00690C6E" w:rsidRDefault="002A700A" w:rsidP="00690C6E">
      <w:pPr>
        <w:spacing w:after="0"/>
      </w:pPr>
      <w:r w:rsidRPr="002A700A">
        <w:t>DUSC noted the treatment algorithm for metastatic prostate cancer is changing rapidly. Some pathways are likely legitimate patients for whom treatment is cost effective, but some use is not. Rather than moving from androgen deprivation therapy (ADT) to docetaxel to oral treatments, patients now may receive docetaxel with ADT, are more likely to switch between oral treatments, and are more likely to be treated with an oral therapy prior to docetaxel than was originally estimated. Some of this use may be due to genuine predicted intolerance to docetaxel or genuine intolerance to treatment with oral therapies, but some use is likely to be outside o</w:t>
      </w:r>
      <w:r w:rsidR="00690C6E">
        <w:t>f the PBS eligibility criteria.</w:t>
      </w:r>
    </w:p>
    <w:p w14:paraId="7A66D6FE" w14:textId="77777777" w:rsidR="00906463" w:rsidRDefault="00690C6E" w:rsidP="00690C6E">
      <w:pPr>
        <w:pStyle w:val="Heading1"/>
        <w:rPr>
          <w:rFonts w:ascii="Arial" w:eastAsia="MS Mincho" w:hAnsi="Arial" w:cs="Times New Roman"/>
          <w:b w:val="0"/>
        </w:rPr>
      </w:pPr>
      <w:r w:rsidRPr="00690C6E">
        <w:lastRenderedPageBreak/>
        <w:t>DUSC Actions</w:t>
      </w:r>
      <w:r w:rsidRPr="00690C6E">
        <w:rPr>
          <w:rFonts w:ascii="Arial" w:eastAsia="MS Mincho" w:hAnsi="Arial" w:cs="Times New Roman"/>
          <w:b w:val="0"/>
        </w:rPr>
        <w:t xml:space="preserve"> </w:t>
      </w:r>
    </w:p>
    <w:p w14:paraId="7AEBF880" w14:textId="601A7DD9" w:rsidR="00714C2C" w:rsidRPr="00714C2C" w:rsidRDefault="00906463" w:rsidP="00906463">
      <w:pPr>
        <w:pStyle w:val="Heading1"/>
        <w:spacing w:before="0" w:after="0"/>
        <w:rPr>
          <w:rFonts w:eastAsiaTheme="minorEastAsia" w:cstheme="minorBidi"/>
          <w:b w:val="0"/>
          <w:bCs w:val="0"/>
          <w:sz w:val="24"/>
          <w:szCs w:val="24"/>
        </w:rPr>
      </w:pPr>
      <w:r w:rsidRPr="00906463">
        <w:rPr>
          <w:rFonts w:eastAsiaTheme="minorEastAsia" w:cstheme="minorBidi"/>
          <w:b w:val="0"/>
          <w:bCs w:val="0"/>
          <w:sz w:val="24"/>
          <w:szCs w:val="24"/>
        </w:rPr>
        <w:t>The report was referred to the Pharmaceutical Benefits Advisory Committee.</w:t>
      </w:r>
    </w:p>
    <w:p w14:paraId="45ED5E4A" w14:textId="77777777" w:rsidR="003476AC" w:rsidRDefault="003476AC" w:rsidP="003476AC">
      <w:pPr>
        <w:pStyle w:val="Heading1"/>
      </w:pPr>
      <w:r w:rsidRPr="0092516A">
        <w:t>Context for analysis</w:t>
      </w:r>
    </w:p>
    <w:p w14:paraId="3E471260" w14:textId="77777777" w:rsidR="003476AC" w:rsidRDefault="003476AC" w:rsidP="003476AC">
      <w:r>
        <w:t>The DUSC is a Sub Committee of the Pharmaceutical Benefits Advisory Committee (PBAC). The DUSC assesses estimates on projected usage and financial cost of medicines.</w:t>
      </w:r>
    </w:p>
    <w:p w14:paraId="4798D061" w14:textId="77777777" w:rsidR="003476AC" w:rsidRDefault="003476AC" w:rsidP="003476AC">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4C7EFB78" w14:textId="77777777" w:rsidR="003476AC" w:rsidRDefault="003476AC" w:rsidP="003476AC">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E820974" w14:textId="77777777" w:rsidR="003476AC" w:rsidRDefault="003476AC" w:rsidP="003476AC">
      <w:r>
        <w:t>The utilisation analysis report was provided to the pharmaceutical sponsors of each drug and comments on the report were provided to DUSC prior to its consideration of the analysis.</w:t>
      </w:r>
    </w:p>
    <w:p w14:paraId="3D930D5C" w14:textId="77777777" w:rsidR="00A361BA" w:rsidRDefault="00A361BA" w:rsidP="005966CF">
      <w:pPr>
        <w:pStyle w:val="Heading1"/>
        <w:spacing w:before="0" w:after="0"/>
      </w:pPr>
      <w:r>
        <w:t>Sponsor</w:t>
      </w:r>
      <w:r w:rsidRPr="0092516A">
        <w:t>s</w:t>
      </w:r>
      <w:r>
        <w:t>’</w:t>
      </w:r>
      <w:r w:rsidRPr="0092516A">
        <w:t xml:space="preserve"> comments</w:t>
      </w:r>
    </w:p>
    <w:p w14:paraId="4A4EE06F" w14:textId="77777777" w:rsidR="005966CF" w:rsidRDefault="005966CF" w:rsidP="005966CF">
      <w:pPr>
        <w:pStyle w:val="Heading1"/>
        <w:spacing w:before="0" w:after="0"/>
        <w:rPr>
          <w:rFonts w:eastAsiaTheme="minorEastAsia" w:cstheme="minorBidi"/>
          <w:b w:val="0"/>
          <w:bCs w:val="0"/>
          <w:sz w:val="24"/>
          <w:szCs w:val="24"/>
        </w:rPr>
      </w:pPr>
    </w:p>
    <w:p w14:paraId="2B80E6E2" w14:textId="7689B6B3" w:rsidR="00A949F3" w:rsidRDefault="00A949F3" w:rsidP="00A949F3">
      <w:pPr>
        <w:pStyle w:val="Heading1"/>
        <w:spacing w:before="0" w:after="0"/>
        <w:rPr>
          <w:rFonts w:eastAsiaTheme="minorEastAsia" w:cstheme="minorBidi"/>
          <w:b w:val="0"/>
          <w:bCs w:val="0"/>
          <w:sz w:val="24"/>
          <w:szCs w:val="24"/>
        </w:rPr>
      </w:pPr>
      <w:r w:rsidRPr="00A949F3">
        <w:rPr>
          <w:rFonts w:eastAsiaTheme="minorEastAsia" w:cstheme="minorBidi"/>
          <w:b w:val="0"/>
          <w:bCs w:val="0"/>
          <w:sz w:val="24"/>
          <w:szCs w:val="24"/>
        </w:rPr>
        <w:t>sanofi-aventis Australia Pty Ltd</w:t>
      </w:r>
      <w:r>
        <w:rPr>
          <w:rFonts w:eastAsiaTheme="minorEastAsia" w:cstheme="minorBidi"/>
          <w:b w:val="0"/>
          <w:bCs w:val="0"/>
          <w:sz w:val="24"/>
          <w:szCs w:val="24"/>
        </w:rPr>
        <w:t>:</w:t>
      </w:r>
    </w:p>
    <w:p w14:paraId="42F6DF0E" w14:textId="2C9FCF29" w:rsidR="006D673C" w:rsidRDefault="00A949F3" w:rsidP="00A949F3">
      <w:pPr>
        <w:pStyle w:val="Heading1"/>
        <w:spacing w:before="0" w:after="0"/>
        <w:rPr>
          <w:rFonts w:eastAsiaTheme="minorEastAsia" w:cstheme="minorBidi"/>
          <w:b w:val="0"/>
          <w:bCs w:val="0"/>
          <w:sz w:val="24"/>
          <w:szCs w:val="24"/>
        </w:rPr>
      </w:pPr>
      <w:r>
        <w:rPr>
          <w:rFonts w:eastAsiaTheme="minorEastAsia" w:cstheme="minorBidi"/>
          <w:b w:val="0"/>
          <w:bCs w:val="0"/>
          <w:sz w:val="24"/>
          <w:szCs w:val="24"/>
        </w:rPr>
        <w:t>The sponsor had</w:t>
      </w:r>
      <w:r w:rsidR="005966CF" w:rsidRPr="005966CF">
        <w:rPr>
          <w:rFonts w:eastAsiaTheme="minorEastAsia" w:cstheme="minorBidi"/>
          <w:b w:val="0"/>
          <w:bCs w:val="0"/>
          <w:sz w:val="24"/>
          <w:szCs w:val="24"/>
        </w:rPr>
        <w:t xml:space="preserve"> no comment.</w:t>
      </w:r>
    </w:p>
    <w:p w14:paraId="1C32D941" w14:textId="77777777" w:rsidR="00A949F3" w:rsidRDefault="00A949F3" w:rsidP="00A949F3">
      <w:pPr>
        <w:spacing w:after="0"/>
      </w:pPr>
    </w:p>
    <w:p w14:paraId="65C55F90" w14:textId="16E9987E" w:rsidR="00A949F3" w:rsidRDefault="00A949F3" w:rsidP="00A949F3">
      <w:pPr>
        <w:spacing w:after="0"/>
      </w:pPr>
      <w:r w:rsidRPr="00B02785">
        <w:t>Janssen-Cilag Pty Ltd</w:t>
      </w:r>
      <w:r>
        <w:t>:</w:t>
      </w:r>
    </w:p>
    <w:p w14:paraId="5437C79F" w14:textId="77777777" w:rsidR="00A949F3" w:rsidRDefault="00A949F3" w:rsidP="00A949F3">
      <w:pPr>
        <w:pStyle w:val="Heading1"/>
        <w:spacing w:before="0" w:after="0"/>
        <w:rPr>
          <w:rFonts w:eastAsiaTheme="minorEastAsia" w:cstheme="minorBidi"/>
          <w:b w:val="0"/>
          <w:bCs w:val="0"/>
          <w:sz w:val="24"/>
          <w:szCs w:val="24"/>
        </w:rPr>
      </w:pPr>
      <w:r>
        <w:rPr>
          <w:rFonts w:eastAsiaTheme="minorEastAsia" w:cstheme="minorBidi"/>
          <w:b w:val="0"/>
          <w:bCs w:val="0"/>
          <w:sz w:val="24"/>
          <w:szCs w:val="24"/>
        </w:rPr>
        <w:t>The sponsor had</w:t>
      </w:r>
      <w:r w:rsidRPr="005966CF">
        <w:rPr>
          <w:rFonts w:eastAsiaTheme="minorEastAsia" w:cstheme="minorBidi"/>
          <w:b w:val="0"/>
          <w:bCs w:val="0"/>
          <w:sz w:val="24"/>
          <w:szCs w:val="24"/>
        </w:rPr>
        <w:t xml:space="preserve"> no comment.</w:t>
      </w:r>
    </w:p>
    <w:p w14:paraId="649F7426" w14:textId="77777777" w:rsidR="00A949F3" w:rsidRDefault="00A949F3" w:rsidP="00A949F3">
      <w:pPr>
        <w:spacing w:after="0"/>
      </w:pPr>
    </w:p>
    <w:p w14:paraId="7AF1F53A" w14:textId="6F26C8B5" w:rsidR="00A949F3" w:rsidRDefault="00A949F3" w:rsidP="00A949F3">
      <w:pPr>
        <w:spacing w:after="0"/>
      </w:pPr>
      <w:r w:rsidRPr="00B02785">
        <w:t>Astellas Pharma Australia Pty Ltd</w:t>
      </w:r>
      <w:r>
        <w:t>:</w:t>
      </w:r>
    </w:p>
    <w:p w14:paraId="5993D1EF" w14:textId="11095DA8" w:rsidR="00A949F3" w:rsidRPr="00A949F3" w:rsidRDefault="00A949F3" w:rsidP="00A949F3">
      <w:pPr>
        <w:pStyle w:val="Heading1"/>
        <w:spacing w:before="0" w:after="0"/>
        <w:rPr>
          <w:rFonts w:eastAsiaTheme="minorEastAsia" w:cstheme="minorBidi"/>
          <w:b w:val="0"/>
          <w:bCs w:val="0"/>
          <w:sz w:val="24"/>
          <w:szCs w:val="24"/>
        </w:rPr>
      </w:pPr>
      <w:r>
        <w:rPr>
          <w:rFonts w:eastAsiaTheme="minorEastAsia" w:cstheme="minorBidi"/>
          <w:b w:val="0"/>
          <w:bCs w:val="0"/>
          <w:sz w:val="24"/>
          <w:szCs w:val="24"/>
        </w:rPr>
        <w:t>The sponsor had</w:t>
      </w:r>
      <w:r w:rsidRPr="005966CF">
        <w:rPr>
          <w:rFonts w:eastAsiaTheme="minorEastAsia" w:cstheme="minorBidi"/>
          <w:b w:val="0"/>
          <w:bCs w:val="0"/>
          <w:sz w:val="24"/>
          <w:szCs w:val="24"/>
        </w:rPr>
        <w:t xml:space="preserve"> no comment.</w:t>
      </w:r>
    </w:p>
    <w:p w14:paraId="30810045" w14:textId="77777777" w:rsidR="00DF0571" w:rsidRDefault="00DF0571" w:rsidP="00DF0571">
      <w:pPr>
        <w:pStyle w:val="Heading1"/>
      </w:pPr>
      <w:r w:rsidRPr="00A4020E">
        <w:t>Disclaimer</w:t>
      </w:r>
    </w:p>
    <w:p w14:paraId="5FF42BBC" w14:textId="77777777" w:rsidR="00DF0571" w:rsidRDefault="00DF0571" w:rsidP="00DF0571">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353EAEE1" w14:textId="77777777" w:rsidR="00DF0571" w:rsidRDefault="00DF0571" w:rsidP="00DF0571">
      <w:r>
        <w:t xml:space="preserve">The Department of Health (DoH) has made all reasonable efforts to ensure that information provided in this report is accurate. The information provided in this report was up-to-date when it was considered by the Drug Utilisation Sub-committee of the Pharmaceutical </w:t>
      </w:r>
      <w:r>
        <w:lastRenderedPageBreak/>
        <w:t>Benefits Advisory Committee.  The context for that information may have changed since publication.</w:t>
      </w:r>
    </w:p>
    <w:p w14:paraId="40C7B093" w14:textId="77777777" w:rsidR="00DF0571" w:rsidRDefault="00DF0571" w:rsidP="00DF0571">
      <w:r>
        <w:t xml:space="preserve">To the extent provided by law, DoH makes no warranties or representations as to accuracy or completeness of information contained in this report. </w:t>
      </w:r>
    </w:p>
    <w:p w14:paraId="47CDD224" w14:textId="77777777" w:rsidR="00DF0571" w:rsidRDefault="00DF0571" w:rsidP="00DF0571">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5E206953" w14:textId="0E8B32B7" w:rsidR="00904D90" w:rsidRPr="00714C2C" w:rsidRDefault="00904D90" w:rsidP="00A361BA">
      <w:pPr>
        <w:pStyle w:val="Heading1"/>
      </w:pPr>
      <w:r w:rsidRPr="00714C2C">
        <w:br w:type="page"/>
      </w:r>
    </w:p>
    <w:p w14:paraId="783CF8AA" w14:textId="1A061DF2" w:rsidR="002A4823" w:rsidRPr="002A4823" w:rsidRDefault="00093245" w:rsidP="002A4823">
      <w:pPr>
        <w:pStyle w:val="Heading1"/>
        <w:rPr>
          <w:rStyle w:val="IntenseReference"/>
          <w:b/>
          <w:bCs/>
          <w:i w:val="0"/>
          <w:smallCaps w:val="0"/>
          <w:color w:val="000000" w:themeColor="text1"/>
          <w:sz w:val="24"/>
          <w:szCs w:val="24"/>
        </w:rPr>
      </w:pPr>
      <w:r>
        <w:rPr>
          <w:rStyle w:val="IntenseReference"/>
          <w:b/>
          <w:i w:val="0"/>
          <w:smallCaps w:val="0"/>
          <w:color w:val="000000" w:themeColor="text1"/>
          <w:sz w:val="24"/>
          <w:szCs w:val="24"/>
        </w:rPr>
        <w:lastRenderedPageBreak/>
        <w:t>Appendix</w:t>
      </w:r>
      <w:r w:rsidR="002A4823" w:rsidRPr="002A4823">
        <w:rPr>
          <w:rStyle w:val="IntenseReference"/>
          <w:b/>
          <w:i w:val="0"/>
          <w:smallCaps w:val="0"/>
          <w:color w:val="000000" w:themeColor="text1"/>
          <w:sz w:val="24"/>
          <w:szCs w:val="24"/>
        </w:rPr>
        <w:t xml:space="preserve"> A - </w:t>
      </w:r>
      <w:r w:rsidR="002A4823" w:rsidRPr="002A4823">
        <w:rPr>
          <w:rStyle w:val="IntenseReference"/>
          <w:b/>
          <w:bCs/>
          <w:i w:val="0"/>
          <w:smallCaps w:val="0"/>
          <w:color w:val="000000" w:themeColor="text1"/>
          <w:sz w:val="24"/>
          <w:szCs w:val="24"/>
        </w:rPr>
        <w:t>PBS item codes used to identify patients supplied with docetaxel who may have had prostate cancer</w:t>
      </w:r>
    </w:p>
    <w:tbl>
      <w:tblPr>
        <w:tblW w:w="0" w:type="auto"/>
        <w:tblInd w:w="93" w:type="dxa"/>
        <w:tblLook w:val="04A0" w:firstRow="1" w:lastRow="0" w:firstColumn="1" w:lastColumn="0" w:noHBand="0" w:noVBand="1"/>
        <w:tblCaption w:val="PBS item codes used to identify patients supplied with docetaxel who may have had prostate cancer"/>
        <w:tblDescription w:val="A table of the PBS item codes used to identify patients supplied with docetaxel who may have had prostate cancer"/>
      </w:tblPr>
      <w:tblGrid>
        <w:gridCol w:w="1612"/>
        <w:gridCol w:w="2267"/>
        <w:gridCol w:w="1032"/>
        <w:gridCol w:w="4169"/>
      </w:tblGrid>
      <w:tr w:rsidR="002A4823" w:rsidRPr="00FA3C4D" w14:paraId="3B03BAE6" w14:textId="77777777" w:rsidTr="004F7278">
        <w:trPr>
          <w:trHeight w:val="600"/>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D63F04" w14:textId="77777777" w:rsidR="002A4823" w:rsidRPr="00FA3C4D" w:rsidRDefault="002A4823" w:rsidP="004F7278">
            <w:pPr>
              <w:spacing w:after="0"/>
              <w:rPr>
                <w:b/>
                <w:bCs/>
                <w:sz w:val="20"/>
                <w:szCs w:val="20"/>
              </w:rPr>
            </w:pPr>
            <w:r w:rsidRPr="00FA3C4D">
              <w:rPr>
                <w:b/>
                <w:bCs/>
                <w:sz w:val="20"/>
                <w:szCs w:val="20"/>
              </w:rPr>
              <w:t>Drug</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hideMark/>
          </w:tcPr>
          <w:p w14:paraId="563C4189" w14:textId="77777777" w:rsidR="002A4823" w:rsidRPr="00FA3C4D" w:rsidRDefault="002A4823" w:rsidP="004F7278">
            <w:pPr>
              <w:spacing w:after="0"/>
              <w:rPr>
                <w:b/>
                <w:bCs/>
                <w:sz w:val="20"/>
                <w:szCs w:val="20"/>
              </w:rPr>
            </w:pPr>
            <w:r w:rsidRPr="00FA3C4D">
              <w:rPr>
                <w:b/>
                <w:bCs/>
                <w:sz w:val="20"/>
                <w:szCs w:val="20"/>
              </w:rPr>
              <w:t>ATC4 Name</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hideMark/>
          </w:tcPr>
          <w:p w14:paraId="60AB10BD" w14:textId="77777777" w:rsidR="002A4823" w:rsidRPr="00FA3C4D" w:rsidRDefault="002A4823" w:rsidP="004F7278">
            <w:pPr>
              <w:spacing w:after="0"/>
              <w:rPr>
                <w:b/>
                <w:bCs/>
                <w:sz w:val="20"/>
                <w:szCs w:val="20"/>
              </w:rPr>
            </w:pPr>
            <w:r w:rsidRPr="00FA3C4D">
              <w:rPr>
                <w:b/>
                <w:bCs/>
                <w:sz w:val="20"/>
                <w:szCs w:val="20"/>
              </w:rPr>
              <w:t>PBS item code</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hideMark/>
          </w:tcPr>
          <w:p w14:paraId="1DAE190D" w14:textId="77777777" w:rsidR="002A4823" w:rsidRPr="00FA3C4D" w:rsidRDefault="002A4823" w:rsidP="004F7278">
            <w:pPr>
              <w:spacing w:after="0"/>
              <w:rPr>
                <w:b/>
                <w:bCs/>
                <w:sz w:val="20"/>
                <w:szCs w:val="20"/>
              </w:rPr>
            </w:pPr>
            <w:r w:rsidRPr="00FA3C4D">
              <w:rPr>
                <w:b/>
                <w:bCs/>
                <w:sz w:val="20"/>
                <w:szCs w:val="20"/>
              </w:rPr>
              <w:t>Form and strength</w:t>
            </w:r>
          </w:p>
        </w:tc>
      </w:tr>
      <w:tr w:rsidR="002A4823" w:rsidRPr="00FA3C4D" w14:paraId="4B5AAB98"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1925E5B8" w14:textId="77777777" w:rsidR="002A4823" w:rsidRPr="00FA3C4D" w:rsidRDefault="002A4823" w:rsidP="004F7278">
            <w:pPr>
              <w:spacing w:after="0"/>
              <w:rPr>
                <w:sz w:val="20"/>
                <w:szCs w:val="20"/>
              </w:rPr>
            </w:pPr>
            <w:r w:rsidRPr="00FA3C4D">
              <w:rPr>
                <w:sz w:val="20"/>
                <w:szCs w:val="20"/>
              </w:rPr>
              <w:t>Abiraterone</w:t>
            </w:r>
          </w:p>
        </w:tc>
        <w:tc>
          <w:tcPr>
            <w:tcW w:w="0" w:type="auto"/>
            <w:tcBorders>
              <w:top w:val="nil"/>
              <w:left w:val="nil"/>
              <w:bottom w:val="single" w:sz="4" w:space="0" w:color="auto"/>
              <w:right w:val="single" w:sz="4" w:space="0" w:color="auto"/>
            </w:tcBorders>
            <w:shd w:val="clear" w:color="auto" w:fill="auto"/>
            <w:hideMark/>
          </w:tcPr>
          <w:p w14:paraId="5DEA875A" w14:textId="77777777" w:rsidR="002A4823" w:rsidRPr="00FA3C4D" w:rsidRDefault="002A4823" w:rsidP="004F7278">
            <w:pPr>
              <w:spacing w:after="0"/>
              <w:rPr>
                <w:sz w:val="20"/>
                <w:szCs w:val="20"/>
              </w:rPr>
            </w:pPr>
            <w:r w:rsidRPr="00FA3C4D">
              <w:rPr>
                <w:sz w:val="20"/>
                <w:szCs w:val="20"/>
              </w:rPr>
              <w:t>Other hormone antagonists and related agents</w:t>
            </w:r>
          </w:p>
        </w:tc>
        <w:tc>
          <w:tcPr>
            <w:tcW w:w="0" w:type="auto"/>
            <w:tcBorders>
              <w:top w:val="nil"/>
              <w:left w:val="nil"/>
              <w:bottom w:val="single" w:sz="4" w:space="0" w:color="auto"/>
              <w:right w:val="single" w:sz="4" w:space="0" w:color="auto"/>
            </w:tcBorders>
            <w:shd w:val="clear" w:color="auto" w:fill="auto"/>
            <w:hideMark/>
          </w:tcPr>
          <w:p w14:paraId="09577ACA" w14:textId="77777777" w:rsidR="002A4823" w:rsidRPr="00FA3C4D" w:rsidRDefault="002A4823" w:rsidP="004F7278">
            <w:pPr>
              <w:spacing w:after="0"/>
              <w:rPr>
                <w:sz w:val="20"/>
                <w:szCs w:val="20"/>
              </w:rPr>
            </w:pPr>
            <w:r w:rsidRPr="00FA3C4D">
              <w:rPr>
                <w:sz w:val="20"/>
                <w:szCs w:val="20"/>
              </w:rPr>
              <w:t>2698B</w:t>
            </w:r>
          </w:p>
        </w:tc>
        <w:tc>
          <w:tcPr>
            <w:tcW w:w="0" w:type="auto"/>
            <w:tcBorders>
              <w:top w:val="nil"/>
              <w:left w:val="nil"/>
              <w:bottom w:val="single" w:sz="4" w:space="0" w:color="auto"/>
              <w:right w:val="single" w:sz="4" w:space="0" w:color="auto"/>
            </w:tcBorders>
            <w:shd w:val="clear" w:color="auto" w:fill="auto"/>
            <w:hideMark/>
          </w:tcPr>
          <w:p w14:paraId="7C0E4ADB" w14:textId="77777777" w:rsidR="002A4823" w:rsidRPr="00FA3C4D" w:rsidRDefault="002A4823" w:rsidP="004F7278">
            <w:pPr>
              <w:spacing w:after="0"/>
              <w:rPr>
                <w:sz w:val="20"/>
                <w:szCs w:val="20"/>
              </w:rPr>
            </w:pPr>
            <w:r w:rsidRPr="00FA3C4D">
              <w:rPr>
                <w:sz w:val="20"/>
                <w:szCs w:val="20"/>
              </w:rPr>
              <w:t>Tablet containing abiraterone acetate 250 mg</w:t>
            </w:r>
          </w:p>
        </w:tc>
      </w:tr>
      <w:tr w:rsidR="002A4823" w:rsidRPr="00FA3C4D" w14:paraId="1A59F79A"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075BF9B" w14:textId="77777777" w:rsidR="002A4823" w:rsidRPr="00FA3C4D" w:rsidRDefault="002A4823" w:rsidP="004F7278">
            <w:pPr>
              <w:spacing w:after="0"/>
              <w:rPr>
                <w:sz w:val="20"/>
                <w:szCs w:val="20"/>
              </w:rPr>
            </w:pPr>
            <w:r w:rsidRPr="00FA3C4D">
              <w:rPr>
                <w:sz w:val="20"/>
                <w:szCs w:val="20"/>
              </w:rPr>
              <w:t>Bicalutamide</w:t>
            </w:r>
          </w:p>
        </w:tc>
        <w:tc>
          <w:tcPr>
            <w:tcW w:w="0" w:type="auto"/>
            <w:tcBorders>
              <w:top w:val="nil"/>
              <w:left w:val="nil"/>
              <w:bottom w:val="single" w:sz="4" w:space="0" w:color="auto"/>
              <w:right w:val="single" w:sz="4" w:space="0" w:color="auto"/>
            </w:tcBorders>
            <w:shd w:val="clear" w:color="auto" w:fill="auto"/>
            <w:hideMark/>
          </w:tcPr>
          <w:p w14:paraId="704491E5" w14:textId="77777777" w:rsidR="002A4823" w:rsidRPr="00FA3C4D" w:rsidRDefault="002A4823" w:rsidP="004F7278">
            <w:pPr>
              <w:spacing w:after="0"/>
              <w:rPr>
                <w:sz w:val="20"/>
                <w:szCs w:val="20"/>
              </w:rPr>
            </w:pPr>
            <w:r w:rsidRPr="00FA3C4D">
              <w:rPr>
                <w:sz w:val="20"/>
                <w:szCs w:val="20"/>
              </w:rPr>
              <w:t>Anti-androgens</w:t>
            </w:r>
          </w:p>
        </w:tc>
        <w:tc>
          <w:tcPr>
            <w:tcW w:w="0" w:type="auto"/>
            <w:tcBorders>
              <w:top w:val="nil"/>
              <w:left w:val="nil"/>
              <w:bottom w:val="single" w:sz="4" w:space="0" w:color="auto"/>
              <w:right w:val="single" w:sz="4" w:space="0" w:color="auto"/>
            </w:tcBorders>
            <w:shd w:val="clear" w:color="auto" w:fill="auto"/>
            <w:hideMark/>
          </w:tcPr>
          <w:p w14:paraId="119DF04F" w14:textId="77777777" w:rsidR="002A4823" w:rsidRPr="00FA3C4D" w:rsidRDefault="002A4823" w:rsidP="004F7278">
            <w:pPr>
              <w:spacing w:after="0"/>
              <w:rPr>
                <w:sz w:val="20"/>
                <w:szCs w:val="20"/>
              </w:rPr>
            </w:pPr>
            <w:r w:rsidRPr="00FA3C4D">
              <w:rPr>
                <w:sz w:val="20"/>
                <w:szCs w:val="20"/>
              </w:rPr>
              <w:t>8094B</w:t>
            </w:r>
          </w:p>
        </w:tc>
        <w:tc>
          <w:tcPr>
            <w:tcW w:w="0" w:type="auto"/>
            <w:tcBorders>
              <w:top w:val="nil"/>
              <w:left w:val="nil"/>
              <w:bottom w:val="single" w:sz="4" w:space="0" w:color="auto"/>
              <w:right w:val="single" w:sz="4" w:space="0" w:color="auto"/>
            </w:tcBorders>
            <w:shd w:val="clear" w:color="auto" w:fill="auto"/>
            <w:hideMark/>
          </w:tcPr>
          <w:p w14:paraId="7318D2C0" w14:textId="77777777" w:rsidR="002A4823" w:rsidRPr="00FA3C4D" w:rsidRDefault="002A4823" w:rsidP="004F7278">
            <w:pPr>
              <w:spacing w:after="0"/>
              <w:rPr>
                <w:sz w:val="20"/>
                <w:szCs w:val="20"/>
              </w:rPr>
            </w:pPr>
            <w:r w:rsidRPr="00FA3C4D">
              <w:rPr>
                <w:sz w:val="20"/>
                <w:szCs w:val="20"/>
              </w:rPr>
              <w:t>Tablet 50 mg</w:t>
            </w:r>
          </w:p>
        </w:tc>
      </w:tr>
      <w:tr w:rsidR="002A4823" w:rsidRPr="00FA3C4D" w14:paraId="4878F94D"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087C9F59" w14:textId="77777777" w:rsidR="002A4823" w:rsidRPr="00FA3C4D" w:rsidRDefault="002A4823" w:rsidP="004F7278">
            <w:pPr>
              <w:spacing w:after="0"/>
              <w:rPr>
                <w:sz w:val="20"/>
                <w:szCs w:val="20"/>
              </w:rPr>
            </w:pPr>
            <w:r w:rsidRPr="00FA3C4D">
              <w:rPr>
                <w:sz w:val="20"/>
                <w:szCs w:val="20"/>
              </w:rPr>
              <w:t>Cabazitaxel</w:t>
            </w:r>
          </w:p>
        </w:tc>
        <w:tc>
          <w:tcPr>
            <w:tcW w:w="0" w:type="auto"/>
            <w:tcBorders>
              <w:top w:val="nil"/>
              <w:left w:val="nil"/>
              <w:bottom w:val="single" w:sz="4" w:space="0" w:color="auto"/>
              <w:right w:val="single" w:sz="4" w:space="0" w:color="auto"/>
            </w:tcBorders>
            <w:shd w:val="clear" w:color="auto" w:fill="auto"/>
            <w:hideMark/>
          </w:tcPr>
          <w:p w14:paraId="2FF9C8FD"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1CA05978" w14:textId="77777777" w:rsidR="002A4823" w:rsidRPr="00FA3C4D" w:rsidRDefault="002A4823" w:rsidP="004F7278">
            <w:pPr>
              <w:spacing w:after="0"/>
              <w:rPr>
                <w:sz w:val="20"/>
                <w:szCs w:val="20"/>
              </w:rPr>
            </w:pPr>
            <w:r w:rsidRPr="00FA3C4D">
              <w:rPr>
                <w:sz w:val="20"/>
                <w:szCs w:val="20"/>
              </w:rPr>
              <w:t>4376H</w:t>
            </w:r>
          </w:p>
        </w:tc>
        <w:tc>
          <w:tcPr>
            <w:tcW w:w="0" w:type="auto"/>
            <w:tcBorders>
              <w:top w:val="nil"/>
              <w:left w:val="nil"/>
              <w:bottom w:val="single" w:sz="4" w:space="0" w:color="auto"/>
              <w:right w:val="single" w:sz="4" w:space="0" w:color="auto"/>
            </w:tcBorders>
            <w:shd w:val="clear" w:color="auto" w:fill="auto"/>
            <w:hideMark/>
          </w:tcPr>
          <w:p w14:paraId="4E9515FA" w14:textId="77777777" w:rsidR="002A4823" w:rsidRPr="00FA3C4D" w:rsidRDefault="002A4823" w:rsidP="004F7278">
            <w:pPr>
              <w:spacing w:after="0"/>
              <w:rPr>
                <w:sz w:val="20"/>
                <w:szCs w:val="20"/>
              </w:rPr>
            </w:pPr>
            <w:r w:rsidRPr="00FA3C4D">
              <w:rPr>
                <w:sz w:val="20"/>
                <w:szCs w:val="20"/>
              </w:rPr>
              <w:t>Concentrated injection 60 mg (as acetone solvate) in 1.5 mL, with diluent</w:t>
            </w:r>
          </w:p>
        </w:tc>
      </w:tr>
      <w:tr w:rsidR="002A4823" w:rsidRPr="00FA3C4D" w14:paraId="496872EB"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400E4E0" w14:textId="77777777" w:rsidR="002A4823" w:rsidRPr="00FA3C4D" w:rsidRDefault="002A4823" w:rsidP="004F7278">
            <w:pPr>
              <w:spacing w:after="0"/>
              <w:rPr>
                <w:sz w:val="20"/>
                <w:szCs w:val="20"/>
              </w:rPr>
            </w:pPr>
            <w:r w:rsidRPr="00FA3C4D">
              <w:rPr>
                <w:sz w:val="20"/>
                <w:szCs w:val="20"/>
              </w:rPr>
              <w:t>Cabazitaxel</w:t>
            </w:r>
          </w:p>
        </w:tc>
        <w:tc>
          <w:tcPr>
            <w:tcW w:w="0" w:type="auto"/>
            <w:tcBorders>
              <w:top w:val="nil"/>
              <w:left w:val="nil"/>
              <w:bottom w:val="single" w:sz="4" w:space="0" w:color="auto"/>
              <w:right w:val="single" w:sz="4" w:space="0" w:color="auto"/>
            </w:tcBorders>
            <w:shd w:val="clear" w:color="auto" w:fill="auto"/>
            <w:hideMark/>
          </w:tcPr>
          <w:p w14:paraId="1159406B"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2808F096" w14:textId="77777777" w:rsidR="002A4823" w:rsidRPr="00FA3C4D" w:rsidRDefault="002A4823" w:rsidP="004F7278">
            <w:pPr>
              <w:spacing w:after="0"/>
              <w:rPr>
                <w:sz w:val="20"/>
                <w:szCs w:val="20"/>
              </w:rPr>
            </w:pPr>
            <w:r w:rsidRPr="00FA3C4D">
              <w:rPr>
                <w:sz w:val="20"/>
                <w:szCs w:val="20"/>
              </w:rPr>
              <w:t>7236W</w:t>
            </w:r>
          </w:p>
        </w:tc>
        <w:tc>
          <w:tcPr>
            <w:tcW w:w="0" w:type="auto"/>
            <w:tcBorders>
              <w:top w:val="nil"/>
              <w:left w:val="nil"/>
              <w:bottom w:val="single" w:sz="4" w:space="0" w:color="auto"/>
              <w:right w:val="single" w:sz="4" w:space="0" w:color="auto"/>
            </w:tcBorders>
            <w:shd w:val="clear" w:color="auto" w:fill="auto"/>
            <w:hideMark/>
          </w:tcPr>
          <w:p w14:paraId="7A02684E" w14:textId="77777777" w:rsidR="002A4823" w:rsidRPr="00FA3C4D" w:rsidRDefault="002A4823" w:rsidP="004F7278">
            <w:pPr>
              <w:spacing w:after="0"/>
              <w:rPr>
                <w:sz w:val="20"/>
                <w:szCs w:val="20"/>
              </w:rPr>
            </w:pPr>
            <w:r w:rsidRPr="00FA3C4D">
              <w:rPr>
                <w:sz w:val="20"/>
                <w:szCs w:val="20"/>
              </w:rPr>
              <w:t>Concentrated injection 60 mg (as acetone solvate) in 1.5 mL, with diluent</w:t>
            </w:r>
          </w:p>
        </w:tc>
      </w:tr>
      <w:tr w:rsidR="002A4823" w:rsidRPr="00FA3C4D" w14:paraId="4D722AA6"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470D8181" w14:textId="77777777" w:rsidR="002A4823" w:rsidRPr="00FA3C4D" w:rsidRDefault="002A4823" w:rsidP="004F7278">
            <w:pPr>
              <w:spacing w:after="0"/>
              <w:rPr>
                <w:sz w:val="20"/>
                <w:szCs w:val="20"/>
              </w:rPr>
            </w:pPr>
            <w:r w:rsidRPr="00FA3C4D">
              <w:rPr>
                <w:sz w:val="20"/>
                <w:szCs w:val="20"/>
              </w:rPr>
              <w:t>Cyproterone</w:t>
            </w:r>
          </w:p>
        </w:tc>
        <w:tc>
          <w:tcPr>
            <w:tcW w:w="0" w:type="auto"/>
            <w:tcBorders>
              <w:top w:val="nil"/>
              <w:left w:val="nil"/>
              <w:bottom w:val="single" w:sz="4" w:space="0" w:color="auto"/>
              <w:right w:val="single" w:sz="4" w:space="0" w:color="auto"/>
            </w:tcBorders>
            <w:shd w:val="clear" w:color="auto" w:fill="auto"/>
            <w:hideMark/>
          </w:tcPr>
          <w:p w14:paraId="6C2E0D6C" w14:textId="77777777" w:rsidR="002A4823" w:rsidRPr="00FA3C4D" w:rsidRDefault="002A4823" w:rsidP="004F7278">
            <w:pPr>
              <w:spacing w:after="0"/>
              <w:rPr>
                <w:sz w:val="20"/>
                <w:szCs w:val="20"/>
              </w:rPr>
            </w:pPr>
            <w:r w:rsidRPr="00FA3C4D">
              <w:rPr>
                <w:sz w:val="20"/>
                <w:szCs w:val="20"/>
              </w:rPr>
              <w:t>Anti-androgens</w:t>
            </w:r>
          </w:p>
        </w:tc>
        <w:tc>
          <w:tcPr>
            <w:tcW w:w="0" w:type="auto"/>
            <w:tcBorders>
              <w:top w:val="nil"/>
              <w:left w:val="nil"/>
              <w:bottom w:val="single" w:sz="4" w:space="0" w:color="auto"/>
              <w:right w:val="single" w:sz="4" w:space="0" w:color="auto"/>
            </w:tcBorders>
            <w:shd w:val="clear" w:color="auto" w:fill="auto"/>
            <w:hideMark/>
          </w:tcPr>
          <w:p w14:paraId="3DC5E717" w14:textId="77777777" w:rsidR="002A4823" w:rsidRPr="00FA3C4D" w:rsidRDefault="002A4823" w:rsidP="004F7278">
            <w:pPr>
              <w:spacing w:after="0"/>
              <w:rPr>
                <w:sz w:val="20"/>
                <w:szCs w:val="20"/>
              </w:rPr>
            </w:pPr>
            <w:r w:rsidRPr="00FA3C4D">
              <w:rPr>
                <w:sz w:val="20"/>
                <w:szCs w:val="20"/>
              </w:rPr>
              <w:t>1270W</w:t>
            </w:r>
          </w:p>
        </w:tc>
        <w:tc>
          <w:tcPr>
            <w:tcW w:w="0" w:type="auto"/>
            <w:tcBorders>
              <w:top w:val="nil"/>
              <w:left w:val="nil"/>
              <w:bottom w:val="single" w:sz="4" w:space="0" w:color="auto"/>
              <w:right w:val="single" w:sz="4" w:space="0" w:color="auto"/>
            </w:tcBorders>
            <w:shd w:val="clear" w:color="auto" w:fill="auto"/>
            <w:hideMark/>
          </w:tcPr>
          <w:p w14:paraId="6C3F24C2" w14:textId="77777777" w:rsidR="002A4823" w:rsidRPr="00FA3C4D" w:rsidRDefault="002A4823" w:rsidP="004F7278">
            <w:pPr>
              <w:spacing w:after="0"/>
              <w:rPr>
                <w:sz w:val="20"/>
                <w:szCs w:val="20"/>
              </w:rPr>
            </w:pPr>
            <w:r w:rsidRPr="00FA3C4D">
              <w:rPr>
                <w:sz w:val="20"/>
                <w:szCs w:val="20"/>
              </w:rPr>
              <w:t>Tablet containing cyproterone acetate 50 mg</w:t>
            </w:r>
          </w:p>
        </w:tc>
      </w:tr>
      <w:tr w:rsidR="002A4823" w:rsidRPr="00FA3C4D" w14:paraId="59E17198"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2FDB0C08" w14:textId="77777777" w:rsidR="002A4823" w:rsidRPr="00FA3C4D" w:rsidRDefault="002A4823" w:rsidP="004F7278">
            <w:pPr>
              <w:spacing w:after="0"/>
              <w:rPr>
                <w:sz w:val="20"/>
                <w:szCs w:val="20"/>
              </w:rPr>
            </w:pPr>
            <w:r w:rsidRPr="00FA3C4D">
              <w:rPr>
                <w:sz w:val="20"/>
                <w:szCs w:val="20"/>
              </w:rPr>
              <w:t>Cyproterone</w:t>
            </w:r>
          </w:p>
        </w:tc>
        <w:tc>
          <w:tcPr>
            <w:tcW w:w="0" w:type="auto"/>
            <w:tcBorders>
              <w:top w:val="nil"/>
              <w:left w:val="nil"/>
              <w:bottom w:val="single" w:sz="4" w:space="0" w:color="auto"/>
              <w:right w:val="single" w:sz="4" w:space="0" w:color="auto"/>
            </w:tcBorders>
            <w:shd w:val="clear" w:color="auto" w:fill="auto"/>
            <w:hideMark/>
          </w:tcPr>
          <w:p w14:paraId="01694DB3" w14:textId="77777777" w:rsidR="002A4823" w:rsidRPr="00FA3C4D" w:rsidRDefault="002A4823" w:rsidP="004F7278">
            <w:pPr>
              <w:spacing w:after="0"/>
              <w:rPr>
                <w:sz w:val="20"/>
                <w:szCs w:val="20"/>
              </w:rPr>
            </w:pPr>
            <w:r w:rsidRPr="00FA3C4D">
              <w:rPr>
                <w:sz w:val="20"/>
                <w:szCs w:val="20"/>
              </w:rPr>
              <w:t>Anti-androgens</w:t>
            </w:r>
          </w:p>
        </w:tc>
        <w:tc>
          <w:tcPr>
            <w:tcW w:w="0" w:type="auto"/>
            <w:tcBorders>
              <w:top w:val="nil"/>
              <w:left w:val="nil"/>
              <w:bottom w:val="single" w:sz="4" w:space="0" w:color="auto"/>
              <w:right w:val="single" w:sz="4" w:space="0" w:color="auto"/>
            </w:tcBorders>
            <w:shd w:val="clear" w:color="auto" w:fill="auto"/>
            <w:hideMark/>
          </w:tcPr>
          <w:p w14:paraId="3FD687BF" w14:textId="77777777" w:rsidR="002A4823" w:rsidRPr="00FA3C4D" w:rsidRDefault="002A4823" w:rsidP="004F7278">
            <w:pPr>
              <w:spacing w:after="0"/>
              <w:rPr>
                <w:sz w:val="20"/>
                <w:szCs w:val="20"/>
              </w:rPr>
            </w:pPr>
            <w:r w:rsidRPr="00FA3C4D">
              <w:rPr>
                <w:sz w:val="20"/>
                <w:szCs w:val="20"/>
              </w:rPr>
              <w:t>8019C</w:t>
            </w:r>
          </w:p>
        </w:tc>
        <w:tc>
          <w:tcPr>
            <w:tcW w:w="0" w:type="auto"/>
            <w:tcBorders>
              <w:top w:val="nil"/>
              <w:left w:val="nil"/>
              <w:bottom w:val="single" w:sz="4" w:space="0" w:color="auto"/>
              <w:right w:val="single" w:sz="4" w:space="0" w:color="auto"/>
            </w:tcBorders>
            <w:shd w:val="clear" w:color="auto" w:fill="auto"/>
            <w:hideMark/>
          </w:tcPr>
          <w:p w14:paraId="24227B50" w14:textId="77777777" w:rsidR="002A4823" w:rsidRPr="00FA3C4D" w:rsidRDefault="002A4823" w:rsidP="004F7278">
            <w:pPr>
              <w:spacing w:after="0"/>
              <w:rPr>
                <w:sz w:val="20"/>
                <w:szCs w:val="20"/>
              </w:rPr>
            </w:pPr>
            <w:r w:rsidRPr="00FA3C4D">
              <w:rPr>
                <w:sz w:val="20"/>
                <w:szCs w:val="20"/>
              </w:rPr>
              <w:t>Tablet containing cyproterone acetate 100 mg</w:t>
            </w:r>
          </w:p>
        </w:tc>
      </w:tr>
      <w:tr w:rsidR="002A4823" w:rsidRPr="00FA3C4D" w14:paraId="373BBC37"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38CFC3A3" w14:textId="77777777" w:rsidR="002A4823" w:rsidRPr="00FA3C4D" w:rsidRDefault="002A4823" w:rsidP="004F7278">
            <w:pPr>
              <w:spacing w:after="0"/>
              <w:rPr>
                <w:sz w:val="20"/>
                <w:szCs w:val="20"/>
              </w:rPr>
            </w:pPr>
            <w:r w:rsidRPr="00FA3C4D">
              <w:rPr>
                <w:sz w:val="20"/>
                <w:szCs w:val="20"/>
              </w:rPr>
              <w:t>Degarelix</w:t>
            </w:r>
          </w:p>
        </w:tc>
        <w:tc>
          <w:tcPr>
            <w:tcW w:w="0" w:type="auto"/>
            <w:tcBorders>
              <w:top w:val="nil"/>
              <w:left w:val="nil"/>
              <w:bottom w:val="single" w:sz="4" w:space="0" w:color="auto"/>
              <w:right w:val="single" w:sz="4" w:space="0" w:color="auto"/>
            </w:tcBorders>
            <w:shd w:val="clear" w:color="auto" w:fill="auto"/>
            <w:hideMark/>
          </w:tcPr>
          <w:p w14:paraId="159121E1" w14:textId="77777777" w:rsidR="002A4823" w:rsidRPr="00FA3C4D" w:rsidRDefault="002A4823" w:rsidP="004F7278">
            <w:pPr>
              <w:spacing w:after="0"/>
              <w:rPr>
                <w:sz w:val="20"/>
                <w:szCs w:val="20"/>
              </w:rPr>
            </w:pPr>
            <w:r w:rsidRPr="00FA3C4D">
              <w:rPr>
                <w:sz w:val="20"/>
                <w:szCs w:val="20"/>
              </w:rPr>
              <w:t>Other hormone antagonists and related agents</w:t>
            </w:r>
          </w:p>
        </w:tc>
        <w:tc>
          <w:tcPr>
            <w:tcW w:w="0" w:type="auto"/>
            <w:tcBorders>
              <w:top w:val="nil"/>
              <w:left w:val="nil"/>
              <w:bottom w:val="single" w:sz="4" w:space="0" w:color="auto"/>
              <w:right w:val="single" w:sz="4" w:space="0" w:color="auto"/>
            </w:tcBorders>
            <w:shd w:val="clear" w:color="auto" w:fill="auto"/>
            <w:hideMark/>
          </w:tcPr>
          <w:p w14:paraId="7BCD6A29" w14:textId="77777777" w:rsidR="002A4823" w:rsidRPr="00FA3C4D" w:rsidRDefault="002A4823" w:rsidP="004F7278">
            <w:pPr>
              <w:spacing w:after="0"/>
              <w:rPr>
                <w:sz w:val="20"/>
                <w:szCs w:val="20"/>
              </w:rPr>
            </w:pPr>
            <w:r w:rsidRPr="00FA3C4D">
              <w:rPr>
                <w:sz w:val="20"/>
                <w:szCs w:val="20"/>
              </w:rPr>
              <w:t>2784M</w:t>
            </w:r>
          </w:p>
        </w:tc>
        <w:tc>
          <w:tcPr>
            <w:tcW w:w="0" w:type="auto"/>
            <w:tcBorders>
              <w:top w:val="nil"/>
              <w:left w:val="nil"/>
              <w:bottom w:val="single" w:sz="4" w:space="0" w:color="auto"/>
              <w:right w:val="single" w:sz="4" w:space="0" w:color="auto"/>
            </w:tcBorders>
            <w:shd w:val="clear" w:color="auto" w:fill="auto"/>
            <w:hideMark/>
          </w:tcPr>
          <w:p w14:paraId="126E944B" w14:textId="77777777" w:rsidR="002A4823" w:rsidRPr="00FA3C4D" w:rsidRDefault="002A4823" w:rsidP="004F7278">
            <w:pPr>
              <w:spacing w:after="0"/>
              <w:rPr>
                <w:sz w:val="20"/>
                <w:szCs w:val="20"/>
              </w:rPr>
            </w:pPr>
            <w:r w:rsidRPr="00FA3C4D">
              <w:rPr>
                <w:sz w:val="20"/>
                <w:szCs w:val="20"/>
              </w:rPr>
              <w:t>Powder for injection 80 mg (as acetate), injection set</w:t>
            </w:r>
          </w:p>
        </w:tc>
      </w:tr>
      <w:tr w:rsidR="002A4823" w:rsidRPr="00FA3C4D" w14:paraId="6F0A42FE"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09B061F3" w14:textId="77777777" w:rsidR="002A4823" w:rsidRPr="00FA3C4D" w:rsidRDefault="002A4823" w:rsidP="004F7278">
            <w:pPr>
              <w:spacing w:after="0"/>
              <w:rPr>
                <w:sz w:val="20"/>
                <w:szCs w:val="20"/>
              </w:rPr>
            </w:pPr>
            <w:r w:rsidRPr="00FA3C4D">
              <w:rPr>
                <w:sz w:val="20"/>
                <w:szCs w:val="20"/>
              </w:rPr>
              <w:t>Degarelix</w:t>
            </w:r>
          </w:p>
        </w:tc>
        <w:tc>
          <w:tcPr>
            <w:tcW w:w="0" w:type="auto"/>
            <w:tcBorders>
              <w:top w:val="nil"/>
              <w:left w:val="nil"/>
              <w:bottom w:val="single" w:sz="4" w:space="0" w:color="auto"/>
              <w:right w:val="single" w:sz="4" w:space="0" w:color="auto"/>
            </w:tcBorders>
            <w:shd w:val="clear" w:color="auto" w:fill="auto"/>
            <w:hideMark/>
          </w:tcPr>
          <w:p w14:paraId="4EAA6432" w14:textId="77777777" w:rsidR="002A4823" w:rsidRPr="00FA3C4D" w:rsidRDefault="002A4823" w:rsidP="004F7278">
            <w:pPr>
              <w:spacing w:after="0"/>
              <w:rPr>
                <w:sz w:val="20"/>
                <w:szCs w:val="20"/>
              </w:rPr>
            </w:pPr>
            <w:r w:rsidRPr="00FA3C4D">
              <w:rPr>
                <w:sz w:val="20"/>
                <w:szCs w:val="20"/>
              </w:rPr>
              <w:t>Other hormone antagonists and related agents</w:t>
            </w:r>
          </w:p>
        </w:tc>
        <w:tc>
          <w:tcPr>
            <w:tcW w:w="0" w:type="auto"/>
            <w:tcBorders>
              <w:top w:val="nil"/>
              <w:left w:val="nil"/>
              <w:bottom w:val="single" w:sz="4" w:space="0" w:color="auto"/>
              <w:right w:val="single" w:sz="4" w:space="0" w:color="auto"/>
            </w:tcBorders>
            <w:shd w:val="clear" w:color="auto" w:fill="auto"/>
            <w:hideMark/>
          </w:tcPr>
          <w:p w14:paraId="79D29F7D" w14:textId="77777777" w:rsidR="002A4823" w:rsidRPr="00FA3C4D" w:rsidRDefault="002A4823" w:rsidP="004F7278">
            <w:pPr>
              <w:spacing w:after="0"/>
              <w:rPr>
                <w:sz w:val="20"/>
                <w:szCs w:val="20"/>
              </w:rPr>
            </w:pPr>
            <w:r w:rsidRPr="00FA3C4D">
              <w:rPr>
                <w:sz w:val="20"/>
                <w:szCs w:val="20"/>
              </w:rPr>
              <w:t>2785N</w:t>
            </w:r>
          </w:p>
        </w:tc>
        <w:tc>
          <w:tcPr>
            <w:tcW w:w="0" w:type="auto"/>
            <w:tcBorders>
              <w:top w:val="nil"/>
              <w:left w:val="nil"/>
              <w:bottom w:val="single" w:sz="4" w:space="0" w:color="auto"/>
              <w:right w:val="single" w:sz="4" w:space="0" w:color="auto"/>
            </w:tcBorders>
            <w:shd w:val="clear" w:color="auto" w:fill="auto"/>
            <w:hideMark/>
          </w:tcPr>
          <w:p w14:paraId="203D69A3" w14:textId="77777777" w:rsidR="002A4823" w:rsidRPr="00FA3C4D" w:rsidRDefault="002A4823" w:rsidP="004F7278">
            <w:pPr>
              <w:spacing w:after="0"/>
              <w:rPr>
                <w:sz w:val="20"/>
                <w:szCs w:val="20"/>
              </w:rPr>
            </w:pPr>
            <w:r w:rsidRPr="00FA3C4D">
              <w:rPr>
                <w:sz w:val="20"/>
                <w:szCs w:val="20"/>
              </w:rPr>
              <w:t>Powder for injection 120 mg (as acetate), 2, injection set</w:t>
            </w:r>
          </w:p>
        </w:tc>
      </w:tr>
      <w:tr w:rsidR="002A4823" w:rsidRPr="00FA3C4D" w14:paraId="443F7720"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77B8EDA0" w14:textId="77777777" w:rsidR="002A4823" w:rsidRPr="00FA3C4D" w:rsidRDefault="002A4823" w:rsidP="004F7278">
            <w:pPr>
              <w:spacing w:after="0"/>
              <w:rPr>
                <w:sz w:val="20"/>
                <w:szCs w:val="20"/>
              </w:rPr>
            </w:pPr>
            <w:r w:rsidRPr="00FA3C4D">
              <w:rPr>
                <w:sz w:val="20"/>
                <w:szCs w:val="20"/>
              </w:rPr>
              <w:t>Degarelix</w:t>
            </w:r>
          </w:p>
        </w:tc>
        <w:tc>
          <w:tcPr>
            <w:tcW w:w="0" w:type="auto"/>
            <w:tcBorders>
              <w:top w:val="nil"/>
              <w:left w:val="nil"/>
              <w:bottom w:val="single" w:sz="4" w:space="0" w:color="auto"/>
              <w:right w:val="single" w:sz="4" w:space="0" w:color="auto"/>
            </w:tcBorders>
            <w:shd w:val="clear" w:color="auto" w:fill="auto"/>
            <w:hideMark/>
          </w:tcPr>
          <w:p w14:paraId="0C810DC9" w14:textId="77777777" w:rsidR="002A4823" w:rsidRPr="00FA3C4D" w:rsidRDefault="002A4823" w:rsidP="004F7278">
            <w:pPr>
              <w:spacing w:after="0"/>
              <w:rPr>
                <w:sz w:val="20"/>
                <w:szCs w:val="20"/>
              </w:rPr>
            </w:pPr>
            <w:r w:rsidRPr="00FA3C4D">
              <w:rPr>
                <w:sz w:val="20"/>
                <w:szCs w:val="20"/>
              </w:rPr>
              <w:t>Other hormone antagonists and related agents</w:t>
            </w:r>
          </w:p>
        </w:tc>
        <w:tc>
          <w:tcPr>
            <w:tcW w:w="0" w:type="auto"/>
            <w:tcBorders>
              <w:top w:val="nil"/>
              <w:left w:val="nil"/>
              <w:bottom w:val="single" w:sz="4" w:space="0" w:color="auto"/>
              <w:right w:val="single" w:sz="4" w:space="0" w:color="auto"/>
            </w:tcBorders>
            <w:shd w:val="clear" w:color="auto" w:fill="auto"/>
            <w:hideMark/>
          </w:tcPr>
          <w:p w14:paraId="4DFA98D5" w14:textId="77777777" w:rsidR="002A4823" w:rsidRPr="00FA3C4D" w:rsidRDefault="002A4823" w:rsidP="004F7278">
            <w:pPr>
              <w:spacing w:after="0"/>
              <w:rPr>
                <w:sz w:val="20"/>
                <w:szCs w:val="20"/>
              </w:rPr>
            </w:pPr>
            <w:r w:rsidRPr="00FA3C4D">
              <w:rPr>
                <w:sz w:val="20"/>
                <w:szCs w:val="20"/>
              </w:rPr>
              <w:t>5455D</w:t>
            </w:r>
          </w:p>
        </w:tc>
        <w:tc>
          <w:tcPr>
            <w:tcW w:w="0" w:type="auto"/>
            <w:tcBorders>
              <w:top w:val="nil"/>
              <w:left w:val="nil"/>
              <w:bottom w:val="single" w:sz="4" w:space="0" w:color="auto"/>
              <w:right w:val="single" w:sz="4" w:space="0" w:color="auto"/>
            </w:tcBorders>
            <w:shd w:val="clear" w:color="auto" w:fill="auto"/>
            <w:hideMark/>
          </w:tcPr>
          <w:p w14:paraId="21C601CA" w14:textId="77777777" w:rsidR="002A4823" w:rsidRPr="00FA3C4D" w:rsidRDefault="002A4823" w:rsidP="004F7278">
            <w:pPr>
              <w:spacing w:after="0"/>
              <w:rPr>
                <w:sz w:val="20"/>
                <w:szCs w:val="20"/>
              </w:rPr>
            </w:pPr>
            <w:r w:rsidRPr="00FA3C4D">
              <w:rPr>
                <w:sz w:val="20"/>
                <w:szCs w:val="20"/>
              </w:rPr>
              <w:t>Powder for injection 80 mg (as acetate), injection set</w:t>
            </w:r>
          </w:p>
        </w:tc>
      </w:tr>
      <w:tr w:rsidR="002A4823" w:rsidRPr="00FA3C4D" w14:paraId="57F00C36"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1C9F12C" w14:textId="77777777" w:rsidR="002A4823" w:rsidRPr="00FA3C4D" w:rsidRDefault="002A4823" w:rsidP="004F7278">
            <w:pPr>
              <w:spacing w:after="0"/>
              <w:rPr>
                <w:sz w:val="20"/>
                <w:szCs w:val="20"/>
              </w:rPr>
            </w:pPr>
            <w:r w:rsidRPr="00FA3C4D">
              <w:rPr>
                <w:sz w:val="20"/>
                <w:szCs w:val="20"/>
              </w:rPr>
              <w:t>Degarelix</w:t>
            </w:r>
          </w:p>
        </w:tc>
        <w:tc>
          <w:tcPr>
            <w:tcW w:w="0" w:type="auto"/>
            <w:tcBorders>
              <w:top w:val="nil"/>
              <w:left w:val="nil"/>
              <w:bottom w:val="single" w:sz="4" w:space="0" w:color="auto"/>
              <w:right w:val="single" w:sz="4" w:space="0" w:color="auto"/>
            </w:tcBorders>
            <w:shd w:val="clear" w:color="auto" w:fill="auto"/>
            <w:hideMark/>
          </w:tcPr>
          <w:p w14:paraId="4B360A10" w14:textId="77777777" w:rsidR="002A4823" w:rsidRPr="00FA3C4D" w:rsidRDefault="002A4823" w:rsidP="004F7278">
            <w:pPr>
              <w:spacing w:after="0"/>
              <w:rPr>
                <w:sz w:val="20"/>
                <w:szCs w:val="20"/>
              </w:rPr>
            </w:pPr>
            <w:r w:rsidRPr="00FA3C4D">
              <w:rPr>
                <w:sz w:val="20"/>
                <w:szCs w:val="20"/>
              </w:rPr>
              <w:t>Other hormone antagonists and related agents</w:t>
            </w:r>
          </w:p>
        </w:tc>
        <w:tc>
          <w:tcPr>
            <w:tcW w:w="0" w:type="auto"/>
            <w:tcBorders>
              <w:top w:val="nil"/>
              <w:left w:val="nil"/>
              <w:bottom w:val="single" w:sz="4" w:space="0" w:color="auto"/>
              <w:right w:val="single" w:sz="4" w:space="0" w:color="auto"/>
            </w:tcBorders>
            <w:shd w:val="clear" w:color="auto" w:fill="auto"/>
            <w:hideMark/>
          </w:tcPr>
          <w:p w14:paraId="732CE2EC" w14:textId="77777777" w:rsidR="002A4823" w:rsidRPr="00FA3C4D" w:rsidRDefault="002A4823" w:rsidP="004F7278">
            <w:pPr>
              <w:spacing w:after="0"/>
              <w:rPr>
                <w:sz w:val="20"/>
                <w:szCs w:val="20"/>
              </w:rPr>
            </w:pPr>
            <w:r w:rsidRPr="00FA3C4D">
              <w:rPr>
                <w:sz w:val="20"/>
                <w:szCs w:val="20"/>
              </w:rPr>
              <w:t>5456E</w:t>
            </w:r>
          </w:p>
        </w:tc>
        <w:tc>
          <w:tcPr>
            <w:tcW w:w="0" w:type="auto"/>
            <w:tcBorders>
              <w:top w:val="nil"/>
              <w:left w:val="nil"/>
              <w:bottom w:val="single" w:sz="4" w:space="0" w:color="auto"/>
              <w:right w:val="single" w:sz="4" w:space="0" w:color="auto"/>
            </w:tcBorders>
            <w:shd w:val="clear" w:color="auto" w:fill="auto"/>
            <w:hideMark/>
          </w:tcPr>
          <w:p w14:paraId="1C0A7325" w14:textId="77777777" w:rsidR="002A4823" w:rsidRPr="00FA3C4D" w:rsidRDefault="002A4823" w:rsidP="004F7278">
            <w:pPr>
              <w:spacing w:after="0"/>
              <w:rPr>
                <w:sz w:val="20"/>
                <w:szCs w:val="20"/>
              </w:rPr>
            </w:pPr>
            <w:r w:rsidRPr="00FA3C4D">
              <w:rPr>
                <w:sz w:val="20"/>
                <w:szCs w:val="20"/>
              </w:rPr>
              <w:t>Powder for injection 120 mg (as acetate), 2, injection set</w:t>
            </w:r>
          </w:p>
        </w:tc>
      </w:tr>
      <w:tr w:rsidR="002A4823" w:rsidRPr="00FA3C4D" w14:paraId="7D31F7B3"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2F114F2E" w14:textId="77777777" w:rsidR="002A4823" w:rsidRPr="00FA3C4D" w:rsidRDefault="002A4823" w:rsidP="004F7278">
            <w:pPr>
              <w:spacing w:after="0"/>
              <w:rPr>
                <w:sz w:val="20"/>
                <w:szCs w:val="20"/>
              </w:rPr>
            </w:pPr>
            <w:r w:rsidRPr="00FA3C4D">
              <w:rPr>
                <w:sz w:val="20"/>
                <w:szCs w:val="20"/>
              </w:rPr>
              <w:t>Denosumab</w:t>
            </w:r>
          </w:p>
        </w:tc>
        <w:tc>
          <w:tcPr>
            <w:tcW w:w="0" w:type="auto"/>
            <w:tcBorders>
              <w:top w:val="nil"/>
              <w:left w:val="nil"/>
              <w:bottom w:val="single" w:sz="4" w:space="0" w:color="auto"/>
              <w:right w:val="single" w:sz="4" w:space="0" w:color="auto"/>
            </w:tcBorders>
            <w:shd w:val="clear" w:color="auto" w:fill="auto"/>
            <w:hideMark/>
          </w:tcPr>
          <w:p w14:paraId="46177034" w14:textId="77777777" w:rsidR="002A4823" w:rsidRPr="00FA3C4D" w:rsidRDefault="002A4823" w:rsidP="004F7278">
            <w:pPr>
              <w:spacing w:after="0"/>
              <w:rPr>
                <w:sz w:val="20"/>
                <w:szCs w:val="20"/>
              </w:rPr>
            </w:pPr>
            <w:r w:rsidRPr="00FA3C4D">
              <w:rPr>
                <w:sz w:val="20"/>
                <w:szCs w:val="20"/>
              </w:rPr>
              <w:t>Other drugs affecting bone structure and mineralization</w:t>
            </w:r>
          </w:p>
        </w:tc>
        <w:tc>
          <w:tcPr>
            <w:tcW w:w="0" w:type="auto"/>
            <w:tcBorders>
              <w:top w:val="nil"/>
              <w:left w:val="nil"/>
              <w:bottom w:val="single" w:sz="4" w:space="0" w:color="auto"/>
              <w:right w:val="single" w:sz="4" w:space="0" w:color="auto"/>
            </w:tcBorders>
            <w:shd w:val="clear" w:color="auto" w:fill="auto"/>
            <w:hideMark/>
          </w:tcPr>
          <w:p w14:paraId="0C38423A" w14:textId="77777777" w:rsidR="002A4823" w:rsidRPr="00FA3C4D" w:rsidRDefault="002A4823" w:rsidP="004F7278">
            <w:pPr>
              <w:spacing w:after="0"/>
              <w:rPr>
                <w:sz w:val="20"/>
                <w:szCs w:val="20"/>
              </w:rPr>
            </w:pPr>
            <w:r w:rsidRPr="00FA3C4D">
              <w:rPr>
                <w:sz w:val="20"/>
                <w:szCs w:val="20"/>
              </w:rPr>
              <w:t>5110Y</w:t>
            </w:r>
          </w:p>
        </w:tc>
        <w:tc>
          <w:tcPr>
            <w:tcW w:w="0" w:type="auto"/>
            <w:tcBorders>
              <w:top w:val="nil"/>
              <w:left w:val="nil"/>
              <w:bottom w:val="single" w:sz="4" w:space="0" w:color="auto"/>
              <w:right w:val="single" w:sz="4" w:space="0" w:color="auto"/>
            </w:tcBorders>
            <w:shd w:val="clear" w:color="auto" w:fill="auto"/>
            <w:hideMark/>
          </w:tcPr>
          <w:p w14:paraId="65515B8C" w14:textId="77777777" w:rsidR="002A4823" w:rsidRPr="00FA3C4D" w:rsidRDefault="002A4823" w:rsidP="004F7278">
            <w:pPr>
              <w:spacing w:after="0"/>
              <w:rPr>
                <w:sz w:val="20"/>
                <w:szCs w:val="20"/>
              </w:rPr>
            </w:pPr>
            <w:r w:rsidRPr="00FA3C4D">
              <w:rPr>
                <w:sz w:val="20"/>
                <w:szCs w:val="20"/>
              </w:rPr>
              <w:t>Injection 120 mg in 1.7 mL</w:t>
            </w:r>
          </w:p>
        </w:tc>
      </w:tr>
      <w:tr w:rsidR="002A4823" w:rsidRPr="00FA3C4D" w14:paraId="26191A28"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0F8992C"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5C18EC4C"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432E0C1B" w14:textId="77777777" w:rsidR="002A4823" w:rsidRPr="00FA3C4D" w:rsidRDefault="002A4823" w:rsidP="004F7278">
            <w:pPr>
              <w:spacing w:after="0"/>
              <w:rPr>
                <w:sz w:val="20"/>
                <w:szCs w:val="20"/>
              </w:rPr>
            </w:pPr>
            <w:r w:rsidRPr="00FA3C4D">
              <w:rPr>
                <w:sz w:val="20"/>
                <w:szCs w:val="20"/>
              </w:rPr>
              <w:t>5149B</w:t>
            </w:r>
          </w:p>
        </w:tc>
        <w:tc>
          <w:tcPr>
            <w:tcW w:w="0" w:type="auto"/>
            <w:tcBorders>
              <w:top w:val="nil"/>
              <w:left w:val="nil"/>
              <w:bottom w:val="single" w:sz="4" w:space="0" w:color="auto"/>
              <w:right w:val="single" w:sz="4" w:space="0" w:color="auto"/>
            </w:tcBorders>
            <w:shd w:val="clear" w:color="auto" w:fill="auto"/>
            <w:hideMark/>
          </w:tcPr>
          <w:p w14:paraId="58934DB6" w14:textId="77777777" w:rsidR="002A4823" w:rsidRPr="00FA3C4D" w:rsidRDefault="002A4823" w:rsidP="004F7278">
            <w:pPr>
              <w:spacing w:after="0"/>
              <w:rPr>
                <w:sz w:val="20"/>
                <w:szCs w:val="20"/>
              </w:rPr>
            </w:pPr>
            <w:r w:rsidRPr="00FA3C4D">
              <w:rPr>
                <w:sz w:val="20"/>
                <w:szCs w:val="20"/>
              </w:rPr>
              <w:t>Powder for I.V. infusion 20 mg with solvent</w:t>
            </w:r>
          </w:p>
        </w:tc>
      </w:tr>
      <w:tr w:rsidR="002A4823" w:rsidRPr="00FA3C4D" w14:paraId="42D62A66"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2C0D3E9C"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1327A47E"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72DE23A0" w14:textId="77777777" w:rsidR="002A4823" w:rsidRPr="00FA3C4D" w:rsidRDefault="002A4823" w:rsidP="004F7278">
            <w:pPr>
              <w:spacing w:after="0"/>
              <w:rPr>
                <w:sz w:val="20"/>
                <w:szCs w:val="20"/>
              </w:rPr>
            </w:pPr>
            <w:r w:rsidRPr="00FA3C4D">
              <w:rPr>
                <w:sz w:val="20"/>
                <w:szCs w:val="20"/>
              </w:rPr>
              <w:t>5156J</w:t>
            </w:r>
          </w:p>
        </w:tc>
        <w:tc>
          <w:tcPr>
            <w:tcW w:w="0" w:type="auto"/>
            <w:tcBorders>
              <w:top w:val="nil"/>
              <w:left w:val="nil"/>
              <w:bottom w:val="single" w:sz="4" w:space="0" w:color="auto"/>
              <w:right w:val="single" w:sz="4" w:space="0" w:color="auto"/>
            </w:tcBorders>
            <w:shd w:val="clear" w:color="auto" w:fill="auto"/>
            <w:hideMark/>
          </w:tcPr>
          <w:p w14:paraId="4F09B79F" w14:textId="77777777" w:rsidR="002A4823" w:rsidRPr="00FA3C4D" w:rsidRDefault="002A4823" w:rsidP="004F7278">
            <w:pPr>
              <w:spacing w:after="0"/>
              <w:rPr>
                <w:sz w:val="20"/>
                <w:szCs w:val="20"/>
              </w:rPr>
            </w:pPr>
            <w:r w:rsidRPr="00FA3C4D">
              <w:rPr>
                <w:sz w:val="20"/>
                <w:szCs w:val="20"/>
              </w:rPr>
              <w:t>Powder for I.V. infusion 80 mg with solvent</w:t>
            </w:r>
          </w:p>
        </w:tc>
      </w:tr>
      <w:tr w:rsidR="002A4823" w:rsidRPr="00FA3C4D" w14:paraId="7FB2E967"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2D256A84"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0F740D2B"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7229DB79" w14:textId="77777777" w:rsidR="002A4823" w:rsidRPr="00FA3C4D" w:rsidRDefault="002A4823" w:rsidP="004F7278">
            <w:pPr>
              <w:spacing w:after="0"/>
              <w:rPr>
                <w:sz w:val="20"/>
                <w:szCs w:val="20"/>
              </w:rPr>
            </w:pPr>
            <w:r w:rsidRPr="00FA3C4D">
              <w:rPr>
                <w:sz w:val="20"/>
                <w:szCs w:val="20"/>
              </w:rPr>
              <w:t>5274N</w:t>
            </w:r>
          </w:p>
        </w:tc>
        <w:tc>
          <w:tcPr>
            <w:tcW w:w="0" w:type="auto"/>
            <w:tcBorders>
              <w:top w:val="nil"/>
              <w:left w:val="nil"/>
              <w:bottom w:val="single" w:sz="4" w:space="0" w:color="auto"/>
              <w:right w:val="single" w:sz="4" w:space="0" w:color="auto"/>
            </w:tcBorders>
            <w:shd w:val="clear" w:color="auto" w:fill="auto"/>
            <w:hideMark/>
          </w:tcPr>
          <w:p w14:paraId="4AD59B48" w14:textId="77777777" w:rsidR="002A4823" w:rsidRPr="00FA3C4D" w:rsidRDefault="002A4823" w:rsidP="004F7278">
            <w:pPr>
              <w:spacing w:after="0"/>
              <w:rPr>
                <w:sz w:val="20"/>
                <w:szCs w:val="20"/>
              </w:rPr>
            </w:pPr>
            <w:r w:rsidRPr="00FA3C4D">
              <w:rPr>
                <w:sz w:val="20"/>
                <w:szCs w:val="20"/>
              </w:rPr>
              <w:t>Solution concentrate for I.V. infusion 140 mg in 7 mL</w:t>
            </w:r>
          </w:p>
        </w:tc>
      </w:tr>
      <w:tr w:rsidR="002A4823" w:rsidRPr="00FA3C4D" w14:paraId="35AABB0E"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DB102DE"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5AC7A815"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388818A1" w14:textId="77777777" w:rsidR="002A4823" w:rsidRPr="00FA3C4D" w:rsidRDefault="002A4823" w:rsidP="004F7278">
            <w:pPr>
              <w:spacing w:after="0"/>
              <w:rPr>
                <w:sz w:val="20"/>
                <w:szCs w:val="20"/>
              </w:rPr>
            </w:pPr>
            <w:r w:rsidRPr="00FA3C4D">
              <w:rPr>
                <w:sz w:val="20"/>
                <w:szCs w:val="20"/>
              </w:rPr>
              <w:t>5463M</w:t>
            </w:r>
          </w:p>
        </w:tc>
        <w:tc>
          <w:tcPr>
            <w:tcW w:w="0" w:type="auto"/>
            <w:tcBorders>
              <w:top w:val="nil"/>
              <w:left w:val="nil"/>
              <w:bottom w:val="single" w:sz="4" w:space="0" w:color="auto"/>
              <w:right w:val="single" w:sz="4" w:space="0" w:color="auto"/>
            </w:tcBorders>
            <w:shd w:val="clear" w:color="auto" w:fill="auto"/>
            <w:hideMark/>
          </w:tcPr>
          <w:p w14:paraId="58259AA6" w14:textId="77777777" w:rsidR="002A4823" w:rsidRPr="00FA3C4D" w:rsidRDefault="002A4823" w:rsidP="004F7278">
            <w:pPr>
              <w:spacing w:after="0"/>
              <w:rPr>
                <w:sz w:val="20"/>
                <w:szCs w:val="20"/>
              </w:rPr>
            </w:pPr>
            <w:r w:rsidRPr="00FA3C4D">
              <w:rPr>
                <w:sz w:val="20"/>
                <w:szCs w:val="20"/>
              </w:rPr>
              <w:t>Solution concentrate for I.V. infusion 20 mg in 1 mL</w:t>
            </w:r>
          </w:p>
        </w:tc>
      </w:tr>
      <w:tr w:rsidR="002A4823" w:rsidRPr="00FA3C4D" w14:paraId="106C81A5"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1D6DF60"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5B44572A"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67D0D8AC" w14:textId="77777777" w:rsidR="002A4823" w:rsidRPr="00FA3C4D" w:rsidRDefault="002A4823" w:rsidP="004F7278">
            <w:pPr>
              <w:spacing w:after="0"/>
              <w:rPr>
                <w:sz w:val="20"/>
                <w:szCs w:val="20"/>
              </w:rPr>
            </w:pPr>
            <w:r w:rsidRPr="00FA3C4D">
              <w:rPr>
                <w:sz w:val="20"/>
                <w:szCs w:val="20"/>
              </w:rPr>
              <w:t>5464N</w:t>
            </w:r>
          </w:p>
        </w:tc>
        <w:tc>
          <w:tcPr>
            <w:tcW w:w="0" w:type="auto"/>
            <w:tcBorders>
              <w:top w:val="nil"/>
              <w:left w:val="nil"/>
              <w:bottom w:val="single" w:sz="4" w:space="0" w:color="auto"/>
              <w:right w:val="single" w:sz="4" w:space="0" w:color="auto"/>
            </w:tcBorders>
            <w:shd w:val="clear" w:color="auto" w:fill="auto"/>
            <w:hideMark/>
          </w:tcPr>
          <w:p w14:paraId="52152656" w14:textId="77777777" w:rsidR="002A4823" w:rsidRPr="00FA3C4D" w:rsidRDefault="002A4823" w:rsidP="004F7278">
            <w:pPr>
              <w:spacing w:after="0"/>
              <w:rPr>
                <w:sz w:val="20"/>
                <w:szCs w:val="20"/>
              </w:rPr>
            </w:pPr>
            <w:r w:rsidRPr="00FA3C4D">
              <w:rPr>
                <w:sz w:val="20"/>
                <w:szCs w:val="20"/>
              </w:rPr>
              <w:t>Solution concentrate for I.V. infusion 80 mg in 4 mL</w:t>
            </w:r>
          </w:p>
        </w:tc>
      </w:tr>
      <w:tr w:rsidR="002A4823" w:rsidRPr="00FA3C4D" w14:paraId="02ED3550"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2DB64699"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44BF2323"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73B3E175" w14:textId="77777777" w:rsidR="002A4823" w:rsidRPr="00FA3C4D" w:rsidRDefault="002A4823" w:rsidP="004F7278">
            <w:pPr>
              <w:spacing w:after="0"/>
              <w:rPr>
                <w:sz w:val="20"/>
                <w:szCs w:val="20"/>
              </w:rPr>
            </w:pPr>
            <w:r w:rsidRPr="00FA3C4D">
              <w:rPr>
                <w:sz w:val="20"/>
                <w:szCs w:val="20"/>
              </w:rPr>
              <w:t>5486R</w:t>
            </w:r>
          </w:p>
        </w:tc>
        <w:tc>
          <w:tcPr>
            <w:tcW w:w="0" w:type="auto"/>
            <w:tcBorders>
              <w:top w:val="nil"/>
              <w:left w:val="nil"/>
              <w:bottom w:val="single" w:sz="4" w:space="0" w:color="auto"/>
              <w:right w:val="single" w:sz="4" w:space="0" w:color="auto"/>
            </w:tcBorders>
            <w:shd w:val="clear" w:color="auto" w:fill="auto"/>
            <w:hideMark/>
          </w:tcPr>
          <w:p w14:paraId="56DD4D59" w14:textId="77777777" w:rsidR="002A4823" w:rsidRPr="00FA3C4D" w:rsidRDefault="002A4823" w:rsidP="004F7278">
            <w:pPr>
              <w:spacing w:after="0"/>
              <w:rPr>
                <w:sz w:val="20"/>
                <w:szCs w:val="20"/>
              </w:rPr>
            </w:pPr>
            <w:r w:rsidRPr="00FA3C4D">
              <w:rPr>
                <w:sz w:val="20"/>
                <w:szCs w:val="20"/>
              </w:rPr>
              <w:t>Solution concentrate for I.V. infusion 20 mg in 2 mL</w:t>
            </w:r>
          </w:p>
        </w:tc>
      </w:tr>
      <w:tr w:rsidR="002A4823" w:rsidRPr="00FA3C4D" w14:paraId="7436B603"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6122F9B4"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15D25EB7"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42884150" w14:textId="77777777" w:rsidR="002A4823" w:rsidRPr="00FA3C4D" w:rsidRDefault="002A4823" w:rsidP="004F7278">
            <w:pPr>
              <w:spacing w:after="0"/>
              <w:rPr>
                <w:sz w:val="20"/>
                <w:szCs w:val="20"/>
              </w:rPr>
            </w:pPr>
            <w:r w:rsidRPr="00FA3C4D">
              <w:rPr>
                <w:sz w:val="20"/>
                <w:szCs w:val="20"/>
              </w:rPr>
              <w:t>5487T</w:t>
            </w:r>
          </w:p>
        </w:tc>
        <w:tc>
          <w:tcPr>
            <w:tcW w:w="0" w:type="auto"/>
            <w:tcBorders>
              <w:top w:val="nil"/>
              <w:left w:val="nil"/>
              <w:bottom w:val="single" w:sz="4" w:space="0" w:color="auto"/>
              <w:right w:val="single" w:sz="4" w:space="0" w:color="auto"/>
            </w:tcBorders>
            <w:shd w:val="clear" w:color="auto" w:fill="auto"/>
            <w:hideMark/>
          </w:tcPr>
          <w:p w14:paraId="003E61B3" w14:textId="77777777" w:rsidR="002A4823" w:rsidRPr="00FA3C4D" w:rsidRDefault="002A4823" w:rsidP="004F7278">
            <w:pPr>
              <w:spacing w:after="0"/>
              <w:rPr>
                <w:sz w:val="20"/>
                <w:szCs w:val="20"/>
              </w:rPr>
            </w:pPr>
            <w:r w:rsidRPr="00FA3C4D">
              <w:rPr>
                <w:sz w:val="20"/>
                <w:szCs w:val="20"/>
              </w:rPr>
              <w:t>Solution concentrate for I.V. infusion 80 mg in 8 mL</w:t>
            </w:r>
          </w:p>
        </w:tc>
      </w:tr>
      <w:tr w:rsidR="002A4823" w:rsidRPr="00FA3C4D" w14:paraId="4DEB3518"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1F194D0"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5BE6E439"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43CE57DE" w14:textId="77777777" w:rsidR="002A4823" w:rsidRPr="00FA3C4D" w:rsidRDefault="002A4823" w:rsidP="004F7278">
            <w:pPr>
              <w:spacing w:after="0"/>
              <w:rPr>
                <w:sz w:val="20"/>
                <w:szCs w:val="20"/>
              </w:rPr>
            </w:pPr>
            <w:r w:rsidRPr="00FA3C4D">
              <w:rPr>
                <w:sz w:val="20"/>
                <w:szCs w:val="20"/>
              </w:rPr>
              <w:t>5585Y</w:t>
            </w:r>
          </w:p>
        </w:tc>
        <w:tc>
          <w:tcPr>
            <w:tcW w:w="0" w:type="auto"/>
            <w:tcBorders>
              <w:top w:val="nil"/>
              <w:left w:val="nil"/>
              <w:bottom w:val="single" w:sz="4" w:space="0" w:color="auto"/>
              <w:right w:val="single" w:sz="4" w:space="0" w:color="auto"/>
            </w:tcBorders>
            <w:shd w:val="clear" w:color="auto" w:fill="auto"/>
            <w:hideMark/>
          </w:tcPr>
          <w:p w14:paraId="5E0DAE79" w14:textId="77777777" w:rsidR="002A4823" w:rsidRPr="00FA3C4D" w:rsidRDefault="002A4823" w:rsidP="004F7278">
            <w:pPr>
              <w:spacing w:after="0"/>
              <w:rPr>
                <w:sz w:val="20"/>
                <w:szCs w:val="20"/>
              </w:rPr>
            </w:pPr>
            <w:r w:rsidRPr="00FA3C4D">
              <w:rPr>
                <w:sz w:val="20"/>
                <w:szCs w:val="20"/>
              </w:rPr>
              <w:t>Solution concentrate for I.V. infusion 160 mg in 16 mL</w:t>
            </w:r>
          </w:p>
        </w:tc>
      </w:tr>
      <w:tr w:rsidR="002A4823" w:rsidRPr="00FA3C4D" w14:paraId="4EE65EBF"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5360AB17"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3E90753C"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46EE5D82" w14:textId="77777777" w:rsidR="002A4823" w:rsidRPr="00FA3C4D" w:rsidRDefault="002A4823" w:rsidP="004F7278">
            <w:pPr>
              <w:spacing w:after="0"/>
              <w:rPr>
                <w:sz w:val="20"/>
                <w:szCs w:val="20"/>
              </w:rPr>
            </w:pPr>
            <w:r w:rsidRPr="00FA3C4D">
              <w:rPr>
                <w:sz w:val="20"/>
                <w:szCs w:val="20"/>
              </w:rPr>
              <w:t>5591G</w:t>
            </w:r>
          </w:p>
        </w:tc>
        <w:tc>
          <w:tcPr>
            <w:tcW w:w="0" w:type="auto"/>
            <w:tcBorders>
              <w:top w:val="nil"/>
              <w:left w:val="nil"/>
              <w:bottom w:val="single" w:sz="4" w:space="0" w:color="auto"/>
              <w:right w:val="single" w:sz="4" w:space="0" w:color="auto"/>
            </w:tcBorders>
            <w:shd w:val="clear" w:color="auto" w:fill="auto"/>
            <w:hideMark/>
          </w:tcPr>
          <w:p w14:paraId="41860E7B" w14:textId="77777777" w:rsidR="002A4823" w:rsidRPr="00FA3C4D" w:rsidRDefault="002A4823" w:rsidP="004F7278">
            <w:pPr>
              <w:spacing w:after="0"/>
              <w:rPr>
                <w:sz w:val="20"/>
                <w:szCs w:val="20"/>
              </w:rPr>
            </w:pPr>
            <w:r w:rsidRPr="00FA3C4D">
              <w:rPr>
                <w:sz w:val="20"/>
                <w:szCs w:val="20"/>
              </w:rPr>
              <w:t>Powder for I.V. infusion 20 mg with solvent</w:t>
            </w:r>
          </w:p>
        </w:tc>
      </w:tr>
      <w:tr w:rsidR="002A4823" w:rsidRPr="00FA3C4D" w14:paraId="3452A7C8"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6CDABF6"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4B4AEFC2"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14DCB4D4" w14:textId="77777777" w:rsidR="002A4823" w:rsidRPr="00FA3C4D" w:rsidRDefault="002A4823" w:rsidP="004F7278">
            <w:pPr>
              <w:spacing w:after="0"/>
              <w:rPr>
                <w:sz w:val="20"/>
                <w:szCs w:val="20"/>
              </w:rPr>
            </w:pPr>
            <w:r w:rsidRPr="00FA3C4D">
              <w:rPr>
                <w:sz w:val="20"/>
                <w:szCs w:val="20"/>
              </w:rPr>
              <w:t>5592H</w:t>
            </w:r>
          </w:p>
        </w:tc>
        <w:tc>
          <w:tcPr>
            <w:tcW w:w="0" w:type="auto"/>
            <w:tcBorders>
              <w:top w:val="nil"/>
              <w:left w:val="nil"/>
              <w:bottom w:val="single" w:sz="4" w:space="0" w:color="auto"/>
              <w:right w:val="single" w:sz="4" w:space="0" w:color="auto"/>
            </w:tcBorders>
            <w:shd w:val="clear" w:color="auto" w:fill="auto"/>
            <w:hideMark/>
          </w:tcPr>
          <w:p w14:paraId="7211EA33" w14:textId="77777777" w:rsidR="002A4823" w:rsidRPr="00FA3C4D" w:rsidRDefault="002A4823" w:rsidP="004F7278">
            <w:pPr>
              <w:spacing w:after="0"/>
              <w:rPr>
                <w:sz w:val="20"/>
                <w:szCs w:val="20"/>
              </w:rPr>
            </w:pPr>
            <w:r w:rsidRPr="00FA3C4D">
              <w:rPr>
                <w:sz w:val="20"/>
                <w:szCs w:val="20"/>
              </w:rPr>
              <w:t>Powder for I.V. infusion 80 mg with solvent</w:t>
            </w:r>
          </w:p>
        </w:tc>
      </w:tr>
      <w:tr w:rsidR="002A4823" w:rsidRPr="00FA3C4D" w14:paraId="4AA4242F"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61FB63DE"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04332F0B"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3AA061FC" w14:textId="77777777" w:rsidR="002A4823" w:rsidRPr="00FA3C4D" w:rsidRDefault="002A4823" w:rsidP="004F7278">
            <w:pPr>
              <w:spacing w:after="0"/>
              <w:rPr>
                <w:sz w:val="20"/>
                <w:szCs w:val="20"/>
              </w:rPr>
            </w:pPr>
            <w:r w:rsidRPr="00FA3C4D">
              <w:rPr>
                <w:sz w:val="20"/>
                <w:szCs w:val="20"/>
              </w:rPr>
              <w:t>5809R</w:t>
            </w:r>
          </w:p>
        </w:tc>
        <w:tc>
          <w:tcPr>
            <w:tcW w:w="0" w:type="auto"/>
            <w:tcBorders>
              <w:top w:val="nil"/>
              <w:left w:val="nil"/>
              <w:bottom w:val="single" w:sz="4" w:space="0" w:color="auto"/>
              <w:right w:val="single" w:sz="4" w:space="0" w:color="auto"/>
            </w:tcBorders>
            <w:shd w:val="clear" w:color="auto" w:fill="auto"/>
            <w:hideMark/>
          </w:tcPr>
          <w:p w14:paraId="35DBC1BC" w14:textId="77777777" w:rsidR="002A4823" w:rsidRPr="00FA3C4D" w:rsidRDefault="002A4823" w:rsidP="004F7278">
            <w:pPr>
              <w:spacing w:after="0"/>
              <w:rPr>
                <w:sz w:val="20"/>
                <w:szCs w:val="20"/>
              </w:rPr>
            </w:pPr>
            <w:r w:rsidRPr="00FA3C4D">
              <w:rPr>
                <w:sz w:val="20"/>
                <w:szCs w:val="20"/>
              </w:rPr>
              <w:t>Solution concentrate for I.V. infusion 140 mg in 7 mL</w:t>
            </w:r>
          </w:p>
        </w:tc>
      </w:tr>
      <w:tr w:rsidR="002A4823" w:rsidRPr="00FA3C4D" w14:paraId="3B7FD919"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160D0594"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0C9BC4D4"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4EDAA61F" w14:textId="77777777" w:rsidR="002A4823" w:rsidRPr="00FA3C4D" w:rsidRDefault="002A4823" w:rsidP="004F7278">
            <w:pPr>
              <w:spacing w:after="0"/>
              <w:rPr>
                <w:sz w:val="20"/>
                <w:szCs w:val="20"/>
              </w:rPr>
            </w:pPr>
            <w:r w:rsidRPr="00FA3C4D">
              <w:rPr>
                <w:sz w:val="20"/>
                <w:szCs w:val="20"/>
              </w:rPr>
              <w:t>5855E</w:t>
            </w:r>
          </w:p>
        </w:tc>
        <w:tc>
          <w:tcPr>
            <w:tcW w:w="0" w:type="auto"/>
            <w:tcBorders>
              <w:top w:val="nil"/>
              <w:left w:val="nil"/>
              <w:bottom w:val="single" w:sz="4" w:space="0" w:color="auto"/>
              <w:right w:val="single" w:sz="4" w:space="0" w:color="auto"/>
            </w:tcBorders>
            <w:shd w:val="clear" w:color="auto" w:fill="auto"/>
            <w:hideMark/>
          </w:tcPr>
          <w:p w14:paraId="3523DA70" w14:textId="77777777" w:rsidR="002A4823" w:rsidRPr="00FA3C4D" w:rsidRDefault="002A4823" w:rsidP="004F7278">
            <w:pPr>
              <w:spacing w:after="0"/>
              <w:rPr>
                <w:sz w:val="20"/>
                <w:szCs w:val="20"/>
              </w:rPr>
            </w:pPr>
            <w:r w:rsidRPr="00FA3C4D">
              <w:rPr>
                <w:sz w:val="20"/>
                <w:szCs w:val="20"/>
              </w:rPr>
              <w:t>Solution concentrate for I.V. infusion 20 mg in 1 mL</w:t>
            </w:r>
          </w:p>
        </w:tc>
      </w:tr>
      <w:tr w:rsidR="002A4823" w:rsidRPr="00FA3C4D" w14:paraId="4DE6CB47"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32B868D4" w14:textId="77777777" w:rsidR="002A4823" w:rsidRPr="00FA3C4D" w:rsidRDefault="002A4823" w:rsidP="004F7278">
            <w:pPr>
              <w:spacing w:after="0"/>
              <w:rPr>
                <w:sz w:val="20"/>
                <w:szCs w:val="20"/>
              </w:rPr>
            </w:pPr>
            <w:r w:rsidRPr="00FA3C4D">
              <w:rPr>
                <w:sz w:val="20"/>
                <w:szCs w:val="20"/>
              </w:rPr>
              <w:lastRenderedPageBreak/>
              <w:t>Docetaxel</w:t>
            </w:r>
          </w:p>
        </w:tc>
        <w:tc>
          <w:tcPr>
            <w:tcW w:w="0" w:type="auto"/>
            <w:tcBorders>
              <w:top w:val="nil"/>
              <w:left w:val="nil"/>
              <w:bottom w:val="single" w:sz="4" w:space="0" w:color="auto"/>
              <w:right w:val="single" w:sz="4" w:space="0" w:color="auto"/>
            </w:tcBorders>
            <w:shd w:val="clear" w:color="auto" w:fill="auto"/>
            <w:hideMark/>
          </w:tcPr>
          <w:p w14:paraId="679A5133"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2629F69C" w14:textId="77777777" w:rsidR="002A4823" w:rsidRPr="00FA3C4D" w:rsidRDefault="002A4823" w:rsidP="004F7278">
            <w:pPr>
              <w:spacing w:after="0"/>
              <w:rPr>
                <w:sz w:val="20"/>
                <w:szCs w:val="20"/>
              </w:rPr>
            </w:pPr>
            <w:r w:rsidRPr="00FA3C4D">
              <w:rPr>
                <w:sz w:val="20"/>
                <w:szCs w:val="20"/>
              </w:rPr>
              <w:t>5856F</w:t>
            </w:r>
          </w:p>
        </w:tc>
        <w:tc>
          <w:tcPr>
            <w:tcW w:w="0" w:type="auto"/>
            <w:tcBorders>
              <w:top w:val="nil"/>
              <w:left w:val="nil"/>
              <w:bottom w:val="single" w:sz="4" w:space="0" w:color="auto"/>
              <w:right w:val="single" w:sz="4" w:space="0" w:color="auto"/>
            </w:tcBorders>
            <w:shd w:val="clear" w:color="auto" w:fill="auto"/>
            <w:hideMark/>
          </w:tcPr>
          <w:p w14:paraId="32E6736C" w14:textId="77777777" w:rsidR="002A4823" w:rsidRPr="00FA3C4D" w:rsidRDefault="002A4823" w:rsidP="004F7278">
            <w:pPr>
              <w:spacing w:after="0"/>
              <w:rPr>
                <w:sz w:val="20"/>
                <w:szCs w:val="20"/>
              </w:rPr>
            </w:pPr>
            <w:r w:rsidRPr="00FA3C4D">
              <w:rPr>
                <w:sz w:val="20"/>
                <w:szCs w:val="20"/>
              </w:rPr>
              <w:t>Solution concentrate for I.V. infusion 80 mg in 4 mL</w:t>
            </w:r>
          </w:p>
        </w:tc>
      </w:tr>
      <w:tr w:rsidR="002A4823" w:rsidRPr="00FA3C4D" w14:paraId="2331D096"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2A1142DA"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733E79C9"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3ED316FF" w14:textId="77777777" w:rsidR="002A4823" w:rsidRPr="00FA3C4D" w:rsidRDefault="002A4823" w:rsidP="004F7278">
            <w:pPr>
              <w:spacing w:after="0"/>
              <w:rPr>
                <w:sz w:val="20"/>
                <w:szCs w:val="20"/>
              </w:rPr>
            </w:pPr>
            <w:r w:rsidRPr="00FA3C4D">
              <w:rPr>
                <w:sz w:val="20"/>
                <w:szCs w:val="20"/>
              </w:rPr>
              <w:t>5860K</w:t>
            </w:r>
          </w:p>
        </w:tc>
        <w:tc>
          <w:tcPr>
            <w:tcW w:w="0" w:type="auto"/>
            <w:tcBorders>
              <w:top w:val="nil"/>
              <w:left w:val="nil"/>
              <w:bottom w:val="single" w:sz="4" w:space="0" w:color="auto"/>
              <w:right w:val="single" w:sz="4" w:space="0" w:color="auto"/>
            </w:tcBorders>
            <w:shd w:val="clear" w:color="auto" w:fill="auto"/>
            <w:hideMark/>
          </w:tcPr>
          <w:p w14:paraId="4325FB98" w14:textId="77777777" w:rsidR="002A4823" w:rsidRPr="00FA3C4D" w:rsidRDefault="002A4823" w:rsidP="004F7278">
            <w:pPr>
              <w:spacing w:after="0"/>
              <w:rPr>
                <w:sz w:val="20"/>
                <w:szCs w:val="20"/>
              </w:rPr>
            </w:pPr>
            <w:r w:rsidRPr="00FA3C4D">
              <w:rPr>
                <w:sz w:val="20"/>
                <w:szCs w:val="20"/>
              </w:rPr>
              <w:t>Solution concentrate for I.V. infusion 20 mg in 2 mL</w:t>
            </w:r>
          </w:p>
        </w:tc>
      </w:tr>
      <w:tr w:rsidR="002A4823" w:rsidRPr="00FA3C4D" w14:paraId="3B426B3D"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491BC037"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48A9E0E3"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38253550" w14:textId="77777777" w:rsidR="002A4823" w:rsidRPr="00FA3C4D" w:rsidRDefault="002A4823" w:rsidP="004F7278">
            <w:pPr>
              <w:spacing w:after="0"/>
              <w:rPr>
                <w:sz w:val="20"/>
                <w:szCs w:val="20"/>
              </w:rPr>
            </w:pPr>
            <w:r w:rsidRPr="00FA3C4D">
              <w:rPr>
                <w:sz w:val="20"/>
                <w:szCs w:val="20"/>
              </w:rPr>
              <w:t>5861L</w:t>
            </w:r>
          </w:p>
        </w:tc>
        <w:tc>
          <w:tcPr>
            <w:tcW w:w="0" w:type="auto"/>
            <w:tcBorders>
              <w:top w:val="nil"/>
              <w:left w:val="nil"/>
              <w:bottom w:val="single" w:sz="4" w:space="0" w:color="auto"/>
              <w:right w:val="single" w:sz="4" w:space="0" w:color="auto"/>
            </w:tcBorders>
            <w:shd w:val="clear" w:color="auto" w:fill="auto"/>
            <w:hideMark/>
          </w:tcPr>
          <w:p w14:paraId="067B1788" w14:textId="77777777" w:rsidR="002A4823" w:rsidRPr="00FA3C4D" w:rsidRDefault="002A4823" w:rsidP="004F7278">
            <w:pPr>
              <w:spacing w:after="0"/>
              <w:rPr>
                <w:sz w:val="20"/>
                <w:szCs w:val="20"/>
              </w:rPr>
            </w:pPr>
            <w:r w:rsidRPr="00FA3C4D">
              <w:rPr>
                <w:sz w:val="20"/>
                <w:szCs w:val="20"/>
              </w:rPr>
              <w:t>Solution concentrate for I.V. infusion 80 mg in 8 mL</w:t>
            </w:r>
          </w:p>
        </w:tc>
      </w:tr>
      <w:tr w:rsidR="002A4823" w:rsidRPr="00FA3C4D" w14:paraId="5725B6EC"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E18CACA"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18289A1A"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68AC8E84" w14:textId="77777777" w:rsidR="002A4823" w:rsidRPr="00FA3C4D" w:rsidRDefault="002A4823" w:rsidP="004F7278">
            <w:pPr>
              <w:spacing w:after="0"/>
              <w:rPr>
                <w:sz w:val="20"/>
                <w:szCs w:val="20"/>
              </w:rPr>
            </w:pPr>
            <w:r w:rsidRPr="00FA3C4D">
              <w:rPr>
                <w:sz w:val="20"/>
                <w:szCs w:val="20"/>
              </w:rPr>
              <w:t>5862M</w:t>
            </w:r>
          </w:p>
        </w:tc>
        <w:tc>
          <w:tcPr>
            <w:tcW w:w="0" w:type="auto"/>
            <w:tcBorders>
              <w:top w:val="nil"/>
              <w:left w:val="nil"/>
              <w:bottom w:val="single" w:sz="4" w:space="0" w:color="auto"/>
              <w:right w:val="single" w:sz="4" w:space="0" w:color="auto"/>
            </w:tcBorders>
            <w:shd w:val="clear" w:color="auto" w:fill="auto"/>
            <w:hideMark/>
          </w:tcPr>
          <w:p w14:paraId="3EE44B33" w14:textId="77777777" w:rsidR="002A4823" w:rsidRPr="00FA3C4D" w:rsidRDefault="002A4823" w:rsidP="004F7278">
            <w:pPr>
              <w:spacing w:after="0"/>
              <w:rPr>
                <w:sz w:val="20"/>
                <w:szCs w:val="20"/>
              </w:rPr>
            </w:pPr>
            <w:r w:rsidRPr="00FA3C4D">
              <w:rPr>
                <w:sz w:val="20"/>
                <w:szCs w:val="20"/>
              </w:rPr>
              <w:t>Solution concentrate for I.V. infusion 160 mg in 16 mL</w:t>
            </w:r>
          </w:p>
        </w:tc>
      </w:tr>
      <w:tr w:rsidR="002A4823" w:rsidRPr="00FA3C4D" w14:paraId="03E6D314"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5CE75BF1"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32BF0F15"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66B26CFF" w14:textId="77777777" w:rsidR="002A4823" w:rsidRPr="00FA3C4D" w:rsidRDefault="002A4823" w:rsidP="004F7278">
            <w:pPr>
              <w:spacing w:after="0"/>
              <w:rPr>
                <w:sz w:val="20"/>
                <w:szCs w:val="20"/>
              </w:rPr>
            </w:pPr>
            <w:r w:rsidRPr="00FA3C4D">
              <w:rPr>
                <w:sz w:val="20"/>
                <w:szCs w:val="20"/>
              </w:rPr>
              <w:t>5921P</w:t>
            </w:r>
          </w:p>
        </w:tc>
        <w:tc>
          <w:tcPr>
            <w:tcW w:w="0" w:type="auto"/>
            <w:tcBorders>
              <w:top w:val="nil"/>
              <w:left w:val="nil"/>
              <w:bottom w:val="single" w:sz="4" w:space="0" w:color="auto"/>
              <w:right w:val="single" w:sz="4" w:space="0" w:color="auto"/>
            </w:tcBorders>
            <w:shd w:val="clear" w:color="auto" w:fill="auto"/>
            <w:hideMark/>
          </w:tcPr>
          <w:p w14:paraId="660C60B4" w14:textId="77777777" w:rsidR="002A4823" w:rsidRPr="00FA3C4D" w:rsidRDefault="002A4823" w:rsidP="004F7278">
            <w:pPr>
              <w:spacing w:after="0"/>
              <w:rPr>
                <w:sz w:val="20"/>
                <w:szCs w:val="20"/>
              </w:rPr>
            </w:pPr>
            <w:r w:rsidRPr="00FA3C4D">
              <w:rPr>
                <w:sz w:val="20"/>
                <w:szCs w:val="20"/>
              </w:rPr>
              <w:t>Injection set containing 1 single use vial concentrate for I.V. infusion 20 mg (anhydrous) in 0.5 mL with solvent</w:t>
            </w:r>
          </w:p>
        </w:tc>
      </w:tr>
      <w:tr w:rsidR="002A4823" w:rsidRPr="00FA3C4D" w14:paraId="646E49DC"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493C5924"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2B34A0BB"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1D06F9EE" w14:textId="77777777" w:rsidR="002A4823" w:rsidRPr="00FA3C4D" w:rsidRDefault="002A4823" w:rsidP="004F7278">
            <w:pPr>
              <w:spacing w:after="0"/>
              <w:rPr>
                <w:sz w:val="20"/>
                <w:szCs w:val="20"/>
              </w:rPr>
            </w:pPr>
            <w:r w:rsidRPr="00FA3C4D">
              <w:rPr>
                <w:sz w:val="20"/>
                <w:szCs w:val="20"/>
              </w:rPr>
              <w:t>5922Q</w:t>
            </w:r>
          </w:p>
        </w:tc>
        <w:tc>
          <w:tcPr>
            <w:tcW w:w="0" w:type="auto"/>
            <w:tcBorders>
              <w:top w:val="nil"/>
              <w:left w:val="nil"/>
              <w:bottom w:val="single" w:sz="4" w:space="0" w:color="auto"/>
              <w:right w:val="single" w:sz="4" w:space="0" w:color="auto"/>
            </w:tcBorders>
            <w:shd w:val="clear" w:color="auto" w:fill="auto"/>
            <w:hideMark/>
          </w:tcPr>
          <w:p w14:paraId="2FAEEAB1" w14:textId="77777777" w:rsidR="002A4823" w:rsidRPr="00FA3C4D" w:rsidRDefault="002A4823" w:rsidP="004F7278">
            <w:pPr>
              <w:spacing w:after="0"/>
              <w:rPr>
                <w:sz w:val="20"/>
                <w:szCs w:val="20"/>
              </w:rPr>
            </w:pPr>
            <w:r w:rsidRPr="00FA3C4D">
              <w:rPr>
                <w:sz w:val="20"/>
                <w:szCs w:val="20"/>
              </w:rPr>
              <w:t>Injection set containing 1 single use vial concentrate for I.V. infusion 80 mg (anhydrous) in 2 mL with solvent</w:t>
            </w:r>
          </w:p>
        </w:tc>
      </w:tr>
      <w:tr w:rsidR="002A4823" w:rsidRPr="00FA3C4D" w14:paraId="0CF0FC8A"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6147AA6"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0AB22A91"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7017C4AE" w14:textId="77777777" w:rsidR="002A4823" w:rsidRPr="00FA3C4D" w:rsidRDefault="002A4823" w:rsidP="004F7278">
            <w:pPr>
              <w:spacing w:after="0"/>
              <w:rPr>
                <w:sz w:val="20"/>
                <w:szCs w:val="20"/>
              </w:rPr>
            </w:pPr>
            <w:r w:rsidRPr="00FA3C4D">
              <w:rPr>
                <w:sz w:val="20"/>
                <w:szCs w:val="20"/>
              </w:rPr>
              <w:t>7285K</w:t>
            </w:r>
          </w:p>
        </w:tc>
        <w:tc>
          <w:tcPr>
            <w:tcW w:w="0" w:type="auto"/>
            <w:tcBorders>
              <w:top w:val="nil"/>
              <w:left w:val="nil"/>
              <w:bottom w:val="single" w:sz="4" w:space="0" w:color="auto"/>
              <w:right w:val="single" w:sz="4" w:space="0" w:color="auto"/>
            </w:tcBorders>
            <w:shd w:val="clear" w:color="auto" w:fill="auto"/>
            <w:hideMark/>
          </w:tcPr>
          <w:p w14:paraId="5AE13667" w14:textId="77777777" w:rsidR="002A4823" w:rsidRPr="00FA3C4D" w:rsidRDefault="002A4823" w:rsidP="004F7278">
            <w:pPr>
              <w:spacing w:after="0"/>
              <w:rPr>
                <w:sz w:val="20"/>
                <w:szCs w:val="20"/>
              </w:rPr>
            </w:pPr>
            <w:r w:rsidRPr="00FA3C4D">
              <w:rPr>
                <w:sz w:val="20"/>
                <w:szCs w:val="20"/>
              </w:rPr>
              <w:t>Solution concentrate for I.V. infusion 160 mg in 16 mL</w:t>
            </w:r>
          </w:p>
        </w:tc>
      </w:tr>
      <w:tr w:rsidR="002A4823" w:rsidRPr="00FA3C4D" w14:paraId="0484BE8A"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1414FBEC"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041152A5"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279C497A" w14:textId="77777777" w:rsidR="002A4823" w:rsidRPr="00FA3C4D" w:rsidRDefault="002A4823" w:rsidP="004F7278">
            <w:pPr>
              <w:spacing w:after="0"/>
              <w:rPr>
                <w:sz w:val="20"/>
                <w:szCs w:val="20"/>
              </w:rPr>
            </w:pPr>
            <w:r w:rsidRPr="00FA3C4D">
              <w:rPr>
                <w:sz w:val="20"/>
                <w:szCs w:val="20"/>
              </w:rPr>
              <w:t>8071T</w:t>
            </w:r>
          </w:p>
        </w:tc>
        <w:tc>
          <w:tcPr>
            <w:tcW w:w="0" w:type="auto"/>
            <w:tcBorders>
              <w:top w:val="nil"/>
              <w:left w:val="nil"/>
              <w:bottom w:val="single" w:sz="4" w:space="0" w:color="auto"/>
              <w:right w:val="single" w:sz="4" w:space="0" w:color="auto"/>
            </w:tcBorders>
            <w:shd w:val="clear" w:color="auto" w:fill="auto"/>
            <w:hideMark/>
          </w:tcPr>
          <w:p w14:paraId="31BB9660" w14:textId="77777777" w:rsidR="002A4823" w:rsidRPr="00FA3C4D" w:rsidRDefault="002A4823" w:rsidP="004F7278">
            <w:pPr>
              <w:spacing w:after="0"/>
              <w:rPr>
                <w:sz w:val="20"/>
                <w:szCs w:val="20"/>
              </w:rPr>
            </w:pPr>
            <w:r w:rsidRPr="00FA3C4D">
              <w:rPr>
                <w:sz w:val="20"/>
                <w:szCs w:val="20"/>
              </w:rPr>
              <w:t>Injection set containing 1 single use vial concentrate for I.V. infusion 20 mg (anhydrous) in 0.5 mL with solvent</w:t>
            </w:r>
          </w:p>
        </w:tc>
      </w:tr>
      <w:tr w:rsidR="002A4823" w:rsidRPr="00FA3C4D" w14:paraId="511C88A6"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738E698E"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397459FB"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3FACD384" w14:textId="77777777" w:rsidR="002A4823" w:rsidRPr="00FA3C4D" w:rsidRDefault="002A4823" w:rsidP="004F7278">
            <w:pPr>
              <w:spacing w:after="0"/>
              <w:rPr>
                <w:sz w:val="20"/>
                <w:szCs w:val="20"/>
              </w:rPr>
            </w:pPr>
            <w:r w:rsidRPr="00FA3C4D">
              <w:rPr>
                <w:sz w:val="20"/>
                <w:szCs w:val="20"/>
              </w:rPr>
              <w:t>8074Y</w:t>
            </w:r>
          </w:p>
        </w:tc>
        <w:tc>
          <w:tcPr>
            <w:tcW w:w="0" w:type="auto"/>
            <w:tcBorders>
              <w:top w:val="nil"/>
              <w:left w:val="nil"/>
              <w:bottom w:val="single" w:sz="4" w:space="0" w:color="auto"/>
              <w:right w:val="single" w:sz="4" w:space="0" w:color="auto"/>
            </w:tcBorders>
            <w:shd w:val="clear" w:color="auto" w:fill="auto"/>
            <w:hideMark/>
          </w:tcPr>
          <w:p w14:paraId="643B46EB" w14:textId="77777777" w:rsidR="002A4823" w:rsidRPr="00FA3C4D" w:rsidRDefault="002A4823" w:rsidP="004F7278">
            <w:pPr>
              <w:spacing w:after="0"/>
              <w:rPr>
                <w:sz w:val="20"/>
                <w:szCs w:val="20"/>
              </w:rPr>
            </w:pPr>
            <w:r w:rsidRPr="00FA3C4D">
              <w:rPr>
                <w:sz w:val="20"/>
                <w:szCs w:val="20"/>
              </w:rPr>
              <w:t>Injection set containing 1 single use vial concentrate for I.V. infusion 80 mg (anhydrous) in 2 mL with solvent</w:t>
            </w:r>
          </w:p>
        </w:tc>
      </w:tr>
      <w:tr w:rsidR="002A4823" w:rsidRPr="00FA3C4D" w14:paraId="31325036"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4EB33BFE" w14:textId="77777777" w:rsidR="002A4823" w:rsidRPr="00FA3C4D" w:rsidRDefault="002A4823" w:rsidP="004F7278">
            <w:pPr>
              <w:spacing w:after="0"/>
              <w:rPr>
                <w:sz w:val="20"/>
                <w:szCs w:val="20"/>
              </w:rPr>
            </w:pPr>
            <w:r w:rsidRPr="00FA3C4D">
              <w:rPr>
                <w:sz w:val="20"/>
                <w:szCs w:val="20"/>
              </w:rPr>
              <w:t>Docetaxel</w:t>
            </w:r>
          </w:p>
        </w:tc>
        <w:tc>
          <w:tcPr>
            <w:tcW w:w="0" w:type="auto"/>
            <w:tcBorders>
              <w:top w:val="nil"/>
              <w:left w:val="nil"/>
              <w:bottom w:val="single" w:sz="4" w:space="0" w:color="auto"/>
              <w:right w:val="single" w:sz="4" w:space="0" w:color="auto"/>
            </w:tcBorders>
            <w:shd w:val="clear" w:color="auto" w:fill="auto"/>
            <w:hideMark/>
          </w:tcPr>
          <w:p w14:paraId="4D116A7F" w14:textId="77777777" w:rsidR="002A4823" w:rsidRPr="00FA3C4D" w:rsidRDefault="002A4823" w:rsidP="004F7278">
            <w:pPr>
              <w:spacing w:after="0"/>
              <w:rPr>
                <w:sz w:val="20"/>
                <w:szCs w:val="20"/>
              </w:rPr>
            </w:pPr>
            <w:r w:rsidRPr="00FA3C4D">
              <w:rPr>
                <w:sz w:val="20"/>
                <w:szCs w:val="20"/>
              </w:rPr>
              <w:t>Taxanes</w:t>
            </w:r>
          </w:p>
        </w:tc>
        <w:tc>
          <w:tcPr>
            <w:tcW w:w="0" w:type="auto"/>
            <w:tcBorders>
              <w:top w:val="nil"/>
              <w:left w:val="nil"/>
              <w:bottom w:val="single" w:sz="4" w:space="0" w:color="auto"/>
              <w:right w:val="single" w:sz="4" w:space="0" w:color="auto"/>
            </w:tcBorders>
            <w:shd w:val="clear" w:color="auto" w:fill="auto"/>
            <w:hideMark/>
          </w:tcPr>
          <w:p w14:paraId="302F6134" w14:textId="77777777" w:rsidR="002A4823" w:rsidRPr="00FA3C4D" w:rsidRDefault="002A4823" w:rsidP="004F7278">
            <w:pPr>
              <w:spacing w:after="0"/>
              <w:rPr>
                <w:sz w:val="20"/>
                <w:szCs w:val="20"/>
              </w:rPr>
            </w:pPr>
            <w:r w:rsidRPr="00FA3C4D">
              <w:rPr>
                <w:sz w:val="20"/>
                <w:szCs w:val="20"/>
              </w:rPr>
              <w:t>8967Y</w:t>
            </w:r>
          </w:p>
        </w:tc>
        <w:tc>
          <w:tcPr>
            <w:tcW w:w="0" w:type="auto"/>
            <w:tcBorders>
              <w:top w:val="nil"/>
              <w:left w:val="nil"/>
              <w:bottom w:val="single" w:sz="4" w:space="0" w:color="auto"/>
              <w:right w:val="single" w:sz="4" w:space="0" w:color="auto"/>
            </w:tcBorders>
            <w:shd w:val="clear" w:color="auto" w:fill="auto"/>
            <w:hideMark/>
          </w:tcPr>
          <w:p w14:paraId="24B0E447" w14:textId="77777777" w:rsidR="002A4823" w:rsidRPr="00FA3C4D" w:rsidRDefault="002A4823" w:rsidP="004F7278">
            <w:pPr>
              <w:spacing w:after="0"/>
              <w:rPr>
                <w:sz w:val="20"/>
                <w:szCs w:val="20"/>
              </w:rPr>
            </w:pPr>
            <w:r w:rsidRPr="00FA3C4D">
              <w:rPr>
                <w:sz w:val="20"/>
                <w:szCs w:val="20"/>
              </w:rPr>
              <w:t>Solution concentrate for I.V. infusion 160 mg in 16 mL</w:t>
            </w:r>
          </w:p>
        </w:tc>
      </w:tr>
      <w:tr w:rsidR="002A4823" w:rsidRPr="00FA3C4D" w14:paraId="1B6C68A2"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23BE7FA" w14:textId="77777777" w:rsidR="002A4823" w:rsidRPr="00FA3C4D" w:rsidRDefault="002A4823" w:rsidP="004F7278">
            <w:pPr>
              <w:spacing w:after="0"/>
              <w:rPr>
                <w:sz w:val="20"/>
                <w:szCs w:val="20"/>
              </w:rPr>
            </w:pPr>
            <w:r w:rsidRPr="00FA3C4D">
              <w:rPr>
                <w:sz w:val="20"/>
                <w:szCs w:val="20"/>
              </w:rPr>
              <w:t>Enzalutamide</w:t>
            </w:r>
          </w:p>
        </w:tc>
        <w:tc>
          <w:tcPr>
            <w:tcW w:w="0" w:type="auto"/>
            <w:tcBorders>
              <w:top w:val="nil"/>
              <w:left w:val="nil"/>
              <w:bottom w:val="single" w:sz="4" w:space="0" w:color="auto"/>
              <w:right w:val="single" w:sz="4" w:space="0" w:color="auto"/>
            </w:tcBorders>
            <w:shd w:val="clear" w:color="auto" w:fill="auto"/>
            <w:hideMark/>
          </w:tcPr>
          <w:p w14:paraId="7F3F6325" w14:textId="77777777" w:rsidR="002A4823" w:rsidRPr="00FA3C4D" w:rsidRDefault="002A4823" w:rsidP="004F7278">
            <w:pPr>
              <w:spacing w:after="0"/>
              <w:rPr>
                <w:sz w:val="20"/>
                <w:szCs w:val="20"/>
              </w:rPr>
            </w:pPr>
            <w:r w:rsidRPr="00FA3C4D">
              <w:rPr>
                <w:sz w:val="20"/>
                <w:szCs w:val="20"/>
              </w:rPr>
              <w:t>Anti-androgens</w:t>
            </w:r>
          </w:p>
        </w:tc>
        <w:tc>
          <w:tcPr>
            <w:tcW w:w="0" w:type="auto"/>
            <w:tcBorders>
              <w:top w:val="nil"/>
              <w:left w:val="nil"/>
              <w:bottom w:val="single" w:sz="4" w:space="0" w:color="auto"/>
              <w:right w:val="single" w:sz="4" w:space="0" w:color="auto"/>
            </w:tcBorders>
            <w:shd w:val="clear" w:color="auto" w:fill="auto"/>
            <w:hideMark/>
          </w:tcPr>
          <w:p w14:paraId="3DCB6FE9" w14:textId="77777777" w:rsidR="002A4823" w:rsidRPr="00FA3C4D" w:rsidRDefault="002A4823" w:rsidP="004F7278">
            <w:pPr>
              <w:spacing w:after="0"/>
              <w:rPr>
                <w:sz w:val="20"/>
                <w:szCs w:val="20"/>
              </w:rPr>
            </w:pPr>
            <w:r w:rsidRPr="00FA3C4D">
              <w:rPr>
                <w:sz w:val="20"/>
                <w:szCs w:val="20"/>
              </w:rPr>
              <w:t>10174L</w:t>
            </w:r>
          </w:p>
        </w:tc>
        <w:tc>
          <w:tcPr>
            <w:tcW w:w="0" w:type="auto"/>
            <w:tcBorders>
              <w:top w:val="nil"/>
              <w:left w:val="nil"/>
              <w:bottom w:val="single" w:sz="4" w:space="0" w:color="auto"/>
              <w:right w:val="single" w:sz="4" w:space="0" w:color="auto"/>
            </w:tcBorders>
            <w:shd w:val="clear" w:color="auto" w:fill="auto"/>
            <w:hideMark/>
          </w:tcPr>
          <w:p w14:paraId="40912605" w14:textId="77777777" w:rsidR="002A4823" w:rsidRPr="00FA3C4D" w:rsidRDefault="002A4823" w:rsidP="004F7278">
            <w:pPr>
              <w:spacing w:after="0"/>
              <w:rPr>
                <w:sz w:val="20"/>
                <w:szCs w:val="20"/>
              </w:rPr>
            </w:pPr>
            <w:r w:rsidRPr="00FA3C4D">
              <w:rPr>
                <w:sz w:val="20"/>
                <w:szCs w:val="20"/>
              </w:rPr>
              <w:t>Capsule 40 mg</w:t>
            </w:r>
          </w:p>
        </w:tc>
      </w:tr>
      <w:tr w:rsidR="002A4823" w:rsidRPr="00FA3C4D" w14:paraId="2638B152"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28F6C806" w14:textId="77777777" w:rsidR="002A4823" w:rsidRPr="00FA3C4D" w:rsidRDefault="002A4823" w:rsidP="004F7278">
            <w:pPr>
              <w:spacing w:after="0"/>
              <w:rPr>
                <w:sz w:val="20"/>
                <w:szCs w:val="20"/>
              </w:rPr>
            </w:pPr>
            <w:r w:rsidRPr="00FA3C4D">
              <w:rPr>
                <w:sz w:val="20"/>
                <w:szCs w:val="20"/>
              </w:rPr>
              <w:t>Flutamide</w:t>
            </w:r>
          </w:p>
        </w:tc>
        <w:tc>
          <w:tcPr>
            <w:tcW w:w="0" w:type="auto"/>
            <w:tcBorders>
              <w:top w:val="nil"/>
              <w:left w:val="nil"/>
              <w:bottom w:val="single" w:sz="4" w:space="0" w:color="auto"/>
              <w:right w:val="single" w:sz="4" w:space="0" w:color="auto"/>
            </w:tcBorders>
            <w:shd w:val="clear" w:color="auto" w:fill="auto"/>
            <w:hideMark/>
          </w:tcPr>
          <w:p w14:paraId="1E64585C" w14:textId="77777777" w:rsidR="002A4823" w:rsidRPr="00FA3C4D" w:rsidRDefault="002A4823" w:rsidP="004F7278">
            <w:pPr>
              <w:spacing w:after="0"/>
              <w:rPr>
                <w:sz w:val="20"/>
                <w:szCs w:val="20"/>
              </w:rPr>
            </w:pPr>
            <w:r w:rsidRPr="00FA3C4D">
              <w:rPr>
                <w:sz w:val="20"/>
                <w:szCs w:val="20"/>
              </w:rPr>
              <w:t>Anti-androgens</w:t>
            </w:r>
          </w:p>
        </w:tc>
        <w:tc>
          <w:tcPr>
            <w:tcW w:w="0" w:type="auto"/>
            <w:tcBorders>
              <w:top w:val="nil"/>
              <w:left w:val="nil"/>
              <w:bottom w:val="single" w:sz="4" w:space="0" w:color="auto"/>
              <w:right w:val="single" w:sz="4" w:space="0" w:color="auto"/>
            </w:tcBorders>
            <w:shd w:val="clear" w:color="auto" w:fill="auto"/>
            <w:hideMark/>
          </w:tcPr>
          <w:p w14:paraId="0A9E9485" w14:textId="77777777" w:rsidR="002A4823" w:rsidRPr="00FA3C4D" w:rsidRDefault="002A4823" w:rsidP="004F7278">
            <w:pPr>
              <w:spacing w:after="0"/>
              <w:rPr>
                <w:sz w:val="20"/>
                <w:szCs w:val="20"/>
              </w:rPr>
            </w:pPr>
            <w:r w:rsidRPr="00FA3C4D">
              <w:rPr>
                <w:sz w:val="20"/>
                <w:szCs w:val="20"/>
              </w:rPr>
              <w:t>1417N</w:t>
            </w:r>
          </w:p>
        </w:tc>
        <w:tc>
          <w:tcPr>
            <w:tcW w:w="0" w:type="auto"/>
            <w:tcBorders>
              <w:top w:val="nil"/>
              <w:left w:val="nil"/>
              <w:bottom w:val="single" w:sz="4" w:space="0" w:color="auto"/>
              <w:right w:val="single" w:sz="4" w:space="0" w:color="auto"/>
            </w:tcBorders>
            <w:shd w:val="clear" w:color="auto" w:fill="auto"/>
            <w:hideMark/>
          </w:tcPr>
          <w:p w14:paraId="00B476A8" w14:textId="77777777" w:rsidR="002A4823" w:rsidRPr="00FA3C4D" w:rsidRDefault="002A4823" w:rsidP="004F7278">
            <w:pPr>
              <w:spacing w:after="0"/>
              <w:rPr>
                <w:sz w:val="20"/>
                <w:szCs w:val="20"/>
              </w:rPr>
            </w:pPr>
            <w:r w:rsidRPr="00FA3C4D">
              <w:rPr>
                <w:sz w:val="20"/>
                <w:szCs w:val="20"/>
              </w:rPr>
              <w:t>Tablet 250 mg</w:t>
            </w:r>
          </w:p>
        </w:tc>
      </w:tr>
      <w:tr w:rsidR="002A4823" w:rsidRPr="00FA3C4D" w14:paraId="153F17E5"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7F769A9" w14:textId="77777777" w:rsidR="002A4823" w:rsidRPr="00FA3C4D" w:rsidRDefault="002A4823" w:rsidP="004F7278">
            <w:pPr>
              <w:spacing w:after="0"/>
              <w:rPr>
                <w:sz w:val="20"/>
                <w:szCs w:val="20"/>
              </w:rPr>
            </w:pPr>
            <w:r w:rsidRPr="00FA3C4D">
              <w:rPr>
                <w:sz w:val="20"/>
                <w:szCs w:val="20"/>
              </w:rPr>
              <w:t>Goserelin</w:t>
            </w:r>
          </w:p>
        </w:tc>
        <w:tc>
          <w:tcPr>
            <w:tcW w:w="0" w:type="auto"/>
            <w:tcBorders>
              <w:top w:val="nil"/>
              <w:left w:val="nil"/>
              <w:bottom w:val="single" w:sz="4" w:space="0" w:color="auto"/>
              <w:right w:val="single" w:sz="4" w:space="0" w:color="auto"/>
            </w:tcBorders>
            <w:shd w:val="clear" w:color="auto" w:fill="auto"/>
            <w:hideMark/>
          </w:tcPr>
          <w:p w14:paraId="199D59B1"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44869CA3" w14:textId="77777777" w:rsidR="002A4823" w:rsidRPr="00FA3C4D" w:rsidRDefault="002A4823" w:rsidP="004F7278">
            <w:pPr>
              <w:spacing w:after="0"/>
              <w:rPr>
                <w:sz w:val="20"/>
                <w:szCs w:val="20"/>
              </w:rPr>
            </w:pPr>
            <w:r w:rsidRPr="00FA3C4D">
              <w:rPr>
                <w:sz w:val="20"/>
                <w:szCs w:val="20"/>
              </w:rPr>
              <w:t>1454M</w:t>
            </w:r>
          </w:p>
        </w:tc>
        <w:tc>
          <w:tcPr>
            <w:tcW w:w="0" w:type="auto"/>
            <w:tcBorders>
              <w:top w:val="nil"/>
              <w:left w:val="nil"/>
              <w:bottom w:val="single" w:sz="4" w:space="0" w:color="auto"/>
              <w:right w:val="single" w:sz="4" w:space="0" w:color="auto"/>
            </w:tcBorders>
            <w:shd w:val="clear" w:color="auto" w:fill="auto"/>
            <w:hideMark/>
          </w:tcPr>
          <w:p w14:paraId="7B340209" w14:textId="77777777" w:rsidR="002A4823" w:rsidRPr="00FA3C4D" w:rsidRDefault="002A4823" w:rsidP="004F7278">
            <w:pPr>
              <w:spacing w:after="0"/>
              <w:rPr>
                <w:sz w:val="20"/>
                <w:szCs w:val="20"/>
              </w:rPr>
            </w:pPr>
            <w:r w:rsidRPr="00FA3C4D">
              <w:rPr>
                <w:sz w:val="20"/>
                <w:szCs w:val="20"/>
              </w:rPr>
              <w:t>Subcutaneous implant 3.6 mg (as acetate) in pre-filled injection syringe</w:t>
            </w:r>
          </w:p>
        </w:tc>
      </w:tr>
      <w:tr w:rsidR="002A4823" w:rsidRPr="00FA3C4D" w14:paraId="7FDD4381"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30847300" w14:textId="77777777" w:rsidR="002A4823" w:rsidRPr="00FA3C4D" w:rsidRDefault="002A4823" w:rsidP="004F7278">
            <w:pPr>
              <w:spacing w:after="0"/>
              <w:rPr>
                <w:sz w:val="20"/>
                <w:szCs w:val="20"/>
              </w:rPr>
            </w:pPr>
            <w:r w:rsidRPr="00FA3C4D">
              <w:rPr>
                <w:sz w:val="20"/>
                <w:szCs w:val="20"/>
              </w:rPr>
              <w:t>Goserelin</w:t>
            </w:r>
          </w:p>
        </w:tc>
        <w:tc>
          <w:tcPr>
            <w:tcW w:w="0" w:type="auto"/>
            <w:tcBorders>
              <w:top w:val="nil"/>
              <w:left w:val="nil"/>
              <w:bottom w:val="single" w:sz="4" w:space="0" w:color="auto"/>
              <w:right w:val="single" w:sz="4" w:space="0" w:color="auto"/>
            </w:tcBorders>
            <w:shd w:val="clear" w:color="auto" w:fill="auto"/>
            <w:hideMark/>
          </w:tcPr>
          <w:p w14:paraId="643C936D"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02F0A0EE" w14:textId="77777777" w:rsidR="002A4823" w:rsidRPr="00FA3C4D" w:rsidRDefault="002A4823" w:rsidP="004F7278">
            <w:pPr>
              <w:spacing w:after="0"/>
              <w:rPr>
                <w:sz w:val="20"/>
                <w:szCs w:val="20"/>
              </w:rPr>
            </w:pPr>
            <w:r w:rsidRPr="00FA3C4D">
              <w:rPr>
                <w:sz w:val="20"/>
                <w:szCs w:val="20"/>
              </w:rPr>
              <w:t>8093Y</w:t>
            </w:r>
          </w:p>
        </w:tc>
        <w:tc>
          <w:tcPr>
            <w:tcW w:w="0" w:type="auto"/>
            <w:tcBorders>
              <w:top w:val="nil"/>
              <w:left w:val="nil"/>
              <w:bottom w:val="single" w:sz="4" w:space="0" w:color="auto"/>
              <w:right w:val="single" w:sz="4" w:space="0" w:color="auto"/>
            </w:tcBorders>
            <w:shd w:val="clear" w:color="auto" w:fill="auto"/>
            <w:hideMark/>
          </w:tcPr>
          <w:p w14:paraId="645A8640" w14:textId="77777777" w:rsidR="002A4823" w:rsidRPr="00FA3C4D" w:rsidRDefault="002A4823" w:rsidP="004F7278">
            <w:pPr>
              <w:spacing w:after="0"/>
              <w:rPr>
                <w:sz w:val="20"/>
                <w:szCs w:val="20"/>
              </w:rPr>
            </w:pPr>
            <w:r w:rsidRPr="00FA3C4D">
              <w:rPr>
                <w:sz w:val="20"/>
                <w:szCs w:val="20"/>
              </w:rPr>
              <w:t>Subcutaneous implant (long acting) 10.8 mg (as acetate) in pre-filled injection syringe</w:t>
            </w:r>
          </w:p>
        </w:tc>
      </w:tr>
      <w:tr w:rsidR="002A4823" w:rsidRPr="00FA3C4D" w14:paraId="00DA3C51"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66739F2D" w14:textId="77777777" w:rsidR="002A4823" w:rsidRPr="00FA3C4D" w:rsidRDefault="002A4823" w:rsidP="004F7278">
            <w:pPr>
              <w:spacing w:after="0"/>
              <w:rPr>
                <w:sz w:val="20"/>
                <w:szCs w:val="20"/>
              </w:rPr>
            </w:pPr>
            <w:r w:rsidRPr="00FA3C4D">
              <w:rPr>
                <w:sz w:val="20"/>
                <w:szCs w:val="20"/>
              </w:rPr>
              <w:t>Goserelin and bicalutamide</w:t>
            </w:r>
          </w:p>
        </w:tc>
        <w:tc>
          <w:tcPr>
            <w:tcW w:w="0" w:type="auto"/>
            <w:tcBorders>
              <w:top w:val="nil"/>
              <w:left w:val="nil"/>
              <w:bottom w:val="single" w:sz="4" w:space="0" w:color="auto"/>
              <w:right w:val="single" w:sz="4" w:space="0" w:color="auto"/>
            </w:tcBorders>
            <w:shd w:val="clear" w:color="auto" w:fill="auto"/>
            <w:hideMark/>
          </w:tcPr>
          <w:p w14:paraId="7CAE702A"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4B11EDE6" w14:textId="77777777" w:rsidR="002A4823" w:rsidRPr="00FA3C4D" w:rsidRDefault="002A4823" w:rsidP="004F7278">
            <w:pPr>
              <w:spacing w:after="0"/>
              <w:rPr>
                <w:sz w:val="20"/>
                <w:szCs w:val="20"/>
              </w:rPr>
            </w:pPr>
            <w:r w:rsidRPr="00FA3C4D">
              <w:rPr>
                <w:sz w:val="20"/>
                <w:szCs w:val="20"/>
              </w:rPr>
              <w:t>9064C</w:t>
            </w:r>
          </w:p>
        </w:tc>
        <w:tc>
          <w:tcPr>
            <w:tcW w:w="0" w:type="auto"/>
            <w:tcBorders>
              <w:top w:val="nil"/>
              <w:left w:val="nil"/>
              <w:bottom w:val="single" w:sz="4" w:space="0" w:color="auto"/>
              <w:right w:val="single" w:sz="4" w:space="0" w:color="auto"/>
            </w:tcBorders>
            <w:shd w:val="clear" w:color="auto" w:fill="auto"/>
            <w:hideMark/>
          </w:tcPr>
          <w:p w14:paraId="09E066F3" w14:textId="77777777" w:rsidR="002A4823" w:rsidRPr="00FA3C4D" w:rsidRDefault="002A4823" w:rsidP="004F7278">
            <w:pPr>
              <w:spacing w:after="0"/>
              <w:rPr>
                <w:sz w:val="20"/>
                <w:szCs w:val="20"/>
              </w:rPr>
            </w:pPr>
            <w:r w:rsidRPr="00FA3C4D">
              <w:rPr>
                <w:sz w:val="20"/>
                <w:szCs w:val="20"/>
              </w:rPr>
              <w:t>Pack containing 1 subcutaneous implant containing goserelin 3.6 mg (as acetate) in pre-filled injection syringe and 28 tablets bicalutamide 50 mg</w:t>
            </w:r>
          </w:p>
        </w:tc>
      </w:tr>
      <w:tr w:rsidR="002A4823" w:rsidRPr="00FA3C4D" w14:paraId="06033E47"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4F48A034" w14:textId="77777777" w:rsidR="002A4823" w:rsidRPr="00FA3C4D" w:rsidRDefault="002A4823" w:rsidP="004F7278">
            <w:pPr>
              <w:spacing w:after="0"/>
              <w:rPr>
                <w:sz w:val="20"/>
                <w:szCs w:val="20"/>
              </w:rPr>
            </w:pPr>
            <w:r w:rsidRPr="00FA3C4D">
              <w:rPr>
                <w:sz w:val="20"/>
                <w:szCs w:val="20"/>
              </w:rPr>
              <w:t>Goserelin and bicalutamide</w:t>
            </w:r>
          </w:p>
        </w:tc>
        <w:tc>
          <w:tcPr>
            <w:tcW w:w="0" w:type="auto"/>
            <w:tcBorders>
              <w:top w:val="nil"/>
              <w:left w:val="nil"/>
              <w:bottom w:val="single" w:sz="4" w:space="0" w:color="auto"/>
              <w:right w:val="single" w:sz="4" w:space="0" w:color="auto"/>
            </w:tcBorders>
            <w:shd w:val="clear" w:color="auto" w:fill="auto"/>
            <w:hideMark/>
          </w:tcPr>
          <w:p w14:paraId="3036CE3F"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419326A5" w14:textId="77777777" w:rsidR="002A4823" w:rsidRPr="00FA3C4D" w:rsidRDefault="002A4823" w:rsidP="004F7278">
            <w:pPr>
              <w:spacing w:after="0"/>
              <w:rPr>
                <w:sz w:val="20"/>
                <w:szCs w:val="20"/>
              </w:rPr>
            </w:pPr>
            <w:r w:rsidRPr="00FA3C4D">
              <w:rPr>
                <w:sz w:val="20"/>
                <w:szCs w:val="20"/>
              </w:rPr>
              <w:t>9065D</w:t>
            </w:r>
          </w:p>
        </w:tc>
        <w:tc>
          <w:tcPr>
            <w:tcW w:w="0" w:type="auto"/>
            <w:tcBorders>
              <w:top w:val="nil"/>
              <w:left w:val="nil"/>
              <w:bottom w:val="single" w:sz="4" w:space="0" w:color="auto"/>
              <w:right w:val="single" w:sz="4" w:space="0" w:color="auto"/>
            </w:tcBorders>
            <w:shd w:val="clear" w:color="auto" w:fill="auto"/>
            <w:hideMark/>
          </w:tcPr>
          <w:p w14:paraId="453E6707" w14:textId="77777777" w:rsidR="002A4823" w:rsidRPr="00FA3C4D" w:rsidRDefault="002A4823" w:rsidP="004F7278">
            <w:pPr>
              <w:spacing w:after="0"/>
              <w:rPr>
                <w:sz w:val="20"/>
                <w:szCs w:val="20"/>
              </w:rPr>
            </w:pPr>
            <w:r w:rsidRPr="00FA3C4D">
              <w:rPr>
                <w:sz w:val="20"/>
                <w:szCs w:val="20"/>
              </w:rPr>
              <w:t>Pack containing 1 subcutaneous implant containing goserelin 10.8 mg (as acetate) in pre-filled injection syringe and 28 tablets bicalutamide 50 mg</w:t>
            </w:r>
          </w:p>
        </w:tc>
      </w:tr>
      <w:tr w:rsidR="002A4823" w:rsidRPr="00FA3C4D" w14:paraId="72F19F96"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4578EF40" w14:textId="77777777" w:rsidR="002A4823" w:rsidRPr="00FA3C4D" w:rsidRDefault="002A4823" w:rsidP="004F7278">
            <w:pPr>
              <w:spacing w:after="0"/>
              <w:rPr>
                <w:sz w:val="20"/>
                <w:szCs w:val="20"/>
              </w:rPr>
            </w:pPr>
            <w:r w:rsidRPr="00FA3C4D">
              <w:rPr>
                <w:sz w:val="20"/>
                <w:szCs w:val="20"/>
              </w:rPr>
              <w:t>Goserelin and bicalutamide</w:t>
            </w:r>
          </w:p>
        </w:tc>
        <w:tc>
          <w:tcPr>
            <w:tcW w:w="0" w:type="auto"/>
            <w:tcBorders>
              <w:top w:val="nil"/>
              <w:left w:val="nil"/>
              <w:bottom w:val="single" w:sz="4" w:space="0" w:color="auto"/>
              <w:right w:val="single" w:sz="4" w:space="0" w:color="auto"/>
            </w:tcBorders>
            <w:shd w:val="clear" w:color="auto" w:fill="auto"/>
            <w:hideMark/>
          </w:tcPr>
          <w:p w14:paraId="4B7F52B3"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6E947ECE" w14:textId="77777777" w:rsidR="002A4823" w:rsidRPr="00FA3C4D" w:rsidRDefault="002A4823" w:rsidP="004F7278">
            <w:pPr>
              <w:spacing w:after="0"/>
              <w:rPr>
                <w:sz w:val="20"/>
                <w:szCs w:val="20"/>
              </w:rPr>
            </w:pPr>
            <w:r w:rsidRPr="00FA3C4D">
              <w:rPr>
                <w:sz w:val="20"/>
                <w:szCs w:val="20"/>
              </w:rPr>
              <w:t>9066E</w:t>
            </w:r>
          </w:p>
        </w:tc>
        <w:tc>
          <w:tcPr>
            <w:tcW w:w="0" w:type="auto"/>
            <w:tcBorders>
              <w:top w:val="nil"/>
              <w:left w:val="nil"/>
              <w:bottom w:val="single" w:sz="4" w:space="0" w:color="auto"/>
              <w:right w:val="single" w:sz="4" w:space="0" w:color="auto"/>
            </w:tcBorders>
            <w:shd w:val="clear" w:color="auto" w:fill="auto"/>
            <w:hideMark/>
          </w:tcPr>
          <w:p w14:paraId="51D1A69C" w14:textId="77777777" w:rsidR="002A4823" w:rsidRPr="00FA3C4D" w:rsidRDefault="002A4823" w:rsidP="004F7278">
            <w:pPr>
              <w:spacing w:after="0"/>
              <w:rPr>
                <w:sz w:val="20"/>
                <w:szCs w:val="20"/>
              </w:rPr>
            </w:pPr>
            <w:r w:rsidRPr="00FA3C4D">
              <w:rPr>
                <w:sz w:val="20"/>
                <w:szCs w:val="20"/>
              </w:rPr>
              <w:t>Pack containing 1 subcutaneous implant containing goserelin 10.8 mg (as acetate) in pre-filled injection syringe and 84 tablets bicalutamide 50 mg</w:t>
            </w:r>
          </w:p>
        </w:tc>
      </w:tr>
      <w:tr w:rsidR="002A4823" w:rsidRPr="00FA3C4D" w14:paraId="4E4A0977"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3A84336E" w14:textId="77777777" w:rsidR="002A4823" w:rsidRPr="00FA3C4D" w:rsidRDefault="002A4823" w:rsidP="004F7278">
            <w:pPr>
              <w:spacing w:after="0"/>
              <w:rPr>
                <w:sz w:val="20"/>
                <w:szCs w:val="20"/>
              </w:rPr>
            </w:pPr>
            <w:r w:rsidRPr="00FA3C4D">
              <w:rPr>
                <w:sz w:val="20"/>
                <w:szCs w:val="20"/>
              </w:rPr>
              <w:t>Leuprorelin</w:t>
            </w:r>
          </w:p>
        </w:tc>
        <w:tc>
          <w:tcPr>
            <w:tcW w:w="0" w:type="auto"/>
            <w:tcBorders>
              <w:top w:val="nil"/>
              <w:left w:val="nil"/>
              <w:bottom w:val="single" w:sz="4" w:space="0" w:color="auto"/>
              <w:right w:val="single" w:sz="4" w:space="0" w:color="auto"/>
            </w:tcBorders>
            <w:shd w:val="clear" w:color="auto" w:fill="auto"/>
            <w:hideMark/>
          </w:tcPr>
          <w:p w14:paraId="7CB5D90D"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6754BC9C" w14:textId="77777777" w:rsidR="002A4823" w:rsidRPr="00FA3C4D" w:rsidRDefault="002A4823" w:rsidP="004F7278">
            <w:pPr>
              <w:spacing w:after="0"/>
              <w:rPr>
                <w:sz w:val="20"/>
                <w:szCs w:val="20"/>
              </w:rPr>
            </w:pPr>
            <w:r w:rsidRPr="00FA3C4D">
              <w:rPr>
                <w:sz w:val="20"/>
                <w:szCs w:val="20"/>
              </w:rPr>
              <w:t>8707G</w:t>
            </w:r>
          </w:p>
        </w:tc>
        <w:tc>
          <w:tcPr>
            <w:tcW w:w="0" w:type="auto"/>
            <w:tcBorders>
              <w:top w:val="nil"/>
              <w:left w:val="nil"/>
              <w:bottom w:val="single" w:sz="4" w:space="0" w:color="auto"/>
              <w:right w:val="single" w:sz="4" w:space="0" w:color="auto"/>
            </w:tcBorders>
            <w:shd w:val="clear" w:color="auto" w:fill="auto"/>
            <w:hideMark/>
          </w:tcPr>
          <w:p w14:paraId="38D4944C" w14:textId="77777777" w:rsidR="002A4823" w:rsidRPr="00FA3C4D" w:rsidRDefault="002A4823" w:rsidP="004F7278">
            <w:pPr>
              <w:spacing w:after="0"/>
              <w:rPr>
                <w:sz w:val="20"/>
                <w:szCs w:val="20"/>
              </w:rPr>
            </w:pPr>
            <w:r w:rsidRPr="00FA3C4D">
              <w:rPr>
                <w:sz w:val="20"/>
                <w:szCs w:val="20"/>
              </w:rPr>
              <w:t>Suspension for subcutaneous injection (modified release) containing leuprorelin acetate 7.5 mg, injection set</w:t>
            </w:r>
          </w:p>
        </w:tc>
      </w:tr>
      <w:tr w:rsidR="002A4823" w:rsidRPr="00FA3C4D" w14:paraId="22D7B776"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0959FC9D" w14:textId="77777777" w:rsidR="002A4823" w:rsidRPr="00FA3C4D" w:rsidRDefault="002A4823" w:rsidP="004F7278">
            <w:pPr>
              <w:spacing w:after="0"/>
              <w:rPr>
                <w:sz w:val="20"/>
                <w:szCs w:val="20"/>
              </w:rPr>
            </w:pPr>
            <w:r w:rsidRPr="00FA3C4D">
              <w:rPr>
                <w:sz w:val="20"/>
                <w:szCs w:val="20"/>
              </w:rPr>
              <w:lastRenderedPageBreak/>
              <w:t>Leuprorelin</w:t>
            </w:r>
          </w:p>
        </w:tc>
        <w:tc>
          <w:tcPr>
            <w:tcW w:w="0" w:type="auto"/>
            <w:tcBorders>
              <w:top w:val="nil"/>
              <w:left w:val="nil"/>
              <w:bottom w:val="single" w:sz="4" w:space="0" w:color="auto"/>
              <w:right w:val="single" w:sz="4" w:space="0" w:color="auto"/>
            </w:tcBorders>
            <w:shd w:val="clear" w:color="auto" w:fill="auto"/>
            <w:hideMark/>
          </w:tcPr>
          <w:p w14:paraId="5C3CD977"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256FA08B" w14:textId="77777777" w:rsidR="002A4823" w:rsidRPr="00FA3C4D" w:rsidRDefault="002A4823" w:rsidP="004F7278">
            <w:pPr>
              <w:spacing w:after="0"/>
              <w:rPr>
                <w:sz w:val="20"/>
                <w:szCs w:val="20"/>
              </w:rPr>
            </w:pPr>
            <w:r w:rsidRPr="00FA3C4D">
              <w:rPr>
                <w:sz w:val="20"/>
                <w:szCs w:val="20"/>
              </w:rPr>
              <w:t>8708H</w:t>
            </w:r>
          </w:p>
        </w:tc>
        <w:tc>
          <w:tcPr>
            <w:tcW w:w="0" w:type="auto"/>
            <w:tcBorders>
              <w:top w:val="nil"/>
              <w:left w:val="nil"/>
              <w:bottom w:val="single" w:sz="4" w:space="0" w:color="auto"/>
              <w:right w:val="single" w:sz="4" w:space="0" w:color="auto"/>
            </w:tcBorders>
            <w:shd w:val="clear" w:color="auto" w:fill="auto"/>
            <w:hideMark/>
          </w:tcPr>
          <w:p w14:paraId="466EC711" w14:textId="77777777" w:rsidR="002A4823" w:rsidRPr="00FA3C4D" w:rsidRDefault="002A4823" w:rsidP="004F7278">
            <w:pPr>
              <w:spacing w:after="0"/>
              <w:rPr>
                <w:sz w:val="20"/>
                <w:szCs w:val="20"/>
              </w:rPr>
            </w:pPr>
            <w:r w:rsidRPr="00FA3C4D">
              <w:rPr>
                <w:sz w:val="20"/>
                <w:szCs w:val="20"/>
              </w:rPr>
              <w:t>Suspension for subcutaneous injection (modified release) containing leuprorelin acetate 22.5 mg, injection set</w:t>
            </w:r>
          </w:p>
        </w:tc>
      </w:tr>
      <w:tr w:rsidR="002A4823" w:rsidRPr="00FA3C4D" w14:paraId="2C1C3FAA"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48A5ED01" w14:textId="77777777" w:rsidR="002A4823" w:rsidRPr="00FA3C4D" w:rsidRDefault="002A4823" w:rsidP="004F7278">
            <w:pPr>
              <w:spacing w:after="0"/>
              <w:rPr>
                <w:sz w:val="20"/>
                <w:szCs w:val="20"/>
              </w:rPr>
            </w:pPr>
            <w:r w:rsidRPr="00FA3C4D">
              <w:rPr>
                <w:sz w:val="20"/>
                <w:szCs w:val="20"/>
              </w:rPr>
              <w:t>Leuprorelin</w:t>
            </w:r>
          </w:p>
        </w:tc>
        <w:tc>
          <w:tcPr>
            <w:tcW w:w="0" w:type="auto"/>
            <w:tcBorders>
              <w:top w:val="nil"/>
              <w:left w:val="nil"/>
              <w:bottom w:val="single" w:sz="4" w:space="0" w:color="auto"/>
              <w:right w:val="single" w:sz="4" w:space="0" w:color="auto"/>
            </w:tcBorders>
            <w:shd w:val="clear" w:color="auto" w:fill="auto"/>
            <w:hideMark/>
          </w:tcPr>
          <w:p w14:paraId="20820F9D"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389DC21E" w14:textId="77777777" w:rsidR="002A4823" w:rsidRPr="00FA3C4D" w:rsidRDefault="002A4823" w:rsidP="004F7278">
            <w:pPr>
              <w:spacing w:after="0"/>
              <w:rPr>
                <w:sz w:val="20"/>
                <w:szCs w:val="20"/>
              </w:rPr>
            </w:pPr>
            <w:r w:rsidRPr="00FA3C4D">
              <w:rPr>
                <w:sz w:val="20"/>
                <w:szCs w:val="20"/>
              </w:rPr>
              <w:t>8709J</w:t>
            </w:r>
          </w:p>
        </w:tc>
        <w:tc>
          <w:tcPr>
            <w:tcW w:w="0" w:type="auto"/>
            <w:tcBorders>
              <w:top w:val="nil"/>
              <w:left w:val="nil"/>
              <w:bottom w:val="single" w:sz="4" w:space="0" w:color="auto"/>
              <w:right w:val="single" w:sz="4" w:space="0" w:color="auto"/>
            </w:tcBorders>
            <w:shd w:val="clear" w:color="auto" w:fill="auto"/>
            <w:hideMark/>
          </w:tcPr>
          <w:p w14:paraId="172CC8B3" w14:textId="77777777" w:rsidR="002A4823" w:rsidRPr="00FA3C4D" w:rsidRDefault="002A4823" w:rsidP="004F7278">
            <w:pPr>
              <w:spacing w:after="0"/>
              <w:rPr>
                <w:sz w:val="20"/>
                <w:szCs w:val="20"/>
              </w:rPr>
            </w:pPr>
            <w:r w:rsidRPr="00FA3C4D">
              <w:rPr>
                <w:sz w:val="20"/>
                <w:szCs w:val="20"/>
              </w:rPr>
              <w:t>Suspension for subcutaneous injection (modified release) containing leuprorelin acetate 30 mg, injection set</w:t>
            </w:r>
          </w:p>
        </w:tc>
      </w:tr>
      <w:tr w:rsidR="002A4823" w:rsidRPr="00FA3C4D" w14:paraId="05C19802"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52C31EEB" w14:textId="77777777" w:rsidR="002A4823" w:rsidRPr="00FA3C4D" w:rsidRDefault="002A4823" w:rsidP="004F7278">
            <w:pPr>
              <w:spacing w:after="0"/>
              <w:rPr>
                <w:sz w:val="20"/>
                <w:szCs w:val="20"/>
              </w:rPr>
            </w:pPr>
            <w:r w:rsidRPr="00FA3C4D">
              <w:rPr>
                <w:sz w:val="20"/>
                <w:szCs w:val="20"/>
              </w:rPr>
              <w:t>Leuprorelin</w:t>
            </w:r>
          </w:p>
        </w:tc>
        <w:tc>
          <w:tcPr>
            <w:tcW w:w="0" w:type="auto"/>
            <w:tcBorders>
              <w:top w:val="nil"/>
              <w:left w:val="nil"/>
              <w:bottom w:val="single" w:sz="4" w:space="0" w:color="auto"/>
              <w:right w:val="single" w:sz="4" w:space="0" w:color="auto"/>
            </w:tcBorders>
            <w:shd w:val="clear" w:color="auto" w:fill="auto"/>
            <w:hideMark/>
          </w:tcPr>
          <w:p w14:paraId="2286061F"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0AA5AA8F" w14:textId="77777777" w:rsidR="002A4823" w:rsidRPr="00FA3C4D" w:rsidRDefault="002A4823" w:rsidP="004F7278">
            <w:pPr>
              <w:spacing w:after="0"/>
              <w:rPr>
                <w:sz w:val="20"/>
                <w:szCs w:val="20"/>
              </w:rPr>
            </w:pPr>
            <w:r w:rsidRPr="00FA3C4D">
              <w:rPr>
                <w:sz w:val="20"/>
                <w:szCs w:val="20"/>
              </w:rPr>
              <w:t>8859G</w:t>
            </w:r>
          </w:p>
        </w:tc>
        <w:tc>
          <w:tcPr>
            <w:tcW w:w="0" w:type="auto"/>
            <w:tcBorders>
              <w:top w:val="nil"/>
              <w:left w:val="nil"/>
              <w:bottom w:val="single" w:sz="4" w:space="0" w:color="auto"/>
              <w:right w:val="single" w:sz="4" w:space="0" w:color="auto"/>
            </w:tcBorders>
            <w:shd w:val="clear" w:color="auto" w:fill="auto"/>
            <w:hideMark/>
          </w:tcPr>
          <w:p w14:paraId="108CD484" w14:textId="77777777" w:rsidR="002A4823" w:rsidRPr="00FA3C4D" w:rsidRDefault="002A4823" w:rsidP="004F7278">
            <w:pPr>
              <w:spacing w:after="0"/>
              <w:rPr>
                <w:sz w:val="20"/>
                <w:szCs w:val="20"/>
              </w:rPr>
            </w:pPr>
            <w:r w:rsidRPr="00FA3C4D">
              <w:rPr>
                <w:sz w:val="20"/>
                <w:szCs w:val="20"/>
              </w:rPr>
              <w:t>Suspension for subcutaneous injection (modified release) containing leuprorelin acetate 45 mg, injection set</w:t>
            </w:r>
          </w:p>
        </w:tc>
      </w:tr>
      <w:tr w:rsidR="002A4823" w:rsidRPr="00FA3C4D" w14:paraId="0723D90C"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6EF14636" w14:textId="77777777" w:rsidR="002A4823" w:rsidRPr="00FA3C4D" w:rsidRDefault="002A4823" w:rsidP="004F7278">
            <w:pPr>
              <w:spacing w:after="0"/>
              <w:rPr>
                <w:sz w:val="20"/>
                <w:szCs w:val="20"/>
              </w:rPr>
            </w:pPr>
            <w:r w:rsidRPr="00FA3C4D">
              <w:rPr>
                <w:sz w:val="20"/>
                <w:szCs w:val="20"/>
              </w:rPr>
              <w:t>Leuprorelin</w:t>
            </w:r>
          </w:p>
        </w:tc>
        <w:tc>
          <w:tcPr>
            <w:tcW w:w="0" w:type="auto"/>
            <w:tcBorders>
              <w:top w:val="nil"/>
              <w:left w:val="nil"/>
              <w:bottom w:val="single" w:sz="4" w:space="0" w:color="auto"/>
              <w:right w:val="single" w:sz="4" w:space="0" w:color="auto"/>
            </w:tcBorders>
            <w:shd w:val="clear" w:color="auto" w:fill="auto"/>
            <w:hideMark/>
          </w:tcPr>
          <w:p w14:paraId="391F7C61"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07F36B56" w14:textId="77777777" w:rsidR="002A4823" w:rsidRPr="00FA3C4D" w:rsidRDefault="002A4823" w:rsidP="004F7278">
            <w:pPr>
              <w:spacing w:after="0"/>
              <w:rPr>
                <w:sz w:val="20"/>
                <w:szCs w:val="20"/>
              </w:rPr>
            </w:pPr>
            <w:r w:rsidRPr="00FA3C4D">
              <w:rPr>
                <w:sz w:val="20"/>
                <w:szCs w:val="20"/>
              </w:rPr>
              <w:t>8875D</w:t>
            </w:r>
          </w:p>
        </w:tc>
        <w:tc>
          <w:tcPr>
            <w:tcW w:w="0" w:type="auto"/>
            <w:tcBorders>
              <w:top w:val="nil"/>
              <w:left w:val="nil"/>
              <w:bottom w:val="single" w:sz="4" w:space="0" w:color="auto"/>
              <w:right w:val="single" w:sz="4" w:space="0" w:color="auto"/>
            </w:tcBorders>
            <w:shd w:val="clear" w:color="auto" w:fill="auto"/>
            <w:hideMark/>
          </w:tcPr>
          <w:p w14:paraId="20696A68" w14:textId="77777777" w:rsidR="002A4823" w:rsidRPr="00FA3C4D" w:rsidRDefault="002A4823" w:rsidP="004F7278">
            <w:pPr>
              <w:spacing w:after="0"/>
              <w:rPr>
                <w:sz w:val="20"/>
                <w:szCs w:val="20"/>
              </w:rPr>
            </w:pPr>
            <w:r w:rsidRPr="00FA3C4D">
              <w:rPr>
                <w:sz w:val="20"/>
                <w:szCs w:val="20"/>
              </w:rPr>
              <w:t>I.M. injection (modified release), powder for injection containing leuprorelin acetate 7.5 mg with diluent in pre-filled dual-chamber syringe</w:t>
            </w:r>
          </w:p>
        </w:tc>
      </w:tr>
      <w:tr w:rsidR="002A4823" w:rsidRPr="00FA3C4D" w14:paraId="351FAFF8"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054A5CDB" w14:textId="77777777" w:rsidR="002A4823" w:rsidRPr="00FA3C4D" w:rsidRDefault="002A4823" w:rsidP="004F7278">
            <w:pPr>
              <w:spacing w:after="0"/>
              <w:rPr>
                <w:sz w:val="20"/>
                <w:szCs w:val="20"/>
              </w:rPr>
            </w:pPr>
            <w:r w:rsidRPr="00FA3C4D">
              <w:rPr>
                <w:sz w:val="20"/>
                <w:szCs w:val="20"/>
              </w:rPr>
              <w:t>Leuprorelin</w:t>
            </w:r>
          </w:p>
        </w:tc>
        <w:tc>
          <w:tcPr>
            <w:tcW w:w="0" w:type="auto"/>
            <w:tcBorders>
              <w:top w:val="nil"/>
              <w:left w:val="nil"/>
              <w:bottom w:val="single" w:sz="4" w:space="0" w:color="auto"/>
              <w:right w:val="single" w:sz="4" w:space="0" w:color="auto"/>
            </w:tcBorders>
            <w:shd w:val="clear" w:color="auto" w:fill="auto"/>
            <w:hideMark/>
          </w:tcPr>
          <w:p w14:paraId="10D8F994"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6EEB6932" w14:textId="77777777" w:rsidR="002A4823" w:rsidRPr="00FA3C4D" w:rsidRDefault="002A4823" w:rsidP="004F7278">
            <w:pPr>
              <w:spacing w:after="0"/>
              <w:rPr>
                <w:sz w:val="20"/>
                <w:szCs w:val="20"/>
              </w:rPr>
            </w:pPr>
            <w:r w:rsidRPr="00FA3C4D">
              <w:rPr>
                <w:sz w:val="20"/>
                <w:szCs w:val="20"/>
              </w:rPr>
              <w:t>8876E</w:t>
            </w:r>
          </w:p>
        </w:tc>
        <w:tc>
          <w:tcPr>
            <w:tcW w:w="0" w:type="auto"/>
            <w:tcBorders>
              <w:top w:val="nil"/>
              <w:left w:val="nil"/>
              <w:bottom w:val="single" w:sz="4" w:space="0" w:color="auto"/>
              <w:right w:val="single" w:sz="4" w:space="0" w:color="auto"/>
            </w:tcBorders>
            <w:shd w:val="clear" w:color="auto" w:fill="auto"/>
            <w:hideMark/>
          </w:tcPr>
          <w:p w14:paraId="582F997A" w14:textId="77777777" w:rsidR="002A4823" w:rsidRPr="00FA3C4D" w:rsidRDefault="002A4823" w:rsidP="004F7278">
            <w:pPr>
              <w:spacing w:after="0"/>
              <w:rPr>
                <w:sz w:val="20"/>
                <w:szCs w:val="20"/>
              </w:rPr>
            </w:pPr>
            <w:r w:rsidRPr="00FA3C4D">
              <w:rPr>
                <w:sz w:val="20"/>
                <w:szCs w:val="20"/>
              </w:rPr>
              <w:t>I.M. injection (modified release), powder for injection containing leuprorelin acetate 22.5 mg with diluent in pre-filled dual-chamber syringe</w:t>
            </w:r>
          </w:p>
        </w:tc>
      </w:tr>
      <w:tr w:rsidR="002A4823" w:rsidRPr="00FA3C4D" w14:paraId="16BF8AF2"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1BAE7DFC" w14:textId="77777777" w:rsidR="002A4823" w:rsidRPr="00FA3C4D" w:rsidRDefault="002A4823" w:rsidP="004F7278">
            <w:pPr>
              <w:spacing w:after="0"/>
              <w:rPr>
                <w:sz w:val="20"/>
                <w:szCs w:val="20"/>
              </w:rPr>
            </w:pPr>
            <w:r w:rsidRPr="00FA3C4D">
              <w:rPr>
                <w:sz w:val="20"/>
                <w:szCs w:val="20"/>
              </w:rPr>
              <w:t>Leuprorelin</w:t>
            </w:r>
          </w:p>
        </w:tc>
        <w:tc>
          <w:tcPr>
            <w:tcW w:w="0" w:type="auto"/>
            <w:tcBorders>
              <w:top w:val="nil"/>
              <w:left w:val="nil"/>
              <w:bottom w:val="single" w:sz="4" w:space="0" w:color="auto"/>
              <w:right w:val="single" w:sz="4" w:space="0" w:color="auto"/>
            </w:tcBorders>
            <w:shd w:val="clear" w:color="auto" w:fill="auto"/>
            <w:hideMark/>
          </w:tcPr>
          <w:p w14:paraId="1023EB91"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4D10C3EF" w14:textId="77777777" w:rsidR="002A4823" w:rsidRPr="00FA3C4D" w:rsidRDefault="002A4823" w:rsidP="004F7278">
            <w:pPr>
              <w:spacing w:after="0"/>
              <w:rPr>
                <w:sz w:val="20"/>
                <w:szCs w:val="20"/>
              </w:rPr>
            </w:pPr>
            <w:r w:rsidRPr="00FA3C4D">
              <w:rPr>
                <w:sz w:val="20"/>
                <w:szCs w:val="20"/>
              </w:rPr>
              <w:t>8877F</w:t>
            </w:r>
          </w:p>
        </w:tc>
        <w:tc>
          <w:tcPr>
            <w:tcW w:w="0" w:type="auto"/>
            <w:tcBorders>
              <w:top w:val="nil"/>
              <w:left w:val="nil"/>
              <w:bottom w:val="single" w:sz="4" w:space="0" w:color="auto"/>
              <w:right w:val="single" w:sz="4" w:space="0" w:color="auto"/>
            </w:tcBorders>
            <w:shd w:val="clear" w:color="auto" w:fill="auto"/>
            <w:hideMark/>
          </w:tcPr>
          <w:p w14:paraId="173992C0" w14:textId="77777777" w:rsidR="002A4823" w:rsidRPr="00FA3C4D" w:rsidRDefault="002A4823" w:rsidP="004F7278">
            <w:pPr>
              <w:spacing w:after="0"/>
              <w:rPr>
                <w:sz w:val="20"/>
                <w:szCs w:val="20"/>
              </w:rPr>
            </w:pPr>
            <w:r w:rsidRPr="00FA3C4D">
              <w:rPr>
                <w:sz w:val="20"/>
                <w:szCs w:val="20"/>
              </w:rPr>
              <w:t>I.M. injection (modified release), powder for injection containing leuprorelin acetate 30 mg with diluent in pre-filled dual-chamber syringe</w:t>
            </w:r>
          </w:p>
        </w:tc>
      </w:tr>
      <w:tr w:rsidR="002A4823" w:rsidRPr="00FA3C4D" w14:paraId="1D9AD4F0"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4D422C6C" w14:textId="77777777" w:rsidR="002A4823" w:rsidRPr="00FA3C4D" w:rsidRDefault="002A4823" w:rsidP="004F7278">
            <w:pPr>
              <w:spacing w:after="0"/>
              <w:rPr>
                <w:sz w:val="20"/>
                <w:szCs w:val="20"/>
              </w:rPr>
            </w:pPr>
            <w:r w:rsidRPr="00FA3C4D">
              <w:rPr>
                <w:sz w:val="20"/>
                <w:szCs w:val="20"/>
              </w:rPr>
              <w:t>Leuprorelin</w:t>
            </w:r>
          </w:p>
        </w:tc>
        <w:tc>
          <w:tcPr>
            <w:tcW w:w="0" w:type="auto"/>
            <w:tcBorders>
              <w:top w:val="nil"/>
              <w:left w:val="nil"/>
              <w:bottom w:val="single" w:sz="4" w:space="0" w:color="auto"/>
              <w:right w:val="single" w:sz="4" w:space="0" w:color="auto"/>
            </w:tcBorders>
            <w:shd w:val="clear" w:color="auto" w:fill="auto"/>
            <w:hideMark/>
          </w:tcPr>
          <w:p w14:paraId="7EAF0226"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1AF2609F" w14:textId="77777777" w:rsidR="002A4823" w:rsidRPr="00FA3C4D" w:rsidRDefault="002A4823" w:rsidP="004F7278">
            <w:pPr>
              <w:spacing w:after="0"/>
              <w:rPr>
                <w:sz w:val="20"/>
                <w:szCs w:val="20"/>
              </w:rPr>
            </w:pPr>
            <w:r w:rsidRPr="00FA3C4D">
              <w:rPr>
                <w:sz w:val="20"/>
                <w:szCs w:val="20"/>
              </w:rPr>
              <w:t>10656W</w:t>
            </w:r>
          </w:p>
        </w:tc>
        <w:tc>
          <w:tcPr>
            <w:tcW w:w="0" w:type="auto"/>
            <w:tcBorders>
              <w:top w:val="nil"/>
              <w:left w:val="nil"/>
              <w:bottom w:val="single" w:sz="4" w:space="0" w:color="auto"/>
              <w:right w:val="single" w:sz="4" w:space="0" w:color="auto"/>
            </w:tcBorders>
            <w:shd w:val="clear" w:color="auto" w:fill="auto"/>
            <w:hideMark/>
          </w:tcPr>
          <w:p w14:paraId="5F716E21" w14:textId="77777777" w:rsidR="002A4823" w:rsidRPr="00FA3C4D" w:rsidRDefault="002A4823" w:rsidP="004F7278">
            <w:pPr>
              <w:spacing w:after="0"/>
              <w:rPr>
                <w:sz w:val="20"/>
                <w:szCs w:val="20"/>
              </w:rPr>
            </w:pPr>
            <w:r w:rsidRPr="00FA3C4D">
              <w:rPr>
                <w:sz w:val="20"/>
                <w:szCs w:val="20"/>
              </w:rPr>
              <w:t>I.M. injection (modified release), powder for injection containing leuprorelin acetate 45 mg with diluent in pre-filled dual-chamber syringe</w:t>
            </w:r>
          </w:p>
        </w:tc>
      </w:tr>
      <w:tr w:rsidR="002A4823" w:rsidRPr="00FA3C4D" w14:paraId="1BF09B49"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57E7B2B5" w14:textId="77777777" w:rsidR="002A4823" w:rsidRPr="00FA3C4D" w:rsidRDefault="002A4823" w:rsidP="004F7278">
            <w:pPr>
              <w:spacing w:after="0"/>
              <w:rPr>
                <w:sz w:val="20"/>
                <w:szCs w:val="20"/>
              </w:rPr>
            </w:pPr>
            <w:r w:rsidRPr="00FA3C4D">
              <w:rPr>
                <w:sz w:val="20"/>
                <w:szCs w:val="20"/>
              </w:rPr>
              <w:t>Leuprorelin acetate</w:t>
            </w:r>
          </w:p>
        </w:tc>
        <w:tc>
          <w:tcPr>
            <w:tcW w:w="0" w:type="auto"/>
            <w:tcBorders>
              <w:top w:val="nil"/>
              <w:left w:val="nil"/>
              <w:bottom w:val="single" w:sz="4" w:space="0" w:color="auto"/>
              <w:right w:val="single" w:sz="4" w:space="0" w:color="auto"/>
            </w:tcBorders>
            <w:shd w:val="clear" w:color="auto" w:fill="auto"/>
            <w:hideMark/>
          </w:tcPr>
          <w:p w14:paraId="6EBFBA72"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4C608872" w14:textId="77777777" w:rsidR="002A4823" w:rsidRPr="00FA3C4D" w:rsidRDefault="002A4823" w:rsidP="004F7278">
            <w:pPr>
              <w:spacing w:after="0"/>
              <w:rPr>
                <w:sz w:val="20"/>
                <w:szCs w:val="20"/>
              </w:rPr>
            </w:pPr>
            <w:r w:rsidRPr="00FA3C4D">
              <w:rPr>
                <w:sz w:val="20"/>
                <w:szCs w:val="20"/>
              </w:rPr>
              <w:t>1565J</w:t>
            </w:r>
          </w:p>
        </w:tc>
        <w:tc>
          <w:tcPr>
            <w:tcW w:w="0" w:type="auto"/>
            <w:tcBorders>
              <w:top w:val="nil"/>
              <w:left w:val="nil"/>
              <w:bottom w:val="single" w:sz="4" w:space="0" w:color="auto"/>
              <w:right w:val="single" w:sz="4" w:space="0" w:color="auto"/>
            </w:tcBorders>
            <w:shd w:val="clear" w:color="auto" w:fill="auto"/>
            <w:hideMark/>
          </w:tcPr>
          <w:p w14:paraId="2E5F5FF2" w14:textId="77777777" w:rsidR="002A4823" w:rsidRPr="00FA3C4D" w:rsidRDefault="002A4823" w:rsidP="004F7278">
            <w:pPr>
              <w:spacing w:after="0"/>
              <w:rPr>
                <w:sz w:val="20"/>
                <w:szCs w:val="20"/>
              </w:rPr>
            </w:pPr>
            <w:r w:rsidRPr="00FA3C4D">
              <w:rPr>
                <w:sz w:val="20"/>
                <w:szCs w:val="20"/>
              </w:rPr>
              <w:t>I.M. injection (modified release), set containing 1 vial powder for injection 7.5 mg, 1 ampoule diluent 2 mL and 1 syringe with 2 needles</w:t>
            </w:r>
          </w:p>
        </w:tc>
      </w:tr>
      <w:tr w:rsidR="002A4823" w:rsidRPr="00FA3C4D" w14:paraId="10336F83"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78820739" w14:textId="77777777" w:rsidR="002A4823" w:rsidRPr="00FA3C4D" w:rsidRDefault="002A4823" w:rsidP="004F7278">
            <w:pPr>
              <w:spacing w:after="0"/>
              <w:rPr>
                <w:sz w:val="20"/>
                <w:szCs w:val="20"/>
              </w:rPr>
            </w:pPr>
            <w:r w:rsidRPr="00FA3C4D">
              <w:rPr>
                <w:sz w:val="20"/>
                <w:szCs w:val="20"/>
              </w:rPr>
              <w:t>Leuprorelin acetate</w:t>
            </w:r>
          </w:p>
        </w:tc>
        <w:tc>
          <w:tcPr>
            <w:tcW w:w="0" w:type="auto"/>
            <w:tcBorders>
              <w:top w:val="nil"/>
              <w:left w:val="nil"/>
              <w:bottom w:val="single" w:sz="4" w:space="0" w:color="auto"/>
              <w:right w:val="single" w:sz="4" w:space="0" w:color="auto"/>
            </w:tcBorders>
            <w:shd w:val="clear" w:color="auto" w:fill="auto"/>
            <w:hideMark/>
          </w:tcPr>
          <w:p w14:paraId="2F5C0F64"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79C74891" w14:textId="77777777" w:rsidR="002A4823" w:rsidRPr="00FA3C4D" w:rsidRDefault="002A4823" w:rsidP="004F7278">
            <w:pPr>
              <w:spacing w:after="0"/>
              <w:rPr>
                <w:sz w:val="20"/>
                <w:szCs w:val="20"/>
              </w:rPr>
            </w:pPr>
            <w:r w:rsidRPr="00FA3C4D">
              <w:rPr>
                <w:sz w:val="20"/>
                <w:szCs w:val="20"/>
              </w:rPr>
              <w:t>8211E</w:t>
            </w:r>
          </w:p>
        </w:tc>
        <w:tc>
          <w:tcPr>
            <w:tcW w:w="0" w:type="auto"/>
            <w:tcBorders>
              <w:top w:val="nil"/>
              <w:left w:val="nil"/>
              <w:bottom w:val="single" w:sz="4" w:space="0" w:color="auto"/>
              <w:right w:val="single" w:sz="4" w:space="0" w:color="auto"/>
            </w:tcBorders>
            <w:shd w:val="clear" w:color="auto" w:fill="auto"/>
            <w:hideMark/>
          </w:tcPr>
          <w:p w14:paraId="6D37C953" w14:textId="77777777" w:rsidR="002A4823" w:rsidRPr="00FA3C4D" w:rsidRDefault="002A4823" w:rsidP="004F7278">
            <w:pPr>
              <w:spacing w:after="0"/>
              <w:rPr>
                <w:sz w:val="20"/>
                <w:szCs w:val="20"/>
              </w:rPr>
            </w:pPr>
            <w:r w:rsidRPr="00FA3C4D">
              <w:rPr>
                <w:sz w:val="20"/>
                <w:szCs w:val="20"/>
              </w:rPr>
              <w:t>I.M. injection (modified release), set containing 1 vial powder for injection 22.5 mg, 1 ampoule diluent 2 mL and 1 syringe with 2 needles</w:t>
            </w:r>
          </w:p>
        </w:tc>
      </w:tr>
      <w:tr w:rsidR="002A4823" w:rsidRPr="00FA3C4D" w14:paraId="7D80E2EA" w14:textId="77777777" w:rsidTr="004F7278">
        <w:trPr>
          <w:trHeight w:val="901"/>
        </w:trPr>
        <w:tc>
          <w:tcPr>
            <w:tcW w:w="0" w:type="auto"/>
            <w:tcBorders>
              <w:top w:val="nil"/>
              <w:left w:val="single" w:sz="4" w:space="0" w:color="auto"/>
              <w:bottom w:val="single" w:sz="4" w:space="0" w:color="auto"/>
              <w:right w:val="single" w:sz="4" w:space="0" w:color="auto"/>
            </w:tcBorders>
            <w:shd w:val="clear" w:color="auto" w:fill="auto"/>
            <w:hideMark/>
          </w:tcPr>
          <w:p w14:paraId="2049BFE5" w14:textId="77777777" w:rsidR="002A4823" w:rsidRPr="00FA3C4D" w:rsidRDefault="002A4823" w:rsidP="004F7278">
            <w:pPr>
              <w:spacing w:after="0"/>
              <w:rPr>
                <w:sz w:val="20"/>
                <w:szCs w:val="20"/>
              </w:rPr>
            </w:pPr>
            <w:r w:rsidRPr="00FA3C4D">
              <w:rPr>
                <w:sz w:val="20"/>
                <w:szCs w:val="20"/>
              </w:rPr>
              <w:t>Leuprorelin acetate</w:t>
            </w:r>
          </w:p>
        </w:tc>
        <w:tc>
          <w:tcPr>
            <w:tcW w:w="0" w:type="auto"/>
            <w:tcBorders>
              <w:top w:val="nil"/>
              <w:left w:val="nil"/>
              <w:bottom w:val="single" w:sz="4" w:space="0" w:color="auto"/>
              <w:right w:val="single" w:sz="4" w:space="0" w:color="auto"/>
            </w:tcBorders>
            <w:shd w:val="clear" w:color="auto" w:fill="auto"/>
            <w:hideMark/>
          </w:tcPr>
          <w:p w14:paraId="48537CB9"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45E49874" w14:textId="77777777" w:rsidR="002A4823" w:rsidRPr="00FA3C4D" w:rsidRDefault="002A4823" w:rsidP="004F7278">
            <w:pPr>
              <w:spacing w:after="0"/>
              <w:rPr>
                <w:sz w:val="20"/>
                <w:szCs w:val="20"/>
              </w:rPr>
            </w:pPr>
            <w:r w:rsidRPr="00FA3C4D">
              <w:rPr>
                <w:sz w:val="20"/>
                <w:szCs w:val="20"/>
              </w:rPr>
              <w:t>8484M</w:t>
            </w:r>
          </w:p>
        </w:tc>
        <w:tc>
          <w:tcPr>
            <w:tcW w:w="0" w:type="auto"/>
            <w:tcBorders>
              <w:top w:val="nil"/>
              <w:left w:val="nil"/>
              <w:bottom w:val="single" w:sz="4" w:space="0" w:color="auto"/>
              <w:right w:val="single" w:sz="4" w:space="0" w:color="auto"/>
            </w:tcBorders>
            <w:shd w:val="clear" w:color="auto" w:fill="auto"/>
            <w:hideMark/>
          </w:tcPr>
          <w:p w14:paraId="6DB96C69" w14:textId="77777777" w:rsidR="002A4823" w:rsidRPr="00FA3C4D" w:rsidRDefault="002A4823" w:rsidP="004F7278">
            <w:pPr>
              <w:spacing w:after="0"/>
              <w:rPr>
                <w:sz w:val="20"/>
                <w:szCs w:val="20"/>
              </w:rPr>
            </w:pPr>
            <w:r w:rsidRPr="00FA3C4D">
              <w:rPr>
                <w:sz w:val="20"/>
                <w:szCs w:val="20"/>
              </w:rPr>
              <w:t>I.M. injection (modified release), set containing 1 vial powder for injection 30 mg, 1 ampoule diluent 2 mL and 1 syringe with 2 needles</w:t>
            </w:r>
          </w:p>
        </w:tc>
      </w:tr>
      <w:tr w:rsidR="002A4823" w:rsidRPr="00FA3C4D" w14:paraId="514FA3BA" w14:textId="77777777" w:rsidTr="004F7278">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548E2511" w14:textId="77777777" w:rsidR="002A4823" w:rsidRPr="00FA3C4D" w:rsidRDefault="002A4823" w:rsidP="004F7278">
            <w:pPr>
              <w:spacing w:after="0"/>
              <w:rPr>
                <w:sz w:val="20"/>
                <w:szCs w:val="20"/>
              </w:rPr>
            </w:pPr>
            <w:r w:rsidRPr="00FA3C4D">
              <w:rPr>
                <w:sz w:val="20"/>
                <w:szCs w:val="20"/>
              </w:rPr>
              <w:t>Nilutamide</w:t>
            </w:r>
          </w:p>
        </w:tc>
        <w:tc>
          <w:tcPr>
            <w:tcW w:w="0" w:type="auto"/>
            <w:tcBorders>
              <w:top w:val="nil"/>
              <w:left w:val="nil"/>
              <w:bottom w:val="single" w:sz="4" w:space="0" w:color="auto"/>
              <w:right w:val="single" w:sz="4" w:space="0" w:color="auto"/>
            </w:tcBorders>
            <w:shd w:val="clear" w:color="auto" w:fill="auto"/>
            <w:hideMark/>
          </w:tcPr>
          <w:p w14:paraId="6C30D2F7" w14:textId="77777777" w:rsidR="002A4823" w:rsidRPr="00FA3C4D" w:rsidRDefault="002A4823" w:rsidP="004F7278">
            <w:pPr>
              <w:spacing w:after="0"/>
              <w:rPr>
                <w:sz w:val="20"/>
                <w:szCs w:val="20"/>
              </w:rPr>
            </w:pPr>
            <w:r w:rsidRPr="00FA3C4D">
              <w:rPr>
                <w:sz w:val="20"/>
                <w:szCs w:val="20"/>
              </w:rPr>
              <w:t>Anti-androgens</w:t>
            </w:r>
          </w:p>
        </w:tc>
        <w:tc>
          <w:tcPr>
            <w:tcW w:w="0" w:type="auto"/>
            <w:tcBorders>
              <w:top w:val="nil"/>
              <w:left w:val="nil"/>
              <w:bottom w:val="single" w:sz="4" w:space="0" w:color="auto"/>
              <w:right w:val="single" w:sz="4" w:space="0" w:color="auto"/>
            </w:tcBorders>
            <w:shd w:val="clear" w:color="auto" w:fill="auto"/>
            <w:hideMark/>
          </w:tcPr>
          <w:p w14:paraId="281A4D1C" w14:textId="77777777" w:rsidR="002A4823" w:rsidRPr="00FA3C4D" w:rsidRDefault="002A4823" w:rsidP="004F7278">
            <w:pPr>
              <w:spacing w:after="0"/>
              <w:rPr>
                <w:sz w:val="20"/>
                <w:szCs w:val="20"/>
              </w:rPr>
            </w:pPr>
            <w:r w:rsidRPr="00FA3C4D">
              <w:rPr>
                <w:sz w:val="20"/>
                <w:szCs w:val="20"/>
              </w:rPr>
              <w:t>8131Y</w:t>
            </w:r>
          </w:p>
        </w:tc>
        <w:tc>
          <w:tcPr>
            <w:tcW w:w="0" w:type="auto"/>
            <w:tcBorders>
              <w:top w:val="nil"/>
              <w:left w:val="nil"/>
              <w:bottom w:val="single" w:sz="4" w:space="0" w:color="auto"/>
              <w:right w:val="single" w:sz="4" w:space="0" w:color="auto"/>
            </w:tcBorders>
            <w:shd w:val="clear" w:color="auto" w:fill="auto"/>
            <w:hideMark/>
          </w:tcPr>
          <w:p w14:paraId="140CFCEC" w14:textId="77777777" w:rsidR="002A4823" w:rsidRPr="00FA3C4D" w:rsidRDefault="002A4823" w:rsidP="004F7278">
            <w:pPr>
              <w:spacing w:after="0"/>
              <w:rPr>
                <w:sz w:val="20"/>
                <w:szCs w:val="20"/>
              </w:rPr>
            </w:pPr>
            <w:r w:rsidRPr="00FA3C4D">
              <w:rPr>
                <w:sz w:val="20"/>
                <w:szCs w:val="20"/>
              </w:rPr>
              <w:t>Tablet 150 mg</w:t>
            </w:r>
          </w:p>
        </w:tc>
      </w:tr>
      <w:tr w:rsidR="002A4823" w:rsidRPr="00FA3C4D" w14:paraId="46F8E4DB"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77490709" w14:textId="77777777" w:rsidR="002A4823" w:rsidRPr="00FA3C4D" w:rsidRDefault="002A4823" w:rsidP="004F7278">
            <w:pPr>
              <w:spacing w:after="0"/>
              <w:rPr>
                <w:sz w:val="20"/>
                <w:szCs w:val="20"/>
              </w:rPr>
            </w:pPr>
            <w:r w:rsidRPr="00FA3C4D">
              <w:rPr>
                <w:sz w:val="20"/>
                <w:szCs w:val="20"/>
              </w:rPr>
              <w:t>Triptorelin</w:t>
            </w:r>
          </w:p>
        </w:tc>
        <w:tc>
          <w:tcPr>
            <w:tcW w:w="0" w:type="auto"/>
            <w:tcBorders>
              <w:top w:val="nil"/>
              <w:left w:val="nil"/>
              <w:bottom w:val="single" w:sz="4" w:space="0" w:color="auto"/>
              <w:right w:val="single" w:sz="4" w:space="0" w:color="auto"/>
            </w:tcBorders>
            <w:shd w:val="clear" w:color="auto" w:fill="auto"/>
            <w:hideMark/>
          </w:tcPr>
          <w:p w14:paraId="479FD6C3"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59FEBF4B" w14:textId="77777777" w:rsidR="002A4823" w:rsidRPr="00FA3C4D" w:rsidRDefault="002A4823" w:rsidP="004F7278">
            <w:pPr>
              <w:spacing w:after="0"/>
              <w:rPr>
                <w:sz w:val="20"/>
                <w:szCs w:val="20"/>
              </w:rPr>
            </w:pPr>
            <w:r w:rsidRPr="00FA3C4D">
              <w:rPr>
                <w:sz w:val="20"/>
                <w:szCs w:val="20"/>
              </w:rPr>
              <w:t>5297T</w:t>
            </w:r>
          </w:p>
        </w:tc>
        <w:tc>
          <w:tcPr>
            <w:tcW w:w="0" w:type="auto"/>
            <w:tcBorders>
              <w:top w:val="nil"/>
              <w:left w:val="nil"/>
              <w:bottom w:val="single" w:sz="4" w:space="0" w:color="auto"/>
              <w:right w:val="single" w:sz="4" w:space="0" w:color="auto"/>
            </w:tcBorders>
            <w:shd w:val="clear" w:color="auto" w:fill="auto"/>
            <w:hideMark/>
          </w:tcPr>
          <w:p w14:paraId="1CFD92E4" w14:textId="77777777" w:rsidR="002A4823" w:rsidRPr="00FA3C4D" w:rsidRDefault="002A4823" w:rsidP="004F7278">
            <w:pPr>
              <w:spacing w:after="0"/>
              <w:rPr>
                <w:sz w:val="20"/>
                <w:szCs w:val="20"/>
              </w:rPr>
            </w:pPr>
            <w:r w:rsidRPr="00FA3C4D">
              <w:rPr>
                <w:sz w:val="20"/>
                <w:szCs w:val="20"/>
              </w:rPr>
              <w:t>Powder for I.M. injection (prolonged release) 22.5 mg (as embonate) with solvent, syringe and needles</w:t>
            </w:r>
          </w:p>
        </w:tc>
      </w:tr>
      <w:tr w:rsidR="002A4823" w:rsidRPr="00FA3C4D" w14:paraId="0D084786"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5708FF5" w14:textId="77777777" w:rsidR="002A4823" w:rsidRPr="00FA3C4D" w:rsidRDefault="002A4823" w:rsidP="004F7278">
            <w:pPr>
              <w:spacing w:after="0"/>
              <w:rPr>
                <w:sz w:val="20"/>
                <w:szCs w:val="20"/>
              </w:rPr>
            </w:pPr>
            <w:r w:rsidRPr="00FA3C4D">
              <w:rPr>
                <w:sz w:val="20"/>
                <w:szCs w:val="20"/>
              </w:rPr>
              <w:t>Triptorelin</w:t>
            </w:r>
          </w:p>
        </w:tc>
        <w:tc>
          <w:tcPr>
            <w:tcW w:w="0" w:type="auto"/>
            <w:tcBorders>
              <w:top w:val="nil"/>
              <w:left w:val="nil"/>
              <w:bottom w:val="single" w:sz="4" w:space="0" w:color="auto"/>
              <w:right w:val="single" w:sz="4" w:space="0" w:color="auto"/>
            </w:tcBorders>
            <w:shd w:val="clear" w:color="auto" w:fill="auto"/>
            <w:hideMark/>
          </w:tcPr>
          <w:p w14:paraId="5A4F8125"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371A4BCC" w14:textId="77777777" w:rsidR="002A4823" w:rsidRPr="00FA3C4D" w:rsidRDefault="002A4823" w:rsidP="004F7278">
            <w:pPr>
              <w:spacing w:after="0"/>
              <w:rPr>
                <w:sz w:val="20"/>
                <w:szCs w:val="20"/>
              </w:rPr>
            </w:pPr>
            <w:r w:rsidRPr="00FA3C4D">
              <w:rPr>
                <w:sz w:val="20"/>
                <w:szCs w:val="20"/>
              </w:rPr>
              <w:t>9378N</w:t>
            </w:r>
          </w:p>
        </w:tc>
        <w:tc>
          <w:tcPr>
            <w:tcW w:w="0" w:type="auto"/>
            <w:tcBorders>
              <w:top w:val="nil"/>
              <w:left w:val="nil"/>
              <w:bottom w:val="single" w:sz="4" w:space="0" w:color="auto"/>
              <w:right w:val="single" w:sz="4" w:space="0" w:color="auto"/>
            </w:tcBorders>
            <w:shd w:val="clear" w:color="auto" w:fill="auto"/>
            <w:hideMark/>
          </w:tcPr>
          <w:p w14:paraId="06DAA568" w14:textId="77777777" w:rsidR="002A4823" w:rsidRPr="00FA3C4D" w:rsidRDefault="002A4823" w:rsidP="004F7278">
            <w:pPr>
              <w:spacing w:after="0"/>
              <w:rPr>
                <w:sz w:val="20"/>
                <w:szCs w:val="20"/>
              </w:rPr>
            </w:pPr>
            <w:r w:rsidRPr="00FA3C4D">
              <w:rPr>
                <w:sz w:val="20"/>
                <w:szCs w:val="20"/>
              </w:rPr>
              <w:t>Powder for I.M. injection (prolonged release) 3.75 mg (as embonate) with solvent, syringe and needles</w:t>
            </w:r>
          </w:p>
        </w:tc>
      </w:tr>
      <w:tr w:rsidR="002A4823" w:rsidRPr="00FA3C4D" w14:paraId="62529E8B" w14:textId="77777777" w:rsidTr="004F7278">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11AC90C3" w14:textId="77777777" w:rsidR="002A4823" w:rsidRPr="00FA3C4D" w:rsidRDefault="002A4823" w:rsidP="004F7278">
            <w:pPr>
              <w:spacing w:after="0"/>
              <w:rPr>
                <w:sz w:val="20"/>
                <w:szCs w:val="20"/>
              </w:rPr>
            </w:pPr>
            <w:r w:rsidRPr="00FA3C4D">
              <w:rPr>
                <w:sz w:val="20"/>
                <w:szCs w:val="20"/>
              </w:rPr>
              <w:t>Triptorelin</w:t>
            </w:r>
          </w:p>
        </w:tc>
        <w:tc>
          <w:tcPr>
            <w:tcW w:w="0" w:type="auto"/>
            <w:tcBorders>
              <w:top w:val="nil"/>
              <w:left w:val="nil"/>
              <w:bottom w:val="single" w:sz="4" w:space="0" w:color="auto"/>
              <w:right w:val="single" w:sz="4" w:space="0" w:color="auto"/>
            </w:tcBorders>
            <w:shd w:val="clear" w:color="auto" w:fill="auto"/>
            <w:hideMark/>
          </w:tcPr>
          <w:p w14:paraId="243A3B58" w14:textId="77777777" w:rsidR="002A4823" w:rsidRPr="00FA3C4D" w:rsidRDefault="002A4823" w:rsidP="004F7278">
            <w:pPr>
              <w:spacing w:after="0"/>
              <w:rPr>
                <w:sz w:val="20"/>
                <w:szCs w:val="20"/>
              </w:rPr>
            </w:pPr>
            <w:r w:rsidRPr="00FA3C4D">
              <w:rPr>
                <w:sz w:val="20"/>
                <w:szCs w:val="20"/>
              </w:rPr>
              <w:t>Gonadotropin releasing hormone analogues</w:t>
            </w:r>
          </w:p>
        </w:tc>
        <w:tc>
          <w:tcPr>
            <w:tcW w:w="0" w:type="auto"/>
            <w:tcBorders>
              <w:top w:val="nil"/>
              <w:left w:val="nil"/>
              <w:bottom w:val="single" w:sz="4" w:space="0" w:color="auto"/>
              <w:right w:val="single" w:sz="4" w:space="0" w:color="auto"/>
            </w:tcBorders>
            <w:shd w:val="clear" w:color="auto" w:fill="auto"/>
            <w:hideMark/>
          </w:tcPr>
          <w:p w14:paraId="690362C7" w14:textId="77777777" w:rsidR="002A4823" w:rsidRPr="00FA3C4D" w:rsidRDefault="002A4823" w:rsidP="004F7278">
            <w:pPr>
              <w:spacing w:after="0"/>
              <w:rPr>
                <w:sz w:val="20"/>
                <w:szCs w:val="20"/>
              </w:rPr>
            </w:pPr>
            <w:r w:rsidRPr="00FA3C4D">
              <w:rPr>
                <w:sz w:val="20"/>
                <w:szCs w:val="20"/>
              </w:rPr>
              <w:t>9379P</w:t>
            </w:r>
          </w:p>
        </w:tc>
        <w:tc>
          <w:tcPr>
            <w:tcW w:w="0" w:type="auto"/>
            <w:tcBorders>
              <w:top w:val="nil"/>
              <w:left w:val="nil"/>
              <w:bottom w:val="single" w:sz="4" w:space="0" w:color="auto"/>
              <w:right w:val="single" w:sz="4" w:space="0" w:color="auto"/>
            </w:tcBorders>
            <w:shd w:val="clear" w:color="auto" w:fill="auto"/>
            <w:hideMark/>
          </w:tcPr>
          <w:p w14:paraId="41F154E5" w14:textId="77777777" w:rsidR="002A4823" w:rsidRPr="00FA3C4D" w:rsidRDefault="002A4823" w:rsidP="004F7278">
            <w:pPr>
              <w:spacing w:after="0"/>
              <w:rPr>
                <w:sz w:val="20"/>
                <w:szCs w:val="20"/>
              </w:rPr>
            </w:pPr>
            <w:r w:rsidRPr="00FA3C4D">
              <w:rPr>
                <w:sz w:val="20"/>
                <w:szCs w:val="20"/>
              </w:rPr>
              <w:t>Powder for I.M. injection (prolonged release) 11.25 mg (as embonate) with solvent, syringe and needles</w:t>
            </w:r>
          </w:p>
        </w:tc>
      </w:tr>
    </w:tbl>
    <w:p w14:paraId="4005A162" w14:textId="77777777" w:rsidR="002A4823" w:rsidRPr="00B02785" w:rsidRDefault="002A4823" w:rsidP="002657CC">
      <w:pPr>
        <w:spacing w:line="276" w:lineRule="auto"/>
      </w:pPr>
    </w:p>
    <w:sectPr w:rsidR="002A4823" w:rsidRPr="00B02785" w:rsidSect="00DD188C">
      <w:headerReference w:type="even" r:id="rId25"/>
      <w:headerReference w:type="default" r:id="rId26"/>
      <w:footerReference w:type="even" r:id="rId27"/>
      <w:footerReference w:type="default" r:id="rId28"/>
      <w:headerReference w:type="first" r:id="rId29"/>
      <w:footerReference w:type="first" r:id="rId30"/>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457765" w:rsidRDefault="00457765" w:rsidP="00A35800">
      <w:r>
        <w:separator/>
      </w:r>
    </w:p>
  </w:endnote>
  <w:endnote w:type="continuationSeparator" w:id="0">
    <w:p w14:paraId="45A4A8C8" w14:textId="77777777" w:rsidR="00457765" w:rsidRDefault="00457765"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457765" w:rsidRDefault="00457765"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457765" w:rsidRDefault="00457765"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1C38E33A" w14:textId="69FA74D9" w:rsidR="00457765" w:rsidRPr="00CB6ABE" w:rsidRDefault="00457765" w:rsidP="007954F7">
            <w:pPr>
              <w:pStyle w:val="Footer"/>
              <w:jc w:val="center"/>
              <w:rPr>
                <w:i/>
                <w:sz w:val="20"/>
                <w:szCs w:val="20"/>
              </w:rPr>
            </w:pPr>
            <w:r>
              <w:rPr>
                <w:i/>
                <w:sz w:val="20"/>
                <w:szCs w:val="20"/>
              </w:rPr>
              <w:t>Publi</w:t>
            </w:r>
            <w:r w:rsidR="00564016">
              <w:rPr>
                <w:i/>
                <w:sz w:val="20"/>
                <w:szCs w:val="20"/>
              </w:rPr>
              <w:t>c Release Document, June 2016</w:t>
            </w:r>
            <w:r>
              <w:rPr>
                <w:i/>
                <w:sz w:val="20"/>
                <w:szCs w:val="20"/>
              </w:rPr>
              <w:t xml:space="preserve"> DUSC Meeting</w:t>
            </w:r>
          </w:p>
          <w:p w14:paraId="10292A9A" w14:textId="716A75DF" w:rsidR="00457765" w:rsidRDefault="00457765"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07144D">
              <w:rPr>
                <w:bCs/>
                <w:i/>
                <w:noProof/>
                <w:sz w:val="20"/>
              </w:rPr>
              <w:t>24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07144D">
              <w:rPr>
                <w:bCs/>
                <w:i/>
                <w:noProof/>
                <w:sz w:val="20"/>
              </w:rPr>
              <w:t>32</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2E1F" w14:textId="77777777" w:rsidR="00457765" w:rsidRDefault="00457765" w:rsidP="007A5733">
    <w:pPr>
      <w:pStyle w:val="Footer"/>
      <w:jc w:val="center"/>
      <w:rPr>
        <w:rStyle w:val="PageNumber"/>
      </w:rPr>
    </w:pPr>
    <w:r>
      <w:rPr>
        <w:rStyle w:val="PageNumber"/>
      </w:rPr>
      <w:t>Committee-in-Confidence</w:t>
    </w:r>
  </w:p>
  <w:p w14:paraId="3CE6880B" w14:textId="77777777" w:rsidR="00457765" w:rsidRDefault="00457765"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457765" w:rsidRDefault="00457765" w:rsidP="00A35800">
      <w:r>
        <w:separator/>
      </w:r>
    </w:p>
  </w:footnote>
  <w:footnote w:type="continuationSeparator" w:id="0">
    <w:p w14:paraId="7E2CA1E4" w14:textId="77777777" w:rsidR="00457765" w:rsidRDefault="00457765" w:rsidP="00A35800">
      <w:r>
        <w:continuationSeparator/>
      </w:r>
    </w:p>
  </w:footnote>
  <w:footnote w:id="1">
    <w:p w14:paraId="6B0C9DD9" w14:textId="01AC5951" w:rsidR="00457765" w:rsidRDefault="00457765" w:rsidP="008D7573">
      <w:pPr>
        <w:pStyle w:val="FootnoteText"/>
      </w:pPr>
      <w:r>
        <w:rPr>
          <w:rStyle w:val="FootnoteReference"/>
        </w:rPr>
        <w:footnoteRef/>
      </w:r>
      <w:r>
        <w:t xml:space="preserve"> Jevtana® (cabazitaxel) Australian Consumer Medicine Information. Macquarie Park, NSW: sanofi-aventis australia pty ltd. Available from </w:t>
      </w:r>
      <w:hyperlink r:id="rId1" w:history="1">
        <w:r w:rsidRPr="00AF2D1E">
          <w:rPr>
            <w:rStyle w:val="Hyperlink"/>
          </w:rPr>
          <w:t>https://www.ebs.tga.gov.au/ebs/picmi/picmirepository.nsf/pdf?OpenAgent&amp;id=CP-2011-CMI-03785-3&amp;d=2016050416114622483</w:t>
        </w:r>
      </w:hyperlink>
      <w:r>
        <w:t xml:space="preserve"> </w:t>
      </w:r>
    </w:p>
  </w:footnote>
  <w:footnote w:id="2">
    <w:p w14:paraId="5E108890" w14:textId="229E2C2C" w:rsidR="00457765" w:rsidRDefault="00457765" w:rsidP="008D7573">
      <w:pPr>
        <w:pStyle w:val="FootnoteText"/>
      </w:pPr>
      <w:r>
        <w:rPr>
          <w:rStyle w:val="FootnoteReference"/>
        </w:rPr>
        <w:footnoteRef/>
      </w:r>
      <w:r>
        <w:t xml:space="preserve"> Docetaxel Australian Consumer Medicine Information. Available from </w:t>
      </w:r>
      <w:hyperlink r:id="rId2" w:history="1">
        <w:r w:rsidRPr="00AF2D1E">
          <w:rPr>
            <w:rStyle w:val="Hyperlink"/>
          </w:rPr>
          <w:t>https://www.ebs.tga.gov.au/ebs/picmi/picmirepository.nsf/PICMI?OpenForm&amp;t=CMI&amp;q=docetaxel&amp;r=https://www.ebs.tga.gov.au/</w:t>
        </w:r>
      </w:hyperlink>
      <w:r>
        <w:t xml:space="preserve"> </w:t>
      </w:r>
    </w:p>
  </w:footnote>
  <w:footnote w:id="3">
    <w:p w14:paraId="4D74E13B" w14:textId="47A13CF3" w:rsidR="00457765" w:rsidRDefault="00457765">
      <w:pPr>
        <w:pStyle w:val="FootnoteText"/>
      </w:pPr>
      <w:r>
        <w:rPr>
          <w:rStyle w:val="FootnoteReference"/>
        </w:rPr>
        <w:footnoteRef/>
      </w:r>
      <w:r>
        <w:t xml:space="preserve"> </w:t>
      </w:r>
      <w:r w:rsidRPr="003A1EFA">
        <w:t>Zytiga® (abiraterone) Australian approved product information. Sydney: Janssen-Cilag Pty Ltd. Approved 1 March 2012, Most recent amendment 12 November 2015.</w:t>
      </w:r>
    </w:p>
  </w:footnote>
  <w:footnote w:id="4">
    <w:p w14:paraId="693EC81B" w14:textId="28A30526" w:rsidR="00457765" w:rsidRDefault="00457765">
      <w:pPr>
        <w:pStyle w:val="FootnoteText"/>
      </w:pPr>
      <w:r>
        <w:rPr>
          <w:rStyle w:val="FootnoteReference"/>
        </w:rPr>
        <w:footnoteRef/>
      </w:r>
      <w:r>
        <w:t xml:space="preserve"> </w:t>
      </w:r>
      <w:r w:rsidRPr="003A1EFA">
        <w:rPr>
          <w:szCs w:val="18"/>
        </w:rPr>
        <w:t>Xtandi</w:t>
      </w:r>
      <w:r>
        <w:rPr>
          <w:szCs w:val="18"/>
        </w:rPr>
        <w:t>®</w:t>
      </w:r>
      <w:r w:rsidRPr="003A1EFA">
        <w:rPr>
          <w:szCs w:val="18"/>
        </w:rPr>
        <w:t xml:space="preserve"> (enzalutamide) Australian approved product information. Sydney: Astellas Pharma Australia Pty Ltd. Approved 1 July 2014, Most recent amendment 14 April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F287" w14:textId="77777777" w:rsidR="003A7E1C" w:rsidRDefault="003A7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6DFFE" w14:textId="77777777" w:rsidR="003A7E1C" w:rsidRDefault="003A7E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1E5DF" w14:textId="77777777" w:rsidR="003A7E1C" w:rsidRDefault="003A7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28C"/>
    <w:multiLevelType w:val="hybridMultilevel"/>
    <w:tmpl w:val="A9CCA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6F7B2B"/>
    <w:multiLevelType w:val="hybridMultilevel"/>
    <w:tmpl w:val="FC0CF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9021F7"/>
    <w:multiLevelType w:val="hybridMultilevel"/>
    <w:tmpl w:val="71568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2000F4C"/>
    <w:multiLevelType w:val="hybridMultilevel"/>
    <w:tmpl w:val="38961A68"/>
    <w:lvl w:ilvl="0" w:tplc="9446BD6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9C4637"/>
    <w:multiLevelType w:val="hybridMultilevel"/>
    <w:tmpl w:val="41AA6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507281"/>
    <w:multiLevelType w:val="hybridMultilevel"/>
    <w:tmpl w:val="000E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99173D"/>
    <w:multiLevelType w:val="hybridMultilevel"/>
    <w:tmpl w:val="75025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EC0DBC"/>
    <w:multiLevelType w:val="hybridMultilevel"/>
    <w:tmpl w:val="9008EEB4"/>
    <w:lvl w:ilvl="0" w:tplc="9446BD6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A97A9B"/>
    <w:multiLevelType w:val="hybridMultilevel"/>
    <w:tmpl w:val="CC80C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8EB4840"/>
    <w:multiLevelType w:val="hybridMultilevel"/>
    <w:tmpl w:val="F88EF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9A64937"/>
    <w:multiLevelType w:val="hybridMultilevel"/>
    <w:tmpl w:val="1132F5C8"/>
    <w:lvl w:ilvl="0" w:tplc="E2382E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B444FCC"/>
    <w:multiLevelType w:val="hybridMultilevel"/>
    <w:tmpl w:val="2B3A9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E614E0D"/>
    <w:multiLevelType w:val="hybridMultilevel"/>
    <w:tmpl w:val="195E6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41A6156"/>
    <w:multiLevelType w:val="hybridMultilevel"/>
    <w:tmpl w:val="E9A06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5DA6F85"/>
    <w:multiLevelType w:val="hybridMultilevel"/>
    <w:tmpl w:val="03F66A94"/>
    <w:lvl w:ilvl="0" w:tplc="C14AE0F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B882A64"/>
    <w:multiLevelType w:val="hybridMultilevel"/>
    <w:tmpl w:val="D6B0C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C433DCC"/>
    <w:multiLevelType w:val="hybridMultilevel"/>
    <w:tmpl w:val="663C8C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DE5143"/>
    <w:multiLevelType w:val="hybridMultilevel"/>
    <w:tmpl w:val="8D3CC554"/>
    <w:lvl w:ilvl="0" w:tplc="9446BD66">
      <w:numFmt w:val="bullet"/>
      <w:lvlText w:val="-"/>
      <w:lvlJc w:val="left"/>
      <w:pPr>
        <w:ind w:left="720" w:hanging="360"/>
      </w:pPr>
      <w:rPr>
        <w:rFonts w:ascii="Calibri" w:eastAsiaTheme="minorEastAsia" w:hAnsi="Calibri" w:cs="Calibri" w:hint="default"/>
      </w:rPr>
    </w:lvl>
    <w:lvl w:ilvl="1" w:tplc="A5A2E348">
      <w:start w:val="2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5EC502F"/>
    <w:multiLevelType w:val="hybridMultilevel"/>
    <w:tmpl w:val="CA8AC93E"/>
    <w:lvl w:ilvl="0" w:tplc="9446BD6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D320EB"/>
    <w:multiLevelType w:val="hybridMultilevel"/>
    <w:tmpl w:val="3606F8C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EF21835"/>
    <w:multiLevelType w:val="hybridMultilevel"/>
    <w:tmpl w:val="DB446926"/>
    <w:lvl w:ilvl="0" w:tplc="453442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84D033C"/>
    <w:multiLevelType w:val="multilevel"/>
    <w:tmpl w:val="3B1E71D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hint="default"/>
        <w:b w:val="0"/>
        <w:i w:val="0"/>
        <w:color w:val="000000" w:themeColor="text1"/>
      </w:rPr>
    </w:lvl>
    <w:lvl w:ilvl="2">
      <w:start w:val="1"/>
      <w:numFmt w:val="bullet"/>
      <w:lvlText w:val=""/>
      <w:lvlJc w:val="left"/>
      <w:pPr>
        <w:ind w:left="143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CD71785"/>
    <w:multiLevelType w:val="hybridMultilevel"/>
    <w:tmpl w:val="0CA0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6"/>
  </w:num>
  <w:num w:numId="4">
    <w:abstractNumId w:val="25"/>
  </w:num>
  <w:num w:numId="5">
    <w:abstractNumId w:val="2"/>
  </w:num>
  <w:num w:numId="6">
    <w:abstractNumId w:val="9"/>
  </w:num>
  <w:num w:numId="7">
    <w:abstractNumId w:val="10"/>
  </w:num>
  <w:num w:numId="8">
    <w:abstractNumId w:val="15"/>
  </w:num>
  <w:num w:numId="9">
    <w:abstractNumId w:val="1"/>
  </w:num>
  <w:num w:numId="10">
    <w:abstractNumId w:val="8"/>
  </w:num>
  <w:num w:numId="11">
    <w:abstractNumId w:val="4"/>
  </w:num>
  <w:num w:numId="12">
    <w:abstractNumId w:val="0"/>
  </w:num>
  <w:num w:numId="13">
    <w:abstractNumId w:val="13"/>
  </w:num>
  <w:num w:numId="14">
    <w:abstractNumId w:val="5"/>
  </w:num>
  <w:num w:numId="15">
    <w:abstractNumId w:val="19"/>
  </w:num>
  <w:num w:numId="16">
    <w:abstractNumId w:val="14"/>
  </w:num>
  <w:num w:numId="17">
    <w:abstractNumId w:val="11"/>
  </w:num>
  <w:num w:numId="18">
    <w:abstractNumId w:val="23"/>
  </w:num>
  <w:num w:numId="19">
    <w:abstractNumId w:val="7"/>
  </w:num>
  <w:num w:numId="20">
    <w:abstractNumId w:val="17"/>
  </w:num>
  <w:num w:numId="21">
    <w:abstractNumId w:val="18"/>
  </w:num>
  <w:num w:numId="22">
    <w:abstractNumId w:val="16"/>
  </w:num>
  <w:num w:numId="23">
    <w:abstractNumId w:val="26"/>
  </w:num>
  <w:num w:numId="24">
    <w:abstractNumId w:val="22"/>
  </w:num>
  <w:num w:numId="25">
    <w:abstractNumId w:val="12"/>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119F"/>
    <w:rsid w:val="0000191F"/>
    <w:rsid w:val="00003244"/>
    <w:rsid w:val="00004B80"/>
    <w:rsid w:val="00006019"/>
    <w:rsid w:val="000061D2"/>
    <w:rsid w:val="00007AFE"/>
    <w:rsid w:val="00007E85"/>
    <w:rsid w:val="00013465"/>
    <w:rsid w:val="00013467"/>
    <w:rsid w:val="0001396B"/>
    <w:rsid w:val="000158BD"/>
    <w:rsid w:val="00016B94"/>
    <w:rsid w:val="00017EFB"/>
    <w:rsid w:val="000226B3"/>
    <w:rsid w:val="000229B7"/>
    <w:rsid w:val="00022C03"/>
    <w:rsid w:val="00024549"/>
    <w:rsid w:val="0003004E"/>
    <w:rsid w:val="00032212"/>
    <w:rsid w:val="00032A50"/>
    <w:rsid w:val="00032F05"/>
    <w:rsid w:val="00033429"/>
    <w:rsid w:val="000344E1"/>
    <w:rsid w:val="0003506D"/>
    <w:rsid w:val="00035C87"/>
    <w:rsid w:val="00035E35"/>
    <w:rsid w:val="0004060B"/>
    <w:rsid w:val="0004180D"/>
    <w:rsid w:val="00041C38"/>
    <w:rsid w:val="00042E3F"/>
    <w:rsid w:val="00043A66"/>
    <w:rsid w:val="00044B14"/>
    <w:rsid w:val="0004661D"/>
    <w:rsid w:val="000468D0"/>
    <w:rsid w:val="0005028D"/>
    <w:rsid w:val="00050C22"/>
    <w:rsid w:val="00051FC0"/>
    <w:rsid w:val="00053321"/>
    <w:rsid w:val="000544B6"/>
    <w:rsid w:val="0005550F"/>
    <w:rsid w:val="000556CC"/>
    <w:rsid w:val="000604AF"/>
    <w:rsid w:val="00060EF4"/>
    <w:rsid w:val="00061D89"/>
    <w:rsid w:val="00063C23"/>
    <w:rsid w:val="00065A2A"/>
    <w:rsid w:val="000661C4"/>
    <w:rsid w:val="0006661C"/>
    <w:rsid w:val="00067455"/>
    <w:rsid w:val="00067F8A"/>
    <w:rsid w:val="00070123"/>
    <w:rsid w:val="0007144D"/>
    <w:rsid w:val="000738F9"/>
    <w:rsid w:val="0007418A"/>
    <w:rsid w:val="0007454B"/>
    <w:rsid w:val="00075010"/>
    <w:rsid w:val="0007754F"/>
    <w:rsid w:val="0008152B"/>
    <w:rsid w:val="0008492F"/>
    <w:rsid w:val="00085398"/>
    <w:rsid w:val="00085722"/>
    <w:rsid w:val="00085A03"/>
    <w:rsid w:val="00086A48"/>
    <w:rsid w:val="00086BFD"/>
    <w:rsid w:val="00086C11"/>
    <w:rsid w:val="00090D25"/>
    <w:rsid w:val="00092606"/>
    <w:rsid w:val="00093245"/>
    <w:rsid w:val="000941DA"/>
    <w:rsid w:val="00094665"/>
    <w:rsid w:val="00094DCF"/>
    <w:rsid w:val="00094DF3"/>
    <w:rsid w:val="000A01E0"/>
    <w:rsid w:val="000A0FCF"/>
    <w:rsid w:val="000A17F2"/>
    <w:rsid w:val="000A1F4C"/>
    <w:rsid w:val="000A2532"/>
    <w:rsid w:val="000A39B7"/>
    <w:rsid w:val="000A4271"/>
    <w:rsid w:val="000A6CFD"/>
    <w:rsid w:val="000A6EBF"/>
    <w:rsid w:val="000B0982"/>
    <w:rsid w:val="000B18C1"/>
    <w:rsid w:val="000B23FD"/>
    <w:rsid w:val="000B2AB6"/>
    <w:rsid w:val="000B3190"/>
    <w:rsid w:val="000B359E"/>
    <w:rsid w:val="000B4F1D"/>
    <w:rsid w:val="000B577B"/>
    <w:rsid w:val="000B632D"/>
    <w:rsid w:val="000B679A"/>
    <w:rsid w:val="000B68EC"/>
    <w:rsid w:val="000B6EB7"/>
    <w:rsid w:val="000B76EF"/>
    <w:rsid w:val="000B796C"/>
    <w:rsid w:val="000B7B11"/>
    <w:rsid w:val="000C0338"/>
    <w:rsid w:val="000C0B54"/>
    <w:rsid w:val="000C13EC"/>
    <w:rsid w:val="000C3AEA"/>
    <w:rsid w:val="000C3E68"/>
    <w:rsid w:val="000C4691"/>
    <w:rsid w:val="000C46BB"/>
    <w:rsid w:val="000C47DB"/>
    <w:rsid w:val="000C4D9D"/>
    <w:rsid w:val="000C5151"/>
    <w:rsid w:val="000C7C4B"/>
    <w:rsid w:val="000C7D75"/>
    <w:rsid w:val="000C7D8B"/>
    <w:rsid w:val="000D0364"/>
    <w:rsid w:val="000D0A01"/>
    <w:rsid w:val="000D1EDD"/>
    <w:rsid w:val="000D3334"/>
    <w:rsid w:val="000D3B0F"/>
    <w:rsid w:val="000D4D9C"/>
    <w:rsid w:val="000D749A"/>
    <w:rsid w:val="000D7A13"/>
    <w:rsid w:val="000E1914"/>
    <w:rsid w:val="000E1DA0"/>
    <w:rsid w:val="000E1F47"/>
    <w:rsid w:val="000E27F4"/>
    <w:rsid w:val="000E453E"/>
    <w:rsid w:val="000E454A"/>
    <w:rsid w:val="000E485D"/>
    <w:rsid w:val="000E53F7"/>
    <w:rsid w:val="000E72C6"/>
    <w:rsid w:val="000E79D5"/>
    <w:rsid w:val="000E7FAE"/>
    <w:rsid w:val="000F1893"/>
    <w:rsid w:val="000F2F51"/>
    <w:rsid w:val="000F32EA"/>
    <w:rsid w:val="000F4DE9"/>
    <w:rsid w:val="000F4F7D"/>
    <w:rsid w:val="000F509C"/>
    <w:rsid w:val="000F6BF8"/>
    <w:rsid w:val="00101BB5"/>
    <w:rsid w:val="00102207"/>
    <w:rsid w:val="00102ABE"/>
    <w:rsid w:val="00102E66"/>
    <w:rsid w:val="001037F7"/>
    <w:rsid w:val="00105026"/>
    <w:rsid w:val="0011174A"/>
    <w:rsid w:val="00113CF8"/>
    <w:rsid w:val="00113D74"/>
    <w:rsid w:val="00113E77"/>
    <w:rsid w:val="00115280"/>
    <w:rsid w:val="001159B7"/>
    <w:rsid w:val="001164B8"/>
    <w:rsid w:val="00117C5C"/>
    <w:rsid w:val="00120EB0"/>
    <w:rsid w:val="00123049"/>
    <w:rsid w:val="0012318D"/>
    <w:rsid w:val="00125C1B"/>
    <w:rsid w:val="00126F95"/>
    <w:rsid w:val="001273A8"/>
    <w:rsid w:val="001310AE"/>
    <w:rsid w:val="0013180F"/>
    <w:rsid w:val="00133659"/>
    <w:rsid w:val="001368F5"/>
    <w:rsid w:val="00137008"/>
    <w:rsid w:val="001378DC"/>
    <w:rsid w:val="00140774"/>
    <w:rsid w:val="0014079B"/>
    <w:rsid w:val="00141045"/>
    <w:rsid w:val="001420B3"/>
    <w:rsid w:val="001428BA"/>
    <w:rsid w:val="00144890"/>
    <w:rsid w:val="001452ED"/>
    <w:rsid w:val="00146F09"/>
    <w:rsid w:val="001508D8"/>
    <w:rsid w:val="00151506"/>
    <w:rsid w:val="00154A60"/>
    <w:rsid w:val="00155C51"/>
    <w:rsid w:val="00156866"/>
    <w:rsid w:val="0015691C"/>
    <w:rsid w:val="00157980"/>
    <w:rsid w:val="00157FB7"/>
    <w:rsid w:val="0016090C"/>
    <w:rsid w:val="001621F7"/>
    <w:rsid w:val="001624D7"/>
    <w:rsid w:val="001628E8"/>
    <w:rsid w:val="001636D6"/>
    <w:rsid w:val="001638F7"/>
    <w:rsid w:val="00163979"/>
    <w:rsid w:val="00165324"/>
    <w:rsid w:val="00172797"/>
    <w:rsid w:val="00177B86"/>
    <w:rsid w:val="0018204C"/>
    <w:rsid w:val="00182585"/>
    <w:rsid w:val="00184E00"/>
    <w:rsid w:val="00186565"/>
    <w:rsid w:val="00186EAE"/>
    <w:rsid w:val="00187611"/>
    <w:rsid w:val="00190F8D"/>
    <w:rsid w:val="00191182"/>
    <w:rsid w:val="00191716"/>
    <w:rsid w:val="00193AFF"/>
    <w:rsid w:val="00193C34"/>
    <w:rsid w:val="00194943"/>
    <w:rsid w:val="00194EAE"/>
    <w:rsid w:val="0019664D"/>
    <w:rsid w:val="00196F92"/>
    <w:rsid w:val="001A20F1"/>
    <w:rsid w:val="001A2567"/>
    <w:rsid w:val="001A2A3D"/>
    <w:rsid w:val="001A2B00"/>
    <w:rsid w:val="001A5353"/>
    <w:rsid w:val="001A6103"/>
    <w:rsid w:val="001A670F"/>
    <w:rsid w:val="001B184F"/>
    <w:rsid w:val="001B22BC"/>
    <w:rsid w:val="001B514F"/>
    <w:rsid w:val="001B58EF"/>
    <w:rsid w:val="001B5D37"/>
    <w:rsid w:val="001C08DD"/>
    <w:rsid w:val="001C1515"/>
    <w:rsid w:val="001C1B17"/>
    <w:rsid w:val="001C1E7D"/>
    <w:rsid w:val="001C2940"/>
    <w:rsid w:val="001C2CD4"/>
    <w:rsid w:val="001C3484"/>
    <w:rsid w:val="001C4016"/>
    <w:rsid w:val="001C4B81"/>
    <w:rsid w:val="001C548D"/>
    <w:rsid w:val="001C6A5D"/>
    <w:rsid w:val="001C7985"/>
    <w:rsid w:val="001D4AFE"/>
    <w:rsid w:val="001D5C73"/>
    <w:rsid w:val="001D5EE2"/>
    <w:rsid w:val="001D6980"/>
    <w:rsid w:val="001D6B85"/>
    <w:rsid w:val="001D6D5A"/>
    <w:rsid w:val="001D77C7"/>
    <w:rsid w:val="001E2BE1"/>
    <w:rsid w:val="001E31A6"/>
    <w:rsid w:val="001E42C7"/>
    <w:rsid w:val="001E4CAB"/>
    <w:rsid w:val="001E5BAF"/>
    <w:rsid w:val="001E7FBA"/>
    <w:rsid w:val="001F0695"/>
    <w:rsid w:val="001F0A19"/>
    <w:rsid w:val="001F1BCB"/>
    <w:rsid w:val="001F234B"/>
    <w:rsid w:val="001F23F0"/>
    <w:rsid w:val="001F2F3E"/>
    <w:rsid w:val="001F3C87"/>
    <w:rsid w:val="001F4796"/>
    <w:rsid w:val="001F4906"/>
    <w:rsid w:val="001F5C24"/>
    <w:rsid w:val="001F6DCE"/>
    <w:rsid w:val="001F7A2B"/>
    <w:rsid w:val="001F7C4A"/>
    <w:rsid w:val="001F7F4A"/>
    <w:rsid w:val="0020324B"/>
    <w:rsid w:val="0020578A"/>
    <w:rsid w:val="00205D1B"/>
    <w:rsid w:val="0020663D"/>
    <w:rsid w:val="00207631"/>
    <w:rsid w:val="00207F6A"/>
    <w:rsid w:val="00210C39"/>
    <w:rsid w:val="00211A85"/>
    <w:rsid w:val="00212BF3"/>
    <w:rsid w:val="00214013"/>
    <w:rsid w:val="00215AA2"/>
    <w:rsid w:val="00215F0B"/>
    <w:rsid w:val="0021768D"/>
    <w:rsid w:val="00220FC1"/>
    <w:rsid w:val="00221636"/>
    <w:rsid w:val="00222E9A"/>
    <w:rsid w:val="00225958"/>
    <w:rsid w:val="002259BF"/>
    <w:rsid w:val="002300C1"/>
    <w:rsid w:val="00230F3B"/>
    <w:rsid w:val="0023179D"/>
    <w:rsid w:val="00232CC2"/>
    <w:rsid w:val="00234A74"/>
    <w:rsid w:val="002372EC"/>
    <w:rsid w:val="0024006E"/>
    <w:rsid w:val="002419B0"/>
    <w:rsid w:val="002435C8"/>
    <w:rsid w:val="00246BDE"/>
    <w:rsid w:val="00247327"/>
    <w:rsid w:val="0024767A"/>
    <w:rsid w:val="0024771F"/>
    <w:rsid w:val="00247A4A"/>
    <w:rsid w:val="002500C2"/>
    <w:rsid w:val="00251C06"/>
    <w:rsid w:val="0025389D"/>
    <w:rsid w:val="00254339"/>
    <w:rsid w:val="00254E02"/>
    <w:rsid w:val="002560E2"/>
    <w:rsid w:val="0025653B"/>
    <w:rsid w:val="00257877"/>
    <w:rsid w:val="00260372"/>
    <w:rsid w:val="00261D6C"/>
    <w:rsid w:val="0026265F"/>
    <w:rsid w:val="00262E3C"/>
    <w:rsid w:val="00262EBE"/>
    <w:rsid w:val="00264215"/>
    <w:rsid w:val="0026498E"/>
    <w:rsid w:val="00264DB1"/>
    <w:rsid w:val="002657CC"/>
    <w:rsid w:val="00274A43"/>
    <w:rsid w:val="00276AAC"/>
    <w:rsid w:val="002773C1"/>
    <w:rsid w:val="002777CE"/>
    <w:rsid w:val="00277B90"/>
    <w:rsid w:val="00280464"/>
    <w:rsid w:val="002842A5"/>
    <w:rsid w:val="002847C5"/>
    <w:rsid w:val="00284E87"/>
    <w:rsid w:val="00285161"/>
    <w:rsid w:val="0028541F"/>
    <w:rsid w:val="00285A64"/>
    <w:rsid w:val="0028628D"/>
    <w:rsid w:val="0028630D"/>
    <w:rsid w:val="00286C3A"/>
    <w:rsid w:val="00290DC9"/>
    <w:rsid w:val="00291FC9"/>
    <w:rsid w:val="002930F5"/>
    <w:rsid w:val="0029433E"/>
    <w:rsid w:val="00294C9C"/>
    <w:rsid w:val="00294E48"/>
    <w:rsid w:val="002965C3"/>
    <w:rsid w:val="0029699D"/>
    <w:rsid w:val="00297758"/>
    <w:rsid w:val="002A06B7"/>
    <w:rsid w:val="002A1DDC"/>
    <w:rsid w:val="002A4502"/>
    <w:rsid w:val="002A4823"/>
    <w:rsid w:val="002A700A"/>
    <w:rsid w:val="002A7221"/>
    <w:rsid w:val="002B13A5"/>
    <w:rsid w:val="002B14EF"/>
    <w:rsid w:val="002B19A1"/>
    <w:rsid w:val="002B2866"/>
    <w:rsid w:val="002B2B47"/>
    <w:rsid w:val="002B2C91"/>
    <w:rsid w:val="002B3BA2"/>
    <w:rsid w:val="002B4305"/>
    <w:rsid w:val="002B44A2"/>
    <w:rsid w:val="002B4810"/>
    <w:rsid w:val="002B552B"/>
    <w:rsid w:val="002B5C1D"/>
    <w:rsid w:val="002B5F70"/>
    <w:rsid w:val="002B6074"/>
    <w:rsid w:val="002B6179"/>
    <w:rsid w:val="002B6208"/>
    <w:rsid w:val="002B7809"/>
    <w:rsid w:val="002C0F6A"/>
    <w:rsid w:val="002C28AC"/>
    <w:rsid w:val="002C3946"/>
    <w:rsid w:val="002C3BE3"/>
    <w:rsid w:val="002C4EE3"/>
    <w:rsid w:val="002C58A1"/>
    <w:rsid w:val="002C6525"/>
    <w:rsid w:val="002C6E0C"/>
    <w:rsid w:val="002D0317"/>
    <w:rsid w:val="002D144A"/>
    <w:rsid w:val="002D353B"/>
    <w:rsid w:val="002D35F8"/>
    <w:rsid w:val="002D57C5"/>
    <w:rsid w:val="002D6756"/>
    <w:rsid w:val="002D67AE"/>
    <w:rsid w:val="002D6CB9"/>
    <w:rsid w:val="002D7239"/>
    <w:rsid w:val="002D78AF"/>
    <w:rsid w:val="002E080E"/>
    <w:rsid w:val="002E0CE5"/>
    <w:rsid w:val="002E19A3"/>
    <w:rsid w:val="002E1FA6"/>
    <w:rsid w:val="002E212B"/>
    <w:rsid w:val="002E2304"/>
    <w:rsid w:val="002E3337"/>
    <w:rsid w:val="002E581C"/>
    <w:rsid w:val="002E5B74"/>
    <w:rsid w:val="002E6D03"/>
    <w:rsid w:val="002E7329"/>
    <w:rsid w:val="002F2719"/>
    <w:rsid w:val="002F38E2"/>
    <w:rsid w:val="002F49A8"/>
    <w:rsid w:val="002F523B"/>
    <w:rsid w:val="002F5E66"/>
    <w:rsid w:val="002F61CA"/>
    <w:rsid w:val="002F6EBF"/>
    <w:rsid w:val="0030010D"/>
    <w:rsid w:val="00300678"/>
    <w:rsid w:val="0030309A"/>
    <w:rsid w:val="0030364F"/>
    <w:rsid w:val="00303814"/>
    <w:rsid w:val="00305F0F"/>
    <w:rsid w:val="003104FB"/>
    <w:rsid w:val="00310A31"/>
    <w:rsid w:val="00311021"/>
    <w:rsid w:val="003111D7"/>
    <w:rsid w:val="003114A0"/>
    <w:rsid w:val="00311A3C"/>
    <w:rsid w:val="00311F4D"/>
    <w:rsid w:val="003123B1"/>
    <w:rsid w:val="00312D4F"/>
    <w:rsid w:val="0031514A"/>
    <w:rsid w:val="00315A89"/>
    <w:rsid w:val="00315C48"/>
    <w:rsid w:val="00317860"/>
    <w:rsid w:val="00320948"/>
    <w:rsid w:val="00324044"/>
    <w:rsid w:val="00324766"/>
    <w:rsid w:val="0032518E"/>
    <w:rsid w:val="0032747D"/>
    <w:rsid w:val="003276D1"/>
    <w:rsid w:val="003309DF"/>
    <w:rsid w:val="00330A08"/>
    <w:rsid w:val="00330D4E"/>
    <w:rsid w:val="003310F5"/>
    <w:rsid w:val="0033196E"/>
    <w:rsid w:val="00333A14"/>
    <w:rsid w:val="00334A1F"/>
    <w:rsid w:val="0033504C"/>
    <w:rsid w:val="00335E34"/>
    <w:rsid w:val="00335EEC"/>
    <w:rsid w:val="00336816"/>
    <w:rsid w:val="003370D0"/>
    <w:rsid w:val="00337355"/>
    <w:rsid w:val="003374E1"/>
    <w:rsid w:val="003402E4"/>
    <w:rsid w:val="0034049A"/>
    <w:rsid w:val="0034080E"/>
    <w:rsid w:val="00340F95"/>
    <w:rsid w:val="00341A47"/>
    <w:rsid w:val="00341E8E"/>
    <w:rsid w:val="00342C99"/>
    <w:rsid w:val="0034477D"/>
    <w:rsid w:val="00344CB4"/>
    <w:rsid w:val="003452A7"/>
    <w:rsid w:val="00346AC2"/>
    <w:rsid w:val="00347443"/>
    <w:rsid w:val="003476AC"/>
    <w:rsid w:val="003520A6"/>
    <w:rsid w:val="003531ED"/>
    <w:rsid w:val="003548A0"/>
    <w:rsid w:val="00354A36"/>
    <w:rsid w:val="0035642C"/>
    <w:rsid w:val="00356A82"/>
    <w:rsid w:val="00356FC9"/>
    <w:rsid w:val="00360B9A"/>
    <w:rsid w:val="00360FF4"/>
    <w:rsid w:val="00361CB8"/>
    <w:rsid w:val="00365B8E"/>
    <w:rsid w:val="00365F42"/>
    <w:rsid w:val="003714A3"/>
    <w:rsid w:val="00371595"/>
    <w:rsid w:val="00375477"/>
    <w:rsid w:val="0037602F"/>
    <w:rsid w:val="0038053B"/>
    <w:rsid w:val="00380728"/>
    <w:rsid w:val="003808B4"/>
    <w:rsid w:val="00380C5C"/>
    <w:rsid w:val="00383C86"/>
    <w:rsid w:val="0038520F"/>
    <w:rsid w:val="00386076"/>
    <w:rsid w:val="00386835"/>
    <w:rsid w:val="003870A5"/>
    <w:rsid w:val="003877B8"/>
    <w:rsid w:val="0039017F"/>
    <w:rsid w:val="00391391"/>
    <w:rsid w:val="00391EC0"/>
    <w:rsid w:val="00394AEE"/>
    <w:rsid w:val="00396548"/>
    <w:rsid w:val="003A1EFA"/>
    <w:rsid w:val="003A3961"/>
    <w:rsid w:val="003A40CF"/>
    <w:rsid w:val="003A413B"/>
    <w:rsid w:val="003A5E22"/>
    <w:rsid w:val="003A7E1C"/>
    <w:rsid w:val="003B03A4"/>
    <w:rsid w:val="003B09EA"/>
    <w:rsid w:val="003B1298"/>
    <w:rsid w:val="003B1EBB"/>
    <w:rsid w:val="003B2238"/>
    <w:rsid w:val="003B47B7"/>
    <w:rsid w:val="003B6355"/>
    <w:rsid w:val="003C190B"/>
    <w:rsid w:val="003C2D98"/>
    <w:rsid w:val="003C37D3"/>
    <w:rsid w:val="003C5645"/>
    <w:rsid w:val="003C61EF"/>
    <w:rsid w:val="003C62D1"/>
    <w:rsid w:val="003C636E"/>
    <w:rsid w:val="003D12C7"/>
    <w:rsid w:val="003D28E9"/>
    <w:rsid w:val="003D33E2"/>
    <w:rsid w:val="003D3A96"/>
    <w:rsid w:val="003D3B9C"/>
    <w:rsid w:val="003D467C"/>
    <w:rsid w:val="003D4691"/>
    <w:rsid w:val="003D4933"/>
    <w:rsid w:val="003D4DC3"/>
    <w:rsid w:val="003D5284"/>
    <w:rsid w:val="003D7B1F"/>
    <w:rsid w:val="003E1FF8"/>
    <w:rsid w:val="003E3B1A"/>
    <w:rsid w:val="003E486E"/>
    <w:rsid w:val="003E49D6"/>
    <w:rsid w:val="003E5187"/>
    <w:rsid w:val="003E5909"/>
    <w:rsid w:val="003E6460"/>
    <w:rsid w:val="003E64BF"/>
    <w:rsid w:val="003E6E4A"/>
    <w:rsid w:val="003E70D4"/>
    <w:rsid w:val="003E75F2"/>
    <w:rsid w:val="003F03C9"/>
    <w:rsid w:val="003F2950"/>
    <w:rsid w:val="003F57B7"/>
    <w:rsid w:val="004006E9"/>
    <w:rsid w:val="00401930"/>
    <w:rsid w:val="00403304"/>
    <w:rsid w:val="0040493C"/>
    <w:rsid w:val="00404F03"/>
    <w:rsid w:val="00404F27"/>
    <w:rsid w:val="00404FE9"/>
    <w:rsid w:val="004051A8"/>
    <w:rsid w:val="00412051"/>
    <w:rsid w:val="00412F40"/>
    <w:rsid w:val="00413E31"/>
    <w:rsid w:val="00414295"/>
    <w:rsid w:val="004145C4"/>
    <w:rsid w:val="00414C9D"/>
    <w:rsid w:val="00415601"/>
    <w:rsid w:val="00415776"/>
    <w:rsid w:val="004177E9"/>
    <w:rsid w:val="004210B2"/>
    <w:rsid w:val="00422EF5"/>
    <w:rsid w:val="00423672"/>
    <w:rsid w:val="00423B94"/>
    <w:rsid w:val="00423FFE"/>
    <w:rsid w:val="00424B33"/>
    <w:rsid w:val="00426783"/>
    <w:rsid w:val="0043195B"/>
    <w:rsid w:val="004325EE"/>
    <w:rsid w:val="00432AE4"/>
    <w:rsid w:val="00433884"/>
    <w:rsid w:val="00434D25"/>
    <w:rsid w:val="00435258"/>
    <w:rsid w:val="00437515"/>
    <w:rsid w:val="0043793D"/>
    <w:rsid w:val="00440A2E"/>
    <w:rsid w:val="00440AD0"/>
    <w:rsid w:val="004411CF"/>
    <w:rsid w:val="00444F09"/>
    <w:rsid w:val="00445D29"/>
    <w:rsid w:val="00450DAE"/>
    <w:rsid w:val="004538F3"/>
    <w:rsid w:val="0045432E"/>
    <w:rsid w:val="004551D6"/>
    <w:rsid w:val="00456855"/>
    <w:rsid w:val="004569E1"/>
    <w:rsid w:val="004573DD"/>
    <w:rsid w:val="00457765"/>
    <w:rsid w:val="004634FF"/>
    <w:rsid w:val="00463731"/>
    <w:rsid w:val="0046400A"/>
    <w:rsid w:val="0046436F"/>
    <w:rsid w:val="00464991"/>
    <w:rsid w:val="00464E7E"/>
    <w:rsid w:val="00466552"/>
    <w:rsid w:val="00467209"/>
    <w:rsid w:val="00467298"/>
    <w:rsid w:val="00467B25"/>
    <w:rsid w:val="00470FDF"/>
    <w:rsid w:val="00472DF4"/>
    <w:rsid w:val="00474769"/>
    <w:rsid w:val="00474D07"/>
    <w:rsid w:val="00476A47"/>
    <w:rsid w:val="0048047F"/>
    <w:rsid w:val="00481108"/>
    <w:rsid w:val="004843C3"/>
    <w:rsid w:val="00484421"/>
    <w:rsid w:val="0048463D"/>
    <w:rsid w:val="00485A71"/>
    <w:rsid w:val="0049042B"/>
    <w:rsid w:val="004907E3"/>
    <w:rsid w:val="00491927"/>
    <w:rsid w:val="00492133"/>
    <w:rsid w:val="00492D04"/>
    <w:rsid w:val="00495473"/>
    <w:rsid w:val="00496289"/>
    <w:rsid w:val="004A0782"/>
    <w:rsid w:val="004A0807"/>
    <w:rsid w:val="004A20FA"/>
    <w:rsid w:val="004A39CE"/>
    <w:rsid w:val="004A458E"/>
    <w:rsid w:val="004A4F1F"/>
    <w:rsid w:val="004A5C5F"/>
    <w:rsid w:val="004A6D97"/>
    <w:rsid w:val="004B1525"/>
    <w:rsid w:val="004B1E6A"/>
    <w:rsid w:val="004B210E"/>
    <w:rsid w:val="004B23E7"/>
    <w:rsid w:val="004B2F7F"/>
    <w:rsid w:val="004B306F"/>
    <w:rsid w:val="004B40F2"/>
    <w:rsid w:val="004B7CC9"/>
    <w:rsid w:val="004C150F"/>
    <w:rsid w:val="004C1F08"/>
    <w:rsid w:val="004C2C65"/>
    <w:rsid w:val="004C3186"/>
    <w:rsid w:val="004C32A1"/>
    <w:rsid w:val="004C34CD"/>
    <w:rsid w:val="004C3773"/>
    <w:rsid w:val="004C3F6A"/>
    <w:rsid w:val="004C5042"/>
    <w:rsid w:val="004C5F97"/>
    <w:rsid w:val="004C650F"/>
    <w:rsid w:val="004C71DF"/>
    <w:rsid w:val="004C7775"/>
    <w:rsid w:val="004C7932"/>
    <w:rsid w:val="004D2C94"/>
    <w:rsid w:val="004D3947"/>
    <w:rsid w:val="004D5606"/>
    <w:rsid w:val="004D6D67"/>
    <w:rsid w:val="004E049B"/>
    <w:rsid w:val="004E0FC4"/>
    <w:rsid w:val="004E10EC"/>
    <w:rsid w:val="004E2A8D"/>
    <w:rsid w:val="004E4422"/>
    <w:rsid w:val="004E4C2B"/>
    <w:rsid w:val="004E6A34"/>
    <w:rsid w:val="004E77B9"/>
    <w:rsid w:val="004F16CE"/>
    <w:rsid w:val="004F232D"/>
    <w:rsid w:val="004F7278"/>
    <w:rsid w:val="00500128"/>
    <w:rsid w:val="00500B3F"/>
    <w:rsid w:val="005016D4"/>
    <w:rsid w:val="00501714"/>
    <w:rsid w:val="00502764"/>
    <w:rsid w:val="00502ECF"/>
    <w:rsid w:val="00502FD9"/>
    <w:rsid w:val="00503998"/>
    <w:rsid w:val="0050623B"/>
    <w:rsid w:val="00506587"/>
    <w:rsid w:val="00507DC3"/>
    <w:rsid w:val="005112E3"/>
    <w:rsid w:val="0051288B"/>
    <w:rsid w:val="0051383B"/>
    <w:rsid w:val="005140BD"/>
    <w:rsid w:val="005143EE"/>
    <w:rsid w:val="00516BE6"/>
    <w:rsid w:val="00517BA4"/>
    <w:rsid w:val="005209A7"/>
    <w:rsid w:val="00520D7C"/>
    <w:rsid w:val="00521A8A"/>
    <w:rsid w:val="005223D1"/>
    <w:rsid w:val="00523181"/>
    <w:rsid w:val="0052424F"/>
    <w:rsid w:val="00524D13"/>
    <w:rsid w:val="0052529F"/>
    <w:rsid w:val="00527448"/>
    <w:rsid w:val="005308F7"/>
    <w:rsid w:val="00531FF3"/>
    <w:rsid w:val="00532148"/>
    <w:rsid w:val="005324C7"/>
    <w:rsid w:val="0053261D"/>
    <w:rsid w:val="005339F6"/>
    <w:rsid w:val="005358E9"/>
    <w:rsid w:val="00537BD8"/>
    <w:rsid w:val="00545054"/>
    <w:rsid w:val="00545C6D"/>
    <w:rsid w:val="00545CB9"/>
    <w:rsid w:val="00550BFB"/>
    <w:rsid w:val="00551483"/>
    <w:rsid w:val="005515BB"/>
    <w:rsid w:val="005526C8"/>
    <w:rsid w:val="00553A52"/>
    <w:rsid w:val="00553C78"/>
    <w:rsid w:val="00554675"/>
    <w:rsid w:val="00555AC2"/>
    <w:rsid w:val="00555CA9"/>
    <w:rsid w:val="00557062"/>
    <w:rsid w:val="00557636"/>
    <w:rsid w:val="00564016"/>
    <w:rsid w:val="00566C31"/>
    <w:rsid w:val="0056755B"/>
    <w:rsid w:val="00567824"/>
    <w:rsid w:val="00570A70"/>
    <w:rsid w:val="00570D2A"/>
    <w:rsid w:val="005714D7"/>
    <w:rsid w:val="005718B6"/>
    <w:rsid w:val="00571E1F"/>
    <w:rsid w:val="00573486"/>
    <w:rsid w:val="00576B18"/>
    <w:rsid w:val="00581183"/>
    <w:rsid w:val="00581530"/>
    <w:rsid w:val="00581AFD"/>
    <w:rsid w:val="00582296"/>
    <w:rsid w:val="00582820"/>
    <w:rsid w:val="005838C0"/>
    <w:rsid w:val="005847C7"/>
    <w:rsid w:val="00585D35"/>
    <w:rsid w:val="005874D5"/>
    <w:rsid w:val="00587724"/>
    <w:rsid w:val="00587A85"/>
    <w:rsid w:val="00587EE4"/>
    <w:rsid w:val="00591512"/>
    <w:rsid w:val="00591953"/>
    <w:rsid w:val="00592F50"/>
    <w:rsid w:val="005931BC"/>
    <w:rsid w:val="0059499A"/>
    <w:rsid w:val="005964AD"/>
    <w:rsid w:val="0059663A"/>
    <w:rsid w:val="005966CF"/>
    <w:rsid w:val="00597283"/>
    <w:rsid w:val="005A08C8"/>
    <w:rsid w:val="005A0B31"/>
    <w:rsid w:val="005A117E"/>
    <w:rsid w:val="005A1191"/>
    <w:rsid w:val="005A188B"/>
    <w:rsid w:val="005A1D23"/>
    <w:rsid w:val="005A39CC"/>
    <w:rsid w:val="005A3C25"/>
    <w:rsid w:val="005A3F40"/>
    <w:rsid w:val="005A538B"/>
    <w:rsid w:val="005B1006"/>
    <w:rsid w:val="005B26FA"/>
    <w:rsid w:val="005B3507"/>
    <w:rsid w:val="005B3AD0"/>
    <w:rsid w:val="005B4764"/>
    <w:rsid w:val="005B48B4"/>
    <w:rsid w:val="005B58A7"/>
    <w:rsid w:val="005B71BF"/>
    <w:rsid w:val="005C04C7"/>
    <w:rsid w:val="005C13F9"/>
    <w:rsid w:val="005C14E9"/>
    <w:rsid w:val="005C1A2C"/>
    <w:rsid w:val="005C1FA9"/>
    <w:rsid w:val="005C4C1F"/>
    <w:rsid w:val="005C50F0"/>
    <w:rsid w:val="005C571C"/>
    <w:rsid w:val="005C6661"/>
    <w:rsid w:val="005C6E3B"/>
    <w:rsid w:val="005D20C8"/>
    <w:rsid w:val="005D4017"/>
    <w:rsid w:val="005D4263"/>
    <w:rsid w:val="005D474B"/>
    <w:rsid w:val="005D59D6"/>
    <w:rsid w:val="005D6711"/>
    <w:rsid w:val="005E0742"/>
    <w:rsid w:val="005E085C"/>
    <w:rsid w:val="005E0868"/>
    <w:rsid w:val="005E1323"/>
    <w:rsid w:val="005E147D"/>
    <w:rsid w:val="005E1E6B"/>
    <w:rsid w:val="005E22C2"/>
    <w:rsid w:val="005E57BB"/>
    <w:rsid w:val="005E6E2E"/>
    <w:rsid w:val="005E7CA6"/>
    <w:rsid w:val="005F0017"/>
    <w:rsid w:val="005F0AEC"/>
    <w:rsid w:val="005F0CB9"/>
    <w:rsid w:val="005F0F8C"/>
    <w:rsid w:val="005F1F8A"/>
    <w:rsid w:val="005F3FC7"/>
    <w:rsid w:val="005F4D81"/>
    <w:rsid w:val="005F7069"/>
    <w:rsid w:val="00600C7B"/>
    <w:rsid w:val="00600E83"/>
    <w:rsid w:val="0060132B"/>
    <w:rsid w:val="006014F1"/>
    <w:rsid w:val="00602584"/>
    <w:rsid w:val="006036F5"/>
    <w:rsid w:val="006057CF"/>
    <w:rsid w:val="00606440"/>
    <w:rsid w:val="006101C2"/>
    <w:rsid w:val="006107E9"/>
    <w:rsid w:val="00612059"/>
    <w:rsid w:val="006122E6"/>
    <w:rsid w:val="00612CC9"/>
    <w:rsid w:val="006133AA"/>
    <w:rsid w:val="0061357B"/>
    <w:rsid w:val="00613BBA"/>
    <w:rsid w:val="00613DAC"/>
    <w:rsid w:val="00614882"/>
    <w:rsid w:val="00614A7D"/>
    <w:rsid w:val="006159A7"/>
    <w:rsid w:val="00616C14"/>
    <w:rsid w:val="006215E5"/>
    <w:rsid w:val="006218EB"/>
    <w:rsid w:val="00626323"/>
    <w:rsid w:val="00631347"/>
    <w:rsid w:val="00631CC0"/>
    <w:rsid w:val="00631E46"/>
    <w:rsid w:val="00634B5F"/>
    <w:rsid w:val="00634E32"/>
    <w:rsid w:val="0063631C"/>
    <w:rsid w:val="00636A58"/>
    <w:rsid w:val="00637337"/>
    <w:rsid w:val="0063757B"/>
    <w:rsid w:val="006377CE"/>
    <w:rsid w:val="00641B8E"/>
    <w:rsid w:val="00642144"/>
    <w:rsid w:val="00642F8C"/>
    <w:rsid w:val="00643651"/>
    <w:rsid w:val="00646198"/>
    <w:rsid w:val="006502B7"/>
    <w:rsid w:val="0065093D"/>
    <w:rsid w:val="00650B11"/>
    <w:rsid w:val="00651DFB"/>
    <w:rsid w:val="006537D9"/>
    <w:rsid w:val="00655E9B"/>
    <w:rsid w:val="00655EFD"/>
    <w:rsid w:val="00656C38"/>
    <w:rsid w:val="0065742A"/>
    <w:rsid w:val="006605E8"/>
    <w:rsid w:val="0066087D"/>
    <w:rsid w:val="00660ABA"/>
    <w:rsid w:val="00663BEE"/>
    <w:rsid w:val="0066441C"/>
    <w:rsid w:val="0066468D"/>
    <w:rsid w:val="00664A48"/>
    <w:rsid w:val="00665DEF"/>
    <w:rsid w:val="00667515"/>
    <w:rsid w:val="00667984"/>
    <w:rsid w:val="006709F3"/>
    <w:rsid w:val="00672EE5"/>
    <w:rsid w:val="0067388F"/>
    <w:rsid w:val="006750F7"/>
    <w:rsid w:val="00675410"/>
    <w:rsid w:val="00675BB1"/>
    <w:rsid w:val="00676F61"/>
    <w:rsid w:val="006775F1"/>
    <w:rsid w:val="00680F7F"/>
    <w:rsid w:val="00681646"/>
    <w:rsid w:val="00682825"/>
    <w:rsid w:val="00682B51"/>
    <w:rsid w:val="00682E46"/>
    <w:rsid w:val="00683E3E"/>
    <w:rsid w:val="00684E10"/>
    <w:rsid w:val="00685949"/>
    <w:rsid w:val="00690C6E"/>
    <w:rsid w:val="00691958"/>
    <w:rsid w:val="00691A48"/>
    <w:rsid w:val="00691E89"/>
    <w:rsid w:val="00691F5F"/>
    <w:rsid w:val="00692AA7"/>
    <w:rsid w:val="00694D6C"/>
    <w:rsid w:val="00694DC8"/>
    <w:rsid w:val="00697F90"/>
    <w:rsid w:val="00697FEC"/>
    <w:rsid w:val="006A175F"/>
    <w:rsid w:val="006A1988"/>
    <w:rsid w:val="006A44F5"/>
    <w:rsid w:val="006A5E25"/>
    <w:rsid w:val="006A69BE"/>
    <w:rsid w:val="006A74D4"/>
    <w:rsid w:val="006A7974"/>
    <w:rsid w:val="006B0418"/>
    <w:rsid w:val="006B0622"/>
    <w:rsid w:val="006B13AD"/>
    <w:rsid w:val="006B2505"/>
    <w:rsid w:val="006B316E"/>
    <w:rsid w:val="006B4537"/>
    <w:rsid w:val="006B566E"/>
    <w:rsid w:val="006B57D9"/>
    <w:rsid w:val="006B5DA6"/>
    <w:rsid w:val="006B5F85"/>
    <w:rsid w:val="006B6929"/>
    <w:rsid w:val="006B698F"/>
    <w:rsid w:val="006B709B"/>
    <w:rsid w:val="006C0850"/>
    <w:rsid w:val="006C0A76"/>
    <w:rsid w:val="006C24A4"/>
    <w:rsid w:val="006C317E"/>
    <w:rsid w:val="006C36CD"/>
    <w:rsid w:val="006C54AF"/>
    <w:rsid w:val="006C6F26"/>
    <w:rsid w:val="006C7A05"/>
    <w:rsid w:val="006D0631"/>
    <w:rsid w:val="006D0F21"/>
    <w:rsid w:val="006D673C"/>
    <w:rsid w:val="006D7C41"/>
    <w:rsid w:val="006E0181"/>
    <w:rsid w:val="006E071D"/>
    <w:rsid w:val="006E120A"/>
    <w:rsid w:val="006E2D55"/>
    <w:rsid w:val="006E3C39"/>
    <w:rsid w:val="006E3DD2"/>
    <w:rsid w:val="006E478C"/>
    <w:rsid w:val="006E47C7"/>
    <w:rsid w:val="006E4B7D"/>
    <w:rsid w:val="006E4C61"/>
    <w:rsid w:val="006E5782"/>
    <w:rsid w:val="006E5A4D"/>
    <w:rsid w:val="006E5DC6"/>
    <w:rsid w:val="006E7BC3"/>
    <w:rsid w:val="006F0048"/>
    <w:rsid w:val="006F04A1"/>
    <w:rsid w:val="006F0E17"/>
    <w:rsid w:val="006F2845"/>
    <w:rsid w:val="006F2CE6"/>
    <w:rsid w:val="006F39A1"/>
    <w:rsid w:val="006F41D8"/>
    <w:rsid w:val="006F6698"/>
    <w:rsid w:val="006F71A5"/>
    <w:rsid w:val="00700C0E"/>
    <w:rsid w:val="0070453C"/>
    <w:rsid w:val="00704FBE"/>
    <w:rsid w:val="0070574D"/>
    <w:rsid w:val="00705DAD"/>
    <w:rsid w:val="007069F9"/>
    <w:rsid w:val="00707891"/>
    <w:rsid w:val="00711416"/>
    <w:rsid w:val="00713309"/>
    <w:rsid w:val="00714C2C"/>
    <w:rsid w:val="00715FA4"/>
    <w:rsid w:val="0071682A"/>
    <w:rsid w:val="00716C8F"/>
    <w:rsid w:val="00717BD0"/>
    <w:rsid w:val="0072083C"/>
    <w:rsid w:val="00721A41"/>
    <w:rsid w:val="00722DA8"/>
    <w:rsid w:val="0072369F"/>
    <w:rsid w:val="00723AF9"/>
    <w:rsid w:val="00723BB6"/>
    <w:rsid w:val="00723E2C"/>
    <w:rsid w:val="00723E93"/>
    <w:rsid w:val="007247B9"/>
    <w:rsid w:val="00727D85"/>
    <w:rsid w:val="00730060"/>
    <w:rsid w:val="00731971"/>
    <w:rsid w:val="007346C7"/>
    <w:rsid w:val="00735C14"/>
    <w:rsid w:val="00736041"/>
    <w:rsid w:val="00736A71"/>
    <w:rsid w:val="007408C7"/>
    <w:rsid w:val="00741B06"/>
    <w:rsid w:val="00741EC7"/>
    <w:rsid w:val="00743107"/>
    <w:rsid w:val="007442C8"/>
    <w:rsid w:val="0074648D"/>
    <w:rsid w:val="007465DA"/>
    <w:rsid w:val="00746AE1"/>
    <w:rsid w:val="00747ECC"/>
    <w:rsid w:val="0075014F"/>
    <w:rsid w:val="00751BF3"/>
    <w:rsid w:val="00752C7F"/>
    <w:rsid w:val="0075351D"/>
    <w:rsid w:val="00753DA2"/>
    <w:rsid w:val="007563E8"/>
    <w:rsid w:val="00757800"/>
    <w:rsid w:val="007604CB"/>
    <w:rsid w:val="00761445"/>
    <w:rsid w:val="00761F0D"/>
    <w:rsid w:val="007627D5"/>
    <w:rsid w:val="00763F70"/>
    <w:rsid w:val="0076410E"/>
    <w:rsid w:val="007673F5"/>
    <w:rsid w:val="00772D7C"/>
    <w:rsid w:val="00773D6A"/>
    <w:rsid w:val="007759CC"/>
    <w:rsid w:val="00776598"/>
    <w:rsid w:val="007766FD"/>
    <w:rsid w:val="00777D3E"/>
    <w:rsid w:val="00781119"/>
    <w:rsid w:val="0078267B"/>
    <w:rsid w:val="00783013"/>
    <w:rsid w:val="00783449"/>
    <w:rsid w:val="00784158"/>
    <w:rsid w:val="007856A5"/>
    <w:rsid w:val="00785820"/>
    <w:rsid w:val="00786982"/>
    <w:rsid w:val="00787B79"/>
    <w:rsid w:val="00790325"/>
    <w:rsid w:val="0079032F"/>
    <w:rsid w:val="00791E58"/>
    <w:rsid w:val="00792948"/>
    <w:rsid w:val="007939E1"/>
    <w:rsid w:val="007951FE"/>
    <w:rsid w:val="0079547C"/>
    <w:rsid w:val="007954F7"/>
    <w:rsid w:val="00796E84"/>
    <w:rsid w:val="00797F5D"/>
    <w:rsid w:val="007A292C"/>
    <w:rsid w:val="007A3ADE"/>
    <w:rsid w:val="007A4E5C"/>
    <w:rsid w:val="007A5232"/>
    <w:rsid w:val="007A557E"/>
    <w:rsid w:val="007A5733"/>
    <w:rsid w:val="007A5774"/>
    <w:rsid w:val="007A5D23"/>
    <w:rsid w:val="007A6378"/>
    <w:rsid w:val="007A67C9"/>
    <w:rsid w:val="007A69BB"/>
    <w:rsid w:val="007A778F"/>
    <w:rsid w:val="007B17F8"/>
    <w:rsid w:val="007B1F61"/>
    <w:rsid w:val="007B1FB2"/>
    <w:rsid w:val="007B36A6"/>
    <w:rsid w:val="007B390C"/>
    <w:rsid w:val="007B3CD7"/>
    <w:rsid w:val="007B5742"/>
    <w:rsid w:val="007B6AE3"/>
    <w:rsid w:val="007B6ECE"/>
    <w:rsid w:val="007B7833"/>
    <w:rsid w:val="007C2683"/>
    <w:rsid w:val="007C34D0"/>
    <w:rsid w:val="007C466C"/>
    <w:rsid w:val="007C5217"/>
    <w:rsid w:val="007C6F85"/>
    <w:rsid w:val="007C795A"/>
    <w:rsid w:val="007C7B4D"/>
    <w:rsid w:val="007D0779"/>
    <w:rsid w:val="007D0B0C"/>
    <w:rsid w:val="007D30FE"/>
    <w:rsid w:val="007D3ECB"/>
    <w:rsid w:val="007D6052"/>
    <w:rsid w:val="007E0A1C"/>
    <w:rsid w:val="007E293C"/>
    <w:rsid w:val="007E320B"/>
    <w:rsid w:val="007E377F"/>
    <w:rsid w:val="007E3D08"/>
    <w:rsid w:val="007E4B1D"/>
    <w:rsid w:val="007E5E64"/>
    <w:rsid w:val="007E6083"/>
    <w:rsid w:val="007E7498"/>
    <w:rsid w:val="007F0943"/>
    <w:rsid w:val="007F0C45"/>
    <w:rsid w:val="007F1803"/>
    <w:rsid w:val="007F213A"/>
    <w:rsid w:val="007F26FF"/>
    <w:rsid w:val="007F4DC3"/>
    <w:rsid w:val="007F5B2C"/>
    <w:rsid w:val="007F6C4C"/>
    <w:rsid w:val="007F704C"/>
    <w:rsid w:val="007F7D11"/>
    <w:rsid w:val="00801E74"/>
    <w:rsid w:val="00802969"/>
    <w:rsid w:val="00802C0A"/>
    <w:rsid w:val="008034CD"/>
    <w:rsid w:val="008044E3"/>
    <w:rsid w:val="00804600"/>
    <w:rsid w:val="0080485E"/>
    <w:rsid w:val="008049CA"/>
    <w:rsid w:val="008066DA"/>
    <w:rsid w:val="00806C8C"/>
    <w:rsid w:val="00811BF1"/>
    <w:rsid w:val="00813268"/>
    <w:rsid w:val="008142B4"/>
    <w:rsid w:val="00814724"/>
    <w:rsid w:val="00814A4F"/>
    <w:rsid w:val="00815DFC"/>
    <w:rsid w:val="008177F9"/>
    <w:rsid w:val="0082079D"/>
    <w:rsid w:val="00821B90"/>
    <w:rsid w:val="00823419"/>
    <w:rsid w:val="00824CB0"/>
    <w:rsid w:val="00825FB4"/>
    <w:rsid w:val="0083088A"/>
    <w:rsid w:val="00832324"/>
    <w:rsid w:val="00832B78"/>
    <w:rsid w:val="008332EF"/>
    <w:rsid w:val="00833C04"/>
    <w:rsid w:val="00835157"/>
    <w:rsid w:val="00835337"/>
    <w:rsid w:val="008357E8"/>
    <w:rsid w:val="00835C49"/>
    <w:rsid w:val="00836D25"/>
    <w:rsid w:val="00841F7F"/>
    <w:rsid w:val="00841F9A"/>
    <w:rsid w:val="0084327F"/>
    <w:rsid w:val="00843F07"/>
    <w:rsid w:val="00844811"/>
    <w:rsid w:val="00846AEB"/>
    <w:rsid w:val="00846DCD"/>
    <w:rsid w:val="00847EE4"/>
    <w:rsid w:val="008508C6"/>
    <w:rsid w:val="00851871"/>
    <w:rsid w:val="008518CE"/>
    <w:rsid w:val="00851D85"/>
    <w:rsid w:val="00852C05"/>
    <w:rsid w:val="00854F0E"/>
    <w:rsid w:val="00856E10"/>
    <w:rsid w:val="0086071A"/>
    <w:rsid w:val="00860CCB"/>
    <w:rsid w:val="00860F9F"/>
    <w:rsid w:val="00862203"/>
    <w:rsid w:val="00862362"/>
    <w:rsid w:val="00862D57"/>
    <w:rsid w:val="00863C0B"/>
    <w:rsid w:val="00864B29"/>
    <w:rsid w:val="0086647C"/>
    <w:rsid w:val="00866E79"/>
    <w:rsid w:val="00870438"/>
    <w:rsid w:val="00870CA6"/>
    <w:rsid w:val="00870D38"/>
    <w:rsid w:val="008740A3"/>
    <w:rsid w:val="00877643"/>
    <w:rsid w:val="00880362"/>
    <w:rsid w:val="00881129"/>
    <w:rsid w:val="00881757"/>
    <w:rsid w:val="00881F8B"/>
    <w:rsid w:val="00883F7F"/>
    <w:rsid w:val="0088501E"/>
    <w:rsid w:val="00886B02"/>
    <w:rsid w:val="0089097E"/>
    <w:rsid w:val="00891B1E"/>
    <w:rsid w:val="00892049"/>
    <w:rsid w:val="008926BA"/>
    <w:rsid w:val="0089297B"/>
    <w:rsid w:val="00893A2D"/>
    <w:rsid w:val="00896316"/>
    <w:rsid w:val="00897BF1"/>
    <w:rsid w:val="008A107B"/>
    <w:rsid w:val="008A3476"/>
    <w:rsid w:val="008A4F0A"/>
    <w:rsid w:val="008A5D6E"/>
    <w:rsid w:val="008A664A"/>
    <w:rsid w:val="008B000B"/>
    <w:rsid w:val="008B247E"/>
    <w:rsid w:val="008B2537"/>
    <w:rsid w:val="008B33FE"/>
    <w:rsid w:val="008B6072"/>
    <w:rsid w:val="008B747F"/>
    <w:rsid w:val="008C1DFF"/>
    <w:rsid w:val="008C2161"/>
    <w:rsid w:val="008C36CA"/>
    <w:rsid w:val="008C4089"/>
    <w:rsid w:val="008C48DA"/>
    <w:rsid w:val="008C53B6"/>
    <w:rsid w:val="008C69C2"/>
    <w:rsid w:val="008D33A7"/>
    <w:rsid w:val="008D35F9"/>
    <w:rsid w:val="008D362C"/>
    <w:rsid w:val="008D3F42"/>
    <w:rsid w:val="008D44FF"/>
    <w:rsid w:val="008D6530"/>
    <w:rsid w:val="008D7573"/>
    <w:rsid w:val="008E082E"/>
    <w:rsid w:val="008E1457"/>
    <w:rsid w:val="008E2259"/>
    <w:rsid w:val="008E2A01"/>
    <w:rsid w:val="008E34A5"/>
    <w:rsid w:val="008E3F8C"/>
    <w:rsid w:val="008E4405"/>
    <w:rsid w:val="008E4E15"/>
    <w:rsid w:val="008E4E48"/>
    <w:rsid w:val="008E720E"/>
    <w:rsid w:val="008E7CF1"/>
    <w:rsid w:val="008F002F"/>
    <w:rsid w:val="008F0577"/>
    <w:rsid w:val="008F1898"/>
    <w:rsid w:val="008F25B5"/>
    <w:rsid w:val="008F3F9F"/>
    <w:rsid w:val="008F4621"/>
    <w:rsid w:val="008F4A48"/>
    <w:rsid w:val="008F7A3E"/>
    <w:rsid w:val="008F7BC2"/>
    <w:rsid w:val="0090158E"/>
    <w:rsid w:val="00902FD0"/>
    <w:rsid w:val="00903307"/>
    <w:rsid w:val="00903A28"/>
    <w:rsid w:val="00904D90"/>
    <w:rsid w:val="00904FAE"/>
    <w:rsid w:val="0090504A"/>
    <w:rsid w:val="00905249"/>
    <w:rsid w:val="009053D3"/>
    <w:rsid w:val="009056AD"/>
    <w:rsid w:val="00905B8D"/>
    <w:rsid w:val="00906463"/>
    <w:rsid w:val="009066CF"/>
    <w:rsid w:val="0090691F"/>
    <w:rsid w:val="00906B51"/>
    <w:rsid w:val="00906FBF"/>
    <w:rsid w:val="0091055A"/>
    <w:rsid w:val="00913E35"/>
    <w:rsid w:val="009144B8"/>
    <w:rsid w:val="00914D22"/>
    <w:rsid w:val="009169FD"/>
    <w:rsid w:val="00916A78"/>
    <w:rsid w:val="0091753B"/>
    <w:rsid w:val="00924D4E"/>
    <w:rsid w:val="00924E40"/>
    <w:rsid w:val="00924E56"/>
    <w:rsid w:val="00926B6B"/>
    <w:rsid w:val="00926B7E"/>
    <w:rsid w:val="009300B6"/>
    <w:rsid w:val="0093111F"/>
    <w:rsid w:val="00932A91"/>
    <w:rsid w:val="00932AB7"/>
    <w:rsid w:val="00933380"/>
    <w:rsid w:val="00935689"/>
    <w:rsid w:val="009362D7"/>
    <w:rsid w:val="009406BF"/>
    <w:rsid w:val="0094165D"/>
    <w:rsid w:val="0094246E"/>
    <w:rsid w:val="00943F43"/>
    <w:rsid w:val="00944728"/>
    <w:rsid w:val="00944A22"/>
    <w:rsid w:val="00944B7E"/>
    <w:rsid w:val="009456D2"/>
    <w:rsid w:val="00946BEE"/>
    <w:rsid w:val="00950FA5"/>
    <w:rsid w:val="009513C1"/>
    <w:rsid w:val="0095303B"/>
    <w:rsid w:val="00955C45"/>
    <w:rsid w:val="00956ED5"/>
    <w:rsid w:val="009577AA"/>
    <w:rsid w:val="00960625"/>
    <w:rsid w:val="0096142E"/>
    <w:rsid w:val="00962211"/>
    <w:rsid w:val="009627BC"/>
    <w:rsid w:val="009629A4"/>
    <w:rsid w:val="00965A3F"/>
    <w:rsid w:val="009663B6"/>
    <w:rsid w:val="0096682E"/>
    <w:rsid w:val="0096730C"/>
    <w:rsid w:val="00967BD9"/>
    <w:rsid w:val="00970EA1"/>
    <w:rsid w:val="00971213"/>
    <w:rsid w:val="0097145D"/>
    <w:rsid w:val="00974958"/>
    <w:rsid w:val="00974A47"/>
    <w:rsid w:val="00974CD1"/>
    <w:rsid w:val="0097586D"/>
    <w:rsid w:val="00975FE2"/>
    <w:rsid w:val="0097669E"/>
    <w:rsid w:val="00980281"/>
    <w:rsid w:val="00980286"/>
    <w:rsid w:val="00980D88"/>
    <w:rsid w:val="009841B7"/>
    <w:rsid w:val="00984233"/>
    <w:rsid w:val="00986684"/>
    <w:rsid w:val="00986945"/>
    <w:rsid w:val="00986D70"/>
    <w:rsid w:val="00987169"/>
    <w:rsid w:val="00987965"/>
    <w:rsid w:val="00990D5A"/>
    <w:rsid w:val="00990DCF"/>
    <w:rsid w:val="00993317"/>
    <w:rsid w:val="00993D3E"/>
    <w:rsid w:val="0099475B"/>
    <w:rsid w:val="00995C7E"/>
    <w:rsid w:val="00995FD8"/>
    <w:rsid w:val="00996C23"/>
    <w:rsid w:val="00996EA2"/>
    <w:rsid w:val="009A0058"/>
    <w:rsid w:val="009A1218"/>
    <w:rsid w:val="009A14DE"/>
    <w:rsid w:val="009A1522"/>
    <w:rsid w:val="009A1BD4"/>
    <w:rsid w:val="009A4CD6"/>
    <w:rsid w:val="009A4FB8"/>
    <w:rsid w:val="009A537C"/>
    <w:rsid w:val="009B100C"/>
    <w:rsid w:val="009B147F"/>
    <w:rsid w:val="009B44F9"/>
    <w:rsid w:val="009B7246"/>
    <w:rsid w:val="009B7C0F"/>
    <w:rsid w:val="009B7C67"/>
    <w:rsid w:val="009C0846"/>
    <w:rsid w:val="009C0886"/>
    <w:rsid w:val="009C1712"/>
    <w:rsid w:val="009C19EE"/>
    <w:rsid w:val="009C1F52"/>
    <w:rsid w:val="009C2590"/>
    <w:rsid w:val="009C28D0"/>
    <w:rsid w:val="009C312E"/>
    <w:rsid w:val="009C35F2"/>
    <w:rsid w:val="009C4073"/>
    <w:rsid w:val="009C6B96"/>
    <w:rsid w:val="009C7782"/>
    <w:rsid w:val="009D1236"/>
    <w:rsid w:val="009D1ED5"/>
    <w:rsid w:val="009D49FB"/>
    <w:rsid w:val="009D4C13"/>
    <w:rsid w:val="009D5C8A"/>
    <w:rsid w:val="009D5D07"/>
    <w:rsid w:val="009D671F"/>
    <w:rsid w:val="009D6D8D"/>
    <w:rsid w:val="009D71BC"/>
    <w:rsid w:val="009E1C5F"/>
    <w:rsid w:val="009E2146"/>
    <w:rsid w:val="009E21A7"/>
    <w:rsid w:val="009E283B"/>
    <w:rsid w:val="009E3321"/>
    <w:rsid w:val="009E39E2"/>
    <w:rsid w:val="009E3B54"/>
    <w:rsid w:val="009E48E2"/>
    <w:rsid w:val="009E583B"/>
    <w:rsid w:val="009E74F4"/>
    <w:rsid w:val="009E7D6E"/>
    <w:rsid w:val="009E7DEA"/>
    <w:rsid w:val="009F541A"/>
    <w:rsid w:val="009F7174"/>
    <w:rsid w:val="009F7484"/>
    <w:rsid w:val="009F7A14"/>
    <w:rsid w:val="009F7CD9"/>
    <w:rsid w:val="00A0461F"/>
    <w:rsid w:val="00A04A82"/>
    <w:rsid w:val="00A07590"/>
    <w:rsid w:val="00A103ED"/>
    <w:rsid w:val="00A10F67"/>
    <w:rsid w:val="00A111C9"/>
    <w:rsid w:val="00A11601"/>
    <w:rsid w:val="00A1371A"/>
    <w:rsid w:val="00A13C60"/>
    <w:rsid w:val="00A15B01"/>
    <w:rsid w:val="00A15F71"/>
    <w:rsid w:val="00A16695"/>
    <w:rsid w:val="00A16A55"/>
    <w:rsid w:val="00A1776D"/>
    <w:rsid w:val="00A20C0B"/>
    <w:rsid w:val="00A21163"/>
    <w:rsid w:val="00A22F94"/>
    <w:rsid w:val="00A242FD"/>
    <w:rsid w:val="00A24520"/>
    <w:rsid w:val="00A24F8A"/>
    <w:rsid w:val="00A25BB0"/>
    <w:rsid w:val="00A2632F"/>
    <w:rsid w:val="00A26999"/>
    <w:rsid w:val="00A26B31"/>
    <w:rsid w:val="00A26C64"/>
    <w:rsid w:val="00A326FD"/>
    <w:rsid w:val="00A33255"/>
    <w:rsid w:val="00A341A3"/>
    <w:rsid w:val="00A34B22"/>
    <w:rsid w:val="00A35800"/>
    <w:rsid w:val="00A361BA"/>
    <w:rsid w:val="00A412D6"/>
    <w:rsid w:val="00A41665"/>
    <w:rsid w:val="00A42336"/>
    <w:rsid w:val="00A42EF8"/>
    <w:rsid w:val="00A43B5F"/>
    <w:rsid w:val="00A457A0"/>
    <w:rsid w:val="00A46328"/>
    <w:rsid w:val="00A46BDE"/>
    <w:rsid w:val="00A46DA7"/>
    <w:rsid w:val="00A504A3"/>
    <w:rsid w:val="00A50A02"/>
    <w:rsid w:val="00A50DF0"/>
    <w:rsid w:val="00A51103"/>
    <w:rsid w:val="00A52642"/>
    <w:rsid w:val="00A5273F"/>
    <w:rsid w:val="00A528AD"/>
    <w:rsid w:val="00A52918"/>
    <w:rsid w:val="00A5357C"/>
    <w:rsid w:val="00A547B3"/>
    <w:rsid w:val="00A55793"/>
    <w:rsid w:val="00A55A42"/>
    <w:rsid w:val="00A57481"/>
    <w:rsid w:val="00A6001E"/>
    <w:rsid w:val="00A60435"/>
    <w:rsid w:val="00A60A58"/>
    <w:rsid w:val="00A627A8"/>
    <w:rsid w:val="00A645D3"/>
    <w:rsid w:val="00A645E6"/>
    <w:rsid w:val="00A64FE7"/>
    <w:rsid w:val="00A670E5"/>
    <w:rsid w:val="00A67625"/>
    <w:rsid w:val="00A70E82"/>
    <w:rsid w:val="00A71ECE"/>
    <w:rsid w:val="00A723AE"/>
    <w:rsid w:val="00A7552B"/>
    <w:rsid w:val="00A8076A"/>
    <w:rsid w:val="00A838C8"/>
    <w:rsid w:val="00A847FE"/>
    <w:rsid w:val="00A84882"/>
    <w:rsid w:val="00A84A3E"/>
    <w:rsid w:val="00A84CAD"/>
    <w:rsid w:val="00A85DDB"/>
    <w:rsid w:val="00A86EBB"/>
    <w:rsid w:val="00A90E50"/>
    <w:rsid w:val="00A918B1"/>
    <w:rsid w:val="00A92718"/>
    <w:rsid w:val="00A929CC"/>
    <w:rsid w:val="00A93A56"/>
    <w:rsid w:val="00A949F3"/>
    <w:rsid w:val="00A95FA5"/>
    <w:rsid w:val="00A96B95"/>
    <w:rsid w:val="00A96D92"/>
    <w:rsid w:val="00AA1E9D"/>
    <w:rsid w:val="00AA2820"/>
    <w:rsid w:val="00AA417E"/>
    <w:rsid w:val="00AA57BC"/>
    <w:rsid w:val="00AA61AB"/>
    <w:rsid w:val="00AB12A8"/>
    <w:rsid w:val="00AB153E"/>
    <w:rsid w:val="00AB1550"/>
    <w:rsid w:val="00AB162A"/>
    <w:rsid w:val="00AB3153"/>
    <w:rsid w:val="00AB3733"/>
    <w:rsid w:val="00AB377F"/>
    <w:rsid w:val="00AB3F1D"/>
    <w:rsid w:val="00AB54D1"/>
    <w:rsid w:val="00AB5B59"/>
    <w:rsid w:val="00AB7883"/>
    <w:rsid w:val="00AB7897"/>
    <w:rsid w:val="00AC0EDA"/>
    <w:rsid w:val="00AC1832"/>
    <w:rsid w:val="00AC1C4C"/>
    <w:rsid w:val="00AC2A64"/>
    <w:rsid w:val="00AC3720"/>
    <w:rsid w:val="00AC4997"/>
    <w:rsid w:val="00AC5054"/>
    <w:rsid w:val="00AC5323"/>
    <w:rsid w:val="00AC5BCF"/>
    <w:rsid w:val="00AC7018"/>
    <w:rsid w:val="00AD0527"/>
    <w:rsid w:val="00AD1348"/>
    <w:rsid w:val="00AD1E93"/>
    <w:rsid w:val="00AD209D"/>
    <w:rsid w:val="00AD2D8A"/>
    <w:rsid w:val="00AD33EB"/>
    <w:rsid w:val="00AD367A"/>
    <w:rsid w:val="00AD3C3E"/>
    <w:rsid w:val="00AD5587"/>
    <w:rsid w:val="00AD56A7"/>
    <w:rsid w:val="00AD666C"/>
    <w:rsid w:val="00AD7131"/>
    <w:rsid w:val="00AE0361"/>
    <w:rsid w:val="00AE060A"/>
    <w:rsid w:val="00AE19E0"/>
    <w:rsid w:val="00AE1D13"/>
    <w:rsid w:val="00AE2461"/>
    <w:rsid w:val="00AE2B99"/>
    <w:rsid w:val="00AE38A3"/>
    <w:rsid w:val="00AE48EF"/>
    <w:rsid w:val="00AE4BAC"/>
    <w:rsid w:val="00AE4C14"/>
    <w:rsid w:val="00AE60A3"/>
    <w:rsid w:val="00AE65EA"/>
    <w:rsid w:val="00AE66CC"/>
    <w:rsid w:val="00AF0CAB"/>
    <w:rsid w:val="00AF2A08"/>
    <w:rsid w:val="00AF3543"/>
    <w:rsid w:val="00AF4467"/>
    <w:rsid w:val="00AF4B38"/>
    <w:rsid w:val="00AF65A4"/>
    <w:rsid w:val="00AF6FB5"/>
    <w:rsid w:val="00AF716E"/>
    <w:rsid w:val="00AF73A3"/>
    <w:rsid w:val="00AF7FBF"/>
    <w:rsid w:val="00B010F8"/>
    <w:rsid w:val="00B02785"/>
    <w:rsid w:val="00B034FC"/>
    <w:rsid w:val="00B044C1"/>
    <w:rsid w:val="00B04D3E"/>
    <w:rsid w:val="00B04DDD"/>
    <w:rsid w:val="00B05310"/>
    <w:rsid w:val="00B067C4"/>
    <w:rsid w:val="00B1084F"/>
    <w:rsid w:val="00B10A0B"/>
    <w:rsid w:val="00B11083"/>
    <w:rsid w:val="00B121A9"/>
    <w:rsid w:val="00B12AD9"/>
    <w:rsid w:val="00B168D7"/>
    <w:rsid w:val="00B17737"/>
    <w:rsid w:val="00B2021E"/>
    <w:rsid w:val="00B203EE"/>
    <w:rsid w:val="00B2113F"/>
    <w:rsid w:val="00B216C3"/>
    <w:rsid w:val="00B21FED"/>
    <w:rsid w:val="00B235E1"/>
    <w:rsid w:val="00B24266"/>
    <w:rsid w:val="00B24390"/>
    <w:rsid w:val="00B248C2"/>
    <w:rsid w:val="00B258FE"/>
    <w:rsid w:val="00B259C6"/>
    <w:rsid w:val="00B25D18"/>
    <w:rsid w:val="00B26F7A"/>
    <w:rsid w:val="00B30D85"/>
    <w:rsid w:val="00B315E8"/>
    <w:rsid w:val="00B32439"/>
    <w:rsid w:val="00B3259A"/>
    <w:rsid w:val="00B33D6D"/>
    <w:rsid w:val="00B3544B"/>
    <w:rsid w:val="00B35A4A"/>
    <w:rsid w:val="00B36BA6"/>
    <w:rsid w:val="00B379CB"/>
    <w:rsid w:val="00B41A66"/>
    <w:rsid w:val="00B4220F"/>
    <w:rsid w:val="00B45253"/>
    <w:rsid w:val="00B457D6"/>
    <w:rsid w:val="00B46209"/>
    <w:rsid w:val="00B46D37"/>
    <w:rsid w:val="00B47519"/>
    <w:rsid w:val="00B5133B"/>
    <w:rsid w:val="00B51DA4"/>
    <w:rsid w:val="00B54EC3"/>
    <w:rsid w:val="00B5541C"/>
    <w:rsid w:val="00B55739"/>
    <w:rsid w:val="00B56747"/>
    <w:rsid w:val="00B56837"/>
    <w:rsid w:val="00B57155"/>
    <w:rsid w:val="00B60792"/>
    <w:rsid w:val="00B60F32"/>
    <w:rsid w:val="00B62101"/>
    <w:rsid w:val="00B63FD7"/>
    <w:rsid w:val="00B64CE6"/>
    <w:rsid w:val="00B661F4"/>
    <w:rsid w:val="00B6626C"/>
    <w:rsid w:val="00B6648A"/>
    <w:rsid w:val="00B7200D"/>
    <w:rsid w:val="00B73664"/>
    <w:rsid w:val="00B73AFE"/>
    <w:rsid w:val="00B749E9"/>
    <w:rsid w:val="00B75AD4"/>
    <w:rsid w:val="00B768BA"/>
    <w:rsid w:val="00B76C45"/>
    <w:rsid w:val="00B816D9"/>
    <w:rsid w:val="00B81850"/>
    <w:rsid w:val="00B818B9"/>
    <w:rsid w:val="00B81C6A"/>
    <w:rsid w:val="00B829B7"/>
    <w:rsid w:val="00B839E2"/>
    <w:rsid w:val="00B8456D"/>
    <w:rsid w:val="00B84E6F"/>
    <w:rsid w:val="00B8521C"/>
    <w:rsid w:val="00B85400"/>
    <w:rsid w:val="00B85C50"/>
    <w:rsid w:val="00B8680B"/>
    <w:rsid w:val="00B90662"/>
    <w:rsid w:val="00B9120F"/>
    <w:rsid w:val="00B91FA5"/>
    <w:rsid w:val="00B9216C"/>
    <w:rsid w:val="00B92260"/>
    <w:rsid w:val="00B924A4"/>
    <w:rsid w:val="00B932AC"/>
    <w:rsid w:val="00B959B4"/>
    <w:rsid w:val="00BA077C"/>
    <w:rsid w:val="00BA0B2C"/>
    <w:rsid w:val="00BA21EC"/>
    <w:rsid w:val="00BA2C56"/>
    <w:rsid w:val="00BA77B9"/>
    <w:rsid w:val="00BA7842"/>
    <w:rsid w:val="00BB035D"/>
    <w:rsid w:val="00BB04CC"/>
    <w:rsid w:val="00BB0D1A"/>
    <w:rsid w:val="00BB0F06"/>
    <w:rsid w:val="00BB1D3B"/>
    <w:rsid w:val="00BB217F"/>
    <w:rsid w:val="00BB27F4"/>
    <w:rsid w:val="00BB3925"/>
    <w:rsid w:val="00BB4398"/>
    <w:rsid w:val="00BB5030"/>
    <w:rsid w:val="00BB5E17"/>
    <w:rsid w:val="00BB7E98"/>
    <w:rsid w:val="00BC0CA1"/>
    <w:rsid w:val="00BC2241"/>
    <w:rsid w:val="00BC2D92"/>
    <w:rsid w:val="00BC35ED"/>
    <w:rsid w:val="00BC5164"/>
    <w:rsid w:val="00BC6537"/>
    <w:rsid w:val="00BC6A84"/>
    <w:rsid w:val="00BC787F"/>
    <w:rsid w:val="00BD0B6D"/>
    <w:rsid w:val="00BD3009"/>
    <w:rsid w:val="00BD3740"/>
    <w:rsid w:val="00BD3F8E"/>
    <w:rsid w:val="00BD4907"/>
    <w:rsid w:val="00BD50B2"/>
    <w:rsid w:val="00BE0420"/>
    <w:rsid w:val="00BE06B2"/>
    <w:rsid w:val="00BE16DD"/>
    <w:rsid w:val="00BE1E96"/>
    <w:rsid w:val="00BE2049"/>
    <w:rsid w:val="00BE205A"/>
    <w:rsid w:val="00BE3802"/>
    <w:rsid w:val="00BE4A54"/>
    <w:rsid w:val="00BE60A2"/>
    <w:rsid w:val="00BF1478"/>
    <w:rsid w:val="00BF1DB8"/>
    <w:rsid w:val="00BF238E"/>
    <w:rsid w:val="00BF2572"/>
    <w:rsid w:val="00BF29F8"/>
    <w:rsid w:val="00BF2F4A"/>
    <w:rsid w:val="00BF3FE7"/>
    <w:rsid w:val="00BF544D"/>
    <w:rsid w:val="00BF55E4"/>
    <w:rsid w:val="00BF5A94"/>
    <w:rsid w:val="00BF61D0"/>
    <w:rsid w:val="00BF7BA9"/>
    <w:rsid w:val="00C00305"/>
    <w:rsid w:val="00C00490"/>
    <w:rsid w:val="00C0076F"/>
    <w:rsid w:val="00C0079C"/>
    <w:rsid w:val="00C01A73"/>
    <w:rsid w:val="00C02305"/>
    <w:rsid w:val="00C0301C"/>
    <w:rsid w:val="00C034EE"/>
    <w:rsid w:val="00C038A4"/>
    <w:rsid w:val="00C04C37"/>
    <w:rsid w:val="00C050B6"/>
    <w:rsid w:val="00C05203"/>
    <w:rsid w:val="00C05A92"/>
    <w:rsid w:val="00C05DC9"/>
    <w:rsid w:val="00C06C1A"/>
    <w:rsid w:val="00C070F3"/>
    <w:rsid w:val="00C10086"/>
    <w:rsid w:val="00C10F12"/>
    <w:rsid w:val="00C11A95"/>
    <w:rsid w:val="00C11DDD"/>
    <w:rsid w:val="00C12086"/>
    <w:rsid w:val="00C12D70"/>
    <w:rsid w:val="00C13F42"/>
    <w:rsid w:val="00C15C70"/>
    <w:rsid w:val="00C17EDB"/>
    <w:rsid w:val="00C20E92"/>
    <w:rsid w:val="00C2336E"/>
    <w:rsid w:val="00C2444A"/>
    <w:rsid w:val="00C245EA"/>
    <w:rsid w:val="00C256F6"/>
    <w:rsid w:val="00C2586D"/>
    <w:rsid w:val="00C25CC4"/>
    <w:rsid w:val="00C25F2C"/>
    <w:rsid w:val="00C269D1"/>
    <w:rsid w:val="00C30508"/>
    <w:rsid w:val="00C3097E"/>
    <w:rsid w:val="00C30F39"/>
    <w:rsid w:val="00C316F0"/>
    <w:rsid w:val="00C32B41"/>
    <w:rsid w:val="00C33485"/>
    <w:rsid w:val="00C35B18"/>
    <w:rsid w:val="00C35ECC"/>
    <w:rsid w:val="00C361A8"/>
    <w:rsid w:val="00C364E4"/>
    <w:rsid w:val="00C37A8B"/>
    <w:rsid w:val="00C4108A"/>
    <w:rsid w:val="00C41246"/>
    <w:rsid w:val="00C416E8"/>
    <w:rsid w:val="00C42336"/>
    <w:rsid w:val="00C4297F"/>
    <w:rsid w:val="00C44ADF"/>
    <w:rsid w:val="00C45E5F"/>
    <w:rsid w:val="00C45F3C"/>
    <w:rsid w:val="00C46112"/>
    <w:rsid w:val="00C46291"/>
    <w:rsid w:val="00C51977"/>
    <w:rsid w:val="00C5437F"/>
    <w:rsid w:val="00C54456"/>
    <w:rsid w:val="00C54B92"/>
    <w:rsid w:val="00C55113"/>
    <w:rsid w:val="00C57AC1"/>
    <w:rsid w:val="00C61354"/>
    <w:rsid w:val="00C619F2"/>
    <w:rsid w:val="00C61FD7"/>
    <w:rsid w:val="00C62979"/>
    <w:rsid w:val="00C633AD"/>
    <w:rsid w:val="00C63412"/>
    <w:rsid w:val="00C6477B"/>
    <w:rsid w:val="00C6658C"/>
    <w:rsid w:val="00C66B83"/>
    <w:rsid w:val="00C675D8"/>
    <w:rsid w:val="00C7012C"/>
    <w:rsid w:val="00C7094C"/>
    <w:rsid w:val="00C714D0"/>
    <w:rsid w:val="00C71DA7"/>
    <w:rsid w:val="00C73DD4"/>
    <w:rsid w:val="00C74084"/>
    <w:rsid w:val="00C75BE2"/>
    <w:rsid w:val="00C77A7C"/>
    <w:rsid w:val="00C824FE"/>
    <w:rsid w:val="00C83430"/>
    <w:rsid w:val="00C84762"/>
    <w:rsid w:val="00C849C2"/>
    <w:rsid w:val="00C8565C"/>
    <w:rsid w:val="00C873D1"/>
    <w:rsid w:val="00C87C7A"/>
    <w:rsid w:val="00C90716"/>
    <w:rsid w:val="00C90EF4"/>
    <w:rsid w:val="00C941FF"/>
    <w:rsid w:val="00C94F96"/>
    <w:rsid w:val="00C9685D"/>
    <w:rsid w:val="00C97665"/>
    <w:rsid w:val="00CA015A"/>
    <w:rsid w:val="00CA18D0"/>
    <w:rsid w:val="00CA4808"/>
    <w:rsid w:val="00CA4B1F"/>
    <w:rsid w:val="00CA4C95"/>
    <w:rsid w:val="00CA6F96"/>
    <w:rsid w:val="00CA725A"/>
    <w:rsid w:val="00CB3042"/>
    <w:rsid w:val="00CB3289"/>
    <w:rsid w:val="00CB4E1D"/>
    <w:rsid w:val="00CB52EA"/>
    <w:rsid w:val="00CB6401"/>
    <w:rsid w:val="00CB6410"/>
    <w:rsid w:val="00CB6C16"/>
    <w:rsid w:val="00CB7D56"/>
    <w:rsid w:val="00CC0FE8"/>
    <w:rsid w:val="00CC1AA3"/>
    <w:rsid w:val="00CC1FFB"/>
    <w:rsid w:val="00CC2C85"/>
    <w:rsid w:val="00CC3A70"/>
    <w:rsid w:val="00CC5083"/>
    <w:rsid w:val="00CC5C09"/>
    <w:rsid w:val="00CD0BFE"/>
    <w:rsid w:val="00CD2250"/>
    <w:rsid w:val="00CD28C8"/>
    <w:rsid w:val="00CD4486"/>
    <w:rsid w:val="00CD65DF"/>
    <w:rsid w:val="00CD6DF2"/>
    <w:rsid w:val="00CD6E56"/>
    <w:rsid w:val="00CE0387"/>
    <w:rsid w:val="00CE165C"/>
    <w:rsid w:val="00CE1EAF"/>
    <w:rsid w:val="00CE2AF5"/>
    <w:rsid w:val="00CE4FC8"/>
    <w:rsid w:val="00CE69AA"/>
    <w:rsid w:val="00CE6DDB"/>
    <w:rsid w:val="00CF0741"/>
    <w:rsid w:val="00CF358B"/>
    <w:rsid w:val="00CF5E22"/>
    <w:rsid w:val="00CF68A2"/>
    <w:rsid w:val="00CF6A7E"/>
    <w:rsid w:val="00CF6FDD"/>
    <w:rsid w:val="00CF7236"/>
    <w:rsid w:val="00CF7752"/>
    <w:rsid w:val="00CF7FC0"/>
    <w:rsid w:val="00D00B8E"/>
    <w:rsid w:val="00D00D04"/>
    <w:rsid w:val="00D01706"/>
    <w:rsid w:val="00D0256F"/>
    <w:rsid w:val="00D028D9"/>
    <w:rsid w:val="00D02D64"/>
    <w:rsid w:val="00D02EAA"/>
    <w:rsid w:val="00D0378C"/>
    <w:rsid w:val="00D0383B"/>
    <w:rsid w:val="00D03C63"/>
    <w:rsid w:val="00D045FA"/>
    <w:rsid w:val="00D06A44"/>
    <w:rsid w:val="00D06B5D"/>
    <w:rsid w:val="00D06FDA"/>
    <w:rsid w:val="00D07763"/>
    <w:rsid w:val="00D10C95"/>
    <w:rsid w:val="00D128F6"/>
    <w:rsid w:val="00D14DF7"/>
    <w:rsid w:val="00D14F5C"/>
    <w:rsid w:val="00D151EB"/>
    <w:rsid w:val="00D154F1"/>
    <w:rsid w:val="00D166D1"/>
    <w:rsid w:val="00D16B22"/>
    <w:rsid w:val="00D17CAC"/>
    <w:rsid w:val="00D17FAA"/>
    <w:rsid w:val="00D22FB0"/>
    <w:rsid w:val="00D23113"/>
    <w:rsid w:val="00D24E0B"/>
    <w:rsid w:val="00D26C42"/>
    <w:rsid w:val="00D300E0"/>
    <w:rsid w:val="00D33DFE"/>
    <w:rsid w:val="00D36258"/>
    <w:rsid w:val="00D374CD"/>
    <w:rsid w:val="00D400BA"/>
    <w:rsid w:val="00D41351"/>
    <w:rsid w:val="00D41D5A"/>
    <w:rsid w:val="00D427A3"/>
    <w:rsid w:val="00D434AF"/>
    <w:rsid w:val="00D43DEB"/>
    <w:rsid w:val="00D46891"/>
    <w:rsid w:val="00D4733F"/>
    <w:rsid w:val="00D52890"/>
    <w:rsid w:val="00D54092"/>
    <w:rsid w:val="00D567DF"/>
    <w:rsid w:val="00D56DBD"/>
    <w:rsid w:val="00D5773D"/>
    <w:rsid w:val="00D61AA9"/>
    <w:rsid w:val="00D62DB3"/>
    <w:rsid w:val="00D62E51"/>
    <w:rsid w:val="00D63C9E"/>
    <w:rsid w:val="00D64E1A"/>
    <w:rsid w:val="00D650CE"/>
    <w:rsid w:val="00D65A52"/>
    <w:rsid w:val="00D6718F"/>
    <w:rsid w:val="00D71118"/>
    <w:rsid w:val="00D71719"/>
    <w:rsid w:val="00D7558C"/>
    <w:rsid w:val="00D765BF"/>
    <w:rsid w:val="00D76B7C"/>
    <w:rsid w:val="00D76D79"/>
    <w:rsid w:val="00D776DA"/>
    <w:rsid w:val="00D77E77"/>
    <w:rsid w:val="00D80A60"/>
    <w:rsid w:val="00D83A19"/>
    <w:rsid w:val="00D84530"/>
    <w:rsid w:val="00D866F8"/>
    <w:rsid w:val="00D8758B"/>
    <w:rsid w:val="00D87F63"/>
    <w:rsid w:val="00D916EE"/>
    <w:rsid w:val="00D92A8C"/>
    <w:rsid w:val="00D92D58"/>
    <w:rsid w:val="00D9386B"/>
    <w:rsid w:val="00D942B3"/>
    <w:rsid w:val="00D944C3"/>
    <w:rsid w:val="00D947A4"/>
    <w:rsid w:val="00D94863"/>
    <w:rsid w:val="00D94DE1"/>
    <w:rsid w:val="00D955DC"/>
    <w:rsid w:val="00D958C9"/>
    <w:rsid w:val="00D95976"/>
    <w:rsid w:val="00D96E69"/>
    <w:rsid w:val="00D97502"/>
    <w:rsid w:val="00D97A20"/>
    <w:rsid w:val="00DA7D09"/>
    <w:rsid w:val="00DB12D4"/>
    <w:rsid w:val="00DB359D"/>
    <w:rsid w:val="00DB3973"/>
    <w:rsid w:val="00DB39FE"/>
    <w:rsid w:val="00DB4A14"/>
    <w:rsid w:val="00DB557A"/>
    <w:rsid w:val="00DC2630"/>
    <w:rsid w:val="00DC3899"/>
    <w:rsid w:val="00DC49E9"/>
    <w:rsid w:val="00DC55E4"/>
    <w:rsid w:val="00DC64C4"/>
    <w:rsid w:val="00DC69F1"/>
    <w:rsid w:val="00DC6F18"/>
    <w:rsid w:val="00DC71BC"/>
    <w:rsid w:val="00DC7D71"/>
    <w:rsid w:val="00DD188C"/>
    <w:rsid w:val="00DD29A0"/>
    <w:rsid w:val="00DD29A3"/>
    <w:rsid w:val="00DD373C"/>
    <w:rsid w:val="00DD463B"/>
    <w:rsid w:val="00DD48EE"/>
    <w:rsid w:val="00DD4A55"/>
    <w:rsid w:val="00DD62CE"/>
    <w:rsid w:val="00DD75C5"/>
    <w:rsid w:val="00DE0B96"/>
    <w:rsid w:val="00DE10B9"/>
    <w:rsid w:val="00DE3B16"/>
    <w:rsid w:val="00DE3F7A"/>
    <w:rsid w:val="00DF0571"/>
    <w:rsid w:val="00DF0B13"/>
    <w:rsid w:val="00DF1EB8"/>
    <w:rsid w:val="00DF2EB8"/>
    <w:rsid w:val="00DF3006"/>
    <w:rsid w:val="00DF3575"/>
    <w:rsid w:val="00DF3C0C"/>
    <w:rsid w:val="00DF3D93"/>
    <w:rsid w:val="00DF4A94"/>
    <w:rsid w:val="00DF6003"/>
    <w:rsid w:val="00DF6F07"/>
    <w:rsid w:val="00E00095"/>
    <w:rsid w:val="00E0019B"/>
    <w:rsid w:val="00E013AF"/>
    <w:rsid w:val="00E02134"/>
    <w:rsid w:val="00E0241A"/>
    <w:rsid w:val="00E02546"/>
    <w:rsid w:val="00E029B4"/>
    <w:rsid w:val="00E0331D"/>
    <w:rsid w:val="00E0343A"/>
    <w:rsid w:val="00E04B84"/>
    <w:rsid w:val="00E05778"/>
    <w:rsid w:val="00E06699"/>
    <w:rsid w:val="00E066C3"/>
    <w:rsid w:val="00E076EB"/>
    <w:rsid w:val="00E10863"/>
    <w:rsid w:val="00E10C83"/>
    <w:rsid w:val="00E10D8C"/>
    <w:rsid w:val="00E1183E"/>
    <w:rsid w:val="00E131D3"/>
    <w:rsid w:val="00E1353A"/>
    <w:rsid w:val="00E1564B"/>
    <w:rsid w:val="00E15A36"/>
    <w:rsid w:val="00E16977"/>
    <w:rsid w:val="00E1711B"/>
    <w:rsid w:val="00E17378"/>
    <w:rsid w:val="00E208A0"/>
    <w:rsid w:val="00E21067"/>
    <w:rsid w:val="00E21E8B"/>
    <w:rsid w:val="00E24445"/>
    <w:rsid w:val="00E259A2"/>
    <w:rsid w:val="00E25B49"/>
    <w:rsid w:val="00E25F8E"/>
    <w:rsid w:val="00E27A58"/>
    <w:rsid w:val="00E30DBE"/>
    <w:rsid w:val="00E31BAB"/>
    <w:rsid w:val="00E3359D"/>
    <w:rsid w:val="00E337BF"/>
    <w:rsid w:val="00E37144"/>
    <w:rsid w:val="00E371EA"/>
    <w:rsid w:val="00E373CA"/>
    <w:rsid w:val="00E416EB"/>
    <w:rsid w:val="00E4274F"/>
    <w:rsid w:val="00E42FFD"/>
    <w:rsid w:val="00E46A6F"/>
    <w:rsid w:val="00E46ADA"/>
    <w:rsid w:val="00E46F26"/>
    <w:rsid w:val="00E5029F"/>
    <w:rsid w:val="00E50455"/>
    <w:rsid w:val="00E50E60"/>
    <w:rsid w:val="00E52202"/>
    <w:rsid w:val="00E52339"/>
    <w:rsid w:val="00E542DE"/>
    <w:rsid w:val="00E55589"/>
    <w:rsid w:val="00E55A32"/>
    <w:rsid w:val="00E56B4D"/>
    <w:rsid w:val="00E62527"/>
    <w:rsid w:val="00E63845"/>
    <w:rsid w:val="00E64429"/>
    <w:rsid w:val="00E650BB"/>
    <w:rsid w:val="00E65BBC"/>
    <w:rsid w:val="00E674EF"/>
    <w:rsid w:val="00E6775A"/>
    <w:rsid w:val="00E677DD"/>
    <w:rsid w:val="00E7594B"/>
    <w:rsid w:val="00E768EA"/>
    <w:rsid w:val="00E76979"/>
    <w:rsid w:val="00E77CA3"/>
    <w:rsid w:val="00E8025C"/>
    <w:rsid w:val="00E80421"/>
    <w:rsid w:val="00E82392"/>
    <w:rsid w:val="00E82889"/>
    <w:rsid w:val="00E8490D"/>
    <w:rsid w:val="00E864F6"/>
    <w:rsid w:val="00E86DC2"/>
    <w:rsid w:val="00E8702E"/>
    <w:rsid w:val="00E87600"/>
    <w:rsid w:val="00E9080E"/>
    <w:rsid w:val="00E91599"/>
    <w:rsid w:val="00E91BF7"/>
    <w:rsid w:val="00E92329"/>
    <w:rsid w:val="00E97CDB"/>
    <w:rsid w:val="00E97DD1"/>
    <w:rsid w:val="00EA1CDA"/>
    <w:rsid w:val="00EA1E06"/>
    <w:rsid w:val="00EA3F38"/>
    <w:rsid w:val="00EA4AB8"/>
    <w:rsid w:val="00EA5D88"/>
    <w:rsid w:val="00EB1B33"/>
    <w:rsid w:val="00EB2915"/>
    <w:rsid w:val="00EB2EDB"/>
    <w:rsid w:val="00EB309D"/>
    <w:rsid w:val="00EB37F7"/>
    <w:rsid w:val="00EB4688"/>
    <w:rsid w:val="00EB5569"/>
    <w:rsid w:val="00EB57FC"/>
    <w:rsid w:val="00EB65B4"/>
    <w:rsid w:val="00EB6C07"/>
    <w:rsid w:val="00EC028D"/>
    <w:rsid w:val="00EC0E54"/>
    <w:rsid w:val="00EC1D46"/>
    <w:rsid w:val="00EC54B4"/>
    <w:rsid w:val="00EC63B1"/>
    <w:rsid w:val="00EC6891"/>
    <w:rsid w:val="00EC74C2"/>
    <w:rsid w:val="00ED0CF8"/>
    <w:rsid w:val="00ED183E"/>
    <w:rsid w:val="00ED2853"/>
    <w:rsid w:val="00ED2FC1"/>
    <w:rsid w:val="00ED31D9"/>
    <w:rsid w:val="00ED5017"/>
    <w:rsid w:val="00ED512D"/>
    <w:rsid w:val="00ED5E07"/>
    <w:rsid w:val="00ED633B"/>
    <w:rsid w:val="00ED6463"/>
    <w:rsid w:val="00ED687C"/>
    <w:rsid w:val="00ED756F"/>
    <w:rsid w:val="00EE012E"/>
    <w:rsid w:val="00EE118E"/>
    <w:rsid w:val="00EE1873"/>
    <w:rsid w:val="00EE19C1"/>
    <w:rsid w:val="00EE25B2"/>
    <w:rsid w:val="00EE27AA"/>
    <w:rsid w:val="00EE478C"/>
    <w:rsid w:val="00EE5952"/>
    <w:rsid w:val="00EE612E"/>
    <w:rsid w:val="00EE6D0D"/>
    <w:rsid w:val="00EE7252"/>
    <w:rsid w:val="00EF2359"/>
    <w:rsid w:val="00EF405D"/>
    <w:rsid w:val="00EF442B"/>
    <w:rsid w:val="00EF5407"/>
    <w:rsid w:val="00EF7687"/>
    <w:rsid w:val="00EF7EDE"/>
    <w:rsid w:val="00F00D83"/>
    <w:rsid w:val="00F01D40"/>
    <w:rsid w:val="00F04779"/>
    <w:rsid w:val="00F05BED"/>
    <w:rsid w:val="00F10AC5"/>
    <w:rsid w:val="00F1132C"/>
    <w:rsid w:val="00F11981"/>
    <w:rsid w:val="00F12BFA"/>
    <w:rsid w:val="00F131AD"/>
    <w:rsid w:val="00F15C64"/>
    <w:rsid w:val="00F15DD5"/>
    <w:rsid w:val="00F16781"/>
    <w:rsid w:val="00F169A6"/>
    <w:rsid w:val="00F16A00"/>
    <w:rsid w:val="00F16CF2"/>
    <w:rsid w:val="00F17D4B"/>
    <w:rsid w:val="00F21770"/>
    <w:rsid w:val="00F23139"/>
    <w:rsid w:val="00F25B97"/>
    <w:rsid w:val="00F27845"/>
    <w:rsid w:val="00F27D34"/>
    <w:rsid w:val="00F318A7"/>
    <w:rsid w:val="00F33705"/>
    <w:rsid w:val="00F354E7"/>
    <w:rsid w:val="00F36DD2"/>
    <w:rsid w:val="00F40DBA"/>
    <w:rsid w:val="00F4263D"/>
    <w:rsid w:val="00F44EAF"/>
    <w:rsid w:val="00F473A0"/>
    <w:rsid w:val="00F473C0"/>
    <w:rsid w:val="00F47FD1"/>
    <w:rsid w:val="00F50E7B"/>
    <w:rsid w:val="00F53B2D"/>
    <w:rsid w:val="00F53E42"/>
    <w:rsid w:val="00F54E98"/>
    <w:rsid w:val="00F5704C"/>
    <w:rsid w:val="00F60A91"/>
    <w:rsid w:val="00F61797"/>
    <w:rsid w:val="00F627B5"/>
    <w:rsid w:val="00F6375D"/>
    <w:rsid w:val="00F63C9E"/>
    <w:rsid w:val="00F63F55"/>
    <w:rsid w:val="00F65282"/>
    <w:rsid w:val="00F652E1"/>
    <w:rsid w:val="00F66CD5"/>
    <w:rsid w:val="00F67A9A"/>
    <w:rsid w:val="00F7025D"/>
    <w:rsid w:val="00F70F4E"/>
    <w:rsid w:val="00F716B8"/>
    <w:rsid w:val="00F7198D"/>
    <w:rsid w:val="00F72862"/>
    <w:rsid w:val="00F72B59"/>
    <w:rsid w:val="00F73113"/>
    <w:rsid w:val="00F7377B"/>
    <w:rsid w:val="00F75FC4"/>
    <w:rsid w:val="00F76046"/>
    <w:rsid w:val="00F765ED"/>
    <w:rsid w:val="00F76FFE"/>
    <w:rsid w:val="00F80469"/>
    <w:rsid w:val="00F80C5E"/>
    <w:rsid w:val="00F81818"/>
    <w:rsid w:val="00F84366"/>
    <w:rsid w:val="00F84A18"/>
    <w:rsid w:val="00F85065"/>
    <w:rsid w:val="00F85981"/>
    <w:rsid w:val="00F86D52"/>
    <w:rsid w:val="00F87195"/>
    <w:rsid w:val="00F87263"/>
    <w:rsid w:val="00F90CC3"/>
    <w:rsid w:val="00F919DA"/>
    <w:rsid w:val="00F93725"/>
    <w:rsid w:val="00F94759"/>
    <w:rsid w:val="00F95F66"/>
    <w:rsid w:val="00F960C3"/>
    <w:rsid w:val="00F965BE"/>
    <w:rsid w:val="00F9685D"/>
    <w:rsid w:val="00F97715"/>
    <w:rsid w:val="00F97BEF"/>
    <w:rsid w:val="00FA113D"/>
    <w:rsid w:val="00FA1653"/>
    <w:rsid w:val="00FA1B77"/>
    <w:rsid w:val="00FA32F1"/>
    <w:rsid w:val="00FA3C4D"/>
    <w:rsid w:val="00FA40CB"/>
    <w:rsid w:val="00FA4890"/>
    <w:rsid w:val="00FA49E1"/>
    <w:rsid w:val="00FA4F5C"/>
    <w:rsid w:val="00FA63F6"/>
    <w:rsid w:val="00FB207E"/>
    <w:rsid w:val="00FB2843"/>
    <w:rsid w:val="00FB3D47"/>
    <w:rsid w:val="00FB43E9"/>
    <w:rsid w:val="00FB5B4F"/>
    <w:rsid w:val="00FB678D"/>
    <w:rsid w:val="00FB77FA"/>
    <w:rsid w:val="00FC0411"/>
    <w:rsid w:val="00FC1642"/>
    <w:rsid w:val="00FC18B9"/>
    <w:rsid w:val="00FC1B25"/>
    <w:rsid w:val="00FC227E"/>
    <w:rsid w:val="00FC2307"/>
    <w:rsid w:val="00FC2AFE"/>
    <w:rsid w:val="00FC3825"/>
    <w:rsid w:val="00FC3C43"/>
    <w:rsid w:val="00FC3C70"/>
    <w:rsid w:val="00FC4A73"/>
    <w:rsid w:val="00FC4D1F"/>
    <w:rsid w:val="00FC4E10"/>
    <w:rsid w:val="00FC4FC3"/>
    <w:rsid w:val="00FC5442"/>
    <w:rsid w:val="00FC559C"/>
    <w:rsid w:val="00FC7F0D"/>
    <w:rsid w:val="00FD0CAF"/>
    <w:rsid w:val="00FD1C0C"/>
    <w:rsid w:val="00FD57AF"/>
    <w:rsid w:val="00FD7156"/>
    <w:rsid w:val="00FE175F"/>
    <w:rsid w:val="00FE1D90"/>
    <w:rsid w:val="00FE34F1"/>
    <w:rsid w:val="00FE3CCF"/>
    <w:rsid w:val="00FE5234"/>
    <w:rsid w:val="00FE552F"/>
    <w:rsid w:val="00FE6149"/>
    <w:rsid w:val="00FE645A"/>
    <w:rsid w:val="00FE74A9"/>
    <w:rsid w:val="00FF37C7"/>
    <w:rsid w:val="00FF4041"/>
    <w:rsid w:val="00FF4241"/>
    <w:rsid w:val="00FF506A"/>
    <w:rsid w:val="00FF6102"/>
    <w:rsid w:val="00FF7BE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nhideWhenUsed/>
    <w:rsid w:val="00E677DD"/>
    <w:rPr>
      <w:sz w:val="16"/>
      <w:szCs w:val="16"/>
    </w:rPr>
  </w:style>
  <w:style w:type="paragraph" w:styleId="CommentText">
    <w:name w:val="annotation text"/>
    <w:basedOn w:val="Normal"/>
    <w:link w:val="CommentTextChar"/>
    <w:unhideWhenUsed/>
    <w:rsid w:val="00E677DD"/>
    <w:rPr>
      <w:sz w:val="20"/>
      <w:szCs w:val="20"/>
    </w:rPr>
  </w:style>
  <w:style w:type="character" w:customStyle="1" w:styleId="CommentTextChar">
    <w:name w:val="Comment Text Char"/>
    <w:basedOn w:val="DefaultParagraphFont"/>
    <w:link w:val="CommentText"/>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3548A0"/>
    <w:pPr>
      <w:keepNext/>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3548A0"/>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TableText">
    <w:name w:val="Table Text"/>
    <w:basedOn w:val="Normal"/>
    <w:qFormat/>
    <w:rsid w:val="004C3773"/>
    <w:pPr>
      <w:spacing w:before="80" w:after="80"/>
    </w:pPr>
    <w:rPr>
      <w:rFonts w:ascii="Arial" w:eastAsia="Times New Roman" w:hAnsi="Arial" w:cs="Times New Roman"/>
      <w:sz w:val="20"/>
      <w:szCs w:val="22"/>
    </w:rPr>
  </w:style>
  <w:style w:type="character" w:customStyle="1" w:styleId="ListParagraphChar">
    <w:name w:val="List Paragraph Char"/>
    <w:link w:val="ListParagraph"/>
    <w:uiPriority w:val="34"/>
    <w:rsid w:val="00CA4B1F"/>
    <w:rPr>
      <w:sz w:val="24"/>
      <w:szCs w:val="24"/>
    </w:rPr>
  </w:style>
  <w:style w:type="character" w:styleId="IntenseReference">
    <w:name w:val="Intense Reference"/>
    <w:basedOn w:val="DefaultParagraphFont"/>
    <w:uiPriority w:val="32"/>
    <w:qFormat/>
    <w:rsid w:val="00815DFC"/>
    <w:rPr>
      <w:b/>
      <w:bCs/>
      <w:i/>
      <w:smallCaps/>
      <w:color w:val="C0504D" w:themeColor="accent2"/>
      <w:spacing w:val="5"/>
      <w:u w:val="none"/>
    </w:rPr>
  </w:style>
  <w:style w:type="character" w:styleId="FollowedHyperlink">
    <w:name w:val="FollowedHyperlink"/>
    <w:basedOn w:val="DefaultParagraphFont"/>
    <w:uiPriority w:val="99"/>
    <w:semiHidden/>
    <w:unhideWhenUsed/>
    <w:rsid w:val="00787B79"/>
    <w:rPr>
      <w:color w:val="800080" w:themeColor="followedHyperlink"/>
      <w:u w:val="single"/>
    </w:rPr>
  </w:style>
  <w:style w:type="paragraph" w:styleId="Revision">
    <w:name w:val="Revision"/>
    <w:hidden/>
    <w:uiPriority w:val="99"/>
    <w:semiHidden/>
    <w:rsid w:val="00B379CB"/>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nhideWhenUsed/>
    <w:rsid w:val="00E677DD"/>
    <w:rPr>
      <w:sz w:val="16"/>
      <w:szCs w:val="16"/>
    </w:rPr>
  </w:style>
  <w:style w:type="paragraph" w:styleId="CommentText">
    <w:name w:val="annotation text"/>
    <w:basedOn w:val="Normal"/>
    <w:link w:val="CommentTextChar"/>
    <w:unhideWhenUsed/>
    <w:rsid w:val="00E677DD"/>
    <w:rPr>
      <w:sz w:val="20"/>
      <w:szCs w:val="20"/>
    </w:rPr>
  </w:style>
  <w:style w:type="character" w:customStyle="1" w:styleId="CommentTextChar">
    <w:name w:val="Comment Text Char"/>
    <w:basedOn w:val="DefaultParagraphFont"/>
    <w:link w:val="CommentText"/>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3548A0"/>
    <w:pPr>
      <w:keepNext/>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3548A0"/>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TableText">
    <w:name w:val="Table Text"/>
    <w:basedOn w:val="Normal"/>
    <w:qFormat/>
    <w:rsid w:val="004C3773"/>
    <w:pPr>
      <w:spacing w:before="80" w:after="80"/>
    </w:pPr>
    <w:rPr>
      <w:rFonts w:ascii="Arial" w:eastAsia="Times New Roman" w:hAnsi="Arial" w:cs="Times New Roman"/>
      <w:sz w:val="20"/>
      <w:szCs w:val="22"/>
    </w:rPr>
  </w:style>
  <w:style w:type="character" w:customStyle="1" w:styleId="ListParagraphChar">
    <w:name w:val="List Paragraph Char"/>
    <w:link w:val="ListParagraph"/>
    <w:uiPriority w:val="34"/>
    <w:rsid w:val="00CA4B1F"/>
    <w:rPr>
      <w:sz w:val="24"/>
      <w:szCs w:val="24"/>
    </w:rPr>
  </w:style>
  <w:style w:type="character" w:styleId="IntenseReference">
    <w:name w:val="Intense Reference"/>
    <w:basedOn w:val="DefaultParagraphFont"/>
    <w:uiPriority w:val="32"/>
    <w:qFormat/>
    <w:rsid w:val="00815DFC"/>
    <w:rPr>
      <w:b/>
      <w:bCs/>
      <w:i/>
      <w:smallCaps/>
      <w:color w:val="C0504D" w:themeColor="accent2"/>
      <w:spacing w:val="5"/>
      <w:u w:val="none"/>
    </w:rPr>
  </w:style>
  <w:style w:type="character" w:styleId="FollowedHyperlink">
    <w:name w:val="FollowedHyperlink"/>
    <w:basedOn w:val="DefaultParagraphFont"/>
    <w:uiPriority w:val="99"/>
    <w:semiHidden/>
    <w:unhideWhenUsed/>
    <w:rsid w:val="00787B79"/>
    <w:rPr>
      <w:color w:val="800080" w:themeColor="followedHyperlink"/>
      <w:u w:val="single"/>
    </w:rPr>
  </w:style>
  <w:style w:type="paragraph" w:styleId="Revision">
    <w:name w:val="Revision"/>
    <w:hidden/>
    <w:uiPriority w:val="99"/>
    <w:semiHidden/>
    <w:rsid w:val="00B379C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01">
      <w:bodyDiv w:val="1"/>
      <w:marLeft w:val="0"/>
      <w:marRight w:val="0"/>
      <w:marTop w:val="0"/>
      <w:marBottom w:val="0"/>
      <w:divBdr>
        <w:top w:val="none" w:sz="0" w:space="0" w:color="auto"/>
        <w:left w:val="none" w:sz="0" w:space="0" w:color="auto"/>
        <w:bottom w:val="none" w:sz="0" w:space="0" w:color="auto"/>
        <w:right w:val="none" w:sz="0" w:space="0" w:color="auto"/>
      </w:divBdr>
    </w:div>
    <w:div w:id="16738363">
      <w:bodyDiv w:val="1"/>
      <w:marLeft w:val="0"/>
      <w:marRight w:val="0"/>
      <w:marTop w:val="0"/>
      <w:marBottom w:val="0"/>
      <w:divBdr>
        <w:top w:val="none" w:sz="0" w:space="0" w:color="auto"/>
        <w:left w:val="none" w:sz="0" w:space="0" w:color="auto"/>
        <w:bottom w:val="none" w:sz="0" w:space="0" w:color="auto"/>
        <w:right w:val="none" w:sz="0" w:space="0" w:color="auto"/>
      </w:divBdr>
    </w:div>
    <w:div w:id="38675489">
      <w:bodyDiv w:val="1"/>
      <w:marLeft w:val="0"/>
      <w:marRight w:val="0"/>
      <w:marTop w:val="0"/>
      <w:marBottom w:val="0"/>
      <w:divBdr>
        <w:top w:val="none" w:sz="0" w:space="0" w:color="auto"/>
        <w:left w:val="none" w:sz="0" w:space="0" w:color="auto"/>
        <w:bottom w:val="none" w:sz="0" w:space="0" w:color="auto"/>
        <w:right w:val="none" w:sz="0" w:space="0" w:color="auto"/>
      </w:divBdr>
    </w:div>
    <w:div w:id="63337842">
      <w:bodyDiv w:val="1"/>
      <w:marLeft w:val="0"/>
      <w:marRight w:val="0"/>
      <w:marTop w:val="0"/>
      <w:marBottom w:val="0"/>
      <w:divBdr>
        <w:top w:val="none" w:sz="0" w:space="0" w:color="auto"/>
        <w:left w:val="none" w:sz="0" w:space="0" w:color="auto"/>
        <w:bottom w:val="none" w:sz="0" w:space="0" w:color="auto"/>
        <w:right w:val="none" w:sz="0" w:space="0" w:color="auto"/>
      </w:divBdr>
    </w:div>
    <w:div w:id="98263042">
      <w:bodyDiv w:val="1"/>
      <w:marLeft w:val="0"/>
      <w:marRight w:val="0"/>
      <w:marTop w:val="0"/>
      <w:marBottom w:val="0"/>
      <w:divBdr>
        <w:top w:val="none" w:sz="0" w:space="0" w:color="auto"/>
        <w:left w:val="none" w:sz="0" w:space="0" w:color="auto"/>
        <w:bottom w:val="none" w:sz="0" w:space="0" w:color="auto"/>
        <w:right w:val="none" w:sz="0" w:space="0" w:color="auto"/>
      </w:divBdr>
    </w:div>
    <w:div w:id="136842034">
      <w:bodyDiv w:val="1"/>
      <w:marLeft w:val="0"/>
      <w:marRight w:val="0"/>
      <w:marTop w:val="0"/>
      <w:marBottom w:val="0"/>
      <w:divBdr>
        <w:top w:val="none" w:sz="0" w:space="0" w:color="auto"/>
        <w:left w:val="none" w:sz="0" w:space="0" w:color="auto"/>
        <w:bottom w:val="none" w:sz="0" w:space="0" w:color="auto"/>
        <w:right w:val="none" w:sz="0" w:space="0" w:color="auto"/>
      </w:divBdr>
    </w:div>
    <w:div w:id="166068228">
      <w:bodyDiv w:val="1"/>
      <w:marLeft w:val="0"/>
      <w:marRight w:val="0"/>
      <w:marTop w:val="0"/>
      <w:marBottom w:val="0"/>
      <w:divBdr>
        <w:top w:val="none" w:sz="0" w:space="0" w:color="auto"/>
        <w:left w:val="none" w:sz="0" w:space="0" w:color="auto"/>
        <w:bottom w:val="none" w:sz="0" w:space="0" w:color="auto"/>
        <w:right w:val="none" w:sz="0" w:space="0" w:color="auto"/>
      </w:divBdr>
    </w:div>
    <w:div w:id="307824213">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83207516">
      <w:bodyDiv w:val="1"/>
      <w:marLeft w:val="0"/>
      <w:marRight w:val="0"/>
      <w:marTop w:val="0"/>
      <w:marBottom w:val="0"/>
      <w:divBdr>
        <w:top w:val="none" w:sz="0" w:space="0" w:color="auto"/>
        <w:left w:val="none" w:sz="0" w:space="0" w:color="auto"/>
        <w:bottom w:val="none" w:sz="0" w:space="0" w:color="auto"/>
        <w:right w:val="none" w:sz="0" w:space="0" w:color="auto"/>
      </w:divBdr>
    </w:div>
    <w:div w:id="519852008">
      <w:bodyDiv w:val="1"/>
      <w:marLeft w:val="0"/>
      <w:marRight w:val="0"/>
      <w:marTop w:val="0"/>
      <w:marBottom w:val="0"/>
      <w:divBdr>
        <w:top w:val="none" w:sz="0" w:space="0" w:color="auto"/>
        <w:left w:val="none" w:sz="0" w:space="0" w:color="auto"/>
        <w:bottom w:val="none" w:sz="0" w:space="0" w:color="auto"/>
        <w:right w:val="none" w:sz="0" w:space="0" w:color="auto"/>
      </w:divBdr>
    </w:div>
    <w:div w:id="529293923">
      <w:bodyDiv w:val="1"/>
      <w:marLeft w:val="0"/>
      <w:marRight w:val="0"/>
      <w:marTop w:val="0"/>
      <w:marBottom w:val="0"/>
      <w:divBdr>
        <w:top w:val="none" w:sz="0" w:space="0" w:color="auto"/>
        <w:left w:val="none" w:sz="0" w:space="0" w:color="auto"/>
        <w:bottom w:val="none" w:sz="0" w:space="0" w:color="auto"/>
        <w:right w:val="none" w:sz="0" w:space="0" w:color="auto"/>
      </w:divBdr>
    </w:div>
    <w:div w:id="572936622">
      <w:bodyDiv w:val="1"/>
      <w:marLeft w:val="0"/>
      <w:marRight w:val="0"/>
      <w:marTop w:val="0"/>
      <w:marBottom w:val="0"/>
      <w:divBdr>
        <w:top w:val="none" w:sz="0" w:space="0" w:color="auto"/>
        <w:left w:val="none" w:sz="0" w:space="0" w:color="auto"/>
        <w:bottom w:val="none" w:sz="0" w:space="0" w:color="auto"/>
        <w:right w:val="none" w:sz="0" w:space="0" w:color="auto"/>
      </w:divBdr>
    </w:div>
    <w:div w:id="588196324">
      <w:bodyDiv w:val="1"/>
      <w:marLeft w:val="0"/>
      <w:marRight w:val="0"/>
      <w:marTop w:val="0"/>
      <w:marBottom w:val="0"/>
      <w:divBdr>
        <w:top w:val="none" w:sz="0" w:space="0" w:color="auto"/>
        <w:left w:val="none" w:sz="0" w:space="0" w:color="auto"/>
        <w:bottom w:val="none" w:sz="0" w:space="0" w:color="auto"/>
        <w:right w:val="none" w:sz="0" w:space="0" w:color="auto"/>
      </w:divBdr>
    </w:div>
    <w:div w:id="593245225">
      <w:bodyDiv w:val="1"/>
      <w:marLeft w:val="0"/>
      <w:marRight w:val="0"/>
      <w:marTop w:val="0"/>
      <w:marBottom w:val="0"/>
      <w:divBdr>
        <w:top w:val="none" w:sz="0" w:space="0" w:color="auto"/>
        <w:left w:val="none" w:sz="0" w:space="0" w:color="auto"/>
        <w:bottom w:val="none" w:sz="0" w:space="0" w:color="auto"/>
        <w:right w:val="none" w:sz="0" w:space="0" w:color="auto"/>
      </w:divBdr>
    </w:div>
    <w:div w:id="614214330">
      <w:bodyDiv w:val="1"/>
      <w:marLeft w:val="0"/>
      <w:marRight w:val="0"/>
      <w:marTop w:val="0"/>
      <w:marBottom w:val="0"/>
      <w:divBdr>
        <w:top w:val="none" w:sz="0" w:space="0" w:color="auto"/>
        <w:left w:val="none" w:sz="0" w:space="0" w:color="auto"/>
        <w:bottom w:val="none" w:sz="0" w:space="0" w:color="auto"/>
        <w:right w:val="none" w:sz="0" w:space="0" w:color="auto"/>
      </w:divBdr>
    </w:div>
    <w:div w:id="680664343">
      <w:bodyDiv w:val="1"/>
      <w:marLeft w:val="0"/>
      <w:marRight w:val="0"/>
      <w:marTop w:val="0"/>
      <w:marBottom w:val="0"/>
      <w:divBdr>
        <w:top w:val="none" w:sz="0" w:space="0" w:color="auto"/>
        <w:left w:val="none" w:sz="0" w:space="0" w:color="auto"/>
        <w:bottom w:val="none" w:sz="0" w:space="0" w:color="auto"/>
        <w:right w:val="none" w:sz="0" w:space="0" w:color="auto"/>
      </w:divBdr>
    </w:div>
    <w:div w:id="768697599">
      <w:bodyDiv w:val="1"/>
      <w:marLeft w:val="0"/>
      <w:marRight w:val="0"/>
      <w:marTop w:val="0"/>
      <w:marBottom w:val="0"/>
      <w:divBdr>
        <w:top w:val="none" w:sz="0" w:space="0" w:color="auto"/>
        <w:left w:val="none" w:sz="0" w:space="0" w:color="auto"/>
        <w:bottom w:val="none" w:sz="0" w:space="0" w:color="auto"/>
        <w:right w:val="none" w:sz="0" w:space="0" w:color="auto"/>
      </w:divBdr>
    </w:div>
    <w:div w:id="817379588">
      <w:bodyDiv w:val="1"/>
      <w:marLeft w:val="0"/>
      <w:marRight w:val="0"/>
      <w:marTop w:val="0"/>
      <w:marBottom w:val="0"/>
      <w:divBdr>
        <w:top w:val="none" w:sz="0" w:space="0" w:color="auto"/>
        <w:left w:val="none" w:sz="0" w:space="0" w:color="auto"/>
        <w:bottom w:val="none" w:sz="0" w:space="0" w:color="auto"/>
        <w:right w:val="none" w:sz="0" w:space="0" w:color="auto"/>
      </w:divBdr>
    </w:div>
    <w:div w:id="896622594">
      <w:bodyDiv w:val="1"/>
      <w:marLeft w:val="0"/>
      <w:marRight w:val="0"/>
      <w:marTop w:val="0"/>
      <w:marBottom w:val="0"/>
      <w:divBdr>
        <w:top w:val="none" w:sz="0" w:space="0" w:color="auto"/>
        <w:left w:val="none" w:sz="0" w:space="0" w:color="auto"/>
        <w:bottom w:val="none" w:sz="0" w:space="0" w:color="auto"/>
        <w:right w:val="none" w:sz="0" w:space="0" w:color="auto"/>
      </w:divBdr>
    </w:div>
    <w:div w:id="966006912">
      <w:bodyDiv w:val="1"/>
      <w:marLeft w:val="0"/>
      <w:marRight w:val="0"/>
      <w:marTop w:val="0"/>
      <w:marBottom w:val="0"/>
      <w:divBdr>
        <w:top w:val="none" w:sz="0" w:space="0" w:color="auto"/>
        <w:left w:val="none" w:sz="0" w:space="0" w:color="auto"/>
        <w:bottom w:val="none" w:sz="0" w:space="0" w:color="auto"/>
        <w:right w:val="none" w:sz="0" w:space="0" w:color="auto"/>
      </w:divBdr>
    </w:div>
    <w:div w:id="972637146">
      <w:bodyDiv w:val="1"/>
      <w:marLeft w:val="0"/>
      <w:marRight w:val="0"/>
      <w:marTop w:val="0"/>
      <w:marBottom w:val="0"/>
      <w:divBdr>
        <w:top w:val="none" w:sz="0" w:space="0" w:color="auto"/>
        <w:left w:val="none" w:sz="0" w:space="0" w:color="auto"/>
        <w:bottom w:val="none" w:sz="0" w:space="0" w:color="auto"/>
        <w:right w:val="none" w:sz="0" w:space="0" w:color="auto"/>
      </w:divBdr>
    </w:div>
    <w:div w:id="988247207">
      <w:bodyDiv w:val="1"/>
      <w:marLeft w:val="0"/>
      <w:marRight w:val="0"/>
      <w:marTop w:val="0"/>
      <w:marBottom w:val="0"/>
      <w:divBdr>
        <w:top w:val="none" w:sz="0" w:space="0" w:color="auto"/>
        <w:left w:val="none" w:sz="0" w:space="0" w:color="auto"/>
        <w:bottom w:val="none" w:sz="0" w:space="0" w:color="auto"/>
        <w:right w:val="none" w:sz="0" w:space="0" w:color="auto"/>
      </w:divBdr>
    </w:div>
    <w:div w:id="1009137273">
      <w:bodyDiv w:val="1"/>
      <w:marLeft w:val="0"/>
      <w:marRight w:val="0"/>
      <w:marTop w:val="0"/>
      <w:marBottom w:val="0"/>
      <w:divBdr>
        <w:top w:val="none" w:sz="0" w:space="0" w:color="auto"/>
        <w:left w:val="none" w:sz="0" w:space="0" w:color="auto"/>
        <w:bottom w:val="none" w:sz="0" w:space="0" w:color="auto"/>
        <w:right w:val="none" w:sz="0" w:space="0" w:color="auto"/>
      </w:divBdr>
    </w:div>
    <w:div w:id="1047682283">
      <w:bodyDiv w:val="1"/>
      <w:marLeft w:val="0"/>
      <w:marRight w:val="0"/>
      <w:marTop w:val="0"/>
      <w:marBottom w:val="0"/>
      <w:divBdr>
        <w:top w:val="none" w:sz="0" w:space="0" w:color="auto"/>
        <w:left w:val="none" w:sz="0" w:space="0" w:color="auto"/>
        <w:bottom w:val="none" w:sz="0" w:space="0" w:color="auto"/>
        <w:right w:val="none" w:sz="0" w:space="0" w:color="auto"/>
      </w:divBdr>
    </w:div>
    <w:div w:id="1081756974">
      <w:bodyDiv w:val="1"/>
      <w:marLeft w:val="0"/>
      <w:marRight w:val="0"/>
      <w:marTop w:val="0"/>
      <w:marBottom w:val="0"/>
      <w:divBdr>
        <w:top w:val="none" w:sz="0" w:space="0" w:color="auto"/>
        <w:left w:val="none" w:sz="0" w:space="0" w:color="auto"/>
        <w:bottom w:val="none" w:sz="0" w:space="0" w:color="auto"/>
        <w:right w:val="none" w:sz="0" w:space="0" w:color="auto"/>
      </w:divBdr>
    </w:div>
    <w:div w:id="1094133749">
      <w:bodyDiv w:val="1"/>
      <w:marLeft w:val="0"/>
      <w:marRight w:val="0"/>
      <w:marTop w:val="0"/>
      <w:marBottom w:val="0"/>
      <w:divBdr>
        <w:top w:val="none" w:sz="0" w:space="0" w:color="auto"/>
        <w:left w:val="none" w:sz="0" w:space="0" w:color="auto"/>
        <w:bottom w:val="none" w:sz="0" w:space="0" w:color="auto"/>
        <w:right w:val="none" w:sz="0" w:space="0" w:color="auto"/>
      </w:divBdr>
    </w:div>
    <w:div w:id="1106534587">
      <w:bodyDiv w:val="1"/>
      <w:marLeft w:val="0"/>
      <w:marRight w:val="0"/>
      <w:marTop w:val="0"/>
      <w:marBottom w:val="0"/>
      <w:divBdr>
        <w:top w:val="none" w:sz="0" w:space="0" w:color="auto"/>
        <w:left w:val="none" w:sz="0" w:space="0" w:color="auto"/>
        <w:bottom w:val="none" w:sz="0" w:space="0" w:color="auto"/>
        <w:right w:val="none" w:sz="0" w:space="0" w:color="auto"/>
      </w:divBdr>
    </w:div>
    <w:div w:id="1107391799">
      <w:bodyDiv w:val="1"/>
      <w:marLeft w:val="0"/>
      <w:marRight w:val="0"/>
      <w:marTop w:val="0"/>
      <w:marBottom w:val="0"/>
      <w:divBdr>
        <w:top w:val="none" w:sz="0" w:space="0" w:color="auto"/>
        <w:left w:val="none" w:sz="0" w:space="0" w:color="auto"/>
        <w:bottom w:val="none" w:sz="0" w:space="0" w:color="auto"/>
        <w:right w:val="none" w:sz="0" w:space="0" w:color="auto"/>
      </w:divBdr>
    </w:div>
    <w:div w:id="1310937147">
      <w:bodyDiv w:val="1"/>
      <w:marLeft w:val="0"/>
      <w:marRight w:val="0"/>
      <w:marTop w:val="0"/>
      <w:marBottom w:val="0"/>
      <w:divBdr>
        <w:top w:val="none" w:sz="0" w:space="0" w:color="auto"/>
        <w:left w:val="none" w:sz="0" w:space="0" w:color="auto"/>
        <w:bottom w:val="none" w:sz="0" w:space="0" w:color="auto"/>
        <w:right w:val="none" w:sz="0" w:space="0" w:color="auto"/>
      </w:divBdr>
    </w:div>
    <w:div w:id="1319459840">
      <w:bodyDiv w:val="1"/>
      <w:marLeft w:val="0"/>
      <w:marRight w:val="0"/>
      <w:marTop w:val="0"/>
      <w:marBottom w:val="0"/>
      <w:divBdr>
        <w:top w:val="none" w:sz="0" w:space="0" w:color="auto"/>
        <w:left w:val="none" w:sz="0" w:space="0" w:color="auto"/>
        <w:bottom w:val="none" w:sz="0" w:space="0" w:color="auto"/>
        <w:right w:val="none" w:sz="0" w:space="0" w:color="auto"/>
      </w:divBdr>
    </w:div>
    <w:div w:id="1475758273">
      <w:bodyDiv w:val="1"/>
      <w:marLeft w:val="0"/>
      <w:marRight w:val="0"/>
      <w:marTop w:val="0"/>
      <w:marBottom w:val="0"/>
      <w:divBdr>
        <w:top w:val="none" w:sz="0" w:space="0" w:color="auto"/>
        <w:left w:val="none" w:sz="0" w:space="0" w:color="auto"/>
        <w:bottom w:val="none" w:sz="0" w:space="0" w:color="auto"/>
        <w:right w:val="none" w:sz="0" w:space="0" w:color="auto"/>
      </w:divBdr>
    </w:div>
    <w:div w:id="1771120454">
      <w:bodyDiv w:val="1"/>
      <w:marLeft w:val="0"/>
      <w:marRight w:val="0"/>
      <w:marTop w:val="0"/>
      <w:marBottom w:val="0"/>
      <w:divBdr>
        <w:top w:val="none" w:sz="0" w:space="0" w:color="auto"/>
        <w:left w:val="none" w:sz="0" w:space="0" w:color="auto"/>
        <w:bottom w:val="none" w:sz="0" w:space="0" w:color="auto"/>
        <w:right w:val="none" w:sz="0" w:space="0" w:color="auto"/>
      </w:divBdr>
    </w:div>
    <w:div w:id="1781994252">
      <w:bodyDiv w:val="1"/>
      <w:marLeft w:val="0"/>
      <w:marRight w:val="0"/>
      <w:marTop w:val="0"/>
      <w:marBottom w:val="0"/>
      <w:divBdr>
        <w:top w:val="none" w:sz="0" w:space="0" w:color="auto"/>
        <w:left w:val="none" w:sz="0" w:space="0" w:color="auto"/>
        <w:bottom w:val="none" w:sz="0" w:space="0" w:color="auto"/>
        <w:right w:val="none" w:sz="0" w:space="0" w:color="auto"/>
      </w:divBdr>
    </w:div>
    <w:div w:id="1801651047">
      <w:bodyDiv w:val="1"/>
      <w:marLeft w:val="0"/>
      <w:marRight w:val="0"/>
      <w:marTop w:val="0"/>
      <w:marBottom w:val="0"/>
      <w:divBdr>
        <w:top w:val="none" w:sz="0" w:space="0" w:color="auto"/>
        <w:left w:val="none" w:sz="0" w:space="0" w:color="auto"/>
        <w:bottom w:val="none" w:sz="0" w:space="0" w:color="auto"/>
        <w:right w:val="none" w:sz="0" w:space="0" w:color="auto"/>
      </w:divBdr>
    </w:div>
    <w:div w:id="1831435717">
      <w:bodyDiv w:val="1"/>
      <w:marLeft w:val="0"/>
      <w:marRight w:val="0"/>
      <w:marTop w:val="0"/>
      <w:marBottom w:val="0"/>
      <w:divBdr>
        <w:top w:val="none" w:sz="0" w:space="0" w:color="auto"/>
        <w:left w:val="none" w:sz="0" w:space="0" w:color="auto"/>
        <w:bottom w:val="none" w:sz="0" w:space="0" w:color="auto"/>
        <w:right w:val="none" w:sz="0" w:space="0" w:color="auto"/>
      </w:divBdr>
    </w:div>
    <w:div w:id="1867710500">
      <w:bodyDiv w:val="1"/>
      <w:marLeft w:val="0"/>
      <w:marRight w:val="0"/>
      <w:marTop w:val="0"/>
      <w:marBottom w:val="0"/>
      <w:divBdr>
        <w:top w:val="none" w:sz="0" w:space="0" w:color="auto"/>
        <w:left w:val="none" w:sz="0" w:space="0" w:color="auto"/>
        <w:bottom w:val="none" w:sz="0" w:space="0" w:color="auto"/>
        <w:right w:val="none" w:sz="0" w:space="0" w:color="auto"/>
      </w:divBdr>
    </w:div>
    <w:div w:id="1952980007">
      <w:bodyDiv w:val="1"/>
      <w:marLeft w:val="0"/>
      <w:marRight w:val="0"/>
      <w:marTop w:val="0"/>
      <w:marBottom w:val="0"/>
      <w:divBdr>
        <w:top w:val="none" w:sz="0" w:space="0" w:color="auto"/>
        <w:left w:val="none" w:sz="0" w:space="0" w:color="auto"/>
        <w:bottom w:val="none" w:sz="0" w:space="0" w:color="auto"/>
        <w:right w:val="none" w:sz="0" w:space="0" w:color="auto"/>
      </w:divBdr>
    </w:div>
    <w:div w:id="1956986647">
      <w:bodyDiv w:val="1"/>
      <w:marLeft w:val="0"/>
      <w:marRight w:val="0"/>
      <w:marTop w:val="0"/>
      <w:marBottom w:val="0"/>
      <w:divBdr>
        <w:top w:val="none" w:sz="0" w:space="0" w:color="auto"/>
        <w:left w:val="none" w:sz="0" w:space="0" w:color="auto"/>
        <w:bottom w:val="none" w:sz="0" w:space="0" w:color="auto"/>
        <w:right w:val="none" w:sz="0" w:space="0" w:color="auto"/>
      </w:divBdr>
    </w:div>
    <w:div w:id="2025472630">
      <w:bodyDiv w:val="1"/>
      <w:marLeft w:val="0"/>
      <w:marRight w:val="0"/>
      <w:marTop w:val="0"/>
      <w:marBottom w:val="0"/>
      <w:divBdr>
        <w:top w:val="none" w:sz="0" w:space="0" w:color="auto"/>
        <w:left w:val="none" w:sz="0" w:space="0" w:color="auto"/>
        <w:bottom w:val="none" w:sz="0" w:space="0" w:color="auto"/>
        <w:right w:val="none" w:sz="0" w:space="0" w:color="auto"/>
      </w:divBdr>
    </w:div>
    <w:div w:id="2045712667">
      <w:bodyDiv w:val="1"/>
      <w:marLeft w:val="0"/>
      <w:marRight w:val="0"/>
      <w:marTop w:val="0"/>
      <w:marBottom w:val="0"/>
      <w:divBdr>
        <w:top w:val="none" w:sz="0" w:space="0" w:color="auto"/>
        <w:left w:val="none" w:sz="0" w:space="0" w:color="auto"/>
        <w:bottom w:val="none" w:sz="0" w:space="0" w:color="auto"/>
        <w:right w:val="none" w:sz="0" w:space="0" w:color="auto"/>
      </w:divBdr>
    </w:div>
    <w:div w:id="2090228944">
      <w:bodyDiv w:val="1"/>
      <w:marLeft w:val="0"/>
      <w:marRight w:val="0"/>
      <w:marTop w:val="0"/>
      <w:marBottom w:val="0"/>
      <w:divBdr>
        <w:top w:val="none" w:sz="0" w:space="0" w:color="auto"/>
        <w:left w:val="none" w:sz="0" w:space="0" w:color="auto"/>
        <w:bottom w:val="none" w:sz="0" w:space="0" w:color="auto"/>
        <w:right w:val="none" w:sz="0" w:space="0" w:color="auto"/>
      </w:divBdr>
    </w:div>
    <w:div w:id="2100131932">
      <w:bodyDiv w:val="1"/>
      <w:marLeft w:val="0"/>
      <w:marRight w:val="0"/>
      <w:marTop w:val="0"/>
      <w:marBottom w:val="0"/>
      <w:divBdr>
        <w:top w:val="none" w:sz="0" w:space="0" w:color="auto"/>
        <w:left w:val="none" w:sz="0" w:space="0" w:color="auto"/>
        <w:bottom w:val="none" w:sz="0" w:space="0" w:color="auto"/>
        <w:right w:val="none" w:sz="0" w:space="0" w:color="auto"/>
      </w:divBdr>
    </w:div>
    <w:div w:id="21328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pbs/home" TargetMode="External"/><Relationship Id="rId18" Type="http://schemas.openxmlformats.org/officeDocument/2006/relationships/hyperlink" Target="http://www.pbs.gov.au/info/industry/listing/elements/pbac-meetings/psd/2012-07/abirateron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bs.gov.au/industry/listing/elements/pbac-meetings/psd/2015-11/files/enzalutamide-psd-november-2015.pdf" TargetMode="External"/><Relationship Id="rId7" Type="http://schemas.openxmlformats.org/officeDocument/2006/relationships/footnotes" Target="footnotes.xml"/><Relationship Id="rId12" Type="http://schemas.openxmlformats.org/officeDocument/2006/relationships/hyperlink" Target="http://www.pbs.gov.au/pbs/home" TargetMode="External"/><Relationship Id="rId17" Type="http://schemas.openxmlformats.org/officeDocument/2006/relationships/hyperlink" Target="http://www.pbs.gov.au/info/industry/listing/elements/pbac-meetings/psd/2011-07/pbac-psd-cabazitaxel-july1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entral.health\DFSGroupData\Sites\CO1\CO\PBD\PEB\EVAL\DUSC\DUSC%20Documents\Predicted%20vs%20actual%20usage\pbs.gov.au" TargetMode="External"/><Relationship Id="rId20" Type="http://schemas.openxmlformats.org/officeDocument/2006/relationships/hyperlink" Target="http://www.pbs.gov.au/industry/listing/elements/pbac-meetings/psd/2014-07/abiraterone-psd-07-2014.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pbs/home"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bs.gov.au/pbs/home"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hyperlink" Target="http://www.tga.gov.au/consumers/information-medicines-cmi.htm" TargetMode="External"/><Relationship Id="rId19" Type="http://schemas.openxmlformats.org/officeDocument/2006/relationships/hyperlink" Target="http://www.pbs.gov.au/industry/listing/elements/pbac-meetings/psd/2014-07/enzalutamide-psd-07-2014.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hyperlink" Target="http://central.health/DFSGroupData/Sites/CO1/CO/PBD/PEB/EVAL/DUSC/DUSC%20Documents/Predicted%20vs%20actual%20usage/pbs.gov.au%22" TargetMode="External"/><Relationship Id="rId22" Type="http://schemas.openxmlformats.org/officeDocument/2006/relationships/image" Target="media/image1.png"/><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bs.tga.gov.au/ebs/picmi/picmirepository.nsf/PICMI?OpenForm&amp;t=CMI&amp;q=docetaxel&amp;r=https://www.ebs.tga.gov.au/" TargetMode="External"/><Relationship Id="rId1" Type="http://schemas.openxmlformats.org/officeDocument/2006/relationships/hyperlink" Target="https://www.ebs.tga.gov.au/ebs/picmi/picmirepository.nsf/pdf?OpenAgent&amp;id=CP-2011-CMI-03785-3&amp;d=2016050416114622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90AF-75DC-422A-97F3-681C4A3A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9452</Words>
  <Characters>53877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2016-09-30T01:36:00Z</dcterms:created>
  <dcterms:modified xsi:type="dcterms:W3CDTF">2016-10-17T07:05:00Z</dcterms:modified>
</cp:coreProperties>
</file>