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0D924A23" w:rsidR="00832324" w:rsidRDefault="001A3A56" w:rsidP="00F73113">
      <w:pPr>
        <w:pStyle w:val="Title"/>
      </w:pPr>
      <w:bookmarkStart w:id="0" w:name="_GoBack"/>
      <w:bookmarkEnd w:id="0"/>
      <w:r>
        <w:t>Rifaximin</w:t>
      </w:r>
      <w:r w:rsidR="001C4016">
        <w:t xml:space="preserve">: </w:t>
      </w:r>
      <w:r w:rsidR="00B22D2E">
        <w:t xml:space="preserve">24 month </w:t>
      </w:r>
      <w:r>
        <w:t xml:space="preserve">predicted versus actual </w:t>
      </w:r>
      <w:r w:rsidR="00B22D2E">
        <w:t>analysis</w:t>
      </w:r>
      <w:r>
        <w:t xml:space="preserve">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383420CA" w:rsidR="009053D3" w:rsidRPr="00F73113" w:rsidRDefault="001A3A56" w:rsidP="00F73113">
      <w:pPr>
        <w:pStyle w:val="Meetingdate"/>
      </w:pPr>
      <w:r>
        <w:t>September 2016</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70A05845" w14:textId="29909924" w:rsidR="005C6661" w:rsidRDefault="00C62CA4" w:rsidP="00C62CA4">
      <w:r w:rsidRPr="00C62CA4">
        <w:t xml:space="preserve">To examine the utilisation of rifaximin for hepatic encephalopathy in the 24 months after PBS listing.  </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378E50B7" w14:textId="353AF94B" w:rsidR="002D144A" w:rsidRPr="002D144A" w:rsidRDefault="00C62CA4" w:rsidP="002D144A">
      <w:r w:rsidRPr="00C62CA4">
        <w:t>Rifaximin was listed on the PBS on 1 December 2013.</w:t>
      </w:r>
    </w:p>
    <w:p w14:paraId="526743BB" w14:textId="77777777" w:rsidR="005C6661" w:rsidRDefault="005C6661" w:rsidP="00CF5E22">
      <w:pPr>
        <w:pStyle w:val="Heading3"/>
      </w:pPr>
      <w:r>
        <w:t>Data Source / methodology</w:t>
      </w:r>
    </w:p>
    <w:p w14:paraId="5E9E2FBA" w14:textId="7612E972" w:rsidR="005C6661" w:rsidRDefault="00C62CA4" w:rsidP="005C6661">
      <w:pPr>
        <w:pStyle w:val="NoSpacing"/>
      </w:pPr>
      <w:r>
        <w:t>The analyses used data from the DUSC database</w:t>
      </w:r>
      <w:r w:rsidRPr="00E24943">
        <w:t xml:space="preserve"> </w:t>
      </w:r>
      <w:r>
        <w:t>and the Department of Human Services (DHS) supplied prescriptions database.</w:t>
      </w:r>
    </w:p>
    <w:p w14:paraId="7599E7C1" w14:textId="77777777" w:rsidR="005C6661" w:rsidRDefault="005C6661" w:rsidP="00CF5E22">
      <w:pPr>
        <w:pStyle w:val="Heading3"/>
      </w:pPr>
      <w:r>
        <w:t>Key Findings</w:t>
      </w:r>
    </w:p>
    <w:p w14:paraId="58070D42" w14:textId="43043153" w:rsidR="000449FA" w:rsidRPr="000449FA" w:rsidRDefault="00383B6E" w:rsidP="000449FA">
      <w:pPr>
        <w:pStyle w:val="ListParagraph"/>
        <w:numPr>
          <w:ilvl w:val="0"/>
          <w:numId w:val="7"/>
        </w:numPr>
        <w:spacing w:line="276" w:lineRule="auto"/>
      </w:pPr>
      <w:r>
        <w:t xml:space="preserve">The number of </w:t>
      </w:r>
      <w:r w:rsidR="000449FA" w:rsidRPr="000449FA">
        <w:t>PBS</w:t>
      </w:r>
      <w:r>
        <w:t>/RPBS</w:t>
      </w:r>
      <w:r w:rsidR="000449FA" w:rsidRPr="000449FA">
        <w:t xml:space="preserve"> rifaximin prescriptions supplied per month has increased steadily since its listing in December 2013.</w:t>
      </w:r>
    </w:p>
    <w:p w14:paraId="219494B7" w14:textId="599091BA" w:rsidR="000449FA" w:rsidRPr="000449FA" w:rsidRDefault="000449FA" w:rsidP="000449FA">
      <w:pPr>
        <w:pStyle w:val="ListParagraph"/>
        <w:numPr>
          <w:ilvl w:val="0"/>
          <w:numId w:val="7"/>
        </w:numPr>
        <w:spacing w:line="276" w:lineRule="auto"/>
      </w:pPr>
      <w:r w:rsidRPr="000449FA">
        <w:t>In the period from 1 December 2013 to 31 March 2016, 2,892 peo</w:t>
      </w:r>
      <w:r w:rsidR="00383B6E">
        <w:t xml:space="preserve">ple were supplied at least one </w:t>
      </w:r>
      <w:r w:rsidRPr="000449FA">
        <w:t>PBS</w:t>
      </w:r>
      <w:r w:rsidR="00383B6E">
        <w:t>/RPBS</w:t>
      </w:r>
      <w:r w:rsidRPr="000449FA">
        <w:t xml:space="preserve"> prescription for rifaximin. </w:t>
      </w:r>
    </w:p>
    <w:p w14:paraId="5C1A0500" w14:textId="1C27A5BE" w:rsidR="000449FA" w:rsidRPr="000449FA" w:rsidRDefault="000449FA" w:rsidP="000449FA">
      <w:pPr>
        <w:pStyle w:val="ListParagraph"/>
        <w:numPr>
          <w:ilvl w:val="0"/>
          <w:numId w:val="7"/>
        </w:numPr>
        <w:spacing w:line="276" w:lineRule="auto"/>
      </w:pPr>
      <w:r w:rsidRPr="000449FA">
        <w:t>The number of patients supplied rifaximin was higher than predicted in both the first and second years of listing.</w:t>
      </w:r>
      <w:r w:rsidR="00055009">
        <w:t xml:space="preserve"> </w:t>
      </w:r>
    </w:p>
    <w:p w14:paraId="6D3EA6A4" w14:textId="5C2F24C8" w:rsidR="000449FA" w:rsidRDefault="000449FA" w:rsidP="000449FA">
      <w:pPr>
        <w:pStyle w:val="ListParagraph"/>
        <w:numPr>
          <w:ilvl w:val="0"/>
          <w:numId w:val="7"/>
        </w:numPr>
        <w:spacing w:line="276" w:lineRule="auto"/>
      </w:pPr>
      <w:r w:rsidRPr="000449FA">
        <w:t xml:space="preserve">In the first year of listing, the number of rifaximin prescriptions supplied and the government expenditure were lower than predicted. In the second year of listing, prescriptions and government expenditure were close to the estimate. </w:t>
      </w:r>
    </w:p>
    <w:p w14:paraId="4A0DF27B" w14:textId="2DFF4E00" w:rsidR="009B4F54" w:rsidRPr="000449FA" w:rsidRDefault="009B4F54" w:rsidP="000449FA">
      <w:pPr>
        <w:pStyle w:val="ListParagraph"/>
        <w:numPr>
          <w:ilvl w:val="0"/>
          <w:numId w:val="7"/>
        </w:numPr>
        <w:spacing w:line="276" w:lineRule="auto"/>
      </w:pPr>
      <w:r>
        <w:t>The number of prescriptions per patient per year was lower than estimated.</w:t>
      </w:r>
      <w:r w:rsidRPr="009C36AA">
        <w:rPr>
          <w:i/>
        </w:rPr>
        <w:t xml:space="preserve"> </w:t>
      </w:r>
    </w:p>
    <w:p w14:paraId="38B57ECC" w14:textId="178BD306" w:rsidR="00BB0D1A" w:rsidRDefault="000449FA" w:rsidP="000449FA">
      <w:pPr>
        <w:spacing w:line="276" w:lineRule="auto"/>
        <w:rPr>
          <w:rFonts w:eastAsiaTheme="majorEastAsia" w:cstheme="majorBidi"/>
          <w:b/>
          <w:bCs/>
          <w:sz w:val="32"/>
          <w:szCs w:val="26"/>
        </w:rPr>
      </w:pPr>
      <w:r w:rsidRPr="000449FA">
        <w:t xml:space="preserve"> </w:t>
      </w:r>
      <w:r w:rsidR="00BB0D1A">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3E655DCD" w14:textId="63ED4879" w:rsidR="00FE5D34" w:rsidRDefault="00FE5D34" w:rsidP="00A32B90">
      <w:r w:rsidRPr="00FE5D34">
        <w:t xml:space="preserve">To examine the utilisation of rifaximin for hepatic encephalopathy in the 24 months after PBS listing.  </w:t>
      </w:r>
    </w:p>
    <w:p w14:paraId="7A63955D" w14:textId="77777777" w:rsidR="00A32B90" w:rsidRPr="00A32B90" w:rsidRDefault="00A32B90" w:rsidP="00A32B90">
      <w:r w:rsidRPr="00A32B90">
        <w:t>In the context of antimicrobial resistance, DUSC requested a simple 24 month predicted versus actual analysis to facilitate monitoring of rifaximin over time. DUSC considered that the Authority Required listing encourages appropriate use of PBS subsidised rifaximin, but noted that resistance patterns will also be influenced by non-PBS use of rifaximin including compounded product.</w:t>
      </w:r>
    </w:p>
    <w:p w14:paraId="0A7F0B57" w14:textId="034D22D5" w:rsidR="006537D9" w:rsidRPr="005E22C2" w:rsidRDefault="00736041" w:rsidP="00CF5E22">
      <w:pPr>
        <w:pStyle w:val="Heading1"/>
      </w:pPr>
      <w:r w:rsidRPr="005E22C2">
        <w:t>Background</w:t>
      </w:r>
    </w:p>
    <w:p w14:paraId="0183A567" w14:textId="259DA07A" w:rsidR="007247B9" w:rsidRDefault="007247B9" w:rsidP="00CF5E22">
      <w:pPr>
        <w:pStyle w:val="Heading2"/>
      </w:pPr>
      <w:r>
        <w:t>Pharmacology</w:t>
      </w:r>
      <w:r w:rsidR="00D44BDB">
        <w:rPr>
          <w:rStyle w:val="EndnoteReference"/>
        </w:rPr>
        <w:endnoteReference w:id="1"/>
      </w:r>
    </w:p>
    <w:p w14:paraId="0F01C407" w14:textId="75645855" w:rsidR="00E9288F" w:rsidRDefault="00211D1F" w:rsidP="00AE4BAC">
      <w:pPr>
        <w:rPr>
          <w:highlight w:val="yellow"/>
        </w:rPr>
      </w:pPr>
      <w:r>
        <w:t xml:space="preserve">Rifaximin is an antibiotic that passes through the gastrointestinal tract and very little is absorbed. It is used to help prevent a condition called hepatic encephalopathy (HE). HE is a disease of the brain that occurs when the liver is not </w:t>
      </w:r>
      <w:r w:rsidR="00DB403F">
        <w:t>functioning</w:t>
      </w:r>
      <w:r>
        <w:t xml:space="preserve"> properly. Symptoms are caused by too much ammonia in the blood. Rifaximin works by killing bacteria in the gut that produce ammonia, which means less ammonia is produced </w:t>
      </w:r>
      <w:r w:rsidR="00DB403F">
        <w:t>therefore</w:t>
      </w:r>
      <w:r>
        <w:t xml:space="preserve"> less enters the bloodstream. Rifaximin is intended to be used for preventing HE only in those patients where HE is likely to occur again, and where it cannot be managed with other treatments. There is no experience using rifaximin to prevent the recurrence of </w:t>
      </w:r>
      <w:proofErr w:type="gramStart"/>
      <w:r>
        <w:t>HE</w:t>
      </w:r>
      <w:proofErr w:type="gramEnd"/>
      <w:r>
        <w:t xml:space="preserve"> in children or adolescents.</w:t>
      </w:r>
      <w:r w:rsidR="00D44BDB">
        <w:rPr>
          <w:highlight w:val="yellow"/>
        </w:rPr>
        <w:t xml:space="preserve"> </w:t>
      </w:r>
    </w:p>
    <w:p w14:paraId="6AC18C88" w14:textId="7A398934" w:rsidR="00E9288F" w:rsidRPr="005E22C2" w:rsidRDefault="00E9288F" w:rsidP="00CF5E22">
      <w:pPr>
        <w:pStyle w:val="Heading2"/>
      </w:pPr>
      <w:r w:rsidRPr="00A52918">
        <w:t xml:space="preserve">Therapeutic Goods Administration </w:t>
      </w:r>
      <w:r>
        <w:t>(</w:t>
      </w:r>
      <w:r w:rsidRPr="005E22C2">
        <w:t>TGA</w:t>
      </w:r>
      <w:r>
        <w:t>)</w:t>
      </w:r>
      <w:r w:rsidRPr="005E22C2">
        <w:t xml:space="preserve"> approved </w:t>
      </w:r>
      <w:r>
        <w:t>i</w:t>
      </w:r>
      <w:r w:rsidRPr="005E22C2">
        <w:t>ndications</w:t>
      </w:r>
    </w:p>
    <w:p w14:paraId="198E95EC" w14:textId="08ABF90B" w:rsidR="00E9288F" w:rsidRDefault="00E9288F" w:rsidP="00A35800">
      <w:r>
        <w:t xml:space="preserve">Rifaximin is TGA registered for preventing the recurrence of HE where other treatments have failed or are contraindicated. </w:t>
      </w:r>
    </w:p>
    <w:p w14:paraId="50D2CEF6" w14:textId="2700F530" w:rsidR="00E9288F" w:rsidRDefault="00E9288F" w:rsidP="00A35800">
      <w:r>
        <w:t xml:space="preserve">It is also TGA registered, but not PBS-listed, for the treatment of patients (over 12 years of age) with travellers' diarrhoea caused by non-invasive strains of Escherichia coli bacteria. </w:t>
      </w:r>
    </w:p>
    <w:p w14:paraId="15E919C1" w14:textId="1B3BA560" w:rsidR="00E9288F" w:rsidRDefault="00E9288F" w:rsidP="00CF5E22">
      <w:pPr>
        <w:pStyle w:val="Heading2"/>
      </w:pPr>
      <w:r>
        <w:t>Dosage and administration</w:t>
      </w:r>
    </w:p>
    <w:p w14:paraId="5A5F7971" w14:textId="2B4FB3C6" w:rsidR="00E9288F" w:rsidRDefault="00E9288F" w:rsidP="00F17D4B">
      <w:r>
        <w:t>Rifaximin is recommended for patients with repeated episodes of HE despite lactulose therapy.</w:t>
      </w:r>
      <w:r w:rsidRPr="00094F6A">
        <w:t xml:space="preserve"> </w:t>
      </w:r>
      <w:r>
        <w:t>The recommended dose of rifaximin is 550 mg taken orally twice a day, with or without food.</w:t>
      </w:r>
      <w:r>
        <w:rPr>
          <w:rStyle w:val="EndnoteReference"/>
        </w:rPr>
        <w:endnoteReference w:id="2"/>
      </w:r>
    </w:p>
    <w:p w14:paraId="6682A05C" w14:textId="77777777" w:rsidR="00E9288F" w:rsidRPr="002F61CA" w:rsidRDefault="00E9288F" w:rsidP="00F17D4B">
      <w:r w:rsidRPr="002F61CA">
        <w:t xml:space="preserve">The current Product Information (PI) and Consumer Medicine Information (CMI) are available from </w:t>
      </w:r>
      <w:hyperlink r:id="rId9" w:history="1">
        <w:r>
          <w:rPr>
            <w:rStyle w:val="Hyperlink"/>
          </w:rPr>
          <w:t>the TGA (Product Information)</w:t>
        </w:r>
      </w:hyperlink>
      <w:r>
        <w:t xml:space="preserve"> and </w:t>
      </w:r>
      <w:hyperlink r:id="rId10" w:history="1">
        <w:r>
          <w:rPr>
            <w:rStyle w:val="Hyperlink"/>
          </w:rPr>
          <w:t>the TGA (Consumer Medicines Information)</w:t>
        </w:r>
      </w:hyperlink>
      <w:r>
        <w:t>.</w:t>
      </w:r>
    </w:p>
    <w:p w14:paraId="5DA853AA" w14:textId="77777777" w:rsidR="00381558" w:rsidRDefault="00381558">
      <w:pPr>
        <w:spacing w:line="276" w:lineRule="auto"/>
        <w:rPr>
          <w:b/>
          <w:sz w:val="28"/>
        </w:rPr>
      </w:pPr>
      <w:r>
        <w:br w:type="page"/>
      </w:r>
    </w:p>
    <w:p w14:paraId="143CC403" w14:textId="0FCA443B" w:rsidR="00E9288F" w:rsidRPr="007247B9" w:rsidRDefault="00E9288F" w:rsidP="00CF5E22">
      <w:pPr>
        <w:pStyle w:val="Heading2"/>
      </w:pPr>
      <w:r w:rsidRPr="007247B9">
        <w:lastRenderedPageBreak/>
        <w:t>Clinical situation</w:t>
      </w:r>
    </w:p>
    <w:p w14:paraId="1EAC69E1" w14:textId="576698FB" w:rsidR="00E9288F" w:rsidRDefault="00E9288F" w:rsidP="005E0822">
      <w:pPr>
        <w:pStyle w:val="Heading3"/>
      </w:pPr>
      <w:r>
        <w:t>Treatment of hepatic encephalopathy</w:t>
      </w:r>
    </w:p>
    <w:p w14:paraId="6F9DC8A7" w14:textId="2E4BFC4B" w:rsidR="00E9288F" w:rsidRPr="0020602D" w:rsidRDefault="00E9288F" w:rsidP="00C82A4A">
      <w:r w:rsidRPr="0020602D">
        <w:t>Most treatments for HE are aimed at reducing the production of ammonia in the gut, which reduces the amount in the bloodstream. This reduces the neurotoxic effects on the brain and thus the symptoms of HE.</w:t>
      </w:r>
      <w:r>
        <w:rPr>
          <w:rStyle w:val="EndnoteReference"/>
        </w:rPr>
        <w:endnoteReference w:id="3"/>
      </w:r>
      <w:r w:rsidRPr="0020602D">
        <w:t xml:space="preserve"> </w:t>
      </w:r>
      <w:r>
        <w:t>Ongoing therapy with l</w:t>
      </w:r>
      <w:r w:rsidRPr="00055009">
        <w:t xml:space="preserve">actulose </w:t>
      </w:r>
      <w:r>
        <w:t xml:space="preserve">is the main treatment </w:t>
      </w:r>
      <w:r w:rsidRPr="00055009">
        <w:t>used to prevent recurrent HE, or to treat patients with chronic HE.</w:t>
      </w:r>
    </w:p>
    <w:p w14:paraId="7855BBEC" w14:textId="33DCB84D" w:rsidR="00E9288F" w:rsidRDefault="00E9288F" w:rsidP="00C82A4A">
      <w:r w:rsidRPr="0020602D">
        <w:t xml:space="preserve">The PBS restriction for rifaximin </w:t>
      </w:r>
      <w:r>
        <w:t xml:space="preserve">for prevention of HE </w:t>
      </w:r>
      <w:r w:rsidRPr="0020602D">
        <w:t>requires that</w:t>
      </w:r>
      <w:r>
        <w:t xml:space="preserve"> the:</w:t>
      </w:r>
    </w:p>
    <w:p w14:paraId="1B166646" w14:textId="50FFFBA4" w:rsidR="00E9288F" w:rsidRDefault="00E9288F" w:rsidP="00E039ED">
      <w:pPr>
        <w:pStyle w:val="ListParagraph"/>
        <w:numPr>
          <w:ilvl w:val="0"/>
          <w:numId w:val="1"/>
        </w:numPr>
      </w:pPr>
      <w:r w:rsidRPr="0020602D">
        <w:t>treatment is in combination with lactul</w:t>
      </w:r>
      <w:r>
        <w:t>ose, if lactulose is tolerated</w:t>
      </w:r>
    </w:p>
    <w:p w14:paraId="53EF0D2A" w14:textId="0765A3FD" w:rsidR="00E9288F" w:rsidRPr="0020602D" w:rsidRDefault="00E9288F" w:rsidP="00E039ED">
      <w:pPr>
        <w:pStyle w:val="ListParagraph"/>
        <w:numPr>
          <w:ilvl w:val="0"/>
          <w:numId w:val="1"/>
        </w:numPr>
      </w:pPr>
      <w:r>
        <w:t>patient had prior episodes of HE.</w:t>
      </w:r>
    </w:p>
    <w:p w14:paraId="5E7C13C0" w14:textId="5F4B6B87" w:rsidR="00E9288F" w:rsidRPr="005E0822" w:rsidRDefault="00E9288F" w:rsidP="00C82A4A">
      <w:r w:rsidRPr="005E0822">
        <w:t xml:space="preserve">This is consistent with clinical guidance that secondary prevention after an episode of </w:t>
      </w:r>
      <w:r>
        <w:t>fully symptomatic</w:t>
      </w:r>
      <w:r w:rsidRPr="005E0822">
        <w:t xml:space="preserve"> HE is recommended</w:t>
      </w:r>
      <w:r>
        <w:t xml:space="preserve"> and the use of rifaximin alone is not supported</w:t>
      </w:r>
      <w:r w:rsidRPr="005E0822">
        <w:t>.</w:t>
      </w:r>
      <w:r>
        <w:rPr>
          <w:rStyle w:val="EndnoteReference"/>
        </w:rPr>
        <w:endnoteReference w:id="4"/>
      </w:r>
      <w:r w:rsidRPr="005E0822">
        <w:t xml:space="preserve"> </w:t>
      </w:r>
    </w:p>
    <w:p w14:paraId="59F58781" w14:textId="50419377" w:rsidR="00E9288F" w:rsidRPr="00556072" w:rsidRDefault="00E9288F" w:rsidP="00C82A4A">
      <w:r>
        <w:t>In April 2015, t</w:t>
      </w:r>
      <w:r w:rsidRPr="00556072">
        <w:t>he sponsor of rifaximin, Norgine, announced a real world outcomes study of HE patients in Europe and Australia.</w:t>
      </w:r>
      <w:r w:rsidRPr="00556072">
        <w:rPr>
          <w:rStyle w:val="EndnoteReference"/>
        </w:rPr>
        <w:endnoteReference w:id="5"/>
      </w:r>
      <w:r>
        <w:t xml:space="preserve"> It appears that patients are being recruited for the study in the United Kingdom.</w:t>
      </w:r>
      <w:r>
        <w:rPr>
          <w:rStyle w:val="EndnoteReference"/>
        </w:rPr>
        <w:endnoteReference w:id="6"/>
      </w:r>
      <w:r w:rsidRPr="00556072">
        <w:t xml:space="preserve"> </w:t>
      </w:r>
    </w:p>
    <w:p w14:paraId="46E2BB42" w14:textId="292102E3" w:rsidR="00E9288F" w:rsidRPr="007247B9" w:rsidRDefault="00E9288F" w:rsidP="00CF5E22">
      <w:pPr>
        <w:pStyle w:val="Heading2"/>
      </w:pPr>
      <w:r w:rsidRPr="007247B9">
        <w:t>PBS listing details</w:t>
      </w:r>
      <w:r>
        <w:t xml:space="preserve"> (current as at </w:t>
      </w:r>
      <w:r w:rsidR="00965097">
        <w:t>August</w:t>
      </w:r>
      <w:r>
        <w:t xml:space="preserve"> 2016)</w:t>
      </w:r>
    </w:p>
    <w:p w14:paraId="1D47784A" w14:textId="5D078507" w:rsidR="00E9288F" w:rsidRPr="001420B3" w:rsidRDefault="00E9288F" w:rsidP="00CF5E22">
      <w:pPr>
        <w:pStyle w:val="Tabletitle"/>
      </w:pPr>
      <w:r w:rsidRPr="001420B3">
        <w:t xml:space="preserve">Table </w:t>
      </w:r>
      <w:r>
        <w:t>1</w:t>
      </w:r>
      <w:r w:rsidRPr="001420B3">
        <w:t xml:space="preserve">: </w:t>
      </w:r>
      <w:r>
        <w:t xml:space="preserve">PBS listing of rifaximin </w:t>
      </w:r>
    </w:p>
    <w:tbl>
      <w:tblPr>
        <w:tblStyle w:val="TableGrid"/>
        <w:tblW w:w="9064" w:type="dxa"/>
        <w:tblLayout w:type="fixed"/>
        <w:tblLook w:val="04A0" w:firstRow="1" w:lastRow="0" w:firstColumn="1" w:lastColumn="0" w:noHBand="0" w:noVBand="1"/>
        <w:tblCaption w:val="PBS listing of rifaximin"/>
        <w:tblDescription w:val="Table contains name, form and strength, pack size, maximum quantity, number of repeats and brand name of rixafimin."/>
      </w:tblPr>
      <w:tblGrid>
        <w:gridCol w:w="969"/>
        <w:gridCol w:w="2400"/>
        <w:gridCol w:w="1701"/>
        <w:gridCol w:w="850"/>
        <w:gridCol w:w="1040"/>
        <w:gridCol w:w="2104"/>
      </w:tblGrid>
      <w:tr w:rsidR="00E9288F" w:rsidRPr="00A35800" w14:paraId="6AA19A37" w14:textId="77777777" w:rsidTr="0093111F">
        <w:trPr>
          <w:trHeight w:val="694"/>
          <w:tblHeader/>
        </w:trPr>
        <w:tc>
          <w:tcPr>
            <w:tcW w:w="969" w:type="dxa"/>
            <w:shd w:val="clear" w:color="auto" w:fill="BFBFBF" w:themeFill="background1" w:themeFillShade="BF"/>
          </w:tcPr>
          <w:p w14:paraId="56A3DEA0" w14:textId="77777777" w:rsidR="00E9288F" w:rsidRPr="00A35800" w:rsidRDefault="00E9288F" w:rsidP="00A35800">
            <w:pPr>
              <w:pStyle w:val="Tableheading"/>
              <w:rPr>
                <w:sz w:val="20"/>
                <w:szCs w:val="20"/>
              </w:rPr>
            </w:pPr>
            <w:r w:rsidRPr="00A35800">
              <w:rPr>
                <w:sz w:val="20"/>
                <w:szCs w:val="20"/>
              </w:rPr>
              <w:t>Item</w:t>
            </w:r>
          </w:p>
        </w:tc>
        <w:tc>
          <w:tcPr>
            <w:tcW w:w="2400" w:type="dxa"/>
            <w:shd w:val="clear" w:color="auto" w:fill="BFBFBF" w:themeFill="background1" w:themeFillShade="BF"/>
          </w:tcPr>
          <w:p w14:paraId="67A07252" w14:textId="77777777" w:rsidR="00E9288F" w:rsidRPr="00A35800" w:rsidRDefault="00E9288F" w:rsidP="00A35800">
            <w:pPr>
              <w:pStyle w:val="Tableheading"/>
              <w:rPr>
                <w:sz w:val="20"/>
                <w:szCs w:val="20"/>
              </w:rPr>
            </w:pPr>
            <w:r w:rsidRPr="00A35800">
              <w:rPr>
                <w:sz w:val="20"/>
                <w:szCs w:val="20"/>
              </w:rPr>
              <w:t>Name, form &amp; strength, pack size</w:t>
            </w:r>
          </w:p>
        </w:tc>
        <w:tc>
          <w:tcPr>
            <w:tcW w:w="1701" w:type="dxa"/>
            <w:shd w:val="clear" w:color="auto" w:fill="BFBFBF" w:themeFill="background1" w:themeFillShade="BF"/>
          </w:tcPr>
          <w:p w14:paraId="114E9799" w14:textId="2483E0D9" w:rsidR="00E9288F" w:rsidRPr="00A35800" w:rsidRDefault="00E9288F" w:rsidP="00A35800">
            <w:pPr>
              <w:pStyle w:val="Tableheading"/>
              <w:rPr>
                <w:sz w:val="20"/>
                <w:szCs w:val="20"/>
              </w:rPr>
            </w:pPr>
            <w:r w:rsidRPr="00A35800">
              <w:rPr>
                <w:sz w:val="20"/>
                <w:szCs w:val="20"/>
              </w:rPr>
              <w:t xml:space="preserve">Max. quant. </w:t>
            </w:r>
          </w:p>
        </w:tc>
        <w:tc>
          <w:tcPr>
            <w:tcW w:w="850" w:type="dxa"/>
            <w:shd w:val="clear" w:color="auto" w:fill="BFBFBF" w:themeFill="background1" w:themeFillShade="BF"/>
          </w:tcPr>
          <w:p w14:paraId="0F1A79F7" w14:textId="77777777" w:rsidR="00E9288F" w:rsidRPr="00A35800" w:rsidRDefault="00E9288F" w:rsidP="00A35800">
            <w:pPr>
              <w:pStyle w:val="Tableheading"/>
              <w:rPr>
                <w:sz w:val="20"/>
                <w:szCs w:val="20"/>
              </w:rPr>
            </w:pPr>
            <w:r w:rsidRPr="00A35800">
              <w:rPr>
                <w:sz w:val="20"/>
                <w:szCs w:val="20"/>
              </w:rPr>
              <w:t xml:space="preserve">Rpts </w:t>
            </w:r>
          </w:p>
        </w:tc>
        <w:tc>
          <w:tcPr>
            <w:tcW w:w="1040" w:type="dxa"/>
            <w:shd w:val="clear" w:color="auto" w:fill="BFBFBF" w:themeFill="background1" w:themeFillShade="BF"/>
          </w:tcPr>
          <w:p w14:paraId="05C5A0BF" w14:textId="77777777" w:rsidR="00E9288F" w:rsidRPr="00A35800" w:rsidRDefault="00E9288F" w:rsidP="00A35800">
            <w:pPr>
              <w:pStyle w:val="Tableheading"/>
              <w:rPr>
                <w:sz w:val="20"/>
                <w:szCs w:val="20"/>
              </w:rPr>
            </w:pPr>
            <w:r w:rsidRPr="00A35800">
              <w:rPr>
                <w:sz w:val="20"/>
                <w:szCs w:val="20"/>
              </w:rPr>
              <w:t>DPMQ</w:t>
            </w:r>
          </w:p>
        </w:tc>
        <w:tc>
          <w:tcPr>
            <w:tcW w:w="2104" w:type="dxa"/>
            <w:shd w:val="clear" w:color="auto" w:fill="BFBFBF" w:themeFill="background1" w:themeFillShade="BF"/>
          </w:tcPr>
          <w:p w14:paraId="09B472B7" w14:textId="77777777" w:rsidR="00E9288F" w:rsidRPr="00A35800" w:rsidRDefault="00E9288F" w:rsidP="00A35800">
            <w:pPr>
              <w:pStyle w:val="Tableheading"/>
              <w:rPr>
                <w:sz w:val="20"/>
                <w:szCs w:val="20"/>
              </w:rPr>
            </w:pPr>
            <w:r w:rsidRPr="00A35800">
              <w:rPr>
                <w:sz w:val="20"/>
                <w:szCs w:val="20"/>
              </w:rPr>
              <w:t>Brand name and manufacturer</w:t>
            </w:r>
          </w:p>
        </w:tc>
      </w:tr>
      <w:tr w:rsidR="00E9288F" w:rsidRPr="00A35800" w14:paraId="2AF9D84B" w14:textId="77777777" w:rsidTr="0093111F">
        <w:trPr>
          <w:trHeight w:val="552"/>
          <w:tblHeader/>
        </w:trPr>
        <w:tc>
          <w:tcPr>
            <w:tcW w:w="969" w:type="dxa"/>
            <w:shd w:val="clear" w:color="auto" w:fill="auto"/>
          </w:tcPr>
          <w:p w14:paraId="0A3E3442" w14:textId="1146F99E" w:rsidR="00E9288F" w:rsidRPr="00A35800" w:rsidRDefault="00E9288F" w:rsidP="00A35800">
            <w:pPr>
              <w:pStyle w:val="Tablewriting"/>
            </w:pPr>
            <w:r>
              <w:t>10001J</w:t>
            </w:r>
          </w:p>
        </w:tc>
        <w:tc>
          <w:tcPr>
            <w:tcW w:w="2400" w:type="dxa"/>
            <w:shd w:val="clear" w:color="auto" w:fill="auto"/>
          </w:tcPr>
          <w:p w14:paraId="0F676F51" w14:textId="6AE2DAE4" w:rsidR="00E9288F" w:rsidRPr="00A35800" w:rsidRDefault="00E9288F" w:rsidP="00A35800">
            <w:pPr>
              <w:pStyle w:val="Tablewriting"/>
            </w:pPr>
            <w:r>
              <w:t>Rifaximin 550 mg tablet, 56</w:t>
            </w:r>
          </w:p>
        </w:tc>
        <w:tc>
          <w:tcPr>
            <w:tcW w:w="1701" w:type="dxa"/>
            <w:shd w:val="clear" w:color="auto" w:fill="auto"/>
          </w:tcPr>
          <w:p w14:paraId="0E2637C4" w14:textId="1BF45B62" w:rsidR="00E9288F" w:rsidRPr="00A35800" w:rsidRDefault="00E9288F" w:rsidP="00A35800">
            <w:pPr>
              <w:pStyle w:val="Tablewriting"/>
            </w:pPr>
            <w:r>
              <w:t>1</w:t>
            </w:r>
          </w:p>
        </w:tc>
        <w:tc>
          <w:tcPr>
            <w:tcW w:w="850" w:type="dxa"/>
            <w:shd w:val="clear" w:color="auto" w:fill="auto"/>
          </w:tcPr>
          <w:p w14:paraId="6B361CAA" w14:textId="08629080" w:rsidR="00E9288F" w:rsidRPr="00A35800" w:rsidRDefault="00E9288F" w:rsidP="00A35800">
            <w:pPr>
              <w:pStyle w:val="Tablewriting"/>
            </w:pPr>
            <w:r>
              <w:t>5</w:t>
            </w:r>
          </w:p>
        </w:tc>
        <w:tc>
          <w:tcPr>
            <w:tcW w:w="1040" w:type="dxa"/>
            <w:shd w:val="clear" w:color="auto" w:fill="auto"/>
          </w:tcPr>
          <w:p w14:paraId="15F68405" w14:textId="484E466E" w:rsidR="00E9288F" w:rsidRPr="00A35800" w:rsidRDefault="00E9288F" w:rsidP="00A35800">
            <w:pPr>
              <w:pStyle w:val="Tablewriting"/>
            </w:pPr>
            <w:r>
              <w:t>$490.25</w:t>
            </w:r>
          </w:p>
        </w:tc>
        <w:tc>
          <w:tcPr>
            <w:tcW w:w="2104" w:type="dxa"/>
            <w:shd w:val="clear" w:color="auto" w:fill="auto"/>
          </w:tcPr>
          <w:p w14:paraId="2D337AC6" w14:textId="442F0CD7" w:rsidR="00E9288F" w:rsidRPr="00A35800" w:rsidRDefault="00E9288F" w:rsidP="00A35800">
            <w:pPr>
              <w:pStyle w:val="Tablewriting"/>
            </w:pPr>
            <w:r>
              <w:t>Xifaxan</w:t>
            </w:r>
            <w:r>
              <w:rPr>
                <w:rFonts w:ascii="Calibri" w:hAnsi="Calibri"/>
              </w:rPr>
              <w:t>®</w:t>
            </w:r>
            <w:r>
              <w:t xml:space="preserve"> Norgine Pty Ltd</w:t>
            </w:r>
          </w:p>
        </w:tc>
      </w:tr>
    </w:tbl>
    <w:p w14:paraId="1183F151" w14:textId="5C0C5D89" w:rsidR="00E9288F" w:rsidRPr="00A35800" w:rsidRDefault="00E9288F" w:rsidP="00BB1D3B">
      <w:pPr>
        <w:pStyle w:val="Notes"/>
      </w:pPr>
      <w:r w:rsidRPr="00A35800">
        <w:t xml:space="preserve">Source: </w:t>
      </w:r>
      <w:r>
        <w:t xml:space="preserve">the </w:t>
      </w:r>
      <w:hyperlink r:id="rId11" w:history="1">
        <w:r w:rsidRPr="001624D7">
          <w:rPr>
            <w:rStyle w:val="Hyperlink"/>
          </w:rPr>
          <w:t>PBS website</w:t>
        </w:r>
      </w:hyperlink>
      <w:r>
        <w:t xml:space="preserve">.  </w:t>
      </w:r>
    </w:p>
    <w:p w14:paraId="1AFA1485" w14:textId="129447A8" w:rsidR="00E9288F" w:rsidRDefault="00E9288F" w:rsidP="00CF5E22">
      <w:pPr>
        <w:pStyle w:val="Heading3"/>
      </w:pPr>
      <w:r>
        <w:t>Restriction</w:t>
      </w:r>
    </w:p>
    <w:p w14:paraId="616D2AE8" w14:textId="5E562D59" w:rsidR="00E9288F" w:rsidRDefault="00E9288F" w:rsidP="00A35800">
      <w:r>
        <w:t>Rifaximin is PBS-listed for the p</w:t>
      </w:r>
      <w:r w:rsidRPr="00CD7F52">
        <w:t xml:space="preserve">revention of </w:t>
      </w:r>
      <w:r>
        <w:t>HE</w:t>
      </w:r>
      <w:r w:rsidRPr="00CD7F52">
        <w:t xml:space="preserve">. The treatment must be in combination </w:t>
      </w:r>
      <w:r>
        <w:t xml:space="preserve">with lactulose, if lactulose is tolerated, and the patient must have had prior episodes of HE. The patient must be treated by a gastroenterologist or hepatologist or in consultation with a gastroenterologist or hepatologist. </w:t>
      </w:r>
    </w:p>
    <w:p w14:paraId="609B6343" w14:textId="77777777" w:rsidR="00E9288F" w:rsidRPr="00A3432B" w:rsidRDefault="00E9288F" w:rsidP="00DB1519">
      <w:r>
        <w:t>A telephone a</w:t>
      </w:r>
      <w:r w:rsidRPr="00834305">
        <w:t>uthority approval must be obtained by the prescriber from the Department of Human Services.</w:t>
      </w:r>
    </w:p>
    <w:p w14:paraId="22433632" w14:textId="57BD355E" w:rsidR="00E9288F" w:rsidRPr="006775F1" w:rsidRDefault="00E9288F" w:rsidP="00A35800">
      <w:r w:rsidRPr="006775F1">
        <w:t xml:space="preserve">For </w:t>
      </w:r>
      <w:r>
        <w:t xml:space="preserve">details of the current PBS-listing refer to the </w:t>
      </w:r>
      <w:hyperlink r:id="rId12" w:history="1">
        <w:r w:rsidRPr="00645D51">
          <w:rPr>
            <w:rStyle w:val="Hyperlink"/>
          </w:rPr>
          <w:t>PBS website</w:t>
        </w:r>
      </w:hyperlink>
      <w:r>
        <w:rPr>
          <w:rStyle w:val="Hyperlink"/>
        </w:rPr>
        <w:t>.</w:t>
      </w:r>
    </w:p>
    <w:p w14:paraId="509ADFEB" w14:textId="5D8DB94B" w:rsidR="00E9288F" w:rsidRDefault="00E9288F" w:rsidP="00CF5E22">
      <w:pPr>
        <w:pStyle w:val="Heading3"/>
      </w:pPr>
      <w:r w:rsidRPr="00675BB1">
        <w:t>Date of listing on PBS</w:t>
      </w:r>
    </w:p>
    <w:p w14:paraId="05764BA9" w14:textId="0F89E734" w:rsidR="00E9288F" w:rsidRPr="00A3432B" w:rsidRDefault="00E9288F" w:rsidP="00F86398">
      <w:r>
        <w:t xml:space="preserve">Rifaximin was listed on the PBS on 1 December 2013. </w:t>
      </w:r>
    </w:p>
    <w:p w14:paraId="64678A87" w14:textId="77777777" w:rsidR="00381558" w:rsidRDefault="00381558">
      <w:pPr>
        <w:spacing w:line="276" w:lineRule="auto"/>
        <w:rPr>
          <w:b/>
          <w:i/>
          <w:szCs w:val="28"/>
        </w:rPr>
      </w:pPr>
      <w:r>
        <w:br w:type="page"/>
      </w:r>
    </w:p>
    <w:p w14:paraId="39EF75ED" w14:textId="1D9E7E7F" w:rsidR="00E9288F" w:rsidRPr="00675BB1" w:rsidRDefault="00E9288F" w:rsidP="00CF5E22">
      <w:pPr>
        <w:pStyle w:val="Heading3"/>
      </w:pPr>
      <w:r w:rsidRPr="00675BB1">
        <w:lastRenderedPageBreak/>
        <w:t>Changes to listing</w:t>
      </w:r>
    </w:p>
    <w:p w14:paraId="64C94A85" w14:textId="392C1693" w:rsidR="00E9288F" w:rsidRPr="002F61CA" w:rsidRDefault="00E9288F" w:rsidP="00BF544D">
      <w:r>
        <w:t>Since the date of rifaximin listing, t</w:t>
      </w:r>
      <w:r w:rsidRPr="00F86398">
        <w:t xml:space="preserve">here have been formatting changes to the restriction, but no changes to the content. </w:t>
      </w:r>
      <w:r>
        <w:t>C</w:t>
      </w:r>
      <w:r w:rsidRPr="002F61CA">
        <w:t xml:space="preserve">urrent PBS listing details are available from </w:t>
      </w:r>
      <w:r>
        <w:t xml:space="preserve">the </w:t>
      </w:r>
      <w:hyperlink r:id="rId13" w:history="1">
        <w:r w:rsidRPr="00645D51">
          <w:rPr>
            <w:rStyle w:val="Hyperlink"/>
          </w:rPr>
          <w:t>PBS website</w:t>
        </w:r>
      </w:hyperlink>
      <w:r>
        <w:t>.</w:t>
      </w:r>
    </w:p>
    <w:p w14:paraId="383E312E" w14:textId="724CF700" w:rsidR="00E9288F" w:rsidRPr="005E22C2" w:rsidRDefault="00E9288F" w:rsidP="00CF5E22">
      <w:pPr>
        <w:pStyle w:val="Heading2"/>
      </w:pPr>
      <w:r>
        <w:t>Relevant aspects of</w:t>
      </w:r>
      <w:r w:rsidRPr="005E22C2">
        <w:t xml:space="preserve"> consideration</w:t>
      </w:r>
      <w:r>
        <w:t xml:space="preserve"> by the Pharmaceutical Benefits Advisory Committee (PBAC)</w:t>
      </w:r>
    </w:p>
    <w:p w14:paraId="16F2BD53" w14:textId="62A117A0" w:rsidR="00E9288F" w:rsidRDefault="00E9288F" w:rsidP="00A35800">
      <w:r>
        <w:t xml:space="preserve">At its November 2011 meeting, the PBAC considered a submission for a Restricted Benefit listing of rifaximin for the </w:t>
      </w:r>
      <w:r w:rsidRPr="0039462A">
        <w:t xml:space="preserve">prevention of a further recurrence or relapse in a patient who has already had an episode of </w:t>
      </w:r>
      <w:r>
        <w:t xml:space="preserve">HE. The PBAC rejected the submission on the basis of high and very uncertain cost effectiveness. </w:t>
      </w:r>
    </w:p>
    <w:p w14:paraId="70539E18" w14:textId="73D2A368" w:rsidR="00E9288F" w:rsidRDefault="00E9288F" w:rsidP="00D94863">
      <w:r>
        <w:t xml:space="preserve">For further details refer to </w:t>
      </w:r>
      <w:r w:rsidRPr="00F65F0D">
        <w:t xml:space="preserve">the </w:t>
      </w:r>
      <w:hyperlink r:id="rId14" w:history="1">
        <w:r w:rsidRPr="0039462A">
          <w:rPr>
            <w:rStyle w:val="Hyperlink"/>
          </w:rPr>
          <w:t>Public Summary Document</w:t>
        </w:r>
      </w:hyperlink>
      <w:r>
        <w:t xml:space="preserve"> </w:t>
      </w:r>
      <w:r w:rsidRPr="00F65F0D">
        <w:t xml:space="preserve">from the </w:t>
      </w:r>
      <w:r>
        <w:t>November 2011 PBAC meeting.</w:t>
      </w:r>
    </w:p>
    <w:p w14:paraId="72D3C20B" w14:textId="6B6ADC51" w:rsidR="00E9288F" w:rsidRDefault="00E9288F" w:rsidP="00D94863">
      <w:r>
        <w:t xml:space="preserve">At its July 2012 meeting, the PBAC considered a re-submission for a Restricted Benefit listing, </w:t>
      </w:r>
      <w:r w:rsidRPr="00AF3F4C">
        <w:t xml:space="preserve">in combination with lactulose, for the prevention of </w:t>
      </w:r>
      <w:r>
        <w:t>HE</w:t>
      </w:r>
      <w:r w:rsidRPr="00AF3F4C">
        <w:t xml:space="preserve"> in adult patients who have had prior episodes of </w:t>
      </w:r>
      <w:r>
        <w:t>HE</w:t>
      </w:r>
      <w:r w:rsidRPr="00AF3F4C">
        <w:t>.</w:t>
      </w:r>
      <w:r>
        <w:t xml:space="preserve"> T</w:t>
      </w:r>
      <w:r w:rsidRPr="00AF3F4C">
        <w:t>he PBAC rejected the submission for rifaximin on the basis of high, uncertain, and unacceptable cost effectiveness.</w:t>
      </w:r>
    </w:p>
    <w:p w14:paraId="1489E8B2" w14:textId="222A312D" w:rsidR="00E9288F" w:rsidRDefault="00E9288F" w:rsidP="00D94863">
      <w:r>
        <w:t xml:space="preserve">For further details refer to the </w:t>
      </w:r>
      <w:hyperlink r:id="rId15" w:history="1">
        <w:r w:rsidRPr="00AF3F4C">
          <w:rPr>
            <w:rStyle w:val="Hyperlink"/>
          </w:rPr>
          <w:t>Public Summary Document</w:t>
        </w:r>
      </w:hyperlink>
      <w:r>
        <w:t xml:space="preserve"> from the July 2012 PBAC meeting. </w:t>
      </w:r>
    </w:p>
    <w:p w14:paraId="39C2ECF5" w14:textId="5139185F" w:rsidR="00E9288F" w:rsidRPr="00AF3F4C" w:rsidRDefault="00E9288F" w:rsidP="00AF3F4C">
      <w:r>
        <w:t xml:space="preserve">At its November 2012 meeting, the PBAC considered the re-submission of rifaximin. </w:t>
      </w:r>
      <w:r w:rsidRPr="00AF3F4C">
        <w:t xml:space="preserve">The PBAC remained concerned regarding the development of antimicrobial resistance associated with the use of rifaximin.  The PBAC recommended that </w:t>
      </w:r>
      <w:r>
        <w:t>clinical advice</w:t>
      </w:r>
      <w:r w:rsidRPr="00AF3F4C">
        <w:t xml:space="preserve"> should be sought on the following issues:</w:t>
      </w:r>
    </w:p>
    <w:p w14:paraId="06094F78" w14:textId="1112BED4" w:rsidR="00E9288F" w:rsidRPr="00AF3F4C" w:rsidRDefault="003011C4" w:rsidP="00AF3F4C">
      <w:pPr>
        <w:numPr>
          <w:ilvl w:val="0"/>
          <w:numId w:val="4"/>
        </w:numPr>
        <w:spacing w:after="0"/>
      </w:pPr>
      <w:r>
        <w:t>p</w:t>
      </w:r>
      <w:r w:rsidR="00E9288F" w:rsidRPr="00AF3F4C">
        <w:t>otential effects of long-term rifaximin use on both individual and population antimicrobial resistance</w:t>
      </w:r>
    </w:p>
    <w:p w14:paraId="2E3A679E" w14:textId="365AE67F" w:rsidR="00E9288F" w:rsidRPr="00AF3F4C" w:rsidRDefault="003011C4" w:rsidP="00AF3F4C">
      <w:pPr>
        <w:numPr>
          <w:ilvl w:val="0"/>
          <w:numId w:val="4"/>
        </w:numPr>
        <w:spacing w:after="0"/>
      </w:pPr>
      <w:r>
        <w:t>i</w:t>
      </w:r>
      <w:r w:rsidR="00E9288F" w:rsidRPr="00AF3F4C">
        <w:t>mpact on ho</w:t>
      </w:r>
      <w:r>
        <w:t>spital antimicrobial resistance</w:t>
      </w:r>
    </w:p>
    <w:p w14:paraId="11A5D4A5" w14:textId="6AABC467" w:rsidR="00E9288F" w:rsidRPr="00AF3F4C" w:rsidRDefault="003011C4" w:rsidP="00AF3F4C">
      <w:pPr>
        <w:numPr>
          <w:ilvl w:val="0"/>
          <w:numId w:val="4"/>
        </w:numPr>
        <w:spacing w:after="0"/>
      </w:pPr>
      <w:r>
        <w:t>m</w:t>
      </w:r>
      <w:r w:rsidR="00E9288F" w:rsidRPr="00AF3F4C">
        <w:t>onitoring requirements should a PBS listing for rifaximin be implemented</w:t>
      </w:r>
    </w:p>
    <w:p w14:paraId="21DB72EB" w14:textId="3DA17DE8" w:rsidR="00E9288F" w:rsidRDefault="003011C4" w:rsidP="00AF3F4C">
      <w:pPr>
        <w:numPr>
          <w:ilvl w:val="0"/>
          <w:numId w:val="4"/>
        </w:numPr>
        <w:spacing w:after="0"/>
      </w:pPr>
      <w:r>
        <w:t>r</w:t>
      </w:r>
      <w:r w:rsidR="00E9288F" w:rsidRPr="00AF3F4C">
        <w:t>esistance endpoints</w:t>
      </w:r>
    </w:p>
    <w:p w14:paraId="66A21498" w14:textId="77777777" w:rsidR="00E9288F" w:rsidRDefault="00E9288F" w:rsidP="00AF3F4C">
      <w:pPr>
        <w:spacing w:after="0"/>
      </w:pPr>
    </w:p>
    <w:p w14:paraId="1C6504B8" w14:textId="77777777" w:rsidR="009B49C2" w:rsidRDefault="00E9288F" w:rsidP="00AF3F4C">
      <w:pPr>
        <w:spacing w:after="0"/>
      </w:pPr>
      <w:r w:rsidRPr="00AF3F4C">
        <w:t>The PBAC noted the re</w:t>
      </w:r>
      <w:r>
        <w:t>-</w:t>
      </w:r>
      <w:r w:rsidRPr="00AF3F4C">
        <w:t>submission’s proposal of a retrospective cohort analysis in relation to a managed entry approach for PBS listing of rifaximin.  A managed entry approach was considered a possible way forward by the PBAC.</w:t>
      </w:r>
    </w:p>
    <w:p w14:paraId="1B2D670D" w14:textId="6A72CCD3" w:rsidR="00E9288F" w:rsidRDefault="009B49C2" w:rsidP="00AF3F4C">
      <w:pPr>
        <w:spacing w:after="0"/>
      </w:pPr>
      <w:r>
        <w:t xml:space="preserve"> </w:t>
      </w:r>
    </w:p>
    <w:p w14:paraId="4131DEB3" w14:textId="006071D1" w:rsidR="00E9288F" w:rsidRDefault="00E9288F" w:rsidP="00AF3F4C">
      <w:pPr>
        <w:spacing w:after="0"/>
      </w:pPr>
      <w:r w:rsidRPr="00AF3F4C">
        <w:t>The PBAC agreed that the likely number of patients treated with rifaximin was uncertain, noting the potential for substantial leakage beyond the requested PBS population into treatment of irritable bowel syndrome (IBS) and travellers’ diarrhoea.  The PBAC therefore recommended that a risk sharing arrangement would be required to be negotiated in order to manage Government expenditure should PBS listing of rifaximin be achieved.</w:t>
      </w:r>
      <w:r>
        <w:t xml:space="preserve"> </w:t>
      </w:r>
    </w:p>
    <w:p w14:paraId="59B7EF34" w14:textId="77777777" w:rsidR="00E9288F" w:rsidRDefault="00E9288F" w:rsidP="00AF3F4C">
      <w:pPr>
        <w:spacing w:after="0"/>
      </w:pPr>
    </w:p>
    <w:p w14:paraId="0EFAFCD3" w14:textId="2AA937C6" w:rsidR="00E9288F" w:rsidRDefault="00E9288F" w:rsidP="00AF3F4C">
      <w:pPr>
        <w:spacing w:after="0"/>
      </w:pPr>
      <w:r>
        <w:t xml:space="preserve">The decision was deferred. For further details refer to the </w:t>
      </w:r>
      <w:hyperlink r:id="rId16" w:history="1">
        <w:r w:rsidRPr="00AF3F4C">
          <w:rPr>
            <w:rStyle w:val="Hyperlink"/>
          </w:rPr>
          <w:t>Public Summary Document</w:t>
        </w:r>
      </w:hyperlink>
      <w:r>
        <w:t xml:space="preserve"> from the November 2012 PBAC meeting. </w:t>
      </w:r>
    </w:p>
    <w:p w14:paraId="38CD6618" w14:textId="77777777" w:rsidR="00E9288F" w:rsidRDefault="00E9288F" w:rsidP="00AF3F4C">
      <w:pPr>
        <w:spacing w:after="0"/>
      </w:pPr>
    </w:p>
    <w:p w14:paraId="1A9AFC80" w14:textId="523FB80F" w:rsidR="00E9288F" w:rsidRDefault="00E9288F" w:rsidP="006E6D80">
      <w:pPr>
        <w:spacing w:after="0"/>
      </w:pPr>
      <w:r>
        <w:t>At its April 2013 meeting, the PBAC considered the re-submission of rifaximin. T</w:t>
      </w:r>
      <w:r w:rsidRPr="006E6D80">
        <w:t>he PBAC considered that the price offered in the sponsor’s pre-PBAC response addressed uncertainties and proposed a price that provided acceptable cost effectiveness for rifaximin.</w:t>
      </w:r>
      <w:r>
        <w:t xml:space="preserve"> </w:t>
      </w:r>
      <w:r w:rsidRPr="006E6D80">
        <w:t xml:space="preserve">The PBAC considered the advice from the </w:t>
      </w:r>
      <w:r>
        <w:t xml:space="preserve">Managed Entry Scheme </w:t>
      </w:r>
      <w:r w:rsidRPr="006E6D80">
        <w:t>working group and the sponsor’s response and determined that there was no longer a requirement for a managed entry scheme approach.</w:t>
      </w:r>
    </w:p>
    <w:p w14:paraId="50291443" w14:textId="77777777" w:rsidR="00E9288F" w:rsidRPr="006E6D80" w:rsidRDefault="00E9288F" w:rsidP="006E6D80">
      <w:pPr>
        <w:spacing w:after="0"/>
      </w:pPr>
    </w:p>
    <w:p w14:paraId="334BD2C2" w14:textId="77777777" w:rsidR="00E9288F" w:rsidRDefault="00E9288F" w:rsidP="006E6D80">
      <w:pPr>
        <w:spacing w:after="0"/>
      </w:pPr>
      <w:r w:rsidRPr="006E6D80">
        <w:t>The PBAC noted the need for prescribing to be managed principally by specialists in this therapeutic area but acknowledged the difficulties for patients with limited access to these specialists. Therefore, the PBAC considered that the restriction should be ‘in consultation with’ and appropriate specialists (hepatologists and gastroenterologists).</w:t>
      </w:r>
      <w:r w:rsidRPr="00B133C0">
        <w:t xml:space="preserve"> </w:t>
      </w:r>
    </w:p>
    <w:p w14:paraId="1FA0221A" w14:textId="77777777" w:rsidR="00E9288F" w:rsidRDefault="00E9288F" w:rsidP="006E6D80">
      <w:pPr>
        <w:spacing w:after="0"/>
      </w:pPr>
    </w:p>
    <w:p w14:paraId="46D57505" w14:textId="7EE12D9F" w:rsidR="00E9288F" w:rsidRPr="006E6D80" w:rsidRDefault="00E9288F" w:rsidP="006E6D80">
      <w:pPr>
        <w:spacing w:after="0"/>
      </w:pPr>
      <w:r w:rsidRPr="006E6D80">
        <w:t xml:space="preserve">The PBAC recommended </w:t>
      </w:r>
      <w:r>
        <w:t xml:space="preserve">the Authority Required PBS </w:t>
      </w:r>
      <w:r w:rsidRPr="006E6D80">
        <w:t>listing of rifaximin on the basis of high clinical need, improved clinical benefit over the existing treatments and acceptable cost effectiveness.</w:t>
      </w:r>
    </w:p>
    <w:p w14:paraId="3AD28547" w14:textId="098BB94E" w:rsidR="00E9288F" w:rsidRPr="00AF3F4C" w:rsidRDefault="00E9288F" w:rsidP="00AF3F4C">
      <w:pPr>
        <w:spacing w:after="0"/>
      </w:pPr>
    </w:p>
    <w:p w14:paraId="6185BA51" w14:textId="3545D713" w:rsidR="00E9288F" w:rsidRPr="00F65F0D" w:rsidRDefault="00E9288F" w:rsidP="00D94863">
      <w:r>
        <w:t xml:space="preserve">For further details refer to the </w:t>
      </w:r>
      <w:hyperlink r:id="rId17" w:history="1">
        <w:r w:rsidRPr="006E6D80">
          <w:rPr>
            <w:rStyle w:val="Hyperlink"/>
          </w:rPr>
          <w:t>Public Summary Document</w:t>
        </w:r>
      </w:hyperlink>
      <w:r>
        <w:t xml:space="preserve"> from the April 2013 PBAC meeting. </w:t>
      </w:r>
    </w:p>
    <w:p w14:paraId="72C2CA24" w14:textId="25F4F626" w:rsidR="00E9288F" w:rsidRDefault="00E9288F" w:rsidP="00CF5E22">
      <w:pPr>
        <w:pStyle w:val="Heading2"/>
      </w:pPr>
      <w:r>
        <w:t>Approach taken to estimate utilisation</w:t>
      </w:r>
    </w:p>
    <w:p w14:paraId="69AF6B01" w14:textId="6A9C32A1" w:rsidR="00E9288F" w:rsidRPr="00071D15" w:rsidRDefault="00E9288F" w:rsidP="00E31730">
      <w:pPr>
        <w:widowControl w:val="0"/>
        <w:spacing w:after="0"/>
        <w:rPr>
          <w:rFonts w:eastAsia="Times New Roman" w:cs="Times New Roman"/>
          <w:bCs/>
          <w:snapToGrid w:val="0"/>
          <w:lang w:eastAsia="en-US"/>
        </w:rPr>
      </w:pPr>
      <w:r w:rsidRPr="00E31730">
        <w:rPr>
          <w:rFonts w:eastAsia="Times New Roman" w:cs="Times New Roman"/>
          <w:bCs/>
          <w:snapToGrid w:val="0"/>
          <w:lang w:eastAsia="en-US"/>
        </w:rPr>
        <w:t xml:space="preserve">The </w:t>
      </w:r>
      <w:r>
        <w:rPr>
          <w:rFonts w:eastAsia="Times New Roman" w:cs="Times New Roman"/>
          <w:bCs/>
          <w:snapToGrid w:val="0"/>
          <w:lang w:eastAsia="en-US"/>
        </w:rPr>
        <w:t xml:space="preserve">rifaximin </w:t>
      </w:r>
      <w:r w:rsidRPr="00E31730">
        <w:rPr>
          <w:rFonts w:eastAsia="Times New Roman" w:cs="Times New Roman"/>
          <w:bCs/>
          <w:snapToGrid w:val="0"/>
          <w:lang w:eastAsia="en-US"/>
        </w:rPr>
        <w:t xml:space="preserve">submission’s estimates for </w:t>
      </w:r>
      <w:r>
        <w:rPr>
          <w:rFonts w:eastAsia="Times New Roman" w:cs="Times New Roman"/>
          <w:bCs/>
          <w:snapToGrid w:val="0"/>
          <w:lang w:eastAsia="en-US"/>
        </w:rPr>
        <w:t>estimating utilisation</w:t>
      </w:r>
      <w:r w:rsidRPr="00E31730">
        <w:rPr>
          <w:rFonts w:eastAsia="Times New Roman" w:cs="Times New Roman"/>
          <w:bCs/>
          <w:snapToGrid w:val="0"/>
          <w:lang w:eastAsia="en-US"/>
        </w:rPr>
        <w:t xml:space="preserve"> </w:t>
      </w:r>
      <w:r>
        <w:rPr>
          <w:rFonts w:eastAsia="Times New Roman" w:cs="Times New Roman"/>
          <w:bCs/>
          <w:snapToGrid w:val="0"/>
          <w:lang w:eastAsia="en-US"/>
        </w:rPr>
        <w:t>were</w:t>
      </w:r>
      <w:r w:rsidRPr="00E31730">
        <w:rPr>
          <w:rFonts w:eastAsia="Times New Roman" w:cs="Times New Roman"/>
          <w:bCs/>
          <w:snapToGrid w:val="0"/>
          <w:lang w:eastAsia="en-US"/>
        </w:rPr>
        <w:t xml:space="preserve"> based on </w:t>
      </w:r>
      <w:r w:rsidRPr="003011C4">
        <w:rPr>
          <w:rFonts w:eastAsia="Times New Roman" w:cs="Times New Roman"/>
          <w:bCs/>
          <w:snapToGrid w:val="0"/>
          <w:lang w:eastAsia="en-US"/>
        </w:rPr>
        <w:t xml:space="preserve">a three stepped epidemiological approach </w:t>
      </w:r>
      <w:r w:rsidRPr="00071D15">
        <w:rPr>
          <w:rFonts w:eastAsia="Times New Roman" w:cs="Times New Roman"/>
          <w:bCs/>
          <w:snapToGrid w:val="0"/>
          <w:lang w:eastAsia="en-US"/>
        </w:rPr>
        <w:t xml:space="preserve">as follows: </w:t>
      </w:r>
    </w:p>
    <w:p w14:paraId="3A9F1367" w14:textId="77777777" w:rsidR="00E9288F" w:rsidRPr="00071D15" w:rsidRDefault="00E9288F" w:rsidP="00E31730">
      <w:pPr>
        <w:pStyle w:val="ListParagraph"/>
        <w:widowControl w:val="0"/>
        <w:numPr>
          <w:ilvl w:val="0"/>
          <w:numId w:val="1"/>
        </w:numPr>
        <w:spacing w:after="0"/>
        <w:rPr>
          <w:rFonts w:eastAsia="Times New Roman" w:cs="Times New Roman"/>
          <w:bCs/>
          <w:snapToGrid w:val="0"/>
          <w:lang w:eastAsia="en-US"/>
        </w:rPr>
      </w:pPr>
      <w:r w:rsidRPr="00071D15">
        <w:rPr>
          <w:rFonts w:eastAsia="Times New Roman" w:cs="Times New Roman"/>
          <w:bCs/>
          <w:snapToGrid w:val="0"/>
          <w:lang w:eastAsia="en-US"/>
        </w:rPr>
        <w:t>Step 1: Consider the number of Australian hospital separations for liver diseases;</w:t>
      </w:r>
    </w:p>
    <w:p w14:paraId="0A970D1F" w14:textId="35C30540" w:rsidR="00E9288F" w:rsidRPr="00071D15" w:rsidRDefault="00E9288F" w:rsidP="00E31730">
      <w:pPr>
        <w:pStyle w:val="ListParagraph"/>
        <w:widowControl w:val="0"/>
        <w:numPr>
          <w:ilvl w:val="0"/>
          <w:numId w:val="1"/>
        </w:numPr>
        <w:spacing w:after="0"/>
        <w:rPr>
          <w:rFonts w:eastAsia="Times New Roman" w:cs="Times New Roman"/>
          <w:bCs/>
          <w:snapToGrid w:val="0"/>
          <w:lang w:eastAsia="en-US"/>
        </w:rPr>
      </w:pPr>
      <w:r w:rsidRPr="00071D15">
        <w:rPr>
          <w:rFonts w:eastAsia="Times New Roman" w:cs="Times New Roman"/>
          <w:bCs/>
          <w:snapToGrid w:val="0"/>
          <w:lang w:eastAsia="en-US"/>
        </w:rPr>
        <w:t>Step 2: Consider the evidence on the occurrence of HE among patients with those liver conditions; and</w:t>
      </w:r>
    </w:p>
    <w:p w14:paraId="7856E2B1" w14:textId="5FDF25D1" w:rsidR="00E9288F" w:rsidRPr="00071D15" w:rsidRDefault="00E9288F" w:rsidP="00E31730">
      <w:pPr>
        <w:pStyle w:val="ListParagraph"/>
        <w:widowControl w:val="0"/>
        <w:numPr>
          <w:ilvl w:val="0"/>
          <w:numId w:val="1"/>
        </w:numPr>
        <w:spacing w:after="0"/>
        <w:rPr>
          <w:rFonts w:eastAsia="Times New Roman" w:cs="Times New Roman"/>
          <w:bCs/>
          <w:snapToGrid w:val="0"/>
          <w:lang w:eastAsia="en-US"/>
        </w:rPr>
      </w:pPr>
      <w:r w:rsidRPr="00071D15">
        <w:rPr>
          <w:rFonts w:eastAsia="Times New Roman" w:cs="Times New Roman"/>
          <w:bCs/>
          <w:snapToGrid w:val="0"/>
          <w:lang w:eastAsia="en-US"/>
        </w:rPr>
        <w:t>Step 3: Estimate the number of separations per year attributable to HE, and therefore the number of patients eligible for treatment with rifaximin.</w:t>
      </w:r>
    </w:p>
    <w:p w14:paraId="15AD2B8A" w14:textId="77777777" w:rsidR="00E9288F" w:rsidRPr="00071D15" w:rsidRDefault="00E9288F" w:rsidP="007D26A5">
      <w:pPr>
        <w:widowControl w:val="0"/>
        <w:spacing w:after="0"/>
        <w:rPr>
          <w:rFonts w:eastAsia="Times New Roman" w:cs="Times New Roman"/>
          <w:bCs/>
          <w:snapToGrid w:val="0"/>
          <w:lang w:eastAsia="en-US"/>
        </w:rPr>
      </w:pPr>
    </w:p>
    <w:p w14:paraId="5E4872BE" w14:textId="1207FD61" w:rsidR="00E9288F" w:rsidRPr="00071D15" w:rsidRDefault="00E9288F" w:rsidP="007D26A5">
      <w:pPr>
        <w:widowControl w:val="0"/>
        <w:spacing w:after="0"/>
        <w:rPr>
          <w:rFonts w:eastAsia="Times New Roman" w:cs="Times New Roman"/>
          <w:bCs/>
          <w:snapToGrid w:val="0"/>
          <w:lang w:eastAsia="en-US"/>
        </w:rPr>
      </w:pPr>
      <w:r w:rsidRPr="00071D15">
        <w:rPr>
          <w:rFonts w:eastAsia="Times New Roman" w:cs="Times New Roman"/>
          <w:bCs/>
          <w:snapToGrid w:val="0"/>
          <w:lang w:eastAsia="en-US"/>
        </w:rPr>
        <w:t>The submission extrapolated hospitalisation data from 2004/5-2007/8 to estimate the number of eligible patients in 2010/11-</w:t>
      </w:r>
      <w:r w:rsidR="003011C4" w:rsidRPr="00071D15">
        <w:rPr>
          <w:rFonts w:eastAsia="Times New Roman" w:cs="Times New Roman"/>
          <w:bCs/>
          <w:snapToGrid w:val="0"/>
          <w:lang w:eastAsia="en-US"/>
        </w:rPr>
        <w:t xml:space="preserve">2015/16. </w:t>
      </w:r>
      <w:r w:rsidRPr="00071D15">
        <w:rPr>
          <w:rFonts w:eastAsia="Times New Roman" w:cs="Times New Roman"/>
          <w:bCs/>
          <w:snapToGrid w:val="0"/>
          <w:lang w:eastAsia="en-US"/>
        </w:rPr>
        <w:t>The submission assumed that each patient would have an average of 3.2 hospitalisation episodes per ye</w:t>
      </w:r>
      <w:r w:rsidR="007E1616">
        <w:rPr>
          <w:rFonts w:eastAsia="Times New Roman" w:cs="Times New Roman"/>
          <w:bCs/>
          <w:snapToGrid w:val="0"/>
          <w:lang w:eastAsia="en-US"/>
        </w:rPr>
        <w:t>ar (doubling of 1.6 events in 6 </w:t>
      </w:r>
      <w:r w:rsidRPr="00071D15">
        <w:rPr>
          <w:rFonts w:eastAsia="Times New Roman" w:cs="Times New Roman"/>
          <w:bCs/>
          <w:snapToGrid w:val="0"/>
          <w:lang w:eastAsia="en-US"/>
        </w:rPr>
        <w:t>months as quoted in Leevy</w:t>
      </w:r>
      <w:r w:rsidR="00071D15">
        <w:rPr>
          <w:rFonts w:eastAsia="Times New Roman" w:cs="Times New Roman"/>
          <w:bCs/>
          <w:snapToGrid w:val="0"/>
          <w:lang w:eastAsia="en-US"/>
        </w:rPr>
        <w:t xml:space="preserve"> &amp; Phillips. </w:t>
      </w:r>
      <w:r w:rsidRPr="00071D15">
        <w:rPr>
          <w:rFonts w:eastAsia="Times New Roman" w:cs="Times New Roman"/>
          <w:bCs/>
          <w:snapToGrid w:val="0"/>
          <w:lang w:eastAsia="en-US"/>
        </w:rPr>
        <w:t>(2007)), and 45.2% of patients with HE are hospitalised over 1 year (doubling of 22.6% [hospitalis</w:t>
      </w:r>
      <w:r w:rsidR="007E1616">
        <w:rPr>
          <w:rFonts w:eastAsia="Times New Roman" w:cs="Times New Roman"/>
          <w:bCs/>
          <w:snapToGrid w:val="0"/>
          <w:lang w:eastAsia="en-US"/>
        </w:rPr>
        <w:t>ation rate in placebo arm] at 6 </w:t>
      </w:r>
      <w:r w:rsidRPr="00071D15">
        <w:rPr>
          <w:rFonts w:eastAsia="Times New Roman" w:cs="Times New Roman"/>
          <w:bCs/>
          <w:snapToGrid w:val="0"/>
          <w:lang w:eastAsia="en-US"/>
        </w:rPr>
        <w:t xml:space="preserve">months from RFHE3001).  </w:t>
      </w:r>
    </w:p>
    <w:p w14:paraId="1C66BE37" w14:textId="77777777" w:rsidR="00E9288F" w:rsidRPr="007D26A5" w:rsidRDefault="00E9288F" w:rsidP="007D26A5">
      <w:pPr>
        <w:widowControl w:val="0"/>
        <w:spacing w:after="0"/>
        <w:rPr>
          <w:rFonts w:eastAsia="Times New Roman" w:cs="Times New Roman"/>
          <w:bCs/>
          <w:i/>
          <w:snapToGrid w:val="0"/>
          <w:lang w:eastAsia="en-US"/>
        </w:rPr>
      </w:pPr>
    </w:p>
    <w:p w14:paraId="2C9BF9A1" w14:textId="2391C4AE" w:rsidR="00E9288F" w:rsidRPr="007D26A5" w:rsidRDefault="00E9288F" w:rsidP="007D26A5">
      <w:pPr>
        <w:widowControl w:val="0"/>
        <w:spacing w:after="0"/>
        <w:rPr>
          <w:rFonts w:eastAsia="Times New Roman" w:cs="Times New Roman"/>
          <w:bCs/>
          <w:snapToGrid w:val="0"/>
          <w:lang w:eastAsia="en-US"/>
        </w:rPr>
      </w:pPr>
      <w:r w:rsidRPr="007D26A5">
        <w:rPr>
          <w:rFonts w:eastAsia="Times New Roman" w:cs="Times New Roman"/>
          <w:bCs/>
          <w:snapToGrid w:val="0"/>
          <w:lang w:eastAsia="en-US"/>
        </w:rPr>
        <w:t>DUSC</w:t>
      </w:r>
      <w:r>
        <w:rPr>
          <w:rFonts w:eastAsia="Times New Roman" w:cs="Times New Roman"/>
          <w:bCs/>
          <w:snapToGrid w:val="0"/>
          <w:lang w:eastAsia="en-US"/>
        </w:rPr>
        <w:t xml:space="preserve"> (October 2011)</w:t>
      </w:r>
      <w:r w:rsidRPr="007D26A5">
        <w:rPr>
          <w:rFonts w:eastAsia="Times New Roman" w:cs="Times New Roman"/>
          <w:bCs/>
          <w:snapToGrid w:val="0"/>
          <w:lang w:eastAsia="en-US"/>
        </w:rPr>
        <w:t xml:space="preserve"> considered the estimate of patients treated each year with rifaximin to be uncertain and a likely underestimate. The submission had possibly underestimated the eligible population </w:t>
      </w:r>
      <w:r w:rsidRPr="003011C4">
        <w:rPr>
          <w:rFonts w:eastAsia="Times New Roman" w:cs="Times New Roman"/>
          <w:bCs/>
          <w:snapToGrid w:val="0"/>
          <w:lang w:eastAsia="en-US"/>
        </w:rPr>
        <w:t xml:space="preserve">by underestimating the number of patients experiencing HE events </w:t>
      </w:r>
      <w:r w:rsidRPr="00071D15">
        <w:rPr>
          <w:rFonts w:eastAsia="Times New Roman" w:cs="Times New Roman"/>
          <w:bCs/>
          <w:snapToGrid w:val="0"/>
          <w:lang w:eastAsia="en-US"/>
        </w:rPr>
        <w:t>in those hospitalised and the total population including those not hospitalised for HE.</w:t>
      </w:r>
      <w:r w:rsidRPr="007D26A5">
        <w:rPr>
          <w:rFonts w:eastAsia="Times New Roman" w:cs="Times New Roman"/>
          <w:bCs/>
          <w:snapToGrid w:val="0"/>
          <w:lang w:eastAsia="en-US"/>
        </w:rPr>
        <w:t xml:space="preserve"> </w:t>
      </w:r>
    </w:p>
    <w:p w14:paraId="7BBEAF87" w14:textId="77777777" w:rsidR="00E9288F" w:rsidRPr="007D26A5" w:rsidRDefault="00E9288F" w:rsidP="007D26A5">
      <w:pPr>
        <w:widowControl w:val="0"/>
        <w:spacing w:after="0"/>
        <w:rPr>
          <w:rFonts w:eastAsia="Times New Roman" w:cs="Times New Roman"/>
          <w:bCs/>
          <w:snapToGrid w:val="0"/>
          <w:lang w:eastAsia="en-US"/>
        </w:rPr>
      </w:pPr>
    </w:p>
    <w:p w14:paraId="76C4716C" w14:textId="5F2AE7F7" w:rsidR="00E9288F" w:rsidRPr="007D26A5" w:rsidRDefault="00E9288F" w:rsidP="007D26A5">
      <w:pPr>
        <w:widowControl w:val="0"/>
        <w:spacing w:after="0"/>
        <w:rPr>
          <w:rFonts w:eastAsia="Times New Roman" w:cs="Times New Roman"/>
          <w:bCs/>
          <w:snapToGrid w:val="0"/>
          <w:lang w:eastAsia="en-US"/>
        </w:rPr>
      </w:pPr>
      <w:r w:rsidRPr="007D26A5">
        <w:rPr>
          <w:rFonts w:eastAsia="Times New Roman" w:cs="Times New Roman"/>
          <w:bCs/>
          <w:snapToGrid w:val="0"/>
          <w:lang w:eastAsia="en-US"/>
        </w:rPr>
        <w:t xml:space="preserve">DUSC also noted that the PBS restriction allowed rifaximin use in patients who have experienced one HE event </w:t>
      </w:r>
      <w:r w:rsidRPr="008C010E">
        <w:rPr>
          <w:rFonts w:eastAsia="Times New Roman" w:cs="Times New Roman"/>
          <w:bCs/>
          <w:snapToGrid w:val="0"/>
          <w:lang w:eastAsia="en-US"/>
        </w:rPr>
        <w:t xml:space="preserve">compared to the trial population who had two or more prior episodes of HE. Therefore </w:t>
      </w:r>
      <w:r w:rsidRPr="00D65C59">
        <w:rPr>
          <w:rFonts w:eastAsia="Times New Roman" w:cs="Times New Roman"/>
          <w:bCs/>
          <w:snapToGrid w:val="0"/>
          <w:lang w:eastAsia="en-US"/>
        </w:rPr>
        <w:t>rifaximin may be prescribed in a larger population of patients</w:t>
      </w:r>
      <w:r w:rsidRPr="008C010E">
        <w:rPr>
          <w:rFonts w:eastAsia="Times New Roman" w:cs="Times New Roman"/>
          <w:bCs/>
          <w:snapToGrid w:val="0"/>
          <w:lang w:eastAsia="en-US"/>
        </w:rPr>
        <w:t xml:space="preserve"> with less severe hepatic disease than those included in the trial.</w:t>
      </w:r>
    </w:p>
    <w:p w14:paraId="69403790" w14:textId="77777777" w:rsidR="00E9288F" w:rsidRPr="007D26A5" w:rsidRDefault="00E9288F" w:rsidP="007D26A5">
      <w:pPr>
        <w:widowControl w:val="0"/>
        <w:spacing w:after="0"/>
        <w:rPr>
          <w:rFonts w:eastAsia="Times New Roman" w:cs="Times New Roman"/>
          <w:bCs/>
          <w:snapToGrid w:val="0"/>
          <w:lang w:eastAsia="en-US"/>
        </w:rPr>
      </w:pPr>
      <w:r w:rsidRPr="007D26A5">
        <w:rPr>
          <w:rFonts w:eastAsia="Times New Roman" w:cs="Times New Roman"/>
          <w:bCs/>
          <w:snapToGrid w:val="0"/>
          <w:lang w:eastAsia="en-US"/>
        </w:rPr>
        <w:lastRenderedPageBreak/>
        <w:t xml:space="preserve"> </w:t>
      </w:r>
    </w:p>
    <w:p w14:paraId="1E048E8F" w14:textId="7DEB3185" w:rsidR="00E9288F" w:rsidRDefault="00E9288F" w:rsidP="007D26A5">
      <w:pPr>
        <w:widowControl w:val="0"/>
        <w:spacing w:after="0"/>
        <w:rPr>
          <w:rFonts w:eastAsia="Times New Roman" w:cs="Times New Roman"/>
          <w:bCs/>
          <w:snapToGrid w:val="0"/>
          <w:lang w:eastAsia="en-US"/>
        </w:rPr>
      </w:pPr>
      <w:r w:rsidRPr="007D26A5">
        <w:rPr>
          <w:rFonts w:eastAsia="Times New Roman" w:cs="Times New Roman"/>
          <w:bCs/>
          <w:snapToGrid w:val="0"/>
          <w:lang w:eastAsia="en-US"/>
        </w:rPr>
        <w:t xml:space="preserve">DUSC considered an annual compliance rate of </w:t>
      </w:r>
      <w:r w:rsidRPr="003011C4">
        <w:rPr>
          <w:rFonts w:eastAsia="Times New Roman" w:cs="Times New Roman"/>
          <w:bCs/>
          <w:snapToGrid w:val="0"/>
          <w:lang w:eastAsia="en-US"/>
        </w:rPr>
        <w:t>84.3</w:t>
      </w:r>
      <w:r w:rsidRPr="007D26A5">
        <w:rPr>
          <w:rFonts w:eastAsia="Times New Roman" w:cs="Times New Roman"/>
          <w:bCs/>
          <w:snapToGrid w:val="0"/>
          <w:lang w:eastAsia="en-US"/>
        </w:rPr>
        <w:t xml:space="preserve">% to be a likely overestimate. There </w:t>
      </w:r>
      <w:r>
        <w:rPr>
          <w:rFonts w:eastAsia="Times New Roman" w:cs="Times New Roman"/>
          <w:bCs/>
          <w:snapToGrid w:val="0"/>
          <w:lang w:eastAsia="en-US"/>
        </w:rPr>
        <w:t>was also considerable</w:t>
      </w:r>
      <w:r w:rsidRPr="007D26A5">
        <w:rPr>
          <w:rFonts w:eastAsia="Times New Roman" w:cs="Times New Roman"/>
          <w:bCs/>
          <w:snapToGrid w:val="0"/>
          <w:lang w:eastAsia="en-US"/>
        </w:rPr>
        <w:t xml:space="preserve"> uncertainty </w:t>
      </w:r>
      <w:r>
        <w:rPr>
          <w:rFonts w:eastAsia="Times New Roman" w:cs="Times New Roman"/>
          <w:bCs/>
          <w:snapToGrid w:val="0"/>
          <w:lang w:eastAsia="en-US"/>
        </w:rPr>
        <w:t>as to how rifaximin would</w:t>
      </w:r>
      <w:r w:rsidRPr="007D26A5">
        <w:rPr>
          <w:rFonts w:eastAsia="Times New Roman" w:cs="Times New Roman"/>
          <w:bCs/>
          <w:snapToGrid w:val="0"/>
          <w:lang w:eastAsia="en-US"/>
        </w:rPr>
        <w:t xml:space="preserve"> be prescribed (intermittently or continuously) and for how long. Despite being indicated for prevention of HE, DUSC considered that it would be conceivable that patients may only take rifaximin when experiencing exacerbations of HE.</w:t>
      </w:r>
    </w:p>
    <w:p w14:paraId="732A7AA3" w14:textId="77777777" w:rsidR="00E9288F" w:rsidRDefault="00E9288F" w:rsidP="007D26A5">
      <w:pPr>
        <w:widowControl w:val="0"/>
        <w:spacing w:after="0"/>
        <w:rPr>
          <w:rFonts w:eastAsia="Times New Roman" w:cs="Times New Roman"/>
          <w:bCs/>
          <w:snapToGrid w:val="0"/>
          <w:lang w:eastAsia="en-US"/>
        </w:rPr>
      </w:pPr>
    </w:p>
    <w:p w14:paraId="3FAFC02B" w14:textId="3C651658" w:rsidR="00E9288F" w:rsidRDefault="00E9288F" w:rsidP="007D26A5">
      <w:pPr>
        <w:widowControl w:val="0"/>
        <w:spacing w:after="0"/>
        <w:rPr>
          <w:rFonts w:eastAsia="Times New Roman" w:cs="Times New Roman"/>
          <w:bCs/>
          <w:snapToGrid w:val="0"/>
          <w:lang w:eastAsia="en-US"/>
        </w:rPr>
      </w:pPr>
      <w:r>
        <w:rPr>
          <w:rFonts w:eastAsia="Times New Roman" w:cs="Times New Roman"/>
          <w:bCs/>
          <w:snapToGrid w:val="0"/>
          <w:lang w:eastAsia="en-US"/>
        </w:rPr>
        <w:t xml:space="preserve">The submission estimated that uptake would be </w:t>
      </w:r>
      <w:r w:rsidRPr="003011C4">
        <w:rPr>
          <w:rFonts w:eastAsia="Times New Roman" w:cs="Times New Roman"/>
          <w:bCs/>
          <w:snapToGrid w:val="0"/>
          <w:lang w:eastAsia="en-US"/>
        </w:rPr>
        <w:t>50</w:t>
      </w:r>
      <w:r>
        <w:rPr>
          <w:rFonts w:eastAsia="Times New Roman" w:cs="Times New Roman"/>
          <w:bCs/>
          <w:snapToGrid w:val="0"/>
          <w:lang w:eastAsia="en-US"/>
        </w:rPr>
        <w:t xml:space="preserve">% in year 1 increasing to </w:t>
      </w:r>
      <w:r w:rsidRPr="003011C4">
        <w:rPr>
          <w:rFonts w:eastAsia="Times New Roman" w:cs="Times New Roman"/>
          <w:bCs/>
          <w:snapToGrid w:val="0"/>
          <w:lang w:eastAsia="en-US"/>
        </w:rPr>
        <w:t>75</w:t>
      </w:r>
      <w:r>
        <w:rPr>
          <w:rFonts w:eastAsia="Times New Roman" w:cs="Times New Roman"/>
          <w:bCs/>
          <w:snapToGrid w:val="0"/>
          <w:lang w:eastAsia="en-US"/>
        </w:rPr>
        <w:t>% in year 5 of listing.</w:t>
      </w:r>
    </w:p>
    <w:p w14:paraId="5F7037B3" w14:textId="77777777" w:rsidR="00E9288F" w:rsidRDefault="00E9288F" w:rsidP="007D26A5">
      <w:pPr>
        <w:widowControl w:val="0"/>
        <w:spacing w:after="0"/>
        <w:rPr>
          <w:rFonts w:eastAsia="Times New Roman" w:cs="Times New Roman"/>
          <w:bCs/>
          <w:snapToGrid w:val="0"/>
          <w:lang w:eastAsia="en-US"/>
        </w:rPr>
      </w:pPr>
    </w:p>
    <w:p w14:paraId="30EEF21E" w14:textId="36F09E00" w:rsidR="00E9288F" w:rsidRDefault="00E9288F" w:rsidP="006474B2">
      <w:pPr>
        <w:widowControl w:val="0"/>
        <w:spacing w:after="0"/>
        <w:rPr>
          <w:rFonts w:eastAsia="Times New Roman" w:cs="Times New Roman"/>
          <w:bCs/>
          <w:snapToGrid w:val="0"/>
          <w:lang w:eastAsia="en-US"/>
        </w:rPr>
      </w:pPr>
      <w:r>
        <w:rPr>
          <w:rFonts w:eastAsia="Times New Roman" w:cs="Times New Roman"/>
          <w:bCs/>
          <w:snapToGrid w:val="0"/>
          <w:lang w:eastAsia="en-US"/>
        </w:rPr>
        <w:t xml:space="preserve">The original (November 2011) and final estimates of use of rifaximin are presented in Table 2.  </w:t>
      </w:r>
    </w:p>
    <w:p w14:paraId="3DFC1F54" w14:textId="77777777" w:rsidR="00E9288F" w:rsidRDefault="00E9288F" w:rsidP="006474B2">
      <w:pPr>
        <w:pStyle w:val="Figurecaption"/>
        <w:spacing w:before="0" w:after="0"/>
        <w:rPr>
          <w:b/>
          <w:sz w:val="24"/>
          <w:szCs w:val="24"/>
        </w:rPr>
      </w:pPr>
    </w:p>
    <w:p w14:paraId="672603C5" w14:textId="7BBB102E" w:rsidR="00E9288F" w:rsidRDefault="00E9288F" w:rsidP="006474B2">
      <w:pPr>
        <w:pStyle w:val="Figurecaption"/>
        <w:spacing w:before="0" w:after="0"/>
        <w:rPr>
          <w:b/>
          <w:sz w:val="24"/>
          <w:szCs w:val="24"/>
        </w:rPr>
      </w:pPr>
      <w:r>
        <w:rPr>
          <w:b/>
          <w:sz w:val="24"/>
          <w:szCs w:val="24"/>
        </w:rPr>
        <w:t>Table 2: November 2011 submission estimates compared with final agreed estimates</w:t>
      </w:r>
    </w:p>
    <w:tbl>
      <w:tblPr>
        <w:tblStyle w:val="TableGrid"/>
        <w:tblW w:w="0" w:type="auto"/>
        <w:tblLayout w:type="fixed"/>
        <w:tblLook w:val="04A0" w:firstRow="1" w:lastRow="0" w:firstColumn="1" w:lastColumn="0" w:noHBand="0" w:noVBand="1"/>
        <w:tblCaption w:val="November 2011 submission estimates compared with final agreed estimates"/>
        <w:tblDescription w:val="Table contains total number of patients treated per year, prescriptions and net cost to government for years 1 to 5. It compares sumission estimates to final agreed estimates."/>
      </w:tblPr>
      <w:tblGrid>
        <w:gridCol w:w="3369"/>
        <w:gridCol w:w="1134"/>
        <w:gridCol w:w="1134"/>
        <w:gridCol w:w="1134"/>
        <w:gridCol w:w="1134"/>
        <w:gridCol w:w="1134"/>
      </w:tblGrid>
      <w:tr w:rsidR="00E9288F" w14:paraId="4FBD3925" w14:textId="77777777" w:rsidTr="009B49C2">
        <w:trPr>
          <w:trHeight w:val="276"/>
          <w:tblHeader/>
        </w:trPr>
        <w:tc>
          <w:tcPr>
            <w:tcW w:w="3369" w:type="dxa"/>
            <w:shd w:val="clear" w:color="auto" w:fill="BFBFBF" w:themeFill="background1" w:themeFillShade="BF"/>
          </w:tcPr>
          <w:p w14:paraId="386B864A" w14:textId="77777777" w:rsidR="00E9288F" w:rsidRPr="006474B2" w:rsidRDefault="00E9288F" w:rsidP="00776E20">
            <w:pPr>
              <w:pStyle w:val="Figurecaption"/>
              <w:spacing w:before="0" w:after="0"/>
              <w:rPr>
                <w:b/>
              </w:rPr>
            </w:pPr>
          </w:p>
        </w:tc>
        <w:tc>
          <w:tcPr>
            <w:tcW w:w="1134" w:type="dxa"/>
            <w:shd w:val="clear" w:color="auto" w:fill="BFBFBF" w:themeFill="background1" w:themeFillShade="BF"/>
            <w:vAlign w:val="bottom"/>
          </w:tcPr>
          <w:p w14:paraId="100BAA0A" w14:textId="77777777" w:rsidR="00E9288F" w:rsidRPr="006474B2" w:rsidRDefault="00E9288F" w:rsidP="00776E20">
            <w:pPr>
              <w:pStyle w:val="Figurecaption"/>
              <w:spacing w:before="0" w:after="0"/>
              <w:rPr>
                <w:b/>
              </w:rPr>
            </w:pPr>
            <w:r w:rsidRPr="006474B2">
              <w:rPr>
                <w:rFonts w:cs="Arial"/>
                <w:b/>
                <w:bCs/>
              </w:rPr>
              <w:t>Year 1</w:t>
            </w:r>
          </w:p>
        </w:tc>
        <w:tc>
          <w:tcPr>
            <w:tcW w:w="1134" w:type="dxa"/>
            <w:shd w:val="clear" w:color="auto" w:fill="BFBFBF" w:themeFill="background1" w:themeFillShade="BF"/>
            <w:vAlign w:val="bottom"/>
          </w:tcPr>
          <w:p w14:paraId="2A86FD5A" w14:textId="77777777" w:rsidR="00E9288F" w:rsidRPr="006474B2" w:rsidRDefault="00E9288F" w:rsidP="00776E20">
            <w:pPr>
              <w:pStyle w:val="Figurecaption"/>
              <w:spacing w:before="0" w:after="0"/>
              <w:rPr>
                <w:b/>
              </w:rPr>
            </w:pPr>
            <w:r w:rsidRPr="006474B2">
              <w:rPr>
                <w:rFonts w:cs="Arial"/>
                <w:b/>
                <w:bCs/>
              </w:rPr>
              <w:t>Year 2</w:t>
            </w:r>
          </w:p>
        </w:tc>
        <w:tc>
          <w:tcPr>
            <w:tcW w:w="1134" w:type="dxa"/>
            <w:shd w:val="clear" w:color="auto" w:fill="BFBFBF" w:themeFill="background1" w:themeFillShade="BF"/>
            <w:vAlign w:val="bottom"/>
          </w:tcPr>
          <w:p w14:paraId="17B2369F" w14:textId="77777777" w:rsidR="00E9288F" w:rsidRPr="006474B2" w:rsidRDefault="00E9288F" w:rsidP="00776E20">
            <w:pPr>
              <w:pStyle w:val="Figurecaption"/>
              <w:spacing w:before="0" w:after="0"/>
              <w:rPr>
                <w:b/>
              </w:rPr>
            </w:pPr>
            <w:r w:rsidRPr="006474B2">
              <w:rPr>
                <w:rFonts w:cs="Arial"/>
                <w:b/>
                <w:bCs/>
              </w:rPr>
              <w:t>Year 3</w:t>
            </w:r>
          </w:p>
        </w:tc>
        <w:tc>
          <w:tcPr>
            <w:tcW w:w="1134" w:type="dxa"/>
            <w:shd w:val="clear" w:color="auto" w:fill="BFBFBF" w:themeFill="background1" w:themeFillShade="BF"/>
            <w:vAlign w:val="bottom"/>
          </w:tcPr>
          <w:p w14:paraId="2AE62BD5" w14:textId="77777777" w:rsidR="00E9288F" w:rsidRPr="006474B2" w:rsidRDefault="00E9288F" w:rsidP="00776E20">
            <w:pPr>
              <w:pStyle w:val="Figurecaption"/>
              <w:spacing w:before="0" w:after="0"/>
              <w:rPr>
                <w:b/>
              </w:rPr>
            </w:pPr>
            <w:r w:rsidRPr="006474B2">
              <w:rPr>
                <w:rFonts w:cs="Arial"/>
                <w:b/>
                <w:bCs/>
              </w:rPr>
              <w:t>Year 4</w:t>
            </w:r>
          </w:p>
        </w:tc>
        <w:tc>
          <w:tcPr>
            <w:tcW w:w="1134" w:type="dxa"/>
            <w:shd w:val="clear" w:color="auto" w:fill="BFBFBF" w:themeFill="background1" w:themeFillShade="BF"/>
            <w:vAlign w:val="bottom"/>
          </w:tcPr>
          <w:p w14:paraId="5B2C5B73" w14:textId="77777777" w:rsidR="00E9288F" w:rsidRPr="006474B2" w:rsidRDefault="00E9288F" w:rsidP="00776E20">
            <w:pPr>
              <w:pStyle w:val="Figurecaption"/>
              <w:spacing w:before="0" w:after="0"/>
              <w:rPr>
                <w:b/>
              </w:rPr>
            </w:pPr>
            <w:r w:rsidRPr="006474B2">
              <w:rPr>
                <w:rFonts w:cs="Arial"/>
                <w:b/>
                <w:bCs/>
              </w:rPr>
              <w:t>Year 5</w:t>
            </w:r>
          </w:p>
        </w:tc>
      </w:tr>
      <w:tr w:rsidR="00E9288F" w14:paraId="049E48F9" w14:textId="77777777" w:rsidTr="00733AB0">
        <w:trPr>
          <w:trHeight w:val="276"/>
        </w:trPr>
        <w:tc>
          <w:tcPr>
            <w:tcW w:w="9039" w:type="dxa"/>
            <w:gridSpan w:val="6"/>
            <w:vAlign w:val="bottom"/>
          </w:tcPr>
          <w:p w14:paraId="29462FA3" w14:textId="77777777" w:rsidR="00E9288F" w:rsidRPr="006474B2" w:rsidRDefault="00E9288F" w:rsidP="00776E20">
            <w:pPr>
              <w:pStyle w:val="Figurecaption"/>
              <w:spacing w:before="0" w:after="0"/>
            </w:pPr>
            <w:r w:rsidRPr="006474B2">
              <w:rPr>
                <w:b/>
              </w:rPr>
              <w:t>November 2011</w:t>
            </w:r>
          </w:p>
        </w:tc>
      </w:tr>
      <w:tr w:rsidR="00E9288F" w14:paraId="03C1E017" w14:textId="77777777" w:rsidTr="00733AB0">
        <w:trPr>
          <w:trHeight w:val="276"/>
        </w:trPr>
        <w:tc>
          <w:tcPr>
            <w:tcW w:w="3369" w:type="dxa"/>
            <w:vAlign w:val="bottom"/>
          </w:tcPr>
          <w:p w14:paraId="47623A3E" w14:textId="09070E71" w:rsidR="00E9288F" w:rsidRPr="006474B2" w:rsidRDefault="00E9288F" w:rsidP="00733AB0">
            <w:pPr>
              <w:pStyle w:val="Figurecaption"/>
              <w:spacing w:before="0" w:after="0"/>
            </w:pPr>
            <w:r w:rsidRPr="006474B2">
              <w:rPr>
                <w:rFonts w:cs="Arial"/>
              </w:rPr>
              <w:t>Total number of patients treated</w:t>
            </w:r>
            <w:r>
              <w:rPr>
                <w:rFonts w:cs="Arial"/>
              </w:rPr>
              <w:t>/</w:t>
            </w:r>
            <w:r w:rsidRPr="006474B2">
              <w:rPr>
                <w:rFonts w:cs="Arial"/>
              </w:rPr>
              <w:t>year</w:t>
            </w:r>
          </w:p>
        </w:tc>
        <w:tc>
          <w:tcPr>
            <w:tcW w:w="1134" w:type="dxa"/>
            <w:vAlign w:val="bottom"/>
          </w:tcPr>
          <w:p w14:paraId="1E6148CC" w14:textId="60A330F2" w:rsidR="00E9288F" w:rsidRPr="00DD08FD" w:rsidRDefault="00E9288F" w:rsidP="00776E20">
            <w:pPr>
              <w:pStyle w:val="Figurecaption"/>
              <w:spacing w:before="0" w:after="0"/>
              <w:jc w:val="right"/>
            </w:pPr>
            <w:r w:rsidRPr="00071D15">
              <w:rPr>
                <w:rFonts w:cs="Arial"/>
              </w:rPr>
              <w:t>632</w:t>
            </w:r>
          </w:p>
        </w:tc>
        <w:tc>
          <w:tcPr>
            <w:tcW w:w="1134" w:type="dxa"/>
            <w:vAlign w:val="bottom"/>
          </w:tcPr>
          <w:p w14:paraId="15327FA5" w14:textId="6F99A4C1" w:rsidR="00E9288F" w:rsidRPr="00DD08FD" w:rsidRDefault="00E9288F" w:rsidP="00776E20">
            <w:pPr>
              <w:pStyle w:val="Figurecaption"/>
              <w:spacing w:before="0" w:after="0"/>
              <w:jc w:val="right"/>
            </w:pPr>
            <w:r w:rsidRPr="00071D15">
              <w:rPr>
                <w:rFonts w:cs="Arial"/>
              </w:rPr>
              <w:t>832</w:t>
            </w:r>
          </w:p>
        </w:tc>
        <w:tc>
          <w:tcPr>
            <w:tcW w:w="1134" w:type="dxa"/>
            <w:vAlign w:val="bottom"/>
          </w:tcPr>
          <w:p w14:paraId="4D57A5FF" w14:textId="74526F14" w:rsidR="00E9288F" w:rsidRPr="00DD08FD" w:rsidRDefault="00E9288F" w:rsidP="00776E20">
            <w:pPr>
              <w:pStyle w:val="Figurecaption"/>
              <w:spacing w:before="0" w:after="0"/>
              <w:jc w:val="right"/>
            </w:pPr>
            <w:r w:rsidRPr="00071D15">
              <w:rPr>
                <w:rFonts w:cs="Arial"/>
              </w:rPr>
              <w:t>1,005</w:t>
            </w:r>
          </w:p>
        </w:tc>
        <w:tc>
          <w:tcPr>
            <w:tcW w:w="1134" w:type="dxa"/>
            <w:vAlign w:val="bottom"/>
          </w:tcPr>
          <w:p w14:paraId="3688054C" w14:textId="197C52EC" w:rsidR="00E9288F" w:rsidRPr="00DD08FD" w:rsidRDefault="00E9288F" w:rsidP="00776E20">
            <w:pPr>
              <w:pStyle w:val="Figurecaption"/>
              <w:spacing w:before="0" w:after="0"/>
              <w:jc w:val="right"/>
            </w:pPr>
            <w:r w:rsidRPr="00071D15">
              <w:rPr>
                <w:rFonts w:cs="Arial"/>
              </w:rPr>
              <w:t>1,191</w:t>
            </w:r>
          </w:p>
        </w:tc>
        <w:tc>
          <w:tcPr>
            <w:tcW w:w="1134" w:type="dxa"/>
            <w:vAlign w:val="bottom"/>
          </w:tcPr>
          <w:p w14:paraId="1B401066" w14:textId="5185D690" w:rsidR="00E9288F" w:rsidRPr="00DD08FD" w:rsidRDefault="00E9288F" w:rsidP="00776E20">
            <w:pPr>
              <w:pStyle w:val="Figurecaption"/>
              <w:spacing w:before="0" w:after="0"/>
              <w:jc w:val="right"/>
            </w:pPr>
            <w:r w:rsidRPr="00071D15">
              <w:rPr>
                <w:rFonts w:cs="Arial"/>
              </w:rPr>
              <w:t>1,342</w:t>
            </w:r>
          </w:p>
        </w:tc>
      </w:tr>
      <w:tr w:rsidR="00E9288F" w14:paraId="09EF507D" w14:textId="77777777" w:rsidTr="00733AB0">
        <w:trPr>
          <w:trHeight w:val="276"/>
        </w:trPr>
        <w:tc>
          <w:tcPr>
            <w:tcW w:w="3369" w:type="dxa"/>
            <w:vAlign w:val="bottom"/>
          </w:tcPr>
          <w:p w14:paraId="3FBE8D53" w14:textId="77777777" w:rsidR="00E9288F" w:rsidRPr="006474B2" w:rsidRDefault="00E9288F" w:rsidP="00776E20">
            <w:pPr>
              <w:pStyle w:val="Figurecaption"/>
              <w:spacing w:before="0" w:after="0"/>
            </w:pPr>
            <w:r w:rsidRPr="006474B2">
              <w:rPr>
                <w:rFonts w:cs="Arial"/>
              </w:rPr>
              <w:t>Total number of prescriptions/packs</w:t>
            </w:r>
          </w:p>
        </w:tc>
        <w:tc>
          <w:tcPr>
            <w:tcW w:w="1134" w:type="dxa"/>
            <w:vAlign w:val="bottom"/>
          </w:tcPr>
          <w:p w14:paraId="0C40811F" w14:textId="1685404F" w:rsidR="00E9288F" w:rsidRPr="00DD08FD" w:rsidRDefault="00E9288F" w:rsidP="00776E20">
            <w:pPr>
              <w:pStyle w:val="Figurecaption"/>
              <w:spacing w:before="0" w:after="0"/>
              <w:jc w:val="right"/>
            </w:pPr>
            <w:r w:rsidRPr="00071D15">
              <w:rPr>
                <w:rFonts w:cs="Arial"/>
              </w:rPr>
              <w:t>6,393</w:t>
            </w:r>
          </w:p>
        </w:tc>
        <w:tc>
          <w:tcPr>
            <w:tcW w:w="1134" w:type="dxa"/>
            <w:vAlign w:val="bottom"/>
          </w:tcPr>
          <w:p w14:paraId="21A63F2E" w14:textId="1100E30E" w:rsidR="00E9288F" w:rsidRPr="00DD08FD" w:rsidRDefault="00E9288F" w:rsidP="00776E20">
            <w:pPr>
              <w:pStyle w:val="Figurecaption"/>
              <w:spacing w:before="0" w:after="0"/>
              <w:jc w:val="right"/>
            </w:pPr>
            <w:r w:rsidRPr="00071D15">
              <w:rPr>
                <w:rFonts w:cs="Arial"/>
              </w:rPr>
              <w:t>8,417</w:t>
            </w:r>
          </w:p>
        </w:tc>
        <w:tc>
          <w:tcPr>
            <w:tcW w:w="1134" w:type="dxa"/>
            <w:vAlign w:val="bottom"/>
          </w:tcPr>
          <w:p w14:paraId="01D2950B" w14:textId="6A134715" w:rsidR="00E9288F" w:rsidRPr="00DD08FD" w:rsidRDefault="00E9288F" w:rsidP="00776E20">
            <w:pPr>
              <w:pStyle w:val="Figurecaption"/>
              <w:spacing w:before="0" w:after="0"/>
              <w:jc w:val="right"/>
            </w:pPr>
            <w:r w:rsidRPr="00071D15">
              <w:rPr>
                <w:rFonts w:cs="Arial"/>
              </w:rPr>
              <w:t>10,167</w:t>
            </w:r>
          </w:p>
        </w:tc>
        <w:tc>
          <w:tcPr>
            <w:tcW w:w="1134" w:type="dxa"/>
            <w:vAlign w:val="bottom"/>
          </w:tcPr>
          <w:p w14:paraId="06AC657F" w14:textId="009AD6E9" w:rsidR="00E9288F" w:rsidRPr="00DD08FD" w:rsidRDefault="00E9288F" w:rsidP="00776E20">
            <w:pPr>
              <w:pStyle w:val="Figurecaption"/>
              <w:spacing w:before="0" w:after="0"/>
              <w:jc w:val="right"/>
            </w:pPr>
            <w:r w:rsidRPr="00071D15">
              <w:rPr>
                <w:rFonts w:cs="Arial"/>
              </w:rPr>
              <w:t>12,048</w:t>
            </w:r>
          </w:p>
        </w:tc>
        <w:tc>
          <w:tcPr>
            <w:tcW w:w="1134" w:type="dxa"/>
            <w:vAlign w:val="bottom"/>
          </w:tcPr>
          <w:p w14:paraId="1EBE69D8" w14:textId="4F3359CC" w:rsidR="00E9288F" w:rsidRPr="00DD08FD" w:rsidRDefault="00E9288F" w:rsidP="00776E20">
            <w:pPr>
              <w:pStyle w:val="Figurecaption"/>
              <w:spacing w:before="0" w:after="0"/>
              <w:jc w:val="right"/>
            </w:pPr>
            <w:r w:rsidRPr="00071D15">
              <w:rPr>
                <w:rFonts w:cs="Arial"/>
              </w:rPr>
              <w:t>13,576</w:t>
            </w:r>
          </w:p>
        </w:tc>
      </w:tr>
      <w:tr w:rsidR="00E9288F" w14:paraId="0CB6C221" w14:textId="77777777" w:rsidTr="00733AB0">
        <w:trPr>
          <w:trHeight w:val="276"/>
        </w:trPr>
        <w:tc>
          <w:tcPr>
            <w:tcW w:w="3369" w:type="dxa"/>
            <w:vAlign w:val="bottom"/>
          </w:tcPr>
          <w:p w14:paraId="3CEF8B83" w14:textId="77777777" w:rsidR="00E9288F" w:rsidRPr="006474B2" w:rsidRDefault="00E9288F" w:rsidP="00776E20">
            <w:pPr>
              <w:pStyle w:val="Figurecaption"/>
              <w:spacing w:before="0" w:after="0"/>
            </w:pPr>
            <w:r w:rsidRPr="006474B2">
              <w:rPr>
                <w:rFonts w:cs="Arial"/>
              </w:rPr>
              <w:t>Net cost to Government for the drug</w:t>
            </w:r>
          </w:p>
        </w:tc>
        <w:tc>
          <w:tcPr>
            <w:tcW w:w="1134" w:type="dxa"/>
            <w:vAlign w:val="bottom"/>
          </w:tcPr>
          <w:p w14:paraId="4CC7F658" w14:textId="0008C6F3" w:rsidR="00E9288F" w:rsidRPr="00DD08FD" w:rsidRDefault="00E9288F" w:rsidP="00776E20">
            <w:pPr>
              <w:pStyle w:val="Figurecaption"/>
              <w:spacing w:before="0" w:after="0"/>
              <w:jc w:val="right"/>
            </w:pPr>
            <w:r w:rsidRPr="00071D15">
              <w:rPr>
                <w:rFonts w:cs="Arial"/>
              </w:rPr>
              <w:t>$4,646,634</w:t>
            </w:r>
          </w:p>
        </w:tc>
        <w:tc>
          <w:tcPr>
            <w:tcW w:w="1134" w:type="dxa"/>
            <w:vAlign w:val="bottom"/>
          </w:tcPr>
          <w:p w14:paraId="2E4276B8" w14:textId="6BC4FD11" w:rsidR="00E9288F" w:rsidRPr="00DD08FD" w:rsidRDefault="00E9288F" w:rsidP="00776E20">
            <w:pPr>
              <w:pStyle w:val="Figurecaption"/>
              <w:spacing w:before="0" w:after="0"/>
              <w:jc w:val="right"/>
            </w:pPr>
            <w:r w:rsidRPr="00071D15">
              <w:rPr>
                <w:rFonts w:cs="Arial"/>
              </w:rPr>
              <w:t>$6,117,088</w:t>
            </w:r>
          </w:p>
        </w:tc>
        <w:tc>
          <w:tcPr>
            <w:tcW w:w="1134" w:type="dxa"/>
            <w:vAlign w:val="bottom"/>
          </w:tcPr>
          <w:p w14:paraId="46D14823" w14:textId="7F2D5621" w:rsidR="00E9288F" w:rsidRPr="00DD08FD" w:rsidRDefault="00E9288F" w:rsidP="00776E20">
            <w:pPr>
              <w:pStyle w:val="Figurecaption"/>
              <w:spacing w:before="0" w:after="0"/>
              <w:jc w:val="right"/>
            </w:pPr>
            <w:r w:rsidRPr="00071D15">
              <w:rPr>
                <w:rFonts w:cs="Arial"/>
              </w:rPr>
              <w:t>$7,389,030</w:t>
            </w:r>
          </w:p>
        </w:tc>
        <w:tc>
          <w:tcPr>
            <w:tcW w:w="1134" w:type="dxa"/>
            <w:vAlign w:val="bottom"/>
          </w:tcPr>
          <w:p w14:paraId="65C931A4" w14:textId="094E3F7B" w:rsidR="00E9288F" w:rsidRPr="00DD08FD" w:rsidRDefault="00E9288F" w:rsidP="00776E20">
            <w:pPr>
              <w:pStyle w:val="Figurecaption"/>
              <w:spacing w:before="0" w:after="0"/>
              <w:jc w:val="right"/>
            </w:pPr>
            <w:r w:rsidRPr="00071D15">
              <w:rPr>
                <w:rFonts w:cs="Arial"/>
              </w:rPr>
              <w:t>$8,756,552</w:t>
            </w:r>
          </w:p>
        </w:tc>
        <w:tc>
          <w:tcPr>
            <w:tcW w:w="1134" w:type="dxa"/>
            <w:vAlign w:val="bottom"/>
          </w:tcPr>
          <w:p w14:paraId="728252FE" w14:textId="19E5FF2B" w:rsidR="00E9288F" w:rsidRPr="00DD08FD" w:rsidRDefault="00E9288F" w:rsidP="00776E20">
            <w:pPr>
              <w:pStyle w:val="Figurecaption"/>
              <w:spacing w:before="0" w:after="0"/>
              <w:jc w:val="right"/>
            </w:pPr>
            <w:r w:rsidRPr="00071D15">
              <w:rPr>
                <w:rFonts w:cs="Arial"/>
              </w:rPr>
              <w:t>$9,866,745</w:t>
            </w:r>
          </w:p>
        </w:tc>
      </w:tr>
      <w:tr w:rsidR="00E9288F" w14:paraId="3453BA33" w14:textId="77777777" w:rsidTr="00733AB0">
        <w:trPr>
          <w:trHeight w:val="276"/>
        </w:trPr>
        <w:tc>
          <w:tcPr>
            <w:tcW w:w="9039" w:type="dxa"/>
            <w:gridSpan w:val="6"/>
          </w:tcPr>
          <w:p w14:paraId="5A421606" w14:textId="77777777" w:rsidR="00E9288F" w:rsidRPr="006474B2" w:rsidRDefault="00E9288F" w:rsidP="00776E20">
            <w:pPr>
              <w:pStyle w:val="Figurecaption"/>
              <w:spacing w:before="0" w:after="0"/>
              <w:rPr>
                <w:b/>
              </w:rPr>
            </w:pPr>
            <w:r w:rsidRPr="006474B2">
              <w:rPr>
                <w:b/>
              </w:rPr>
              <w:t xml:space="preserve">Final agreed estimates </w:t>
            </w:r>
          </w:p>
        </w:tc>
      </w:tr>
      <w:tr w:rsidR="00E9288F" w14:paraId="57D5BB9B" w14:textId="77777777" w:rsidTr="00733AB0">
        <w:trPr>
          <w:trHeight w:val="276"/>
        </w:trPr>
        <w:tc>
          <w:tcPr>
            <w:tcW w:w="3369" w:type="dxa"/>
            <w:vAlign w:val="bottom"/>
          </w:tcPr>
          <w:p w14:paraId="0B1AFE16" w14:textId="37D4D270" w:rsidR="00E9288F" w:rsidRPr="006474B2" w:rsidRDefault="00E9288F" w:rsidP="00733AB0">
            <w:pPr>
              <w:pStyle w:val="Figurecaption"/>
              <w:spacing w:before="0" w:after="0"/>
              <w:rPr>
                <w:b/>
              </w:rPr>
            </w:pPr>
            <w:r w:rsidRPr="006474B2">
              <w:rPr>
                <w:rFonts w:cs="Arial"/>
              </w:rPr>
              <w:t>T</w:t>
            </w:r>
            <w:r>
              <w:rPr>
                <w:rFonts w:cs="Arial"/>
              </w:rPr>
              <w:t>otal number of patients treated/</w:t>
            </w:r>
            <w:r w:rsidRPr="006474B2">
              <w:rPr>
                <w:rFonts w:cs="Arial"/>
              </w:rPr>
              <w:t>year</w:t>
            </w:r>
          </w:p>
        </w:tc>
        <w:tc>
          <w:tcPr>
            <w:tcW w:w="1134" w:type="dxa"/>
            <w:vAlign w:val="bottom"/>
          </w:tcPr>
          <w:p w14:paraId="25925761" w14:textId="4FACE964" w:rsidR="00E9288F" w:rsidRPr="00DD08FD" w:rsidRDefault="00E9288F" w:rsidP="00776E20">
            <w:pPr>
              <w:pStyle w:val="Figurecaption"/>
              <w:spacing w:before="0" w:after="0"/>
              <w:jc w:val="right"/>
              <w:rPr>
                <w:rFonts w:cs="Arial"/>
              </w:rPr>
            </w:pPr>
            <w:r w:rsidRPr="00071D15">
              <w:rPr>
                <w:rFonts w:cs="Arial"/>
              </w:rPr>
              <w:t>916</w:t>
            </w:r>
          </w:p>
        </w:tc>
        <w:tc>
          <w:tcPr>
            <w:tcW w:w="1134" w:type="dxa"/>
            <w:vAlign w:val="bottom"/>
          </w:tcPr>
          <w:p w14:paraId="7A2EDF5A" w14:textId="2368D012" w:rsidR="00E9288F" w:rsidRPr="00DD08FD" w:rsidRDefault="00E9288F" w:rsidP="00776E20">
            <w:pPr>
              <w:pStyle w:val="Figurecaption"/>
              <w:spacing w:before="0" w:after="0"/>
              <w:jc w:val="right"/>
              <w:rPr>
                <w:rFonts w:cs="Arial"/>
              </w:rPr>
            </w:pPr>
            <w:r w:rsidRPr="00071D15">
              <w:rPr>
                <w:rFonts w:cs="Arial"/>
              </w:rPr>
              <w:t>1</w:t>
            </w:r>
            <w:r w:rsidR="008C010E" w:rsidRPr="00071D15">
              <w:rPr>
                <w:rFonts w:cs="Arial"/>
              </w:rPr>
              <w:t>,</w:t>
            </w:r>
            <w:r w:rsidRPr="00071D15">
              <w:rPr>
                <w:rFonts w:cs="Arial"/>
              </w:rPr>
              <w:t>102</w:t>
            </w:r>
          </w:p>
        </w:tc>
        <w:tc>
          <w:tcPr>
            <w:tcW w:w="1134" w:type="dxa"/>
            <w:vAlign w:val="bottom"/>
          </w:tcPr>
          <w:p w14:paraId="733B8BF5" w14:textId="0702FAE4" w:rsidR="00E9288F" w:rsidRPr="00DD08FD" w:rsidRDefault="00E9288F" w:rsidP="00776E20">
            <w:pPr>
              <w:pStyle w:val="Figurecaption"/>
              <w:spacing w:before="0" w:after="0"/>
              <w:jc w:val="right"/>
              <w:rPr>
                <w:rFonts w:cs="Arial"/>
              </w:rPr>
            </w:pPr>
            <w:r w:rsidRPr="00071D15">
              <w:rPr>
                <w:rFonts w:cs="Arial"/>
              </w:rPr>
              <w:t>1</w:t>
            </w:r>
            <w:r w:rsidR="008C010E" w:rsidRPr="00071D15">
              <w:rPr>
                <w:rFonts w:cs="Arial"/>
              </w:rPr>
              <w:t>,</w:t>
            </w:r>
            <w:r w:rsidRPr="00071D15">
              <w:rPr>
                <w:rFonts w:cs="Arial"/>
              </w:rPr>
              <w:t>301</w:t>
            </w:r>
          </w:p>
        </w:tc>
        <w:tc>
          <w:tcPr>
            <w:tcW w:w="1134" w:type="dxa"/>
            <w:vAlign w:val="bottom"/>
          </w:tcPr>
          <w:p w14:paraId="4E753768" w14:textId="185FAC39" w:rsidR="00E9288F" w:rsidRPr="00DD08FD" w:rsidRDefault="00E9288F" w:rsidP="00776E20">
            <w:pPr>
              <w:pStyle w:val="Figurecaption"/>
              <w:spacing w:before="0" w:after="0"/>
              <w:jc w:val="right"/>
              <w:rPr>
                <w:rFonts w:cs="Arial"/>
              </w:rPr>
            </w:pPr>
            <w:r w:rsidRPr="00071D15">
              <w:rPr>
                <w:rFonts w:cs="Arial"/>
              </w:rPr>
              <w:t>1</w:t>
            </w:r>
            <w:r w:rsidR="008C010E" w:rsidRPr="00071D15">
              <w:rPr>
                <w:rFonts w:cs="Arial"/>
              </w:rPr>
              <w:t>,</w:t>
            </w:r>
            <w:r w:rsidRPr="00071D15">
              <w:rPr>
                <w:rFonts w:cs="Arial"/>
              </w:rPr>
              <w:t>460</w:t>
            </w:r>
          </w:p>
        </w:tc>
        <w:tc>
          <w:tcPr>
            <w:tcW w:w="1134" w:type="dxa"/>
            <w:vAlign w:val="bottom"/>
          </w:tcPr>
          <w:p w14:paraId="01DB5EF0" w14:textId="295EC90F" w:rsidR="00E9288F" w:rsidRPr="00DD08FD" w:rsidRDefault="00E9288F" w:rsidP="00776E20">
            <w:pPr>
              <w:pStyle w:val="Figurecaption"/>
              <w:spacing w:before="0" w:after="0"/>
              <w:jc w:val="right"/>
              <w:rPr>
                <w:rFonts w:cs="Arial"/>
              </w:rPr>
            </w:pPr>
            <w:r w:rsidRPr="00071D15">
              <w:rPr>
                <w:rFonts w:cs="Arial"/>
              </w:rPr>
              <w:t>1</w:t>
            </w:r>
            <w:r w:rsidR="008C010E" w:rsidRPr="00071D15">
              <w:rPr>
                <w:rFonts w:cs="Arial"/>
              </w:rPr>
              <w:t>,</w:t>
            </w:r>
            <w:r w:rsidRPr="00071D15">
              <w:rPr>
                <w:rFonts w:cs="Arial"/>
              </w:rPr>
              <w:t>627</w:t>
            </w:r>
          </w:p>
        </w:tc>
      </w:tr>
      <w:tr w:rsidR="00E9288F" w14:paraId="75929820" w14:textId="77777777" w:rsidTr="00733AB0">
        <w:trPr>
          <w:trHeight w:val="276"/>
        </w:trPr>
        <w:tc>
          <w:tcPr>
            <w:tcW w:w="3369" w:type="dxa"/>
            <w:vAlign w:val="bottom"/>
          </w:tcPr>
          <w:p w14:paraId="3D8B1FC6" w14:textId="4042FCED" w:rsidR="00E9288F" w:rsidRPr="006474B2" w:rsidRDefault="00E9288F" w:rsidP="00776E20">
            <w:pPr>
              <w:pStyle w:val="Figurecaption"/>
              <w:spacing w:before="0" w:after="0"/>
              <w:rPr>
                <w:b/>
              </w:rPr>
            </w:pPr>
            <w:r w:rsidRPr="006474B2">
              <w:rPr>
                <w:rFonts w:cs="Arial"/>
              </w:rPr>
              <w:t>Total number of prescriptions/packs</w:t>
            </w:r>
          </w:p>
        </w:tc>
        <w:tc>
          <w:tcPr>
            <w:tcW w:w="1134" w:type="dxa"/>
            <w:vAlign w:val="bottom"/>
          </w:tcPr>
          <w:p w14:paraId="1D4EC014" w14:textId="1ADFC8D6" w:rsidR="00E9288F" w:rsidRPr="00DD08FD" w:rsidRDefault="00E9288F" w:rsidP="00776E20">
            <w:pPr>
              <w:pStyle w:val="Figurecaption"/>
              <w:spacing w:before="0" w:after="0"/>
              <w:jc w:val="right"/>
              <w:rPr>
                <w:rFonts w:cs="Arial"/>
              </w:rPr>
            </w:pPr>
            <w:r w:rsidRPr="00071D15">
              <w:rPr>
                <w:rFonts w:cs="Arial"/>
              </w:rPr>
              <w:t>10,038</w:t>
            </w:r>
          </w:p>
        </w:tc>
        <w:tc>
          <w:tcPr>
            <w:tcW w:w="1134" w:type="dxa"/>
            <w:vAlign w:val="bottom"/>
          </w:tcPr>
          <w:p w14:paraId="712B8E3D" w14:textId="162869A0" w:rsidR="00E9288F" w:rsidRPr="00DD08FD" w:rsidRDefault="00E9288F" w:rsidP="00776E20">
            <w:pPr>
              <w:pStyle w:val="Figurecaption"/>
              <w:spacing w:before="0" w:after="0"/>
              <w:jc w:val="right"/>
              <w:rPr>
                <w:rFonts w:cs="Arial"/>
              </w:rPr>
            </w:pPr>
            <w:r w:rsidRPr="00071D15">
              <w:rPr>
                <w:rFonts w:cs="Arial"/>
              </w:rPr>
              <w:t>12,077</w:t>
            </w:r>
          </w:p>
        </w:tc>
        <w:tc>
          <w:tcPr>
            <w:tcW w:w="1134" w:type="dxa"/>
            <w:vAlign w:val="bottom"/>
          </w:tcPr>
          <w:p w14:paraId="2EFCA53C" w14:textId="2768D53A" w:rsidR="00E9288F" w:rsidRPr="00DD08FD" w:rsidRDefault="00E9288F" w:rsidP="00776E20">
            <w:pPr>
              <w:pStyle w:val="Figurecaption"/>
              <w:spacing w:before="0" w:after="0"/>
              <w:jc w:val="right"/>
              <w:rPr>
                <w:rFonts w:cs="Arial"/>
              </w:rPr>
            </w:pPr>
            <w:r w:rsidRPr="00071D15">
              <w:rPr>
                <w:rFonts w:cs="Arial"/>
              </w:rPr>
              <w:t>14,258</w:t>
            </w:r>
          </w:p>
        </w:tc>
        <w:tc>
          <w:tcPr>
            <w:tcW w:w="1134" w:type="dxa"/>
            <w:vAlign w:val="bottom"/>
          </w:tcPr>
          <w:p w14:paraId="2D5BB801" w14:textId="7BC8CB16" w:rsidR="00E9288F" w:rsidRPr="00DD08FD" w:rsidRDefault="00E9288F" w:rsidP="00776E20">
            <w:pPr>
              <w:pStyle w:val="Figurecaption"/>
              <w:spacing w:before="0" w:after="0"/>
              <w:jc w:val="right"/>
              <w:rPr>
                <w:rFonts w:cs="Arial"/>
              </w:rPr>
            </w:pPr>
            <w:r w:rsidRPr="00071D15">
              <w:rPr>
                <w:rFonts w:cs="Arial"/>
              </w:rPr>
              <w:t>16,000</w:t>
            </w:r>
          </w:p>
        </w:tc>
        <w:tc>
          <w:tcPr>
            <w:tcW w:w="1134" w:type="dxa"/>
            <w:vAlign w:val="bottom"/>
          </w:tcPr>
          <w:p w14:paraId="32AEC399" w14:textId="612413F6" w:rsidR="00E9288F" w:rsidRPr="00DD08FD" w:rsidRDefault="00E9288F" w:rsidP="00776E20">
            <w:pPr>
              <w:pStyle w:val="Figurecaption"/>
              <w:spacing w:before="0" w:after="0"/>
              <w:jc w:val="right"/>
              <w:rPr>
                <w:rFonts w:cs="Arial"/>
              </w:rPr>
            </w:pPr>
            <w:r w:rsidRPr="00071D15">
              <w:rPr>
                <w:rFonts w:cs="Arial"/>
              </w:rPr>
              <w:t>17,830</w:t>
            </w:r>
          </w:p>
        </w:tc>
      </w:tr>
      <w:tr w:rsidR="00E9288F" w14:paraId="1EB5C2BA" w14:textId="77777777" w:rsidTr="00733AB0">
        <w:trPr>
          <w:trHeight w:val="276"/>
        </w:trPr>
        <w:tc>
          <w:tcPr>
            <w:tcW w:w="3369" w:type="dxa"/>
            <w:vAlign w:val="bottom"/>
          </w:tcPr>
          <w:p w14:paraId="13E2F1C6" w14:textId="64EDF65F" w:rsidR="00E9288F" w:rsidRPr="006474B2" w:rsidRDefault="00E9288F" w:rsidP="00776E20">
            <w:pPr>
              <w:pStyle w:val="Figurecaption"/>
              <w:spacing w:before="0" w:after="0"/>
              <w:rPr>
                <w:b/>
              </w:rPr>
            </w:pPr>
            <w:r w:rsidRPr="006474B2">
              <w:rPr>
                <w:rFonts w:cs="Arial"/>
              </w:rPr>
              <w:t>Net cost to Government for the drug</w:t>
            </w:r>
          </w:p>
        </w:tc>
        <w:tc>
          <w:tcPr>
            <w:tcW w:w="1134" w:type="dxa"/>
            <w:vAlign w:val="bottom"/>
          </w:tcPr>
          <w:p w14:paraId="0461ECDC" w14:textId="63583D26" w:rsidR="00E9288F" w:rsidRPr="00DD08FD" w:rsidRDefault="00E9288F" w:rsidP="00776E20">
            <w:pPr>
              <w:pStyle w:val="Figurecaption"/>
              <w:spacing w:before="0" w:after="0"/>
              <w:jc w:val="right"/>
              <w:rPr>
                <w:rFonts w:cs="Arial"/>
              </w:rPr>
            </w:pPr>
            <w:r w:rsidRPr="00071D15">
              <w:rPr>
                <w:rFonts w:cs="Arial"/>
              </w:rPr>
              <w:t>$4,928,327</w:t>
            </w:r>
          </w:p>
        </w:tc>
        <w:tc>
          <w:tcPr>
            <w:tcW w:w="1134" w:type="dxa"/>
            <w:vAlign w:val="bottom"/>
          </w:tcPr>
          <w:p w14:paraId="3BC862AD" w14:textId="4B2ED83C" w:rsidR="00E9288F" w:rsidRPr="00DD08FD" w:rsidRDefault="00E9288F" w:rsidP="00776E20">
            <w:pPr>
              <w:pStyle w:val="Figurecaption"/>
              <w:spacing w:before="0" w:after="0"/>
              <w:jc w:val="right"/>
              <w:rPr>
                <w:rFonts w:cs="Arial"/>
              </w:rPr>
            </w:pPr>
            <w:r w:rsidRPr="00071D15">
              <w:rPr>
                <w:rFonts w:cs="Arial"/>
              </w:rPr>
              <w:t>$5,929,056</w:t>
            </w:r>
          </w:p>
        </w:tc>
        <w:tc>
          <w:tcPr>
            <w:tcW w:w="1134" w:type="dxa"/>
            <w:vAlign w:val="bottom"/>
          </w:tcPr>
          <w:p w14:paraId="117E6DE1" w14:textId="5F2A522F" w:rsidR="00E9288F" w:rsidRPr="00DD08FD" w:rsidRDefault="00E9288F" w:rsidP="00776E20">
            <w:pPr>
              <w:pStyle w:val="Figurecaption"/>
              <w:spacing w:before="0" w:after="0"/>
              <w:jc w:val="right"/>
              <w:rPr>
                <w:rFonts w:cs="Arial"/>
              </w:rPr>
            </w:pPr>
            <w:r w:rsidRPr="00071D15">
              <w:rPr>
                <w:rFonts w:cs="Arial"/>
              </w:rPr>
              <w:t>$6,999,728</w:t>
            </w:r>
          </w:p>
        </w:tc>
        <w:tc>
          <w:tcPr>
            <w:tcW w:w="1134" w:type="dxa"/>
            <w:vAlign w:val="bottom"/>
          </w:tcPr>
          <w:p w14:paraId="3A49FAD9" w14:textId="759FAD7D" w:rsidR="00E9288F" w:rsidRPr="00DD08FD" w:rsidRDefault="00E9288F" w:rsidP="00776E20">
            <w:pPr>
              <w:pStyle w:val="Figurecaption"/>
              <w:spacing w:before="0" w:after="0"/>
              <w:jc w:val="right"/>
              <w:rPr>
                <w:rFonts w:cs="Arial"/>
              </w:rPr>
            </w:pPr>
            <w:r w:rsidRPr="00071D15">
              <w:rPr>
                <w:rFonts w:cs="Arial"/>
              </w:rPr>
              <w:t>$7,855,185</w:t>
            </w:r>
          </w:p>
        </w:tc>
        <w:tc>
          <w:tcPr>
            <w:tcW w:w="1134" w:type="dxa"/>
            <w:vAlign w:val="bottom"/>
          </w:tcPr>
          <w:p w14:paraId="432933D1" w14:textId="09CF7B24" w:rsidR="00E9288F" w:rsidRPr="00DD08FD" w:rsidRDefault="00E9288F" w:rsidP="00776E20">
            <w:pPr>
              <w:pStyle w:val="Figurecaption"/>
              <w:spacing w:before="0" w:after="0"/>
              <w:jc w:val="right"/>
              <w:rPr>
                <w:rFonts w:cs="Arial"/>
              </w:rPr>
            </w:pPr>
            <w:r w:rsidRPr="00071D15">
              <w:rPr>
                <w:rFonts w:cs="Arial"/>
              </w:rPr>
              <w:t>$8,753,687</w:t>
            </w:r>
          </w:p>
        </w:tc>
      </w:tr>
    </w:tbl>
    <w:p w14:paraId="6F15C336" w14:textId="67D7D837" w:rsidR="00E9288F" w:rsidRPr="00880B43" w:rsidRDefault="00E9288F" w:rsidP="007D26A5">
      <w:pPr>
        <w:widowControl w:val="0"/>
        <w:spacing w:after="0"/>
        <w:rPr>
          <w:rFonts w:eastAsia="Times New Roman" w:cs="Times New Roman"/>
          <w:bCs/>
          <w:snapToGrid w:val="0"/>
          <w:sz w:val="20"/>
          <w:szCs w:val="20"/>
          <w:lang w:eastAsia="en-US"/>
        </w:rPr>
      </w:pPr>
      <w:r w:rsidRPr="00880B43">
        <w:rPr>
          <w:rFonts w:eastAsia="Times New Roman" w:cs="Times New Roman"/>
          <w:bCs/>
          <w:snapToGrid w:val="0"/>
          <w:sz w:val="20"/>
          <w:szCs w:val="20"/>
          <w:lang w:eastAsia="en-US"/>
        </w:rPr>
        <w:t>Source: Final estimates agreed between the Sponsor and the Department</w:t>
      </w:r>
    </w:p>
    <w:p w14:paraId="0312FFEC" w14:textId="5C6A9662" w:rsidR="00E9288F" w:rsidRPr="005E22C2" w:rsidRDefault="00E9288F" w:rsidP="00CF5E22">
      <w:pPr>
        <w:pStyle w:val="Heading1"/>
      </w:pPr>
      <w:r w:rsidRPr="005E22C2">
        <w:t>Methods</w:t>
      </w:r>
    </w:p>
    <w:p w14:paraId="711A3098" w14:textId="1FF90C9F" w:rsidR="00E9288F" w:rsidRDefault="00E9288F" w:rsidP="0000529A">
      <w:r>
        <w:t>The DUSC database was used to analyse prescriptions and PBS/RPBS benefits.</w:t>
      </w:r>
      <w:r w:rsidRPr="000449FA">
        <w:t xml:space="preserve"> </w:t>
      </w:r>
    </w:p>
    <w:p w14:paraId="517F1670" w14:textId="12CA2D94" w:rsidR="00E9288F" w:rsidRDefault="00E9288F" w:rsidP="0000529A">
      <w:r w:rsidRPr="00F74FBD">
        <w:t xml:space="preserve">The </w:t>
      </w:r>
      <w:r>
        <w:t>Department of Human Services (</w:t>
      </w:r>
      <w:r w:rsidRPr="00F74FBD">
        <w:t>DHS</w:t>
      </w:r>
      <w:r>
        <w:t>)</w:t>
      </w:r>
      <w:r w:rsidRPr="00F74FBD">
        <w:t xml:space="preserve"> </w:t>
      </w:r>
      <w:r>
        <w:t>s</w:t>
      </w:r>
      <w:r w:rsidRPr="00F74FBD">
        <w:t>upplied prescriptions database includes data submitted to DHS for payment of a PBS/</w:t>
      </w:r>
      <w:r>
        <w:t xml:space="preserve">RPBS subsidy by the Government. </w:t>
      </w:r>
      <w:r w:rsidRPr="00F74FBD">
        <w:t xml:space="preserve">This database includes a </w:t>
      </w:r>
      <w:r>
        <w:t xml:space="preserve">patient </w:t>
      </w:r>
      <w:r w:rsidRPr="00F74FBD">
        <w:t>de</w:t>
      </w:r>
      <w:r w:rsidRPr="00F74FBD">
        <w:noBreakHyphen/>
        <w:t xml:space="preserve">identified </w:t>
      </w:r>
      <w:r>
        <w:t xml:space="preserve">number </w:t>
      </w:r>
      <w:r w:rsidRPr="00F74FBD">
        <w:t xml:space="preserve">that </w:t>
      </w:r>
      <w:r>
        <w:t>allows</w:t>
      </w:r>
      <w:r w:rsidRPr="00F74FBD">
        <w:t xml:space="preserve"> </w:t>
      </w:r>
      <w:r>
        <w:t xml:space="preserve">supplied </w:t>
      </w:r>
      <w:r w:rsidRPr="00F74FBD">
        <w:t xml:space="preserve">prescriptions to </w:t>
      </w:r>
      <w:r>
        <w:t>be attributed to a particular</w:t>
      </w:r>
      <w:r w:rsidRPr="00F74FBD">
        <w:t xml:space="preserve"> patient. This allows for patients to be classified as new patients and to identify prior treatments. The DHS database was used for patient level analyses</w:t>
      </w:r>
      <w:r>
        <w:t>;</w:t>
      </w:r>
      <w:r w:rsidRPr="00F74FBD">
        <w:t xml:space="preserve"> including </w:t>
      </w:r>
      <w:r>
        <w:t xml:space="preserve">initiating and prevalent, prescriber type, time to resupply </w:t>
      </w:r>
      <w:r w:rsidRPr="00F74FBD">
        <w:t xml:space="preserve">and </w:t>
      </w:r>
      <w:r>
        <w:t>length of treatment.</w:t>
      </w:r>
    </w:p>
    <w:p w14:paraId="2AAAADE1" w14:textId="1E8467BD" w:rsidR="00E9288F" w:rsidRDefault="00E9288F" w:rsidP="0000529A">
      <w:r>
        <w:t xml:space="preserve">For the patient level analyses, </w:t>
      </w:r>
      <w:r w:rsidRPr="00F74FBD">
        <w:t xml:space="preserve">patients initiating </w:t>
      </w:r>
      <w:r>
        <w:t xml:space="preserve">to therapy </w:t>
      </w:r>
      <w:r w:rsidRPr="00F74FBD">
        <w:t>were defined as those who have not been supplied</w:t>
      </w:r>
      <w:r>
        <w:t xml:space="preserve"> rifaximin since it was PBS-listed in December 2013.</w:t>
      </w:r>
    </w:p>
    <w:p w14:paraId="3B5BF8FC" w14:textId="03863FD1" w:rsidR="00E9288F" w:rsidRPr="00576F13" w:rsidRDefault="00E9288F" w:rsidP="00576F13">
      <w:r w:rsidRPr="00576F13">
        <w:t xml:space="preserve">To examine the median number of </w:t>
      </w:r>
      <w:r>
        <w:t>prescriptions per patient per year</w:t>
      </w:r>
      <w:r w:rsidRPr="00576F13">
        <w:t xml:space="preserve"> and the time to resupply, a cohort of patients first in</w:t>
      </w:r>
      <w:r w:rsidR="00580683">
        <w:t>itiating between October 2014 and</w:t>
      </w:r>
      <w:r w:rsidRPr="00576F13">
        <w:t xml:space="preserve"> March 2015 was obtained from the DHS Prescriptions database. This initiation period was selected to allow a maximum follow-up of 12 months to the most recent data available at the time of the report (March 2016). The maximum number of </w:t>
      </w:r>
      <w:r>
        <w:t>prescriptions</w:t>
      </w:r>
      <w:r w:rsidRPr="00576F13">
        <w:t xml:space="preserve"> and the time between each resupply was derived for each patient over 12 months from the date of initiation. </w:t>
      </w:r>
    </w:p>
    <w:p w14:paraId="0712D9D5" w14:textId="790F053F" w:rsidR="00E9288F" w:rsidRDefault="00E9288F" w:rsidP="00524D13">
      <w:r>
        <w:lastRenderedPageBreak/>
        <w:t>As these analyses use</w:t>
      </w:r>
      <w:r w:rsidR="007E1616">
        <w:t>d</w:t>
      </w:r>
      <w:r>
        <w:t xml:space="preserve"> date of supply prescription data, there may be small differences compared with publicly available DHS Medicare date of processing data.</w:t>
      </w:r>
      <w:r>
        <w:rPr>
          <w:rStyle w:val="EndnoteReference"/>
        </w:rPr>
        <w:endnoteReference w:id="7"/>
      </w:r>
      <w:r>
        <w:t xml:space="preserve">  </w:t>
      </w:r>
    </w:p>
    <w:p w14:paraId="4F91A98A" w14:textId="00180E30" w:rsidR="00E9288F" w:rsidRPr="005E22C2" w:rsidRDefault="00E9288F" w:rsidP="00CF5E22">
      <w:pPr>
        <w:pStyle w:val="Heading1"/>
      </w:pPr>
      <w:r w:rsidRPr="005E22C2">
        <w:t>Results</w:t>
      </w:r>
    </w:p>
    <w:p w14:paraId="2221FF19" w14:textId="336CE8B2" w:rsidR="00E9288F" w:rsidRPr="005E22C2" w:rsidRDefault="00E9288F" w:rsidP="00CF5E22">
      <w:pPr>
        <w:pStyle w:val="Heading2"/>
      </w:pPr>
      <w:r w:rsidRPr="005E22C2">
        <w:t xml:space="preserve">Analysis of </w:t>
      </w:r>
      <w:r>
        <w:t>d</w:t>
      </w:r>
      <w:r w:rsidRPr="005E22C2">
        <w:t xml:space="preserve">rug </w:t>
      </w:r>
      <w:r>
        <w:t>u</w:t>
      </w:r>
      <w:r w:rsidRPr="005E22C2">
        <w:t>tilisation</w:t>
      </w:r>
    </w:p>
    <w:p w14:paraId="09F8A9BC" w14:textId="35E50016" w:rsidR="00E9288F" w:rsidRDefault="00E9288F" w:rsidP="00CF5E22">
      <w:pPr>
        <w:pStyle w:val="Heading3"/>
      </w:pPr>
      <w:r w:rsidRPr="005E22C2">
        <w:t>Overall utilisation</w:t>
      </w:r>
    </w:p>
    <w:p w14:paraId="05D4428D" w14:textId="677A17CB" w:rsidR="00E9288F" w:rsidRPr="00BA4169" w:rsidRDefault="00E9288F" w:rsidP="00E45C54">
      <w:r>
        <w:t>The number of PBS/RPBS rifaximin prescriptions supplied per month has increased steadily since its listing in December 2013 (Figure 1).</w:t>
      </w:r>
    </w:p>
    <w:p w14:paraId="561F4684" w14:textId="0AD207AE" w:rsidR="00E9288F" w:rsidRDefault="00E9288F" w:rsidP="00FE645A">
      <w:pPr>
        <w:pStyle w:val="Figurecaption"/>
      </w:pPr>
      <w:r>
        <w:rPr>
          <w:noProof/>
          <w:lang w:eastAsia="en-AU"/>
        </w:rPr>
        <w:drawing>
          <wp:inline distT="0" distB="0" distL="0" distR="0" wp14:anchorId="367D4493" wp14:editId="0C5EB94F">
            <wp:extent cx="5687695" cy="3703686"/>
            <wp:effectExtent l="0" t="0" r="27305" b="11430"/>
            <wp:docPr id="1" name="Chart 1" descr="Figure 1 depicts the number of prescriptions increasing with the month of supply" title="Number of PBS/RPBS rifaximin prescriptions supplied since list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280831D" w14:textId="19DBD025" w:rsidR="00E9288F" w:rsidRDefault="00E9288F" w:rsidP="00071894">
      <w:pPr>
        <w:pStyle w:val="Figurecaption"/>
        <w:spacing w:before="0" w:after="0"/>
        <w:rPr>
          <w:b/>
          <w:sz w:val="24"/>
          <w:szCs w:val="24"/>
        </w:rPr>
      </w:pPr>
      <w:r>
        <w:rPr>
          <w:b/>
          <w:sz w:val="24"/>
          <w:szCs w:val="24"/>
        </w:rPr>
        <w:t>Figure 1: Number of PBS/RPBS rifaximin prescriptions supplied since listing</w:t>
      </w:r>
    </w:p>
    <w:p w14:paraId="229A48DB" w14:textId="063CBA7F" w:rsidR="00E9288F" w:rsidRDefault="00E9288F" w:rsidP="00071894">
      <w:pPr>
        <w:pStyle w:val="Figurecaption"/>
        <w:spacing w:before="0" w:after="0"/>
      </w:pPr>
      <w:r w:rsidRPr="00071894">
        <w:t>Prescriptions by date of supply.</w:t>
      </w:r>
      <w:r>
        <w:t xml:space="preserve"> </w:t>
      </w:r>
      <w:r w:rsidRPr="00071894">
        <w:t>Source: DUSC database accessed July 2016.</w:t>
      </w:r>
    </w:p>
    <w:p w14:paraId="7B49BDF9" w14:textId="77777777" w:rsidR="00E9288F" w:rsidRDefault="00E9288F" w:rsidP="00071894">
      <w:pPr>
        <w:pStyle w:val="Figurecaption"/>
        <w:spacing w:before="0" w:after="0"/>
      </w:pPr>
    </w:p>
    <w:p w14:paraId="1076B40F" w14:textId="40F2FCE9" w:rsidR="00E9288F" w:rsidRDefault="00E9288F" w:rsidP="00BA4169">
      <w:r>
        <w:t xml:space="preserve">Table 3 shows the number of PBS/RPBS prescriptions for rifaximin supplied by calendar year. From 1 December 2013 to 31 March 2016 there were 23,672 PBS/RPBS prescriptions for rifaximin supplied. </w:t>
      </w:r>
    </w:p>
    <w:p w14:paraId="7B836F12" w14:textId="63EF741C" w:rsidR="00E9288F" w:rsidRDefault="00E9288F" w:rsidP="00071894">
      <w:pPr>
        <w:pStyle w:val="Figurecaption"/>
        <w:spacing w:before="0" w:after="0"/>
        <w:rPr>
          <w:b/>
          <w:sz w:val="24"/>
          <w:szCs w:val="24"/>
        </w:rPr>
      </w:pPr>
      <w:r>
        <w:rPr>
          <w:b/>
          <w:sz w:val="24"/>
          <w:szCs w:val="24"/>
        </w:rPr>
        <w:t>Table 3: Number of PBS/RPBS rifaximin prescriptions supplied</w:t>
      </w:r>
    </w:p>
    <w:tbl>
      <w:tblPr>
        <w:tblW w:w="4835" w:type="dxa"/>
        <w:tblInd w:w="93" w:type="dxa"/>
        <w:tblLook w:val="04A0" w:firstRow="1" w:lastRow="0" w:firstColumn="1" w:lastColumn="0" w:noHBand="0" w:noVBand="1"/>
      </w:tblPr>
      <w:tblGrid>
        <w:gridCol w:w="2425"/>
        <w:gridCol w:w="2410"/>
      </w:tblGrid>
      <w:tr w:rsidR="00E9288F" w:rsidRPr="006474B2" w14:paraId="4393C913" w14:textId="77777777" w:rsidTr="006474B2">
        <w:trPr>
          <w:trHeight w:val="315"/>
        </w:trPr>
        <w:tc>
          <w:tcPr>
            <w:tcW w:w="2425"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8F3913C" w14:textId="77777777" w:rsidR="00E9288F" w:rsidRPr="006474B2" w:rsidRDefault="00E9288F" w:rsidP="006474B2">
            <w:pPr>
              <w:spacing w:after="0"/>
              <w:rPr>
                <w:rFonts w:ascii="Calibri" w:eastAsia="Times New Roman" w:hAnsi="Calibri" w:cs="Times New Roman"/>
                <w:b/>
                <w:bCs/>
                <w:sz w:val="20"/>
                <w:szCs w:val="20"/>
              </w:rPr>
            </w:pPr>
            <w:r w:rsidRPr="006474B2">
              <w:rPr>
                <w:rFonts w:ascii="Calibri" w:eastAsia="Times New Roman" w:hAnsi="Calibri" w:cs="Times New Roman"/>
                <w:b/>
                <w:bCs/>
                <w:sz w:val="20"/>
                <w:szCs w:val="20"/>
              </w:rPr>
              <w:t>Listing year</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14:paraId="5317653D" w14:textId="77777777" w:rsidR="00E9288F" w:rsidRPr="006474B2" w:rsidRDefault="00E9288F" w:rsidP="006474B2">
            <w:pPr>
              <w:spacing w:after="0"/>
              <w:jc w:val="center"/>
              <w:rPr>
                <w:rFonts w:ascii="Calibri" w:eastAsia="Times New Roman" w:hAnsi="Calibri" w:cs="Times New Roman"/>
                <w:b/>
                <w:bCs/>
                <w:sz w:val="20"/>
                <w:szCs w:val="20"/>
              </w:rPr>
            </w:pPr>
            <w:r w:rsidRPr="006474B2">
              <w:rPr>
                <w:rFonts w:ascii="Calibri" w:eastAsia="Times New Roman" w:hAnsi="Calibri" w:cs="Times New Roman"/>
                <w:b/>
                <w:bCs/>
                <w:sz w:val="20"/>
                <w:szCs w:val="20"/>
              </w:rPr>
              <w:t>Number of prescriptions</w:t>
            </w:r>
          </w:p>
        </w:tc>
      </w:tr>
      <w:tr w:rsidR="00E9288F" w:rsidRPr="006474B2" w14:paraId="4184AD2A" w14:textId="77777777" w:rsidTr="006474B2">
        <w:trPr>
          <w:trHeight w:val="300"/>
        </w:trPr>
        <w:tc>
          <w:tcPr>
            <w:tcW w:w="2425" w:type="dxa"/>
            <w:tcBorders>
              <w:top w:val="nil"/>
              <w:left w:val="single" w:sz="8" w:space="0" w:color="auto"/>
              <w:bottom w:val="single" w:sz="4" w:space="0" w:color="auto"/>
              <w:right w:val="single" w:sz="8" w:space="0" w:color="auto"/>
            </w:tcBorders>
            <w:shd w:val="clear" w:color="auto" w:fill="auto"/>
            <w:vAlign w:val="center"/>
            <w:hideMark/>
          </w:tcPr>
          <w:p w14:paraId="5D4AD9D3" w14:textId="77777777" w:rsidR="00E9288F" w:rsidRDefault="00E9288F" w:rsidP="006474B2">
            <w:pPr>
              <w:spacing w:after="0"/>
              <w:rPr>
                <w:rFonts w:ascii="Calibri" w:eastAsia="Times New Roman" w:hAnsi="Calibri" w:cs="Times New Roman"/>
                <w:sz w:val="20"/>
                <w:szCs w:val="20"/>
              </w:rPr>
            </w:pPr>
            <w:r w:rsidRPr="006474B2">
              <w:rPr>
                <w:rFonts w:ascii="Calibri" w:eastAsia="Times New Roman" w:hAnsi="Calibri" w:cs="Times New Roman"/>
                <w:sz w:val="20"/>
                <w:szCs w:val="20"/>
              </w:rPr>
              <w:t>Year 1</w:t>
            </w:r>
            <w:r>
              <w:rPr>
                <w:rFonts w:ascii="Calibri" w:eastAsia="Times New Roman" w:hAnsi="Calibri" w:cs="Times New Roman"/>
                <w:sz w:val="20"/>
                <w:szCs w:val="20"/>
              </w:rPr>
              <w:t xml:space="preserve"> </w:t>
            </w:r>
          </w:p>
          <w:p w14:paraId="1795B7AB" w14:textId="1B9361A6" w:rsidR="00E9288F" w:rsidRPr="006474B2" w:rsidRDefault="00E9288F" w:rsidP="006474B2">
            <w:pPr>
              <w:spacing w:after="0"/>
              <w:rPr>
                <w:rFonts w:ascii="Calibri" w:eastAsia="Times New Roman" w:hAnsi="Calibri" w:cs="Times New Roman"/>
                <w:sz w:val="20"/>
                <w:szCs w:val="20"/>
              </w:rPr>
            </w:pPr>
            <w:r w:rsidRPr="006474B2">
              <w:rPr>
                <w:rFonts w:ascii="Calibri" w:eastAsia="Times New Roman" w:hAnsi="Calibri" w:cs="Times New Roman"/>
                <w:sz w:val="20"/>
                <w:szCs w:val="20"/>
              </w:rPr>
              <w:t>(Dec 2013 – Nov 2014)</w:t>
            </w:r>
          </w:p>
        </w:tc>
        <w:tc>
          <w:tcPr>
            <w:tcW w:w="2410" w:type="dxa"/>
            <w:tcBorders>
              <w:top w:val="nil"/>
              <w:left w:val="single" w:sz="8" w:space="0" w:color="auto"/>
              <w:bottom w:val="single" w:sz="8" w:space="0" w:color="000000"/>
              <w:right w:val="single" w:sz="8" w:space="0" w:color="auto"/>
            </w:tcBorders>
            <w:shd w:val="clear" w:color="auto" w:fill="auto"/>
            <w:vAlign w:val="center"/>
            <w:hideMark/>
          </w:tcPr>
          <w:p w14:paraId="65B3E5D3" w14:textId="77777777" w:rsidR="00E9288F" w:rsidRPr="006474B2" w:rsidRDefault="00E9288F" w:rsidP="006474B2">
            <w:pPr>
              <w:spacing w:after="0"/>
              <w:jc w:val="right"/>
              <w:rPr>
                <w:rFonts w:ascii="Calibri" w:eastAsia="Times New Roman" w:hAnsi="Calibri" w:cs="Times New Roman"/>
                <w:sz w:val="20"/>
                <w:szCs w:val="20"/>
              </w:rPr>
            </w:pPr>
            <w:r w:rsidRPr="006474B2">
              <w:rPr>
                <w:rFonts w:ascii="Calibri" w:eastAsia="Times New Roman" w:hAnsi="Calibri" w:cs="Times New Roman"/>
                <w:sz w:val="20"/>
                <w:szCs w:val="20"/>
              </w:rPr>
              <w:t>6,909</w:t>
            </w:r>
          </w:p>
        </w:tc>
      </w:tr>
      <w:tr w:rsidR="00E9288F" w:rsidRPr="006474B2" w14:paraId="7EA454FE" w14:textId="77777777" w:rsidTr="006474B2">
        <w:trPr>
          <w:trHeight w:val="52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6AB35" w14:textId="77777777" w:rsidR="00E9288F" w:rsidRDefault="00E9288F" w:rsidP="006474B2">
            <w:pPr>
              <w:spacing w:after="0"/>
              <w:rPr>
                <w:rFonts w:ascii="Calibri" w:eastAsia="Times New Roman" w:hAnsi="Calibri" w:cs="Times New Roman"/>
                <w:sz w:val="20"/>
                <w:szCs w:val="20"/>
              </w:rPr>
            </w:pPr>
            <w:r w:rsidRPr="006474B2">
              <w:rPr>
                <w:rFonts w:ascii="Calibri" w:eastAsia="Times New Roman" w:hAnsi="Calibri" w:cs="Times New Roman"/>
                <w:sz w:val="20"/>
                <w:szCs w:val="20"/>
              </w:rPr>
              <w:t>Year 2</w:t>
            </w:r>
          </w:p>
          <w:p w14:paraId="19F3F21C" w14:textId="0E32F569" w:rsidR="00E9288F" w:rsidRPr="006474B2" w:rsidRDefault="00E9288F" w:rsidP="006474B2">
            <w:pPr>
              <w:spacing w:after="0"/>
              <w:rPr>
                <w:rFonts w:ascii="Calibri" w:eastAsia="Times New Roman" w:hAnsi="Calibri" w:cs="Times New Roman"/>
                <w:sz w:val="20"/>
                <w:szCs w:val="20"/>
              </w:rPr>
            </w:pPr>
            <w:r w:rsidRPr="006474B2">
              <w:rPr>
                <w:rFonts w:ascii="Calibri" w:eastAsia="Times New Roman" w:hAnsi="Calibri" w:cs="Times New Roman"/>
                <w:sz w:val="20"/>
                <w:szCs w:val="20"/>
              </w:rPr>
              <w:t>(Dec 2014 – Nov 2015)</w:t>
            </w:r>
          </w:p>
        </w:tc>
        <w:tc>
          <w:tcPr>
            <w:tcW w:w="2410" w:type="dxa"/>
            <w:tcBorders>
              <w:top w:val="nil"/>
              <w:left w:val="single" w:sz="4" w:space="0" w:color="auto"/>
              <w:bottom w:val="single" w:sz="8" w:space="0" w:color="000000"/>
              <w:right w:val="single" w:sz="8" w:space="0" w:color="auto"/>
            </w:tcBorders>
            <w:shd w:val="clear" w:color="auto" w:fill="auto"/>
            <w:vAlign w:val="center"/>
            <w:hideMark/>
          </w:tcPr>
          <w:p w14:paraId="3E9BEB72" w14:textId="1979B1FF" w:rsidR="00E9288F" w:rsidRPr="006474B2" w:rsidRDefault="00E9288F" w:rsidP="006474B2">
            <w:pPr>
              <w:spacing w:after="0"/>
              <w:jc w:val="right"/>
              <w:rPr>
                <w:rFonts w:ascii="Calibri" w:eastAsia="Times New Roman" w:hAnsi="Calibri" w:cs="Times New Roman"/>
                <w:sz w:val="20"/>
                <w:szCs w:val="20"/>
              </w:rPr>
            </w:pPr>
            <w:r w:rsidRPr="006474B2">
              <w:rPr>
                <w:rFonts w:ascii="Calibri" w:eastAsia="Times New Roman" w:hAnsi="Calibri" w:cs="Times New Roman"/>
                <w:sz w:val="20"/>
                <w:szCs w:val="20"/>
              </w:rPr>
              <w:t>11,998</w:t>
            </w:r>
          </w:p>
        </w:tc>
      </w:tr>
    </w:tbl>
    <w:p w14:paraId="533965CD" w14:textId="13BD80BB" w:rsidR="00E9288F" w:rsidRDefault="00E9288F" w:rsidP="00295016">
      <w:pPr>
        <w:pStyle w:val="Figurecaption"/>
        <w:spacing w:before="0" w:after="0"/>
      </w:pPr>
      <w:r w:rsidRPr="00071894">
        <w:t>Prescriptions by date of supply.</w:t>
      </w:r>
      <w:r>
        <w:t xml:space="preserve"> </w:t>
      </w:r>
      <w:r w:rsidRPr="00071894">
        <w:t>Source: DUSC database accessed July 2016.</w:t>
      </w:r>
    </w:p>
    <w:p w14:paraId="09F9D349" w14:textId="6196FAB3" w:rsidR="00E9288F" w:rsidRPr="005E22C2" w:rsidRDefault="00E9288F" w:rsidP="00CF5E22">
      <w:pPr>
        <w:pStyle w:val="Heading3"/>
      </w:pPr>
      <w:r>
        <w:lastRenderedPageBreak/>
        <w:t xml:space="preserve">Patients initiating and prevalent to rifaximin therapy </w:t>
      </w:r>
    </w:p>
    <w:p w14:paraId="1FE476B6" w14:textId="1A479475" w:rsidR="00E9288F" w:rsidRDefault="00E9288F" w:rsidP="00CF5E22">
      <w:pPr>
        <w:pStyle w:val="Heading3"/>
      </w:pPr>
      <w:r>
        <w:rPr>
          <w:b w:val="0"/>
          <w:i w:val="0"/>
          <w:szCs w:val="24"/>
        </w:rPr>
        <w:t xml:space="preserve">Table 4 shows the number of patients supplied rifaximin in the first two years of PBS/RPBS listing.  </w:t>
      </w:r>
    </w:p>
    <w:p w14:paraId="27D5AB9E" w14:textId="3FE71CD9" w:rsidR="00E9288F" w:rsidRDefault="00E9288F" w:rsidP="00D74BC7">
      <w:pPr>
        <w:pStyle w:val="Heading3"/>
        <w:spacing w:before="0" w:after="0"/>
        <w:rPr>
          <w:i w:val="0"/>
        </w:rPr>
      </w:pPr>
      <w:r>
        <w:rPr>
          <w:i w:val="0"/>
        </w:rPr>
        <w:t>Table 4: Number of patients initiating and prevalent to rifaximin therapy by listing years</w:t>
      </w:r>
    </w:p>
    <w:tbl>
      <w:tblPr>
        <w:tblStyle w:val="TableGrid"/>
        <w:tblW w:w="0" w:type="auto"/>
        <w:tblLook w:val="04A0" w:firstRow="1" w:lastRow="0" w:firstColumn="1" w:lastColumn="0" w:noHBand="0" w:noVBand="1"/>
        <w:tblCaption w:val="Number of patients initiating and prevalent to rifaximin therapy by listing years"/>
        <w:tblDescription w:val="Table has three columns: listing years (December 2013 to November 2014 and December 2014 to November 2015), new patients and total patients. "/>
      </w:tblPr>
      <w:tblGrid>
        <w:gridCol w:w="2376"/>
        <w:gridCol w:w="1985"/>
        <w:gridCol w:w="1984"/>
      </w:tblGrid>
      <w:tr w:rsidR="00E9288F" w14:paraId="3DEF1C3A" w14:textId="77777777" w:rsidTr="009B49C2">
        <w:trPr>
          <w:tblHeader/>
        </w:trPr>
        <w:tc>
          <w:tcPr>
            <w:tcW w:w="2376" w:type="dxa"/>
            <w:shd w:val="clear" w:color="auto" w:fill="BFBFBF" w:themeFill="background1" w:themeFillShade="BF"/>
          </w:tcPr>
          <w:p w14:paraId="798096A1" w14:textId="77777777" w:rsidR="00E9288F" w:rsidRPr="0042257F" w:rsidRDefault="00E9288F" w:rsidP="0042257F">
            <w:pPr>
              <w:pStyle w:val="Figurecaption"/>
              <w:spacing w:before="0" w:after="0"/>
              <w:rPr>
                <w:b/>
              </w:rPr>
            </w:pPr>
            <w:r>
              <w:rPr>
                <w:b/>
              </w:rPr>
              <w:t>Listing year</w:t>
            </w:r>
          </w:p>
        </w:tc>
        <w:tc>
          <w:tcPr>
            <w:tcW w:w="1985" w:type="dxa"/>
            <w:shd w:val="clear" w:color="auto" w:fill="BFBFBF" w:themeFill="background1" w:themeFillShade="BF"/>
          </w:tcPr>
          <w:p w14:paraId="551F892F" w14:textId="77777777" w:rsidR="00E9288F" w:rsidRPr="0042257F" w:rsidRDefault="00E9288F" w:rsidP="0042257F">
            <w:pPr>
              <w:pStyle w:val="Figurecaption"/>
              <w:spacing w:before="0" w:after="0"/>
              <w:jc w:val="center"/>
              <w:rPr>
                <w:b/>
              </w:rPr>
            </w:pPr>
            <w:r w:rsidRPr="0042257F">
              <w:rPr>
                <w:b/>
              </w:rPr>
              <w:t>New patients (initiators)</w:t>
            </w:r>
          </w:p>
        </w:tc>
        <w:tc>
          <w:tcPr>
            <w:tcW w:w="1984" w:type="dxa"/>
            <w:shd w:val="clear" w:color="auto" w:fill="BFBFBF" w:themeFill="background1" w:themeFillShade="BF"/>
          </w:tcPr>
          <w:p w14:paraId="35DEC317" w14:textId="77777777" w:rsidR="00E9288F" w:rsidRPr="0042257F" w:rsidRDefault="00E9288F" w:rsidP="0042257F">
            <w:pPr>
              <w:pStyle w:val="Figurecaption"/>
              <w:spacing w:before="0" w:after="0"/>
              <w:jc w:val="center"/>
              <w:rPr>
                <w:b/>
              </w:rPr>
            </w:pPr>
            <w:r w:rsidRPr="0042257F">
              <w:rPr>
                <w:b/>
              </w:rPr>
              <w:t>Total patients (prevalent)</w:t>
            </w:r>
          </w:p>
        </w:tc>
      </w:tr>
      <w:tr w:rsidR="00E9288F" w14:paraId="226DF3FF" w14:textId="77777777" w:rsidTr="00D726B4">
        <w:tc>
          <w:tcPr>
            <w:tcW w:w="2376" w:type="dxa"/>
          </w:tcPr>
          <w:p w14:paraId="191AB2DE" w14:textId="77777777" w:rsidR="00E9288F" w:rsidRPr="0042257F" w:rsidRDefault="00E9288F" w:rsidP="0042257F">
            <w:pPr>
              <w:pStyle w:val="Figurecaption"/>
              <w:spacing w:before="0" w:after="0"/>
            </w:pPr>
            <w:r w:rsidRPr="0042257F">
              <w:t>Year 1</w:t>
            </w:r>
          </w:p>
          <w:p w14:paraId="304CA14D" w14:textId="77777777" w:rsidR="00E9288F" w:rsidRPr="0042257F" w:rsidRDefault="00E9288F" w:rsidP="0042257F">
            <w:pPr>
              <w:pStyle w:val="Figurecaption"/>
              <w:spacing w:before="0" w:after="0"/>
            </w:pPr>
            <w:r w:rsidRPr="0042257F">
              <w:t>(Dec 2013 – Nov 2014)</w:t>
            </w:r>
          </w:p>
        </w:tc>
        <w:tc>
          <w:tcPr>
            <w:tcW w:w="1985" w:type="dxa"/>
            <w:vAlign w:val="center"/>
          </w:tcPr>
          <w:p w14:paraId="06D4D8B9" w14:textId="77777777" w:rsidR="00E9288F" w:rsidRPr="00545467" w:rsidRDefault="00E9288F" w:rsidP="00D726B4">
            <w:pPr>
              <w:pStyle w:val="Figurecaption"/>
              <w:spacing w:before="0" w:after="0"/>
              <w:jc w:val="right"/>
            </w:pPr>
            <w:r>
              <w:t>1,297</w:t>
            </w:r>
          </w:p>
        </w:tc>
        <w:tc>
          <w:tcPr>
            <w:tcW w:w="1984" w:type="dxa"/>
            <w:vAlign w:val="center"/>
          </w:tcPr>
          <w:p w14:paraId="2E8AEB34" w14:textId="77777777" w:rsidR="00E9288F" w:rsidRPr="00545467" w:rsidRDefault="00E9288F" w:rsidP="00D726B4">
            <w:pPr>
              <w:pStyle w:val="Figurecaption"/>
              <w:spacing w:before="0" w:after="0"/>
              <w:jc w:val="right"/>
            </w:pPr>
            <w:r>
              <w:t>1,297</w:t>
            </w:r>
          </w:p>
        </w:tc>
      </w:tr>
      <w:tr w:rsidR="00E9288F" w14:paraId="167044AB" w14:textId="77777777" w:rsidTr="00D726B4">
        <w:tc>
          <w:tcPr>
            <w:tcW w:w="2376" w:type="dxa"/>
          </w:tcPr>
          <w:p w14:paraId="6F3649C3" w14:textId="77777777" w:rsidR="00E9288F" w:rsidRPr="0042257F" w:rsidRDefault="00E9288F" w:rsidP="0042257F">
            <w:pPr>
              <w:pStyle w:val="Figurecaption"/>
              <w:spacing w:before="0" w:after="0"/>
            </w:pPr>
            <w:r w:rsidRPr="0042257F">
              <w:t>Year 2</w:t>
            </w:r>
          </w:p>
          <w:p w14:paraId="10B8ACA9" w14:textId="77777777" w:rsidR="00E9288F" w:rsidRPr="0042257F" w:rsidRDefault="00E9288F" w:rsidP="0042257F">
            <w:pPr>
              <w:pStyle w:val="Figurecaption"/>
              <w:spacing w:before="0" w:after="0"/>
            </w:pPr>
            <w:r w:rsidRPr="0042257F">
              <w:t>(Dec 2014 – Nov 2015)</w:t>
            </w:r>
          </w:p>
        </w:tc>
        <w:tc>
          <w:tcPr>
            <w:tcW w:w="1985" w:type="dxa"/>
            <w:vAlign w:val="center"/>
          </w:tcPr>
          <w:p w14:paraId="17C49BC0" w14:textId="77777777" w:rsidR="00E9288F" w:rsidRPr="00545467" w:rsidRDefault="00E9288F" w:rsidP="00D726B4">
            <w:pPr>
              <w:pStyle w:val="Figurecaption"/>
              <w:spacing w:before="0" w:after="0"/>
              <w:jc w:val="right"/>
            </w:pPr>
            <w:r>
              <w:t>1,191</w:t>
            </w:r>
          </w:p>
        </w:tc>
        <w:tc>
          <w:tcPr>
            <w:tcW w:w="1984" w:type="dxa"/>
            <w:vAlign w:val="center"/>
          </w:tcPr>
          <w:p w14:paraId="6C97CBBF" w14:textId="77777777" w:rsidR="00E9288F" w:rsidRPr="00545467" w:rsidRDefault="00E9288F" w:rsidP="00D726B4">
            <w:pPr>
              <w:pStyle w:val="Figurecaption"/>
              <w:spacing w:before="0" w:after="0"/>
              <w:jc w:val="right"/>
            </w:pPr>
            <w:r>
              <w:t>1,977</w:t>
            </w:r>
          </w:p>
        </w:tc>
      </w:tr>
    </w:tbl>
    <w:p w14:paraId="1D498859" w14:textId="77777777" w:rsidR="00E9288F" w:rsidRDefault="00E9288F" w:rsidP="0042257F">
      <w:pPr>
        <w:spacing w:after="0"/>
        <w:rPr>
          <w:sz w:val="20"/>
          <w:szCs w:val="20"/>
        </w:rPr>
      </w:pPr>
      <w:r w:rsidRPr="00D74BC7">
        <w:rPr>
          <w:sz w:val="20"/>
          <w:szCs w:val="20"/>
        </w:rPr>
        <w:t xml:space="preserve">Rifaximin </w:t>
      </w:r>
      <w:r>
        <w:rPr>
          <w:sz w:val="20"/>
          <w:szCs w:val="20"/>
        </w:rPr>
        <w:t xml:space="preserve">PBS </w:t>
      </w:r>
      <w:r w:rsidRPr="00D74BC7">
        <w:rPr>
          <w:sz w:val="20"/>
          <w:szCs w:val="20"/>
        </w:rPr>
        <w:t>listed 1 December 2013</w:t>
      </w:r>
      <w:r>
        <w:rPr>
          <w:sz w:val="20"/>
          <w:szCs w:val="20"/>
        </w:rPr>
        <w:t xml:space="preserve">. </w:t>
      </w:r>
      <w:r w:rsidRPr="00D74BC7">
        <w:rPr>
          <w:sz w:val="20"/>
          <w:szCs w:val="20"/>
        </w:rPr>
        <w:t>Source: DHS supplied prescription database accessed August 2016.</w:t>
      </w:r>
    </w:p>
    <w:p w14:paraId="3B9639E7" w14:textId="77777777" w:rsidR="00E9288F" w:rsidRDefault="00E9288F" w:rsidP="00D74BC7">
      <w:pPr>
        <w:spacing w:after="0"/>
      </w:pPr>
    </w:p>
    <w:p w14:paraId="2B0782A5" w14:textId="6800513C" w:rsidR="00E9288F" w:rsidRDefault="00E9288F" w:rsidP="00D74BC7">
      <w:pPr>
        <w:spacing w:after="0"/>
        <w:rPr>
          <w:b/>
          <w:i/>
        </w:rPr>
      </w:pPr>
      <w:r>
        <w:t>The number of patients supplied rifaximin grew from year 1 to year 2, while the number of new patients each year was similar.</w:t>
      </w:r>
    </w:p>
    <w:p w14:paraId="0783A288" w14:textId="0C0AEFB3" w:rsidR="00E9288F" w:rsidRDefault="00E9288F" w:rsidP="00CF5E22">
      <w:pPr>
        <w:pStyle w:val="Heading3"/>
      </w:pPr>
      <w:r>
        <w:t>Analysis by prescriber type</w:t>
      </w:r>
    </w:p>
    <w:p w14:paraId="204A83EE" w14:textId="77777777" w:rsidR="00E9288F" w:rsidRDefault="00E9288F" w:rsidP="00ED2446">
      <w:r>
        <w:t>When recommending rifaximin for listing, t</w:t>
      </w:r>
      <w:r w:rsidRPr="002C1413">
        <w:t>he PBAC noted the need for prescribing to be managed principally by specialists in this therapeutic area</w:t>
      </w:r>
      <w:r>
        <w:t>,</w:t>
      </w:r>
      <w:r w:rsidRPr="002C1413">
        <w:t xml:space="preserve"> but acknowledged the difficulties for patients with limited access to these specialists. Therefore, the PBAC considered that the restriction should </w:t>
      </w:r>
      <w:r>
        <w:t>allow prescribing</w:t>
      </w:r>
      <w:r w:rsidRPr="002C1413">
        <w:t xml:space="preserve"> ‘</w:t>
      </w:r>
      <w:r>
        <w:t xml:space="preserve">by or </w:t>
      </w:r>
      <w:r w:rsidRPr="002C1413">
        <w:t xml:space="preserve">in consultation with’ appropriate specialists (hepatologists and gastroenterologists). </w:t>
      </w:r>
    </w:p>
    <w:p w14:paraId="22CB75F3" w14:textId="5128AD84" w:rsidR="00E9288F" w:rsidRPr="00ED2446" w:rsidRDefault="00E9288F" w:rsidP="00ED2446">
      <w:r w:rsidRPr="00ED2446">
        <w:t>For</w:t>
      </w:r>
      <w:r>
        <w:t xml:space="preserve"> more than half of patients new to rifaximin, their first prescription was written by a general practitioner (Figure 2). There was little difference in the proportion of first prescriptions written by general practitioners and specialists by listing year.</w:t>
      </w:r>
      <w:r w:rsidRPr="00ED2446">
        <w:t xml:space="preserve"> </w:t>
      </w:r>
    </w:p>
    <w:p w14:paraId="3333A1EC" w14:textId="15F53072" w:rsidR="00E9288F" w:rsidRDefault="00E9288F" w:rsidP="00880B43">
      <w:pPr>
        <w:spacing w:after="0"/>
        <w:rPr>
          <w:b/>
        </w:rPr>
      </w:pPr>
      <w:r>
        <w:rPr>
          <w:noProof/>
        </w:rPr>
        <w:lastRenderedPageBreak/>
        <w:drawing>
          <wp:inline distT="0" distB="0" distL="0" distR="0" wp14:anchorId="7A503A9C" wp14:editId="14BA8961">
            <wp:extent cx="5687695" cy="3703686"/>
            <wp:effectExtent l="0" t="0" r="27305" b="11430"/>
            <wp:docPr id="5" name="Chart 5" descr="Two columns, one for each listing year, depicting the percentage of initiating patients initiated by gastroenterologists/hepatologists, GPs or other specialists " title="Number of patients initiating rifaximin by prescriber type and listing ye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55437D" w14:textId="121C78EC" w:rsidR="00E9288F" w:rsidRPr="00F52264" w:rsidRDefault="00E9288F" w:rsidP="00880B43">
      <w:pPr>
        <w:spacing w:after="0"/>
        <w:rPr>
          <w:b/>
        </w:rPr>
      </w:pPr>
      <w:r>
        <w:rPr>
          <w:b/>
        </w:rPr>
        <w:t>Figure 2: Number of patients initiating rifaximin by prescriber type and listing years</w:t>
      </w:r>
    </w:p>
    <w:p w14:paraId="64618291" w14:textId="64171A94" w:rsidR="00E9288F" w:rsidRDefault="00E9288F" w:rsidP="00880B43">
      <w:pPr>
        <w:spacing w:after="0"/>
        <w:rPr>
          <w:sz w:val="20"/>
          <w:szCs w:val="20"/>
        </w:rPr>
      </w:pPr>
      <w:r>
        <w:rPr>
          <w:sz w:val="20"/>
          <w:szCs w:val="20"/>
        </w:rPr>
        <w:t xml:space="preserve">Rifaximin PBS listed 1 December 2013. Source: DHS supplied prescription database accessed August 2016. </w:t>
      </w:r>
    </w:p>
    <w:p w14:paraId="071A25E5" w14:textId="77777777" w:rsidR="00E9288F" w:rsidRPr="00871EE9" w:rsidRDefault="00E9288F" w:rsidP="00F52264">
      <w:pPr>
        <w:spacing w:after="0"/>
      </w:pPr>
    </w:p>
    <w:p w14:paraId="1DA87322" w14:textId="77777777" w:rsidR="00381558" w:rsidRDefault="00381558">
      <w:pPr>
        <w:spacing w:line="276" w:lineRule="auto"/>
        <w:rPr>
          <w:b/>
          <w:i/>
        </w:rPr>
      </w:pPr>
      <w:r>
        <w:rPr>
          <w:b/>
          <w:i/>
        </w:rPr>
        <w:br w:type="page"/>
      </w:r>
    </w:p>
    <w:p w14:paraId="55A01883" w14:textId="733A4650" w:rsidR="00E9288F" w:rsidRDefault="00E9288F" w:rsidP="00776E20">
      <w:pPr>
        <w:spacing w:after="0"/>
        <w:rPr>
          <w:b/>
          <w:i/>
        </w:rPr>
      </w:pPr>
      <w:r>
        <w:rPr>
          <w:b/>
          <w:i/>
        </w:rPr>
        <w:lastRenderedPageBreak/>
        <w:t>Time to resupply</w:t>
      </w:r>
    </w:p>
    <w:p w14:paraId="0F92CC51" w14:textId="77777777" w:rsidR="00E9288F" w:rsidRPr="00776E20" w:rsidRDefault="00E9288F" w:rsidP="00F52264">
      <w:pPr>
        <w:spacing w:after="0"/>
        <w:rPr>
          <w:b/>
        </w:rPr>
      </w:pPr>
    </w:p>
    <w:p w14:paraId="0DB50590" w14:textId="78808764" w:rsidR="00E9288F" w:rsidRPr="00776E20" w:rsidRDefault="00E9288F" w:rsidP="00F52264">
      <w:pPr>
        <w:spacing w:after="0"/>
      </w:pPr>
      <w:r w:rsidRPr="00776E20">
        <w:t xml:space="preserve">Figure </w:t>
      </w:r>
      <w:r>
        <w:t>3</w:t>
      </w:r>
      <w:r w:rsidRPr="00776E20">
        <w:t xml:space="preserve"> shows the distribution of time to resupply for a cohort of rifaximin patients who were supplied their first rifaximin prescription between October 2014 and March 2015 inclusive.</w:t>
      </w:r>
    </w:p>
    <w:p w14:paraId="74A31963" w14:textId="77777777" w:rsidR="00E9288F" w:rsidRDefault="00E9288F" w:rsidP="00F52264">
      <w:pPr>
        <w:spacing w:after="0"/>
        <w:rPr>
          <w:b/>
          <w:i/>
        </w:rPr>
      </w:pPr>
    </w:p>
    <w:p w14:paraId="3912F5E2" w14:textId="64368A43" w:rsidR="00E9288F" w:rsidRDefault="00E9288F" w:rsidP="00F52264">
      <w:pPr>
        <w:spacing w:after="0"/>
        <w:rPr>
          <w:b/>
          <w:i/>
        </w:rPr>
      </w:pPr>
      <w:r>
        <w:rPr>
          <w:noProof/>
        </w:rPr>
        <w:drawing>
          <wp:inline distT="0" distB="0" distL="0" distR="0" wp14:anchorId="1B630F2C" wp14:editId="090CEF91">
            <wp:extent cx="5687695" cy="3230319"/>
            <wp:effectExtent l="0" t="0" r="27305" b="27305"/>
            <wp:docPr id="2" name="Chart 2" descr="The frequency of prescriptions and days between re-supply indicates that the peak was at 28 days" title="Distribution of time to resupply for patients who were supplied their first rifaximin prescription between October 2014 and March 2015 inclusiv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601FE41" w14:textId="28FAEC72" w:rsidR="00E9288F" w:rsidRPr="00F52264" w:rsidRDefault="00E9288F" w:rsidP="008A0A03">
      <w:pPr>
        <w:spacing w:after="0"/>
        <w:rPr>
          <w:b/>
        </w:rPr>
      </w:pPr>
      <w:r>
        <w:rPr>
          <w:b/>
        </w:rPr>
        <w:t xml:space="preserve">Figure 3: Distribution of time to resupply for patients who were supplied their first rifaximin prescription between October 2014 and March 2015 inclusive </w:t>
      </w:r>
    </w:p>
    <w:p w14:paraId="3583D031" w14:textId="63337227" w:rsidR="00E9288F" w:rsidRDefault="00E9288F" w:rsidP="008A0A03">
      <w:pPr>
        <w:spacing w:after="0"/>
        <w:rPr>
          <w:sz w:val="20"/>
          <w:szCs w:val="20"/>
        </w:rPr>
      </w:pPr>
      <w:r>
        <w:rPr>
          <w:sz w:val="20"/>
          <w:szCs w:val="20"/>
        </w:rPr>
        <w:t xml:space="preserve">Source: DHS supplied prescription database accessed September 2016. </w:t>
      </w:r>
    </w:p>
    <w:p w14:paraId="68B58147" w14:textId="77777777" w:rsidR="00E9288F" w:rsidRDefault="00E9288F" w:rsidP="00F52264">
      <w:pPr>
        <w:spacing w:after="0"/>
        <w:rPr>
          <w:b/>
        </w:rPr>
      </w:pPr>
    </w:p>
    <w:p w14:paraId="162D69EC" w14:textId="0569CE41" w:rsidR="00E9288F" w:rsidRDefault="00E9288F" w:rsidP="00F52264">
      <w:pPr>
        <w:spacing w:after="0"/>
        <w:rPr>
          <w:b/>
        </w:rPr>
      </w:pPr>
      <w:r>
        <w:t xml:space="preserve">While there was a peak in re-supply at 28 days, which correlates with the pack size of 56 and recommended dose of twice daily, there was spread evident in the distribution of time to resupply. </w:t>
      </w:r>
      <w:r w:rsidRPr="009B4F54">
        <w:t>Of the 18,141 prescriptions supplied in the study period, 6.4% were resupplied in less than five days, 10.6% were resupplied in 5 to 19 days, 60.2% were resupplied in 20</w:t>
      </w:r>
      <w:r>
        <w:t> </w:t>
      </w:r>
      <w:r w:rsidRPr="009B4F54">
        <w:t>to 35 days and 22.8% were resupplied in 36 or more days.</w:t>
      </w:r>
      <w:r>
        <w:t xml:space="preserve">  </w:t>
      </w:r>
    </w:p>
    <w:p w14:paraId="276FC35C" w14:textId="67453024" w:rsidR="00E9288F" w:rsidRDefault="00E9288F" w:rsidP="00F52264">
      <w:pPr>
        <w:spacing w:after="0"/>
        <w:rPr>
          <w:b/>
        </w:rPr>
      </w:pPr>
    </w:p>
    <w:p w14:paraId="2D2671D4" w14:textId="26679848" w:rsidR="00E9288F" w:rsidRDefault="00E9288F" w:rsidP="00FB040B">
      <w:pPr>
        <w:spacing w:after="0"/>
        <w:rPr>
          <w:b/>
          <w:i/>
        </w:rPr>
      </w:pPr>
      <w:r>
        <w:rPr>
          <w:b/>
          <w:i/>
        </w:rPr>
        <w:t xml:space="preserve">Prescriptions per patient </w:t>
      </w:r>
    </w:p>
    <w:p w14:paraId="77CA7639" w14:textId="77777777" w:rsidR="00E9288F" w:rsidRDefault="00E9288F" w:rsidP="00F52264">
      <w:pPr>
        <w:spacing w:after="0"/>
        <w:rPr>
          <w:b/>
        </w:rPr>
      </w:pPr>
    </w:p>
    <w:p w14:paraId="283139BF" w14:textId="2F7FB327" w:rsidR="00E9288F" w:rsidRPr="00FB040B" w:rsidRDefault="00E9288F" w:rsidP="00F52264">
      <w:pPr>
        <w:spacing w:after="0"/>
      </w:pPr>
      <w:r w:rsidRPr="00FB040B">
        <w:t xml:space="preserve">Table </w:t>
      </w:r>
      <w:r>
        <w:t>5</w:t>
      </w:r>
      <w:r w:rsidRPr="00FB040B">
        <w:t xml:space="preserve"> shows the median and mean number of prescriptions per patient per year</w:t>
      </w:r>
      <w:r>
        <w:t xml:space="preserve"> for a cohort of patients </w:t>
      </w:r>
      <w:r w:rsidRPr="00FB040B">
        <w:t xml:space="preserve">who were supplied their first PBS/RPBS rifaximin prescription </w:t>
      </w:r>
      <w:r>
        <w:t xml:space="preserve">in </w:t>
      </w:r>
      <w:r w:rsidRPr="00FB040B">
        <w:t>Oct</w:t>
      </w:r>
      <w:r>
        <w:t>ober </w:t>
      </w:r>
      <w:r w:rsidRPr="00FB040B">
        <w:t>2014 to Mar</w:t>
      </w:r>
      <w:r>
        <w:t>ch</w:t>
      </w:r>
      <w:r w:rsidRPr="00FB040B">
        <w:t xml:space="preserve"> 2015</w:t>
      </w:r>
      <w:r>
        <w:t xml:space="preserve"> inclusive. Each patient was followed up in the data </w:t>
      </w:r>
      <w:r w:rsidRPr="00FB040B">
        <w:t>for 12</w:t>
      </w:r>
      <w:r>
        <w:t> </w:t>
      </w:r>
      <w:r w:rsidRPr="00FB040B">
        <w:t>months from the</w:t>
      </w:r>
      <w:r>
        <w:t>ir</w:t>
      </w:r>
      <w:r w:rsidRPr="00FB040B">
        <w:t xml:space="preserve"> date of initiation</w:t>
      </w:r>
      <w:r>
        <w:t xml:space="preserve"> to rifaximin</w:t>
      </w:r>
      <w:r w:rsidRPr="00FB040B">
        <w:t>.</w:t>
      </w:r>
    </w:p>
    <w:p w14:paraId="03811D39" w14:textId="77777777" w:rsidR="00E9288F" w:rsidRPr="00FB040B" w:rsidRDefault="00E9288F" w:rsidP="00F52264">
      <w:pPr>
        <w:spacing w:after="0"/>
      </w:pPr>
    </w:p>
    <w:p w14:paraId="3011CE05" w14:textId="3EE23BAD" w:rsidR="00E9288F" w:rsidRPr="00FB040B" w:rsidRDefault="00E9288F" w:rsidP="00F52264">
      <w:pPr>
        <w:spacing w:after="0"/>
        <w:rPr>
          <w:b/>
        </w:rPr>
      </w:pPr>
      <w:r>
        <w:rPr>
          <w:b/>
        </w:rPr>
        <w:t xml:space="preserve">Table 5: Prescriptions per patient per year </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2028"/>
        <w:gridCol w:w="2374"/>
        <w:gridCol w:w="2374"/>
      </w:tblGrid>
      <w:tr w:rsidR="00E9288F" w:rsidRPr="00776E20" w14:paraId="3A8A6DAB" w14:textId="77777777" w:rsidTr="00381558">
        <w:trPr>
          <w:trHeight w:val="300"/>
        </w:trPr>
        <w:tc>
          <w:tcPr>
            <w:tcW w:w="2028" w:type="dxa"/>
            <w:shd w:val="clear" w:color="auto" w:fill="BFBFBF" w:themeFill="background1" w:themeFillShade="BF"/>
            <w:noWrap/>
            <w:vAlign w:val="bottom"/>
            <w:hideMark/>
          </w:tcPr>
          <w:p w14:paraId="6E8321C4" w14:textId="650799A6" w:rsidR="00E9288F" w:rsidRPr="00FB040B" w:rsidRDefault="00E9288F" w:rsidP="00D44C74">
            <w:pPr>
              <w:spacing w:after="0"/>
              <w:jc w:val="center"/>
              <w:rPr>
                <w:rFonts w:ascii="Calibri" w:eastAsia="Times New Roman" w:hAnsi="Calibri" w:cs="Times New Roman"/>
                <w:b/>
                <w:sz w:val="20"/>
                <w:szCs w:val="22"/>
              </w:rPr>
            </w:pPr>
            <w:r w:rsidRPr="00FB040B">
              <w:rPr>
                <w:rFonts w:ascii="Calibri" w:eastAsia="Times New Roman" w:hAnsi="Calibri" w:cs="Times New Roman"/>
                <w:b/>
                <w:sz w:val="20"/>
                <w:szCs w:val="22"/>
              </w:rPr>
              <w:t>Number of patient</w:t>
            </w:r>
            <w:r w:rsidR="00D44C74">
              <w:rPr>
                <w:rFonts w:ascii="Calibri" w:eastAsia="Times New Roman" w:hAnsi="Calibri" w:cs="Times New Roman"/>
                <w:b/>
                <w:sz w:val="20"/>
                <w:szCs w:val="22"/>
              </w:rPr>
              <w:t xml:space="preserve"> records</w:t>
            </w:r>
            <w:r w:rsidRPr="00FB040B">
              <w:rPr>
                <w:rFonts w:ascii="Calibri" w:eastAsia="Times New Roman" w:hAnsi="Calibri" w:cs="Times New Roman"/>
                <w:b/>
                <w:sz w:val="20"/>
                <w:szCs w:val="22"/>
              </w:rPr>
              <w:t xml:space="preserve"> in cohort</w:t>
            </w:r>
          </w:p>
        </w:tc>
        <w:tc>
          <w:tcPr>
            <w:tcW w:w="2028" w:type="dxa"/>
            <w:shd w:val="clear" w:color="auto" w:fill="BFBFBF" w:themeFill="background1" w:themeFillShade="BF"/>
            <w:noWrap/>
            <w:vAlign w:val="bottom"/>
            <w:hideMark/>
          </w:tcPr>
          <w:p w14:paraId="37B357E9" w14:textId="457AEFB8" w:rsidR="00E9288F" w:rsidRPr="00FB040B" w:rsidRDefault="00E9288F" w:rsidP="00FB040B">
            <w:pPr>
              <w:spacing w:after="0"/>
              <w:jc w:val="center"/>
              <w:rPr>
                <w:rFonts w:ascii="Calibri" w:eastAsia="Times New Roman" w:hAnsi="Calibri" w:cs="Times New Roman"/>
                <w:b/>
                <w:sz w:val="20"/>
                <w:szCs w:val="22"/>
              </w:rPr>
            </w:pPr>
            <w:r w:rsidRPr="00FB040B">
              <w:rPr>
                <w:rFonts w:ascii="Calibri" w:eastAsia="Times New Roman" w:hAnsi="Calibri" w:cs="Times New Roman"/>
                <w:b/>
                <w:sz w:val="20"/>
                <w:szCs w:val="22"/>
              </w:rPr>
              <w:t>Mean prescriptions per patient per year</w:t>
            </w:r>
          </w:p>
        </w:tc>
        <w:tc>
          <w:tcPr>
            <w:tcW w:w="2374" w:type="dxa"/>
            <w:shd w:val="clear" w:color="auto" w:fill="BFBFBF" w:themeFill="background1" w:themeFillShade="BF"/>
            <w:noWrap/>
            <w:vAlign w:val="bottom"/>
            <w:hideMark/>
          </w:tcPr>
          <w:p w14:paraId="76405B49" w14:textId="64AC9EE1" w:rsidR="00E9288F" w:rsidRPr="00FB040B" w:rsidRDefault="00E9288F" w:rsidP="00FB040B">
            <w:pPr>
              <w:spacing w:after="0"/>
              <w:jc w:val="center"/>
              <w:rPr>
                <w:rFonts w:ascii="Calibri" w:eastAsia="Times New Roman" w:hAnsi="Calibri" w:cs="Times New Roman"/>
                <w:b/>
                <w:sz w:val="20"/>
                <w:szCs w:val="22"/>
              </w:rPr>
            </w:pPr>
            <w:r w:rsidRPr="00FB040B">
              <w:rPr>
                <w:rFonts w:ascii="Calibri" w:eastAsia="Times New Roman" w:hAnsi="Calibri" w:cs="Times New Roman"/>
                <w:b/>
                <w:sz w:val="20"/>
                <w:szCs w:val="22"/>
              </w:rPr>
              <w:t>Median prescriptions patient per year</w:t>
            </w:r>
          </w:p>
        </w:tc>
        <w:tc>
          <w:tcPr>
            <w:tcW w:w="2374" w:type="dxa"/>
            <w:shd w:val="clear" w:color="auto" w:fill="BFBFBF" w:themeFill="background1" w:themeFillShade="BF"/>
            <w:noWrap/>
            <w:vAlign w:val="bottom"/>
            <w:hideMark/>
          </w:tcPr>
          <w:p w14:paraId="1DFAF0F7" w14:textId="6098E596" w:rsidR="00E9288F" w:rsidRPr="00FB040B" w:rsidRDefault="00E9288F" w:rsidP="00FB040B">
            <w:pPr>
              <w:spacing w:after="0"/>
              <w:jc w:val="center"/>
              <w:rPr>
                <w:rFonts w:ascii="Calibri" w:eastAsia="Times New Roman" w:hAnsi="Calibri" w:cs="Times New Roman"/>
                <w:b/>
                <w:sz w:val="20"/>
                <w:szCs w:val="22"/>
              </w:rPr>
            </w:pPr>
            <w:r w:rsidRPr="00FB040B">
              <w:rPr>
                <w:rFonts w:ascii="Calibri" w:eastAsia="Times New Roman" w:hAnsi="Calibri" w:cs="Times New Roman"/>
                <w:b/>
                <w:sz w:val="20"/>
                <w:szCs w:val="22"/>
              </w:rPr>
              <w:t>Maximum prescriptions per patient per year</w:t>
            </w:r>
          </w:p>
        </w:tc>
      </w:tr>
      <w:tr w:rsidR="00E9288F" w:rsidRPr="00776E20" w14:paraId="1F7DD99A" w14:textId="77777777" w:rsidTr="00FB040B">
        <w:trPr>
          <w:trHeight w:val="300"/>
        </w:trPr>
        <w:tc>
          <w:tcPr>
            <w:tcW w:w="2028" w:type="dxa"/>
            <w:shd w:val="clear" w:color="auto" w:fill="auto"/>
            <w:noWrap/>
            <w:vAlign w:val="bottom"/>
            <w:hideMark/>
          </w:tcPr>
          <w:p w14:paraId="6B9E0A44" w14:textId="6F9E6791" w:rsidR="00E9288F" w:rsidRPr="00FB040B" w:rsidRDefault="00E9288F" w:rsidP="00381558">
            <w:pPr>
              <w:spacing w:after="0"/>
              <w:jc w:val="right"/>
              <w:rPr>
                <w:rFonts w:ascii="Calibri" w:eastAsia="Times New Roman" w:hAnsi="Calibri" w:cs="Times New Roman"/>
                <w:sz w:val="20"/>
                <w:szCs w:val="22"/>
              </w:rPr>
            </w:pPr>
            <w:r w:rsidRPr="00FB040B">
              <w:rPr>
                <w:rFonts w:ascii="Calibri" w:eastAsia="Times New Roman" w:hAnsi="Calibri" w:cs="Times New Roman"/>
                <w:sz w:val="20"/>
                <w:szCs w:val="22"/>
              </w:rPr>
              <w:t>3</w:t>
            </w:r>
            <w:r w:rsidR="00D44C74">
              <w:rPr>
                <w:rFonts w:ascii="Calibri" w:eastAsia="Times New Roman" w:hAnsi="Calibri" w:cs="Times New Roman"/>
                <w:sz w:val="20"/>
                <w:szCs w:val="22"/>
              </w:rPr>
              <w:t>,</w:t>
            </w:r>
            <w:r w:rsidRPr="00FB040B">
              <w:rPr>
                <w:rFonts w:ascii="Calibri" w:eastAsia="Times New Roman" w:hAnsi="Calibri" w:cs="Times New Roman"/>
                <w:sz w:val="20"/>
                <w:szCs w:val="22"/>
              </w:rPr>
              <w:t>362</w:t>
            </w:r>
          </w:p>
        </w:tc>
        <w:tc>
          <w:tcPr>
            <w:tcW w:w="2028" w:type="dxa"/>
            <w:shd w:val="clear" w:color="auto" w:fill="auto"/>
            <w:noWrap/>
            <w:vAlign w:val="bottom"/>
            <w:hideMark/>
          </w:tcPr>
          <w:p w14:paraId="28FCC80B" w14:textId="093A1140" w:rsidR="00E9288F" w:rsidRPr="00FB040B" w:rsidRDefault="00E9288F" w:rsidP="00381558">
            <w:pPr>
              <w:spacing w:after="0"/>
              <w:jc w:val="right"/>
              <w:rPr>
                <w:rFonts w:ascii="Calibri" w:eastAsia="Times New Roman" w:hAnsi="Calibri" w:cs="Times New Roman"/>
                <w:sz w:val="20"/>
                <w:szCs w:val="22"/>
              </w:rPr>
            </w:pPr>
            <w:r w:rsidRPr="00FB040B">
              <w:rPr>
                <w:rFonts w:ascii="Calibri" w:eastAsia="Times New Roman" w:hAnsi="Calibri" w:cs="Times New Roman"/>
                <w:sz w:val="20"/>
                <w:szCs w:val="22"/>
              </w:rPr>
              <w:t>6</w:t>
            </w:r>
          </w:p>
        </w:tc>
        <w:tc>
          <w:tcPr>
            <w:tcW w:w="2374" w:type="dxa"/>
            <w:shd w:val="clear" w:color="auto" w:fill="auto"/>
            <w:noWrap/>
            <w:vAlign w:val="bottom"/>
            <w:hideMark/>
          </w:tcPr>
          <w:p w14:paraId="049312B6" w14:textId="77777777" w:rsidR="00E9288F" w:rsidRPr="00FB040B" w:rsidRDefault="00E9288F" w:rsidP="00381558">
            <w:pPr>
              <w:spacing w:after="0"/>
              <w:jc w:val="right"/>
              <w:rPr>
                <w:rFonts w:ascii="Calibri" w:eastAsia="Times New Roman" w:hAnsi="Calibri" w:cs="Times New Roman"/>
                <w:sz w:val="20"/>
                <w:szCs w:val="22"/>
              </w:rPr>
            </w:pPr>
            <w:r w:rsidRPr="00FB040B">
              <w:rPr>
                <w:rFonts w:ascii="Calibri" w:eastAsia="Times New Roman" w:hAnsi="Calibri" w:cs="Times New Roman"/>
                <w:sz w:val="20"/>
                <w:szCs w:val="22"/>
              </w:rPr>
              <w:t>5</w:t>
            </w:r>
          </w:p>
        </w:tc>
        <w:tc>
          <w:tcPr>
            <w:tcW w:w="2374" w:type="dxa"/>
            <w:shd w:val="clear" w:color="auto" w:fill="auto"/>
            <w:noWrap/>
            <w:vAlign w:val="bottom"/>
            <w:hideMark/>
          </w:tcPr>
          <w:p w14:paraId="194172E3" w14:textId="77777777" w:rsidR="00E9288F" w:rsidRPr="00FB040B" w:rsidRDefault="00E9288F" w:rsidP="00381558">
            <w:pPr>
              <w:spacing w:after="0"/>
              <w:jc w:val="right"/>
              <w:rPr>
                <w:rFonts w:ascii="Calibri" w:eastAsia="Times New Roman" w:hAnsi="Calibri" w:cs="Times New Roman"/>
                <w:sz w:val="20"/>
                <w:szCs w:val="22"/>
              </w:rPr>
            </w:pPr>
            <w:r w:rsidRPr="00FB040B">
              <w:rPr>
                <w:rFonts w:ascii="Calibri" w:eastAsia="Times New Roman" w:hAnsi="Calibri" w:cs="Times New Roman"/>
                <w:sz w:val="20"/>
                <w:szCs w:val="22"/>
              </w:rPr>
              <w:t>26</w:t>
            </w:r>
          </w:p>
        </w:tc>
      </w:tr>
    </w:tbl>
    <w:p w14:paraId="3B1DEE92" w14:textId="093C8537" w:rsidR="00E9288F" w:rsidRPr="00D44C74" w:rsidRDefault="00D44C74" w:rsidP="00F52264">
      <w:pPr>
        <w:spacing w:after="0"/>
        <w:rPr>
          <w:sz w:val="20"/>
          <w:szCs w:val="20"/>
        </w:rPr>
      </w:pPr>
      <w:r w:rsidRPr="00D44C74">
        <w:rPr>
          <w:iCs/>
          <w:sz w:val="20"/>
          <w:szCs w:val="20"/>
        </w:rPr>
        <w:t>Note: Based on 551 initiators commencing rifaximin between October 2014 and March 2015.</w:t>
      </w:r>
    </w:p>
    <w:p w14:paraId="0656390D" w14:textId="77777777" w:rsidR="00E9288F" w:rsidRDefault="00E9288F" w:rsidP="00F52264">
      <w:pPr>
        <w:spacing w:after="0"/>
        <w:rPr>
          <w:b/>
          <w:i/>
        </w:rPr>
      </w:pPr>
    </w:p>
    <w:p w14:paraId="4F8723A6" w14:textId="2F2BFCD5" w:rsidR="00E9288F" w:rsidRPr="00780C81" w:rsidRDefault="00E9288F" w:rsidP="00780C81">
      <w:pPr>
        <w:spacing w:line="276" w:lineRule="auto"/>
        <w:rPr>
          <w:b/>
          <w:sz w:val="28"/>
          <w:szCs w:val="28"/>
        </w:rPr>
      </w:pPr>
      <w:r>
        <w:br w:type="page"/>
      </w:r>
      <w:r w:rsidRPr="00780C81">
        <w:rPr>
          <w:b/>
          <w:sz w:val="28"/>
          <w:szCs w:val="28"/>
        </w:rPr>
        <w:lastRenderedPageBreak/>
        <w:t>Analysis of expenditure</w:t>
      </w:r>
    </w:p>
    <w:p w14:paraId="5108ADB1" w14:textId="3711CC02" w:rsidR="00E9288F" w:rsidRDefault="00E9288F" w:rsidP="00AE7D49">
      <w:pPr>
        <w:spacing w:after="0"/>
        <w:rPr>
          <w:b/>
        </w:rPr>
      </w:pPr>
      <w:r>
        <w:t>Table 6 shows the government expenditure for rifaximin in the first two years of listing.</w:t>
      </w:r>
    </w:p>
    <w:p w14:paraId="54FC46ED" w14:textId="77777777" w:rsidR="00E9288F" w:rsidRDefault="00E9288F" w:rsidP="00AE7D49">
      <w:pPr>
        <w:spacing w:after="0"/>
        <w:rPr>
          <w:b/>
        </w:rPr>
      </w:pPr>
    </w:p>
    <w:p w14:paraId="371689AF" w14:textId="494A8023" w:rsidR="00E9288F" w:rsidRDefault="00E9288F" w:rsidP="00AE7D49">
      <w:pPr>
        <w:spacing w:after="0"/>
        <w:rPr>
          <w:b/>
        </w:rPr>
      </w:pPr>
      <w:r>
        <w:rPr>
          <w:b/>
        </w:rPr>
        <w:t xml:space="preserve">Table 6: PBS/RPBS benefits for rifaximin </w:t>
      </w:r>
    </w:p>
    <w:tbl>
      <w:tblPr>
        <w:tblW w:w="49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17"/>
      </w:tblGrid>
      <w:tr w:rsidR="00E9288F" w:rsidRPr="00205140" w14:paraId="4408704B" w14:textId="77777777" w:rsidTr="00836AF0">
        <w:trPr>
          <w:trHeight w:val="315"/>
        </w:trPr>
        <w:tc>
          <w:tcPr>
            <w:tcW w:w="2660" w:type="dxa"/>
            <w:shd w:val="clear" w:color="000000" w:fill="BFBFBF"/>
            <w:vAlign w:val="center"/>
            <w:hideMark/>
          </w:tcPr>
          <w:p w14:paraId="08D1B3A3" w14:textId="77777777" w:rsidR="00E9288F" w:rsidRPr="00205140" w:rsidRDefault="00E9288F" w:rsidP="00205140">
            <w:pPr>
              <w:spacing w:after="0"/>
              <w:rPr>
                <w:rFonts w:ascii="Calibri" w:eastAsia="Times New Roman" w:hAnsi="Calibri" w:cs="Times New Roman"/>
                <w:b/>
                <w:bCs/>
                <w:sz w:val="20"/>
                <w:szCs w:val="20"/>
              </w:rPr>
            </w:pPr>
            <w:r w:rsidRPr="00205140">
              <w:rPr>
                <w:rFonts w:ascii="Calibri" w:eastAsia="Times New Roman" w:hAnsi="Calibri" w:cs="Times New Roman"/>
                <w:b/>
                <w:bCs/>
                <w:sz w:val="20"/>
                <w:szCs w:val="20"/>
              </w:rPr>
              <w:t>Listing year</w:t>
            </w:r>
          </w:p>
        </w:tc>
        <w:tc>
          <w:tcPr>
            <w:tcW w:w="2317" w:type="dxa"/>
            <w:shd w:val="clear" w:color="000000" w:fill="BFBFBF"/>
            <w:vAlign w:val="center"/>
            <w:hideMark/>
          </w:tcPr>
          <w:p w14:paraId="6FE51FF8" w14:textId="1E909E6C" w:rsidR="00E9288F" w:rsidRPr="00205140" w:rsidRDefault="00E9288F" w:rsidP="00205140">
            <w:pPr>
              <w:spacing w:after="0"/>
              <w:jc w:val="center"/>
              <w:rPr>
                <w:rFonts w:ascii="Calibri" w:eastAsia="Times New Roman" w:hAnsi="Calibri" w:cs="Times New Roman"/>
                <w:b/>
                <w:bCs/>
                <w:sz w:val="20"/>
                <w:szCs w:val="20"/>
              </w:rPr>
            </w:pPr>
            <w:r>
              <w:rPr>
                <w:rFonts w:ascii="Calibri" w:eastAsia="Times New Roman" w:hAnsi="Calibri" w:cs="Times New Roman"/>
                <w:b/>
                <w:bCs/>
                <w:sz w:val="20"/>
                <w:szCs w:val="20"/>
              </w:rPr>
              <w:t>PBS/RPBS benefits</w:t>
            </w:r>
          </w:p>
        </w:tc>
      </w:tr>
      <w:tr w:rsidR="00E9288F" w:rsidRPr="00205140" w14:paraId="5791B016" w14:textId="77777777" w:rsidTr="00836AF0">
        <w:trPr>
          <w:trHeight w:val="300"/>
        </w:trPr>
        <w:tc>
          <w:tcPr>
            <w:tcW w:w="2660" w:type="dxa"/>
            <w:shd w:val="clear" w:color="auto" w:fill="auto"/>
            <w:vAlign w:val="center"/>
            <w:hideMark/>
          </w:tcPr>
          <w:p w14:paraId="5C1FA204" w14:textId="77777777" w:rsidR="00E9288F" w:rsidRDefault="00E9288F" w:rsidP="00205140">
            <w:pPr>
              <w:spacing w:after="0"/>
              <w:rPr>
                <w:rFonts w:ascii="Calibri" w:eastAsia="Times New Roman" w:hAnsi="Calibri" w:cs="Times New Roman"/>
                <w:sz w:val="20"/>
                <w:szCs w:val="20"/>
              </w:rPr>
            </w:pPr>
            <w:r w:rsidRPr="00205140">
              <w:rPr>
                <w:rFonts w:ascii="Calibri" w:eastAsia="Times New Roman" w:hAnsi="Calibri" w:cs="Times New Roman"/>
                <w:sz w:val="20"/>
                <w:szCs w:val="20"/>
              </w:rPr>
              <w:t>Year 1</w:t>
            </w:r>
          </w:p>
          <w:p w14:paraId="12C8C930" w14:textId="4497693E" w:rsidR="00E9288F" w:rsidRPr="00205140" w:rsidRDefault="00E9288F" w:rsidP="00205140">
            <w:pPr>
              <w:spacing w:after="0"/>
              <w:rPr>
                <w:rFonts w:ascii="Calibri" w:eastAsia="Times New Roman" w:hAnsi="Calibri" w:cs="Times New Roman"/>
                <w:sz w:val="20"/>
                <w:szCs w:val="20"/>
              </w:rPr>
            </w:pPr>
            <w:r w:rsidRPr="00205140">
              <w:rPr>
                <w:rFonts w:ascii="Calibri" w:eastAsia="Times New Roman" w:hAnsi="Calibri" w:cs="Times New Roman"/>
                <w:sz w:val="20"/>
                <w:szCs w:val="20"/>
              </w:rPr>
              <w:t>(Dec 2013 – Nov 2014)</w:t>
            </w:r>
          </w:p>
        </w:tc>
        <w:tc>
          <w:tcPr>
            <w:tcW w:w="2317" w:type="dxa"/>
            <w:shd w:val="clear" w:color="auto" w:fill="auto"/>
            <w:vAlign w:val="center"/>
            <w:hideMark/>
          </w:tcPr>
          <w:p w14:paraId="3BDAE50B" w14:textId="01B75559" w:rsidR="00E9288F" w:rsidRPr="00205140" w:rsidRDefault="00E9288F" w:rsidP="00205140">
            <w:pPr>
              <w:spacing w:after="0"/>
              <w:jc w:val="right"/>
              <w:rPr>
                <w:rFonts w:ascii="Calibri" w:eastAsia="Times New Roman" w:hAnsi="Calibri" w:cs="Times New Roman"/>
                <w:sz w:val="20"/>
                <w:szCs w:val="20"/>
              </w:rPr>
            </w:pPr>
            <w:r>
              <w:rPr>
                <w:rFonts w:ascii="Calibri" w:eastAsia="Times New Roman" w:hAnsi="Calibri" w:cs="Times New Roman"/>
                <w:sz w:val="20"/>
                <w:szCs w:val="20"/>
              </w:rPr>
              <w:t>$</w:t>
            </w:r>
            <w:r w:rsidRPr="00205140">
              <w:rPr>
                <w:rFonts w:ascii="Calibri" w:eastAsia="Times New Roman" w:hAnsi="Calibri" w:cs="Times New Roman"/>
                <w:sz w:val="20"/>
                <w:szCs w:val="20"/>
              </w:rPr>
              <w:t>3,339,636</w:t>
            </w:r>
          </w:p>
        </w:tc>
      </w:tr>
      <w:tr w:rsidR="00E9288F" w:rsidRPr="00205140" w14:paraId="3119AB9A" w14:textId="77777777" w:rsidTr="00836AF0">
        <w:trPr>
          <w:trHeight w:val="300"/>
        </w:trPr>
        <w:tc>
          <w:tcPr>
            <w:tcW w:w="2660" w:type="dxa"/>
            <w:shd w:val="clear" w:color="auto" w:fill="auto"/>
            <w:vAlign w:val="center"/>
            <w:hideMark/>
          </w:tcPr>
          <w:p w14:paraId="13C2EB26" w14:textId="77777777" w:rsidR="00E9288F" w:rsidRDefault="00E9288F" w:rsidP="00205140">
            <w:pPr>
              <w:spacing w:after="0"/>
              <w:rPr>
                <w:rFonts w:ascii="Calibri" w:eastAsia="Times New Roman" w:hAnsi="Calibri" w:cs="Times New Roman"/>
                <w:sz w:val="20"/>
                <w:szCs w:val="20"/>
              </w:rPr>
            </w:pPr>
            <w:r w:rsidRPr="00205140">
              <w:rPr>
                <w:rFonts w:ascii="Calibri" w:eastAsia="Times New Roman" w:hAnsi="Calibri" w:cs="Times New Roman"/>
                <w:sz w:val="20"/>
                <w:szCs w:val="20"/>
              </w:rPr>
              <w:t>Year 2</w:t>
            </w:r>
          </w:p>
          <w:p w14:paraId="0FE35DB9" w14:textId="37C3C5C8" w:rsidR="00E9288F" w:rsidRPr="00205140" w:rsidRDefault="00E9288F" w:rsidP="00205140">
            <w:pPr>
              <w:spacing w:after="0"/>
              <w:rPr>
                <w:rFonts w:ascii="Calibri" w:eastAsia="Times New Roman" w:hAnsi="Calibri" w:cs="Times New Roman"/>
                <w:sz w:val="20"/>
                <w:szCs w:val="20"/>
              </w:rPr>
            </w:pPr>
            <w:r w:rsidRPr="00205140">
              <w:rPr>
                <w:rFonts w:ascii="Calibri" w:eastAsia="Times New Roman" w:hAnsi="Calibri" w:cs="Times New Roman"/>
                <w:sz w:val="20"/>
                <w:szCs w:val="20"/>
              </w:rPr>
              <w:t>(Dec 2014 – Nov 2015)</w:t>
            </w:r>
          </w:p>
        </w:tc>
        <w:tc>
          <w:tcPr>
            <w:tcW w:w="2317" w:type="dxa"/>
            <w:shd w:val="clear" w:color="auto" w:fill="auto"/>
            <w:vAlign w:val="center"/>
            <w:hideMark/>
          </w:tcPr>
          <w:p w14:paraId="208F360F" w14:textId="7151FB37" w:rsidR="00E9288F" w:rsidRPr="00205140" w:rsidRDefault="00E9288F" w:rsidP="00205140">
            <w:pPr>
              <w:spacing w:after="0"/>
              <w:jc w:val="right"/>
              <w:rPr>
                <w:rFonts w:ascii="Calibri" w:eastAsia="Times New Roman" w:hAnsi="Calibri" w:cs="Times New Roman"/>
                <w:sz w:val="20"/>
                <w:szCs w:val="20"/>
              </w:rPr>
            </w:pPr>
            <w:r>
              <w:rPr>
                <w:rFonts w:ascii="Calibri" w:eastAsia="Times New Roman" w:hAnsi="Calibri" w:cs="Times New Roman"/>
                <w:sz w:val="20"/>
                <w:szCs w:val="20"/>
              </w:rPr>
              <w:t>$</w:t>
            </w:r>
            <w:r w:rsidRPr="00205140">
              <w:rPr>
                <w:rFonts w:ascii="Calibri" w:eastAsia="Times New Roman" w:hAnsi="Calibri" w:cs="Times New Roman"/>
                <w:sz w:val="20"/>
                <w:szCs w:val="20"/>
              </w:rPr>
              <w:t>5,754,070</w:t>
            </w:r>
          </w:p>
        </w:tc>
      </w:tr>
    </w:tbl>
    <w:p w14:paraId="2A59D3E1" w14:textId="08A7B26D" w:rsidR="00E9288F" w:rsidRDefault="00E9288F" w:rsidP="00AE6560">
      <w:pPr>
        <w:pStyle w:val="Figurecaption"/>
        <w:spacing w:before="0" w:after="0"/>
      </w:pPr>
      <w:r w:rsidRPr="00071894">
        <w:t xml:space="preserve">Source: </w:t>
      </w:r>
      <w:r w:rsidRPr="00AE7D49">
        <w:t>DUSC</w:t>
      </w:r>
      <w:r>
        <w:t xml:space="preserve"> database u</w:t>
      </w:r>
      <w:r w:rsidRPr="00B50030">
        <w:t xml:space="preserve">sing date of supply, which may be slightly different to publicly available Medicare Australia date of processing data, accessed </w:t>
      </w:r>
      <w:r>
        <w:t xml:space="preserve">July </w:t>
      </w:r>
      <w:r w:rsidRPr="00B50030">
        <w:t>201</w:t>
      </w:r>
      <w:r>
        <w:t>6</w:t>
      </w:r>
      <w:r w:rsidRPr="00B50030">
        <w:t>.</w:t>
      </w:r>
    </w:p>
    <w:p w14:paraId="679CFE03" w14:textId="77777777" w:rsidR="00E9288F" w:rsidRDefault="00E9288F" w:rsidP="00AE6560">
      <w:pPr>
        <w:spacing w:after="0"/>
      </w:pPr>
    </w:p>
    <w:p w14:paraId="22994A93" w14:textId="77777777" w:rsidR="00E9288F" w:rsidRPr="00777EB7" w:rsidRDefault="00E9288F" w:rsidP="00AE6560">
      <w:r w:rsidRPr="00AE7D49">
        <w:t>It should be noted this analysis is based on date of supply. There may be small differences between these results and those obtained from publicly available Medicare Australia date of processing data.</w:t>
      </w:r>
    </w:p>
    <w:p w14:paraId="5F22B4D8" w14:textId="319090EA" w:rsidR="00E9288F" w:rsidRDefault="00E9288F" w:rsidP="00F73113">
      <w:pPr>
        <w:pStyle w:val="Heading2"/>
      </w:pPr>
      <w:r>
        <w:t xml:space="preserve">Analysis </w:t>
      </w:r>
      <w:r w:rsidRPr="005E22C2">
        <w:t xml:space="preserve">of </w:t>
      </w:r>
      <w:r>
        <w:t>a</w:t>
      </w:r>
      <w:r w:rsidRPr="005E22C2">
        <w:t xml:space="preserve">ctual versus </w:t>
      </w:r>
      <w:r>
        <w:t>p</w:t>
      </w:r>
      <w:r w:rsidRPr="005E22C2">
        <w:t xml:space="preserve">redicted </w:t>
      </w:r>
      <w:r>
        <w:t>u</w:t>
      </w:r>
      <w:r w:rsidRPr="005E22C2">
        <w:t>tilisation</w:t>
      </w:r>
    </w:p>
    <w:p w14:paraId="327C6945" w14:textId="24C4262D" w:rsidR="00E9288F" w:rsidRDefault="00E9288F" w:rsidP="000848E1">
      <w:r>
        <w:t xml:space="preserve">This analysis compares the estimates of utilisation agreed between the </w:t>
      </w:r>
      <w:r w:rsidR="007E1616">
        <w:t>s</w:t>
      </w:r>
      <w:r>
        <w:t xml:space="preserve">ponsor and the </w:t>
      </w:r>
      <w:r w:rsidR="007E1616">
        <w:t>d</w:t>
      </w:r>
      <w:r>
        <w:t xml:space="preserve">epartment prior to listing. The actual numbers reflect all PBS and RPBS patients, prescriptions and government expenditure for rifaximin. </w:t>
      </w:r>
    </w:p>
    <w:p w14:paraId="4F53986F" w14:textId="7A69EA06" w:rsidR="00E9288F" w:rsidRDefault="00E9288F" w:rsidP="000848E1">
      <w:pPr>
        <w:spacing w:after="0"/>
        <w:rPr>
          <w:b/>
        </w:rPr>
      </w:pPr>
      <w:r>
        <w:rPr>
          <w:b/>
        </w:rPr>
        <w:t>Table 7: Predicted versus actual numbers of rifaximin patients, prescriptions and benefits</w:t>
      </w:r>
    </w:p>
    <w:tbl>
      <w:tblPr>
        <w:tblStyle w:val="TableGrid"/>
        <w:tblW w:w="0" w:type="auto"/>
        <w:tblLook w:val="04A0" w:firstRow="1" w:lastRow="0" w:firstColumn="1" w:lastColumn="0" w:noHBand="0" w:noVBand="1"/>
        <w:tblCaption w:val="Predicted versus actual numbers of rifaximin patients, prescriptions and benefits"/>
        <w:tblDescription w:val="Patients, prescriptions and benefits for year 1 and 2 comparing predicted and actual. "/>
      </w:tblPr>
      <w:tblGrid>
        <w:gridCol w:w="1487"/>
        <w:gridCol w:w="1474"/>
        <w:gridCol w:w="1580"/>
        <w:gridCol w:w="1580"/>
      </w:tblGrid>
      <w:tr w:rsidR="00E9288F" w14:paraId="74946F0B" w14:textId="77777777" w:rsidTr="009B49C2">
        <w:trPr>
          <w:tblHeader/>
        </w:trPr>
        <w:tc>
          <w:tcPr>
            <w:tcW w:w="1487" w:type="dxa"/>
            <w:shd w:val="clear" w:color="auto" w:fill="BFBFBF" w:themeFill="background1" w:themeFillShade="BF"/>
          </w:tcPr>
          <w:p w14:paraId="0F08EEBB" w14:textId="77777777" w:rsidR="00E9288F" w:rsidRPr="00413060" w:rsidRDefault="00E9288F" w:rsidP="0042257F">
            <w:pPr>
              <w:jc w:val="center"/>
              <w:rPr>
                <w:b/>
                <w:sz w:val="20"/>
                <w:szCs w:val="20"/>
              </w:rPr>
            </w:pPr>
          </w:p>
        </w:tc>
        <w:tc>
          <w:tcPr>
            <w:tcW w:w="1474" w:type="dxa"/>
            <w:shd w:val="clear" w:color="auto" w:fill="BFBFBF" w:themeFill="background1" w:themeFillShade="BF"/>
          </w:tcPr>
          <w:p w14:paraId="64BB34BA" w14:textId="77777777" w:rsidR="00E9288F" w:rsidRPr="00413060" w:rsidRDefault="00E9288F" w:rsidP="0042257F">
            <w:pPr>
              <w:jc w:val="center"/>
              <w:rPr>
                <w:b/>
                <w:sz w:val="20"/>
                <w:szCs w:val="20"/>
              </w:rPr>
            </w:pPr>
          </w:p>
        </w:tc>
        <w:tc>
          <w:tcPr>
            <w:tcW w:w="1580" w:type="dxa"/>
            <w:shd w:val="clear" w:color="auto" w:fill="BFBFBF" w:themeFill="background1" w:themeFillShade="BF"/>
          </w:tcPr>
          <w:p w14:paraId="7CE2B7A1" w14:textId="77777777" w:rsidR="00E9288F" w:rsidRPr="00084171" w:rsidRDefault="00E9288F" w:rsidP="0042257F">
            <w:pPr>
              <w:jc w:val="center"/>
              <w:rPr>
                <w:b/>
                <w:sz w:val="20"/>
                <w:szCs w:val="20"/>
              </w:rPr>
            </w:pPr>
            <w:r w:rsidRPr="00084171">
              <w:rPr>
                <w:b/>
                <w:sz w:val="20"/>
                <w:szCs w:val="20"/>
              </w:rPr>
              <w:t>Year 1</w:t>
            </w:r>
            <w:r w:rsidRPr="00084171">
              <w:rPr>
                <w:b/>
                <w:sz w:val="20"/>
                <w:szCs w:val="20"/>
                <w:vertAlign w:val="superscript"/>
              </w:rPr>
              <w:t>a</w:t>
            </w:r>
          </w:p>
        </w:tc>
        <w:tc>
          <w:tcPr>
            <w:tcW w:w="1580" w:type="dxa"/>
            <w:shd w:val="clear" w:color="auto" w:fill="BFBFBF" w:themeFill="background1" w:themeFillShade="BF"/>
          </w:tcPr>
          <w:p w14:paraId="20ABA98E" w14:textId="77777777" w:rsidR="00E9288F" w:rsidRPr="00084171" w:rsidRDefault="00E9288F" w:rsidP="0042257F">
            <w:pPr>
              <w:jc w:val="center"/>
              <w:rPr>
                <w:b/>
                <w:sz w:val="20"/>
                <w:szCs w:val="20"/>
              </w:rPr>
            </w:pPr>
            <w:r w:rsidRPr="00084171">
              <w:rPr>
                <w:b/>
                <w:sz w:val="20"/>
                <w:szCs w:val="20"/>
              </w:rPr>
              <w:t>Year 2</w:t>
            </w:r>
            <w:r w:rsidRPr="00084171">
              <w:rPr>
                <w:b/>
                <w:sz w:val="20"/>
                <w:szCs w:val="20"/>
                <w:vertAlign w:val="superscript"/>
              </w:rPr>
              <w:t>b</w:t>
            </w:r>
          </w:p>
        </w:tc>
      </w:tr>
      <w:tr w:rsidR="00E9288F" w14:paraId="1A4F5300" w14:textId="77777777" w:rsidTr="0042257F">
        <w:tc>
          <w:tcPr>
            <w:tcW w:w="1487" w:type="dxa"/>
            <w:vMerge w:val="restart"/>
            <w:vAlign w:val="center"/>
          </w:tcPr>
          <w:p w14:paraId="7D74FD9E" w14:textId="77777777" w:rsidR="00E9288F" w:rsidRPr="00413060" w:rsidRDefault="00E9288F" w:rsidP="0042257F">
            <w:pPr>
              <w:rPr>
                <w:sz w:val="20"/>
                <w:szCs w:val="20"/>
              </w:rPr>
            </w:pPr>
            <w:r w:rsidRPr="00413060">
              <w:rPr>
                <w:sz w:val="20"/>
                <w:szCs w:val="20"/>
              </w:rPr>
              <w:t>Patients</w:t>
            </w:r>
          </w:p>
        </w:tc>
        <w:tc>
          <w:tcPr>
            <w:tcW w:w="1474" w:type="dxa"/>
          </w:tcPr>
          <w:p w14:paraId="0C328393" w14:textId="77777777" w:rsidR="00E9288F" w:rsidRPr="00413060" w:rsidRDefault="00E9288F" w:rsidP="0042257F">
            <w:pPr>
              <w:rPr>
                <w:sz w:val="20"/>
                <w:szCs w:val="20"/>
              </w:rPr>
            </w:pPr>
            <w:r w:rsidRPr="00413060">
              <w:rPr>
                <w:sz w:val="20"/>
                <w:szCs w:val="20"/>
              </w:rPr>
              <w:t>Predicted</w:t>
            </w:r>
          </w:p>
        </w:tc>
        <w:tc>
          <w:tcPr>
            <w:tcW w:w="1580" w:type="dxa"/>
          </w:tcPr>
          <w:p w14:paraId="08EE448B" w14:textId="77777777" w:rsidR="00E9288F" w:rsidRPr="00413060" w:rsidRDefault="00E9288F" w:rsidP="0042257F">
            <w:pPr>
              <w:jc w:val="right"/>
              <w:rPr>
                <w:sz w:val="20"/>
                <w:szCs w:val="20"/>
              </w:rPr>
            </w:pPr>
            <w:r w:rsidRPr="00071D15">
              <w:rPr>
                <w:sz w:val="20"/>
                <w:szCs w:val="20"/>
              </w:rPr>
              <w:t>916</w:t>
            </w:r>
          </w:p>
        </w:tc>
        <w:tc>
          <w:tcPr>
            <w:tcW w:w="1580" w:type="dxa"/>
          </w:tcPr>
          <w:p w14:paraId="37C84D6E" w14:textId="77777777" w:rsidR="00E9288F" w:rsidRPr="00413060" w:rsidRDefault="00E9288F" w:rsidP="0042257F">
            <w:pPr>
              <w:jc w:val="right"/>
              <w:rPr>
                <w:sz w:val="20"/>
                <w:szCs w:val="20"/>
              </w:rPr>
            </w:pPr>
            <w:r w:rsidRPr="00071D15">
              <w:rPr>
                <w:sz w:val="20"/>
                <w:szCs w:val="20"/>
              </w:rPr>
              <w:t>1,102</w:t>
            </w:r>
          </w:p>
        </w:tc>
      </w:tr>
      <w:tr w:rsidR="00E9288F" w14:paraId="57A46150" w14:textId="77777777" w:rsidTr="0042257F">
        <w:tc>
          <w:tcPr>
            <w:tcW w:w="1487" w:type="dxa"/>
            <w:vMerge/>
          </w:tcPr>
          <w:p w14:paraId="702FD8E6" w14:textId="77777777" w:rsidR="00E9288F" w:rsidRPr="00413060" w:rsidRDefault="00E9288F" w:rsidP="0042257F">
            <w:pPr>
              <w:rPr>
                <w:sz w:val="20"/>
                <w:szCs w:val="20"/>
              </w:rPr>
            </w:pPr>
          </w:p>
        </w:tc>
        <w:tc>
          <w:tcPr>
            <w:tcW w:w="1474" w:type="dxa"/>
          </w:tcPr>
          <w:p w14:paraId="76A0EEB4" w14:textId="77777777" w:rsidR="00E9288F" w:rsidRPr="00413060" w:rsidRDefault="00E9288F" w:rsidP="0042257F">
            <w:pPr>
              <w:rPr>
                <w:sz w:val="20"/>
                <w:szCs w:val="20"/>
              </w:rPr>
            </w:pPr>
            <w:r w:rsidRPr="00413060">
              <w:rPr>
                <w:sz w:val="20"/>
                <w:szCs w:val="20"/>
              </w:rPr>
              <w:t>Actual</w:t>
            </w:r>
          </w:p>
        </w:tc>
        <w:tc>
          <w:tcPr>
            <w:tcW w:w="1580" w:type="dxa"/>
          </w:tcPr>
          <w:p w14:paraId="16F27909" w14:textId="77777777" w:rsidR="00E9288F" w:rsidRPr="00413060" w:rsidRDefault="00E9288F" w:rsidP="0042257F">
            <w:pPr>
              <w:jc w:val="right"/>
              <w:rPr>
                <w:sz w:val="20"/>
                <w:szCs w:val="20"/>
              </w:rPr>
            </w:pPr>
            <w:r>
              <w:rPr>
                <w:sz w:val="20"/>
                <w:szCs w:val="20"/>
              </w:rPr>
              <w:t>1,297</w:t>
            </w:r>
          </w:p>
        </w:tc>
        <w:tc>
          <w:tcPr>
            <w:tcW w:w="1580" w:type="dxa"/>
          </w:tcPr>
          <w:p w14:paraId="6F1A1BAB" w14:textId="77777777" w:rsidR="00E9288F" w:rsidRPr="00413060" w:rsidRDefault="00E9288F" w:rsidP="0042257F">
            <w:pPr>
              <w:jc w:val="right"/>
              <w:rPr>
                <w:sz w:val="20"/>
                <w:szCs w:val="20"/>
              </w:rPr>
            </w:pPr>
            <w:r>
              <w:rPr>
                <w:sz w:val="20"/>
                <w:szCs w:val="20"/>
              </w:rPr>
              <w:t>1,977</w:t>
            </w:r>
          </w:p>
        </w:tc>
      </w:tr>
      <w:tr w:rsidR="00E9288F" w14:paraId="1D0F1958" w14:textId="77777777" w:rsidTr="0042257F">
        <w:tc>
          <w:tcPr>
            <w:tcW w:w="1487" w:type="dxa"/>
            <w:vMerge/>
          </w:tcPr>
          <w:p w14:paraId="58360D02" w14:textId="77777777" w:rsidR="00E9288F" w:rsidRPr="00413060" w:rsidRDefault="00E9288F" w:rsidP="0042257F">
            <w:pPr>
              <w:rPr>
                <w:sz w:val="20"/>
                <w:szCs w:val="20"/>
              </w:rPr>
            </w:pPr>
          </w:p>
        </w:tc>
        <w:tc>
          <w:tcPr>
            <w:tcW w:w="1474" w:type="dxa"/>
          </w:tcPr>
          <w:p w14:paraId="2C9DE27D" w14:textId="77777777" w:rsidR="00E9288F" w:rsidRPr="00413060" w:rsidRDefault="00E9288F" w:rsidP="0042257F">
            <w:pPr>
              <w:rPr>
                <w:sz w:val="20"/>
                <w:szCs w:val="20"/>
              </w:rPr>
            </w:pPr>
            <w:r w:rsidRPr="00413060">
              <w:rPr>
                <w:sz w:val="20"/>
                <w:szCs w:val="20"/>
              </w:rPr>
              <w:t>Difference</w:t>
            </w:r>
          </w:p>
        </w:tc>
        <w:tc>
          <w:tcPr>
            <w:tcW w:w="1580" w:type="dxa"/>
          </w:tcPr>
          <w:p w14:paraId="4006AA4E" w14:textId="785F7BD1" w:rsidR="00E9288F" w:rsidRPr="00413060" w:rsidRDefault="00E9288F" w:rsidP="0042257F">
            <w:pPr>
              <w:jc w:val="right"/>
              <w:rPr>
                <w:sz w:val="20"/>
                <w:szCs w:val="20"/>
              </w:rPr>
            </w:pPr>
            <w:r w:rsidRPr="00071D15">
              <w:rPr>
                <w:sz w:val="20"/>
                <w:szCs w:val="20"/>
              </w:rPr>
              <w:t>42</w:t>
            </w:r>
            <w:r>
              <w:rPr>
                <w:sz w:val="20"/>
                <w:szCs w:val="20"/>
              </w:rPr>
              <w:t>%</w:t>
            </w:r>
          </w:p>
        </w:tc>
        <w:tc>
          <w:tcPr>
            <w:tcW w:w="1580" w:type="dxa"/>
          </w:tcPr>
          <w:p w14:paraId="5AC04475" w14:textId="021DFFEF" w:rsidR="00E9288F" w:rsidRPr="00413060" w:rsidRDefault="00E9288F" w:rsidP="0042257F">
            <w:pPr>
              <w:jc w:val="right"/>
              <w:rPr>
                <w:sz w:val="20"/>
                <w:szCs w:val="20"/>
              </w:rPr>
            </w:pPr>
            <w:r w:rsidRPr="00071D15">
              <w:rPr>
                <w:sz w:val="20"/>
                <w:szCs w:val="20"/>
              </w:rPr>
              <w:t>79</w:t>
            </w:r>
            <w:r>
              <w:rPr>
                <w:sz w:val="20"/>
                <w:szCs w:val="20"/>
              </w:rPr>
              <w:t>%</w:t>
            </w:r>
          </w:p>
        </w:tc>
      </w:tr>
      <w:tr w:rsidR="00E9288F" w14:paraId="3086B8BB" w14:textId="77777777" w:rsidTr="0042257F">
        <w:tc>
          <w:tcPr>
            <w:tcW w:w="1487" w:type="dxa"/>
            <w:vMerge w:val="restart"/>
            <w:vAlign w:val="center"/>
          </w:tcPr>
          <w:p w14:paraId="674BFA77" w14:textId="77777777" w:rsidR="00E9288F" w:rsidRPr="00413060" w:rsidRDefault="00E9288F" w:rsidP="0042257F">
            <w:pPr>
              <w:rPr>
                <w:sz w:val="20"/>
                <w:szCs w:val="20"/>
              </w:rPr>
            </w:pPr>
            <w:r w:rsidRPr="00413060">
              <w:rPr>
                <w:sz w:val="20"/>
                <w:szCs w:val="20"/>
              </w:rPr>
              <w:t>Prescriptions</w:t>
            </w:r>
          </w:p>
        </w:tc>
        <w:tc>
          <w:tcPr>
            <w:tcW w:w="1474" w:type="dxa"/>
          </w:tcPr>
          <w:p w14:paraId="68D49B98" w14:textId="77777777" w:rsidR="00E9288F" w:rsidRPr="00413060" w:rsidRDefault="00E9288F" w:rsidP="0042257F">
            <w:pPr>
              <w:rPr>
                <w:sz w:val="20"/>
                <w:szCs w:val="20"/>
              </w:rPr>
            </w:pPr>
            <w:r w:rsidRPr="00413060">
              <w:rPr>
                <w:sz w:val="20"/>
                <w:szCs w:val="20"/>
              </w:rPr>
              <w:t>Predicted</w:t>
            </w:r>
          </w:p>
        </w:tc>
        <w:tc>
          <w:tcPr>
            <w:tcW w:w="1580" w:type="dxa"/>
            <w:vAlign w:val="bottom"/>
          </w:tcPr>
          <w:p w14:paraId="3F61F36E" w14:textId="77777777" w:rsidR="00E9288F" w:rsidRPr="00413060" w:rsidRDefault="00E9288F" w:rsidP="0042257F">
            <w:pPr>
              <w:jc w:val="right"/>
              <w:rPr>
                <w:sz w:val="20"/>
                <w:szCs w:val="20"/>
              </w:rPr>
            </w:pPr>
            <w:r w:rsidRPr="00071D15">
              <w:rPr>
                <w:rFonts w:cs="Arial"/>
                <w:sz w:val="20"/>
                <w:szCs w:val="20"/>
              </w:rPr>
              <w:t>10,038</w:t>
            </w:r>
          </w:p>
        </w:tc>
        <w:tc>
          <w:tcPr>
            <w:tcW w:w="1580" w:type="dxa"/>
            <w:vAlign w:val="bottom"/>
          </w:tcPr>
          <w:p w14:paraId="2BC49B4E" w14:textId="77777777" w:rsidR="00E9288F" w:rsidRPr="00413060" w:rsidRDefault="00E9288F" w:rsidP="0042257F">
            <w:pPr>
              <w:jc w:val="right"/>
              <w:rPr>
                <w:sz w:val="20"/>
                <w:szCs w:val="20"/>
              </w:rPr>
            </w:pPr>
            <w:r w:rsidRPr="00071D15">
              <w:rPr>
                <w:rFonts w:cs="Arial"/>
                <w:sz w:val="20"/>
                <w:szCs w:val="20"/>
              </w:rPr>
              <w:t>12,077</w:t>
            </w:r>
          </w:p>
        </w:tc>
      </w:tr>
      <w:tr w:rsidR="00E9288F" w14:paraId="664EE52D" w14:textId="77777777" w:rsidTr="0042257F">
        <w:tc>
          <w:tcPr>
            <w:tcW w:w="1487" w:type="dxa"/>
            <w:vMerge/>
          </w:tcPr>
          <w:p w14:paraId="3B69BD05" w14:textId="77777777" w:rsidR="00E9288F" w:rsidRPr="00413060" w:rsidRDefault="00E9288F" w:rsidP="0042257F">
            <w:pPr>
              <w:rPr>
                <w:sz w:val="20"/>
                <w:szCs w:val="20"/>
              </w:rPr>
            </w:pPr>
          </w:p>
        </w:tc>
        <w:tc>
          <w:tcPr>
            <w:tcW w:w="1474" w:type="dxa"/>
          </w:tcPr>
          <w:p w14:paraId="62852F8C" w14:textId="77777777" w:rsidR="00E9288F" w:rsidRPr="00413060" w:rsidRDefault="00E9288F" w:rsidP="0042257F">
            <w:pPr>
              <w:rPr>
                <w:sz w:val="20"/>
                <w:szCs w:val="20"/>
              </w:rPr>
            </w:pPr>
            <w:r w:rsidRPr="00413060">
              <w:rPr>
                <w:sz w:val="20"/>
                <w:szCs w:val="20"/>
              </w:rPr>
              <w:t>Actual</w:t>
            </w:r>
          </w:p>
        </w:tc>
        <w:tc>
          <w:tcPr>
            <w:tcW w:w="1580" w:type="dxa"/>
            <w:vAlign w:val="bottom"/>
          </w:tcPr>
          <w:p w14:paraId="2A7DF9AF" w14:textId="053D9CFF" w:rsidR="00E9288F" w:rsidRPr="00084171" w:rsidRDefault="00E9288F" w:rsidP="0042257F">
            <w:pPr>
              <w:jc w:val="right"/>
              <w:rPr>
                <w:rFonts w:cs="Arial"/>
                <w:sz w:val="20"/>
                <w:szCs w:val="20"/>
              </w:rPr>
            </w:pPr>
            <w:r w:rsidRPr="00084171">
              <w:rPr>
                <w:rFonts w:cs="Arial"/>
                <w:sz w:val="20"/>
                <w:szCs w:val="20"/>
              </w:rPr>
              <w:t xml:space="preserve">6,909 </w:t>
            </w:r>
          </w:p>
        </w:tc>
        <w:tc>
          <w:tcPr>
            <w:tcW w:w="1580" w:type="dxa"/>
            <w:vAlign w:val="bottom"/>
          </w:tcPr>
          <w:p w14:paraId="3DE070A9" w14:textId="0208A35C" w:rsidR="00E9288F" w:rsidRPr="00084171" w:rsidRDefault="00E9288F" w:rsidP="0042257F">
            <w:pPr>
              <w:jc w:val="right"/>
              <w:rPr>
                <w:rFonts w:cs="Arial"/>
                <w:sz w:val="20"/>
                <w:szCs w:val="20"/>
              </w:rPr>
            </w:pPr>
            <w:r w:rsidRPr="00084171">
              <w:rPr>
                <w:rFonts w:cs="Arial"/>
                <w:sz w:val="20"/>
                <w:szCs w:val="20"/>
              </w:rPr>
              <w:t xml:space="preserve">11,998 </w:t>
            </w:r>
          </w:p>
        </w:tc>
      </w:tr>
      <w:tr w:rsidR="00E9288F" w14:paraId="023CF387" w14:textId="77777777" w:rsidTr="0042257F">
        <w:tc>
          <w:tcPr>
            <w:tcW w:w="1487" w:type="dxa"/>
            <w:vMerge/>
          </w:tcPr>
          <w:p w14:paraId="7BBACAC2" w14:textId="77777777" w:rsidR="00E9288F" w:rsidRPr="00413060" w:rsidRDefault="00E9288F" w:rsidP="0042257F">
            <w:pPr>
              <w:rPr>
                <w:sz w:val="20"/>
                <w:szCs w:val="20"/>
              </w:rPr>
            </w:pPr>
          </w:p>
        </w:tc>
        <w:tc>
          <w:tcPr>
            <w:tcW w:w="1474" w:type="dxa"/>
          </w:tcPr>
          <w:p w14:paraId="48016565" w14:textId="77777777" w:rsidR="00E9288F" w:rsidRPr="00413060" w:rsidRDefault="00E9288F" w:rsidP="0042257F">
            <w:pPr>
              <w:rPr>
                <w:sz w:val="20"/>
                <w:szCs w:val="20"/>
              </w:rPr>
            </w:pPr>
            <w:r w:rsidRPr="00413060">
              <w:rPr>
                <w:sz w:val="20"/>
                <w:szCs w:val="20"/>
              </w:rPr>
              <w:t>Difference</w:t>
            </w:r>
          </w:p>
        </w:tc>
        <w:tc>
          <w:tcPr>
            <w:tcW w:w="1580" w:type="dxa"/>
            <w:vAlign w:val="bottom"/>
          </w:tcPr>
          <w:p w14:paraId="789BA356" w14:textId="77777777" w:rsidR="00E9288F" w:rsidRPr="00084171" w:rsidRDefault="00E9288F" w:rsidP="0042257F">
            <w:pPr>
              <w:jc w:val="right"/>
              <w:rPr>
                <w:rFonts w:cs="Arial"/>
                <w:sz w:val="20"/>
                <w:szCs w:val="20"/>
              </w:rPr>
            </w:pPr>
            <w:r w:rsidRPr="00071D15">
              <w:rPr>
                <w:rFonts w:cs="Arial"/>
                <w:sz w:val="20"/>
                <w:szCs w:val="20"/>
              </w:rPr>
              <w:t>-31</w:t>
            </w:r>
            <w:r w:rsidRPr="00084171">
              <w:rPr>
                <w:rFonts w:cs="Arial"/>
                <w:sz w:val="20"/>
                <w:szCs w:val="20"/>
              </w:rPr>
              <w:t>%</w:t>
            </w:r>
          </w:p>
        </w:tc>
        <w:tc>
          <w:tcPr>
            <w:tcW w:w="1580" w:type="dxa"/>
            <w:vAlign w:val="bottom"/>
          </w:tcPr>
          <w:p w14:paraId="05D61DAC" w14:textId="77777777" w:rsidR="00E9288F" w:rsidRPr="00084171" w:rsidRDefault="00E9288F" w:rsidP="0042257F">
            <w:pPr>
              <w:jc w:val="right"/>
              <w:rPr>
                <w:rFonts w:cs="Arial"/>
                <w:sz w:val="20"/>
                <w:szCs w:val="20"/>
              </w:rPr>
            </w:pPr>
            <w:r w:rsidRPr="00071D15">
              <w:rPr>
                <w:rFonts w:cs="Arial"/>
                <w:sz w:val="20"/>
                <w:szCs w:val="20"/>
              </w:rPr>
              <w:t>-1</w:t>
            </w:r>
            <w:r w:rsidRPr="00084171">
              <w:rPr>
                <w:rFonts w:cs="Arial"/>
                <w:sz w:val="20"/>
                <w:szCs w:val="20"/>
              </w:rPr>
              <w:t>%</w:t>
            </w:r>
          </w:p>
        </w:tc>
      </w:tr>
      <w:tr w:rsidR="00E9288F" w:rsidRPr="00413060" w14:paraId="335F8074" w14:textId="77777777" w:rsidTr="0042257F">
        <w:tc>
          <w:tcPr>
            <w:tcW w:w="1487" w:type="dxa"/>
            <w:vMerge w:val="restart"/>
            <w:vAlign w:val="center"/>
          </w:tcPr>
          <w:p w14:paraId="775743AD" w14:textId="77777777" w:rsidR="00E9288F" w:rsidRPr="00413060" w:rsidRDefault="00E9288F" w:rsidP="0042257F">
            <w:pPr>
              <w:rPr>
                <w:sz w:val="20"/>
                <w:szCs w:val="20"/>
              </w:rPr>
            </w:pPr>
            <w:r>
              <w:rPr>
                <w:sz w:val="20"/>
                <w:szCs w:val="20"/>
              </w:rPr>
              <w:t>PBS/RPBS Benefits</w:t>
            </w:r>
          </w:p>
        </w:tc>
        <w:tc>
          <w:tcPr>
            <w:tcW w:w="1474" w:type="dxa"/>
          </w:tcPr>
          <w:p w14:paraId="69CC488C" w14:textId="77777777" w:rsidR="00E9288F" w:rsidRPr="00413060" w:rsidRDefault="00E9288F" w:rsidP="0042257F">
            <w:pPr>
              <w:rPr>
                <w:sz w:val="20"/>
                <w:szCs w:val="20"/>
              </w:rPr>
            </w:pPr>
            <w:r w:rsidRPr="00413060">
              <w:rPr>
                <w:sz w:val="20"/>
                <w:szCs w:val="20"/>
              </w:rPr>
              <w:t>Predicted</w:t>
            </w:r>
          </w:p>
        </w:tc>
        <w:tc>
          <w:tcPr>
            <w:tcW w:w="1580" w:type="dxa"/>
            <w:vAlign w:val="bottom"/>
          </w:tcPr>
          <w:p w14:paraId="5D0807A3" w14:textId="77777777" w:rsidR="00E9288F" w:rsidRPr="007D64A1" w:rsidRDefault="00E9288F" w:rsidP="0042257F">
            <w:pPr>
              <w:jc w:val="right"/>
              <w:rPr>
                <w:rFonts w:cs="Arial"/>
                <w:sz w:val="20"/>
                <w:szCs w:val="20"/>
              </w:rPr>
            </w:pPr>
            <w:r w:rsidRPr="00071D15">
              <w:rPr>
                <w:rFonts w:cs="Arial"/>
                <w:sz w:val="20"/>
                <w:szCs w:val="20"/>
              </w:rPr>
              <w:t>$4,928,327</w:t>
            </w:r>
          </w:p>
        </w:tc>
        <w:tc>
          <w:tcPr>
            <w:tcW w:w="1580" w:type="dxa"/>
            <w:vAlign w:val="bottom"/>
          </w:tcPr>
          <w:p w14:paraId="1819DDD2" w14:textId="77777777" w:rsidR="00E9288F" w:rsidRPr="007D64A1" w:rsidRDefault="00E9288F" w:rsidP="0042257F">
            <w:pPr>
              <w:jc w:val="right"/>
              <w:rPr>
                <w:rFonts w:cs="Arial"/>
                <w:sz w:val="20"/>
                <w:szCs w:val="20"/>
              </w:rPr>
            </w:pPr>
            <w:r w:rsidRPr="00071D15">
              <w:rPr>
                <w:rFonts w:cs="Arial"/>
                <w:sz w:val="20"/>
                <w:szCs w:val="20"/>
              </w:rPr>
              <w:t>$5,929,056</w:t>
            </w:r>
          </w:p>
        </w:tc>
      </w:tr>
      <w:tr w:rsidR="00E9288F" w:rsidRPr="00413060" w14:paraId="344A2DC1" w14:textId="77777777" w:rsidTr="0042257F">
        <w:tc>
          <w:tcPr>
            <w:tcW w:w="1487" w:type="dxa"/>
            <w:vMerge/>
          </w:tcPr>
          <w:p w14:paraId="71CFC0B3" w14:textId="77777777" w:rsidR="00E9288F" w:rsidRPr="00413060" w:rsidRDefault="00E9288F" w:rsidP="0042257F">
            <w:pPr>
              <w:rPr>
                <w:sz w:val="20"/>
                <w:szCs w:val="20"/>
              </w:rPr>
            </w:pPr>
          </w:p>
        </w:tc>
        <w:tc>
          <w:tcPr>
            <w:tcW w:w="1474" w:type="dxa"/>
          </w:tcPr>
          <w:p w14:paraId="4A2075B5" w14:textId="77777777" w:rsidR="00E9288F" w:rsidRPr="00413060" w:rsidRDefault="00E9288F" w:rsidP="0042257F">
            <w:pPr>
              <w:rPr>
                <w:sz w:val="20"/>
                <w:szCs w:val="20"/>
              </w:rPr>
            </w:pPr>
            <w:r w:rsidRPr="00413060">
              <w:rPr>
                <w:sz w:val="20"/>
                <w:szCs w:val="20"/>
              </w:rPr>
              <w:t>Actual</w:t>
            </w:r>
          </w:p>
        </w:tc>
        <w:tc>
          <w:tcPr>
            <w:tcW w:w="1580" w:type="dxa"/>
            <w:vAlign w:val="bottom"/>
          </w:tcPr>
          <w:p w14:paraId="5A508322" w14:textId="27BC8F39" w:rsidR="00E9288F" w:rsidRPr="00084171" w:rsidRDefault="00E9288F" w:rsidP="0042257F">
            <w:pPr>
              <w:jc w:val="right"/>
              <w:rPr>
                <w:rFonts w:cs="Arial"/>
                <w:sz w:val="20"/>
                <w:szCs w:val="20"/>
              </w:rPr>
            </w:pPr>
            <w:r>
              <w:rPr>
                <w:rFonts w:cs="Arial"/>
                <w:sz w:val="20"/>
                <w:szCs w:val="20"/>
              </w:rPr>
              <w:t>$</w:t>
            </w:r>
            <w:r w:rsidRPr="00084171">
              <w:rPr>
                <w:rFonts w:cs="Arial"/>
                <w:sz w:val="20"/>
                <w:szCs w:val="20"/>
              </w:rPr>
              <w:t xml:space="preserve">3,339,636 </w:t>
            </w:r>
          </w:p>
        </w:tc>
        <w:tc>
          <w:tcPr>
            <w:tcW w:w="1580" w:type="dxa"/>
            <w:vAlign w:val="bottom"/>
          </w:tcPr>
          <w:p w14:paraId="5DC39C25" w14:textId="77777777" w:rsidR="00E9288F" w:rsidRPr="00084171" w:rsidRDefault="00E9288F" w:rsidP="0042257F">
            <w:pPr>
              <w:jc w:val="right"/>
              <w:rPr>
                <w:rFonts w:cs="Arial"/>
                <w:sz w:val="20"/>
                <w:szCs w:val="20"/>
              </w:rPr>
            </w:pPr>
            <w:r>
              <w:rPr>
                <w:rFonts w:cs="Arial"/>
                <w:sz w:val="20"/>
                <w:szCs w:val="20"/>
              </w:rPr>
              <w:t>$</w:t>
            </w:r>
            <w:r w:rsidRPr="00084171">
              <w:rPr>
                <w:rFonts w:cs="Arial"/>
                <w:sz w:val="20"/>
                <w:szCs w:val="20"/>
              </w:rPr>
              <w:t xml:space="preserve">5,754,070 </w:t>
            </w:r>
          </w:p>
        </w:tc>
      </w:tr>
      <w:tr w:rsidR="00E9288F" w:rsidRPr="00413060" w14:paraId="295A251C" w14:textId="77777777" w:rsidTr="0042257F">
        <w:tc>
          <w:tcPr>
            <w:tcW w:w="1487" w:type="dxa"/>
            <w:vMerge/>
          </w:tcPr>
          <w:p w14:paraId="1CCA17B0" w14:textId="77777777" w:rsidR="00E9288F" w:rsidRPr="00413060" w:rsidRDefault="00E9288F" w:rsidP="0042257F">
            <w:pPr>
              <w:rPr>
                <w:sz w:val="20"/>
                <w:szCs w:val="20"/>
              </w:rPr>
            </w:pPr>
          </w:p>
        </w:tc>
        <w:tc>
          <w:tcPr>
            <w:tcW w:w="1474" w:type="dxa"/>
          </w:tcPr>
          <w:p w14:paraId="0FFB74DC" w14:textId="77777777" w:rsidR="00E9288F" w:rsidRPr="00413060" w:rsidRDefault="00E9288F" w:rsidP="0042257F">
            <w:pPr>
              <w:rPr>
                <w:sz w:val="20"/>
                <w:szCs w:val="20"/>
              </w:rPr>
            </w:pPr>
            <w:r w:rsidRPr="00413060">
              <w:rPr>
                <w:sz w:val="20"/>
                <w:szCs w:val="20"/>
              </w:rPr>
              <w:t>Difference</w:t>
            </w:r>
          </w:p>
        </w:tc>
        <w:tc>
          <w:tcPr>
            <w:tcW w:w="1580" w:type="dxa"/>
            <w:vAlign w:val="bottom"/>
          </w:tcPr>
          <w:p w14:paraId="3CBEDF0F" w14:textId="77777777" w:rsidR="00E9288F" w:rsidRPr="00084171" w:rsidRDefault="00E9288F" w:rsidP="0042257F">
            <w:pPr>
              <w:jc w:val="right"/>
              <w:rPr>
                <w:rFonts w:cs="Arial"/>
                <w:sz w:val="20"/>
                <w:szCs w:val="20"/>
              </w:rPr>
            </w:pPr>
            <w:r w:rsidRPr="00071D15">
              <w:rPr>
                <w:rFonts w:cs="Arial"/>
                <w:sz w:val="20"/>
                <w:szCs w:val="20"/>
              </w:rPr>
              <w:t>-32</w:t>
            </w:r>
            <w:r w:rsidRPr="00084171">
              <w:rPr>
                <w:rFonts w:cs="Arial"/>
                <w:sz w:val="20"/>
                <w:szCs w:val="20"/>
              </w:rPr>
              <w:t>%</w:t>
            </w:r>
          </w:p>
        </w:tc>
        <w:tc>
          <w:tcPr>
            <w:tcW w:w="1580" w:type="dxa"/>
            <w:vAlign w:val="bottom"/>
          </w:tcPr>
          <w:p w14:paraId="018012B4" w14:textId="77777777" w:rsidR="00E9288F" w:rsidRPr="00084171" w:rsidRDefault="00E9288F" w:rsidP="0042257F">
            <w:pPr>
              <w:jc w:val="right"/>
              <w:rPr>
                <w:rFonts w:cs="Arial"/>
                <w:sz w:val="20"/>
                <w:szCs w:val="20"/>
              </w:rPr>
            </w:pPr>
            <w:r w:rsidRPr="00071D15">
              <w:rPr>
                <w:rFonts w:cs="Arial"/>
                <w:sz w:val="20"/>
                <w:szCs w:val="20"/>
              </w:rPr>
              <w:t>-3</w:t>
            </w:r>
            <w:r w:rsidRPr="00084171">
              <w:rPr>
                <w:rFonts w:cs="Arial"/>
                <w:sz w:val="20"/>
                <w:szCs w:val="20"/>
              </w:rPr>
              <w:t>%</w:t>
            </w:r>
          </w:p>
        </w:tc>
      </w:tr>
    </w:tbl>
    <w:p w14:paraId="024E72FA" w14:textId="77777777" w:rsidR="00E9288F" w:rsidRPr="00084171" w:rsidRDefault="00E9288F" w:rsidP="00052215">
      <w:pPr>
        <w:spacing w:after="0"/>
        <w:rPr>
          <w:sz w:val="20"/>
          <w:szCs w:val="20"/>
          <w:lang w:eastAsia="en-US"/>
        </w:rPr>
      </w:pPr>
      <w:r w:rsidRPr="00084171">
        <w:rPr>
          <w:sz w:val="20"/>
          <w:szCs w:val="20"/>
          <w:vertAlign w:val="superscript"/>
          <w:lang w:eastAsia="en-US"/>
        </w:rPr>
        <w:t>a</w:t>
      </w:r>
      <w:r w:rsidRPr="00084171">
        <w:rPr>
          <w:sz w:val="20"/>
          <w:szCs w:val="20"/>
          <w:lang w:eastAsia="en-US"/>
        </w:rPr>
        <w:t xml:space="preserve"> </w:t>
      </w:r>
      <w:r>
        <w:rPr>
          <w:sz w:val="20"/>
          <w:szCs w:val="20"/>
          <w:lang w:eastAsia="en-US"/>
        </w:rPr>
        <w:t>Year 1:</w:t>
      </w:r>
      <w:r w:rsidRPr="00084171">
        <w:rPr>
          <w:sz w:val="20"/>
          <w:szCs w:val="20"/>
          <w:lang w:eastAsia="en-US"/>
        </w:rPr>
        <w:t xml:space="preserve"> December 2013 to November 2014</w:t>
      </w:r>
    </w:p>
    <w:p w14:paraId="169D8A98" w14:textId="77777777" w:rsidR="00E9288F" w:rsidRDefault="00E9288F" w:rsidP="00052215">
      <w:pPr>
        <w:spacing w:after="0"/>
        <w:rPr>
          <w:sz w:val="20"/>
          <w:szCs w:val="20"/>
          <w:lang w:eastAsia="en-US"/>
        </w:rPr>
      </w:pPr>
      <w:r w:rsidRPr="00084171">
        <w:rPr>
          <w:sz w:val="20"/>
          <w:szCs w:val="20"/>
          <w:vertAlign w:val="superscript"/>
        </w:rPr>
        <w:t>b</w:t>
      </w:r>
      <w:r w:rsidRPr="00084171">
        <w:rPr>
          <w:sz w:val="20"/>
          <w:szCs w:val="20"/>
          <w:lang w:eastAsia="en-US"/>
        </w:rPr>
        <w:t xml:space="preserve"> Year 2: December 2014 to November</w:t>
      </w:r>
      <w:r>
        <w:rPr>
          <w:sz w:val="20"/>
          <w:szCs w:val="20"/>
          <w:lang w:eastAsia="en-US"/>
        </w:rPr>
        <w:t xml:space="preserve"> 2015</w:t>
      </w:r>
    </w:p>
    <w:p w14:paraId="64BFE0FC" w14:textId="1667B0C2" w:rsidR="00E9288F" w:rsidRDefault="00E9288F" w:rsidP="0044696B">
      <w:pPr>
        <w:pStyle w:val="Figurecaption"/>
        <w:spacing w:before="0" w:after="0"/>
      </w:pPr>
      <w:r>
        <w:t xml:space="preserve">Source: Patient data from DHS supplied prescription database accessed August 2016; prescription and benefits data from </w:t>
      </w:r>
      <w:r w:rsidRPr="00071894">
        <w:t>DUSC database accessed July 2016.</w:t>
      </w:r>
      <w:r>
        <w:br/>
      </w:r>
    </w:p>
    <w:p w14:paraId="71F7538F" w14:textId="68C89C95" w:rsidR="00E9288F" w:rsidRDefault="00E9288F" w:rsidP="00AE6560">
      <w:r>
        <w:t xml:space="preserve">In the first year of listing, the number of patients was </w:t>
      </w:r>
      <w:r w:rsidRPr="00071D15">
        <w:t>42</w:t>
      </w:r>
      <w:r>
        <w:t xml:space="preserve">% higher than predicted. However, the number of prescriptions and government expenditure were </w:t>
      </w:r>
      <w:r w:rsidRPr="00071D15">
        <w:t>31</w:t>
      </w:r>
      <w:r>
        <w:t xml:space="preserve">% and </w:t>
      </w:r>
      <w:r w:rsidRPr="00071D15">
        <w:t>32</w:t>
      </w:r>
      <w:r>
        <w:t xml:space="preserve">% lower than predicted, respectively. In the second year of listing, the number of prescriptions and the government expenditure were close to predicted, while the number of patients was </w:t>
      </w:r>
      <w:r w:rsidRPr="00071D15">
        <w:t>79</w:t>
      </w:r>
      <w:r>
        <w:t xml:space="preserve">% higher than predicted. This difference between predicted and actual patients and prescriptions arises from patients receiving fewer prescriptions per year than predicted. The submission estimated that patients would have </w:t>
      </w:r>
      <w:r w:rsidRPr="00071D15">
        <w:t>10.96</w:t>
      </w:r>
      <w:r>
        <w:t xml:space="preserve"> prescriptions per year, but on average patients are having about six prescriptions each year (Table 5).</w:t>
      </w:r>
    </w:p>
    <w:p w14:paraId="4E43921B" w14:textId="77777777" w:rsidR="00381558" w:rsidRDefault="00381558">
      <w:pPr>
        <w:spacing w:line="276" w:lineRule="auto"/>
        <w:rPr>
          <w:b/>
          <w:sz w:val="28"/>
          <w:szCs w:val="28"/>
        </w:rPr>
      </w:pPr>
      <w:r>
        <w:rPr>
          <w:b/>
          <w:sz w:val="28"/>
          <w:szCs w:val="28"/>
        </w:rPr>
        <w:br w:type="page"/>
      </w:r>
    </w:p>
    <w:p w14:paraId="3555DFBA" w14:textId="5F36A422" w:rsidR="00E9288F" w:rsidRPr="00880B43" w:rsidRDefault="00E9288F" w:rsidP="00AE6560">
      <w:pPr>
        <w:rPr>
          <w:b/>
          <w:sz w:val="32"/>
          <w:szCs w:val="32"/>
        </w:rPr>
      </w:pPr>
      <w:r w:rsidRPr="00880B43">
        <w:rPr>
          <w:b/>
          <w:sz w:val="32"/>
          <w:szCs w:val="32"/>
        </w:rPr>
        <w:lastRenderedPageBreak/>
        <w:t>Discussion</w:t>
      </w:r>
    </w:p>
    <w:p w14:paraId="387B9019" w14:textId="7753D13E" w:rsidR="00E9288F" w:rsidRPr="008A3740" w:rsidRDefault="00E9288F" w:rsidP="003B31E4">
      <w:pPr>
        <w:rPr>
          <w:b/>
          <w:i/>
          <w:szCs w:val="28"/>
        </w:rPr>
      </w:pPr>
      <w:r w:rsidRPr="008A3740">
        <w:rPr>
          <w:b/>
          <w:i/>
          <w:szCs w:val="28"/>
        </w:rPr>
        <w:t>Predicted versus actual use</w:t>
      </w:r>
    </w:p>
    <w:p w14:paraId="709E5844" w14:textId="2FCB675B" w:rsidR="00E9288F" w:rsidRPr="00272B03" w:rsidRDefault="00E9288F" w:rsidP="003B31E4">
      <w:pPr>
        <w:rPr>
          <w:bCs/>
          <w:i/>
        </w:rPr>
      </w:pPr>
      <w:r>
        <w:t xml:space="preserve">The number of patients supplied rifaximin was higher than predicted in both year 1 and year 2 of listing. This is consistent with the DUSC consideration of the rifaximin PBAC submission. </w:t>
      </w:r>
      <w:r>
        <w:rPr>
          <w:bCs/>
        </w:rPr>
        <w:t xml:space="preserve">DUSC thought the </w:t>
      </w:r>
      <w:r w:rsidRPr="003C7210">
        <w:rPr>
          <w:bCs/>
        </w:rPr>
        <w:t>submission had possibly underestimated the number of</w:t>
      </w:r>
      <w:r>
        <w:rPr>
          <w:bCs/>
        </w:rPr>
        <w:t xml:space="preserve"> hospitalised</w:t>
      </w:r>
      <w:r w:rsidRPr="003C7210">
        <w:rPr>
          <w:bCs/>
        </w:rPr>
        <w:t xml:space="preserve"> patients experiencing HE events and the total population including those not hospitalised for HE. </w:t>
      </w:r>
      <w:r>
        <w:rPr>
          <w:bCs/>
        </w:rPr>
        <w:t xml:space="preserve">DUSC also considered </w:t>
      </w:r>
      <w:r w:rsidRPr="003C7210">
        <w:rPr>
          <w:bCs/>
        </w:rPr>
        <w:t>rifaximin may be prescribed in a larger population of patients with less severe hepatic disease than those included in the trial.</w:t>
      </w:r>
      <w:r>
        <w:rPr>
          <w:bCs/>
        </w:rPr>
        <w:t xml:space="preserve"> The number of treated patients could also be higher than predicted if the uptake rates were underestimated. </w:t>
      </w:r>
    </w:p>
    <w:p w14:paraId="338374FC" w14:textId="105A1808" w:rsidR="00E9288F" w:rsidRPr="00D44C74" w:rsidRDefault="00E9288F" w:rsidP="003B31E4">
      <w:pPr>
        <w:rPr>
          <w:rFonts w:eastAsia="Times New Roman" w:cs="Times New Roman"/>
          <w:bCs/>
          <w:snapToGrid w:val="0"/>
          <w:lang w:eastAsia="en-US"/>
        </w:rPr>
      </w:pPr>
      <w:r>
        <w:t xml:space="preserve">While the number of patients supplied rifaximin was higher than predicted, these patients received fewer prescriptions per year than predicted. This is also consistent with the DUSC consideration of the rifaximin PBAC submission. </w:t>
      </w:r>
      <w:r w:rsidRPr="003B31E4">
        <w:rPr>
          <w:rFonts w:eastAsia="Times New Roman" w:cs="Times New Roman"/>
          <w:bCs/>
          <w:snapToGrid w:val="0"/>
          <w:lang w:eastAsia="en-US"/>
        </w:rPr>
        <w:t xml:space="preserve">DUSC </w:t>
      </w:r>
      <w:r>
        <w:t>thought people would have fewer prescriptions per year than estimated by the submission</w:t>
      </w:r>
      <w:r w:rsidRPr="003B31E4">
        <w:rPr>
          <w:rFonts w:eastAsia="Times New Roman" w:cs="Times New Roman"/>
          <w:bCs/>
          <w:snapToGrid w:val="0"/>
          <w:lang w:eastAsia="en-US"/>
        </w:rPr>
        <w:t xml:space="preserve">. There was also considerable uncertainty as to </w:t>
      </w:r>
      <w:r>
        <w:rPr>
          <w:rFonts w:eastAsia="Times New Roman" w:cs="Times New Roman"/>
          <w:bCs/>
          <w:snapToGrid w:val="0"/>
          <w:lang w:eastAsia="en-US"/>
        </w:rPr>
        <w:t>whether</w:t>
      </w:r>
      <w:r w:rsidRPr="003B31E4">
        <w:rPr>
          <w:rFonts w:eastAsia="Times New Roman" w:cs="Times New Roman"/>
          <w:bCs/>
          <w:snapToGrid w:val="0"/>
          <w:lang w:eastAsia="en-US"/>
        </w:rPr>
        <w:t xml:space="preserve"> rifaximin would be prescribed intermittently or continuously and for how long.</w:t>
      </w:r>
      <w:r w:rsidRPr="00A62685">
        <w:t xml:space="preserve"> </w:t>
      </w:r>
      <w:r w:rsidRPr="00A62685">
        <w:rPr>
          <w:rFonts w:eastAsia="Times New Roman" w:cs="Times New Roman"/>
          <w:bCs/>
          <w:snapToGrid w:val="0"/>
          <w:lang w:eastAsia="en-US"/>
        </w:rPr>
        <w:t>Despite being indicated for prevention of HE, DUSC considered that it would be conceivable that patients may only take rifaximin when experiencing exacerbations of HE.</w:t>
      </w:r>
      <w:r w:rsidRPr="003B31E4">
        <w:rPr>
          <w:rFonts w:eastAsia="Times New Roman" w:cs="Times New Roman"/>
          <w:bCs/>
          <w:snapToGrid w:val="0"/>
          <w:lang w:eastAsia="en-US"/>
        </w:rPr>
        <w:t xml:space="preserve"> </w:t>
      </w:r>
      <w:r w:rsidRPr="00F64170">
        <w:rPr>
          <w:rFonts w:eastAsia="Times New Roman" w:cs="Times New Roman"/>
          <w:bCs/>
          <w:snapToGrid w:val="0"/>
          <w:lang w:eastAsia="en-US"/>
        </w:rPr>
        <w:t xml:space="preserve">The time to resupply analysis indicates variable patterns of use. </w:t>
      </w:r>
      <w:r w:rsidRPr="00D44C74">
        <w:rPr>
          <w:rFonts w:eastAsia="Times New Roman" w:cs="Times New Roman"/>
          <w:bCs/>
          <w:snapToGrid w:val="0"/>
          <w:lang w:eastAsia="en-US"/>
        </w:rPr>
        <w:t xml:space="preserve">Resupply after 28 or more days could indicate poor adherence and/or intermittent use. There were a number of same day supplies and resupplies within five days, which is inconsistent with expected use and the PBS 20 day supply rule.  There is also a small peak of supply at 14 days, which could potentially indicate use of higher doses of rifaximin.  </w:t>
      </w:r>
    </w:p>
    <w:p w14:paraId="778AE1BC" w14:textId="38162005" w:rsidR="00E9288F" w:rsidRPr="00286404" w:rsidRDefault="00E9288F" w:rsidP="00286404">
      <w:pPr>
        <w:rPr>
          <w:b/>
          <w:i/>
          <w:szCs w:val="28"/>
        </w:rPr>
      </w:pPr>
      <w:r>
        <w:rPr>
          <w:b/>
          <w:i/>
          <w:szCs w:val="28"/>
        </w:rPr>
        <w:t>Antimicrobial resistance</w:t>
      </w:r>
    </w:p>
    <w:p w14:paraId="5179D443" w14:textId="24E00604" w:rsidR="00E9288F" w:rsidRPr="00DD14C8" w:rsidRDefault="00E9288F" w:rsidP="00A32B90">
      <w:pPr>
        <w:rPr>
          <w:color w:val="F79646" w:themeColor="accent6"/>
        </w:rPr>
      </w:pPr>
      <w:r>
        <w:t xml:space="preserve">The </w:t>
      </w:r>
      <w:r w:rsidRPr="00AF3F4C">
        <w:t xml:space="preserve">PBAC </w:t>
      </w:r>
      <w:r>
        <w:t xml:space="preserve">raised concerns </w:t>
      </w:r>
      <w:r w:rsidRPr="00AF3F4C">
        <w:t xml:space="preserve">regarding the </w:t>
      </w:r>
      <w:r>
        <w:t xml:space="preserve">potential </w:t>
      </w:r>
      <w:r w:rsidRPr="00AF3F4C">
        <w:t>development of antimicrobial resistance</w:t>
      </w:r>
      <w:r>
        <w:t xml:space="preserve"> (AMR)</w:t>
      </w:r>
      <w:r w:rsidRPr="00AF3F4C">
        <w:t xml:space="preserve"> associated with the use of rifaximin.</w:t>
      </w:r>
      <w:r>
        <w:t xml:space="preserve"> </w:t>
      </w:r>
      <w:r w:rsidRPr="00DD14C8">
        <w:t>AMR is critical challenge for health care in Australia and around the world.</w:t>
      </w:r>
      <w:bookmarkStart w:id="1" w:name="_Ref460598145"/>
      <w:r w:rsidRPr="00DD14C8">
        <w:rPr>
          <w:rStyle w:val="EndnoteReference"/>
        </w:rPr>
        <w:endnoteReference w:id="8"/>
      </w:r>
      <w:bookmarkEnd w:id="1"/>
      <w:r w:rsidRPr="00DD14C8">
        <w:t xml:space="preserve"> </w:t>
      </w:r>
      <w:r w:rsidRPr="006A09A3">
        <w:t>AMR occurs when bacteria change to protect themselves from the effects of antibiotics. This means that the antibiotics are no longer effective in destroying or stopping the growth of the bacteria. AMR lessens the effectiveness of antibiotics in fighting infections. This may increase the complexity of treatment and the duration of hospital stay, and place an additional burden on patients, healthcare providers and the healthcare system.</w:t>
      </w:r>
    </w:p>
    <w:p w14:paraId="5D308AB3" w14:textId="238B5E7C" w:rsidR="00E9288F" w:rsidRDefault="00E9288F" w:rsidP="00A32B90">
      <w:r>
        <w:t>As for all antibiotics, there is a potential for bacteria to develop resistance to rifaximin.</w:t>
      </w:r>
      <w:bookmarkStart w:id="2" w:name="_Ref460598098"/>
      <w:r>
        <w:rPr>
          <w:rStyle w:val="EndnoteReference"/>
        </w:rPr>
        <w:endnoteReference w:id="9"/>
      </w:r>
      <w:bookmarkEnd w:id="2"/>
      <w:r>
        <w:t xml:space="preserve"> Rifaximin is a member of the rifamycin class of antibiotics. Other rifamycin antibiotics registered for use in Australia include rifampicin and rifabutin.</w:t>
      </w:r>
      <w:r>
        <w:rPr>
          <w:rStyle w:val="EndnoteReference"/>
        </w:rPr>
        <w:endnoteReference w:id="10"/>
      </w:r>
      <w:r>
        <w:t xml:space="preserve"> If bacteria become resistant to rifaximin this sometimes makes them </w:t>
      </w:r>
      <w:r w:rsidRPr="007F3FE3">
        <w:t>resistant to other rifamycin antibiotics</w:t>
      </w:r>
      <w:r>
        <w:t xml:space="preserve"> (known as cross-resistance)</w:t>
      </w:r>
      <w:r w:rsidRPr="007F3FE3">
        <w:t>.</w:t>
      </w:r>
      <w:r w:rsidR="00887378" w:rsidRPr="00887378">
        <w:rPr>
          <w:highlight w:val="yellow"/>
          <w:vertAlign w:val="superscript"/>
        </w:rPr>
        <w:fldChar w:fldCharType="begin"/>
      </w:r>
      <w:r w:rsidR="00887378" w:rsidRPr="00887378">
        <w:rPr>
          <w:vertAlign w:val="superscript"/>
        </w:rPr>
        <w:instrText xml:space="preserve"> NOTEREF _Ref460598098 \h </w:instrText>
      </w:r>
      <w:r w:rsidR="00887378" w:rsidRPr="00887378">
        <w:rPr>
          <w:highlight w:val="yellow"/>
          <w:vertAlign w:val="superscript"/>
        </w:rPr>
        <w:instrText xml:space="preserve"> \* MERGEFORMAT </w:instrText>
      </w:r>
      <w:r w:rsidR="00887378" w:rsidRPr="00887378">
        <w:rPr>
          <w:highlight w:val="yellow"/>
          <w:vertAlign w:val="superscript"/>
        </w:rPr>
      </w:r>
      <w:r w:rsidR="00887378" w:rsidRPr="00887378">
        <w:rPr>
          <w:highlight w:val="yellow"/>
          <w:vertAlign w:val="superscript"/>
        </w:rPr>
        <w:fldChar w:fldCharType="separate"/>
      </w:r>
      <w:r w:rsidR="000F2C41">
        <w:rPr>
          <w:vertAlign w:val="superscript"/>
        </w:rPr>
        <w:t>9</w:t>
      </w:r>
      <w:r w:rsidR="00887378" w:rsidRPr="00887378">
        <w:rPr>
          <w:highlight w:val="yellow"/>
          <w:vertAlign w:val="superscript"/>
        </w:rPr>
        <w:fldChar w:fldCharType="end"/>
      </w:r>
      <w:r>
        <w:t xml:space="preserve"> </w:t>
      </w:r>
    </w:p>
    <w:p w14:paraId="6C9EF2F1" w14:textId="25EE55E0" w:rsidR="00E9288F" w:rsidRPr="00703DA5" w:rsidRDefault="00E9288F" w:rsidP="00A32B90">
      <w:pPr>
        <w:rPr>
          <w:color w:val="E36C0A" w:themeColor="accent6" w:themeShade="BF"/>
        </w:rPr>
      </w:pPr>
      <w:r>
        <w:t>The PBAC sought clinical advice on the implications of listing rifaximin for AMR. The clinical advice received suggested that t</w:t>
      </w:r>
      <w:r w:rsidRPr="005A589C">
        <w:t>he risk of resistance from rifaximin use is real but difficult to quantify</w:t>
      </w:r>
      <w:r>
        <w:t>.</w:t>
      </w:r>
      <w:r>
        <w:rPr>
          <w:rStyle w:val="EndnoteReference"/>
        </w:rPr>
        <w:endnoteReference w:id="11"/>
      </w:r>
      <w:r>
        <w:t xml:space="preserve"> </w:t>
      </w:r>
      <w:r w:rsidRPr="005A589C">
        <w:t xml:space="preserve">Because rifaximin is poorly absorbed, the highest selection pressure for rifamycin resistance from rifaximin is on the bacteria in the gut. Evidence suggests that rifaximin readily selects for resistance to the other rifamycins in staphylococci, Clostridium </w:t>
      </w:r>
      <w:r w:rsidRPr="005A589C">
        <w:lastRenderedPageBreak/>
        <w:t>difficile and Escherichia coli; which may all be present in the gut.</w:t>
      </w:r>
      <w:r>
        <w:rPr>
          <w:rStyle w:val="EndnoteReference"/>
        </w:rPr>
        <w:endnoteReference w:id="12"/>
      </w:r>
      <w:r w:rsidRPr="00871295">
        <w:rPr>
          <w:vertAlign w:val="superscript"/>
        </w:rPr>
        <w:t>,</w:t>
      </w:r>
      <w:r>
        <w:rPr>
          <w:rStyle w:val="EndnoteReference"/>
        </w:rPr>
        <w:endnoteReference w:id="13"/>
      </w:r>
      <w:r>
        <w:rPr>
          <w:vertAlign w:val="superscript"/>
        </w:rPr>
        <w:t>,</w:t>
      </w:r>
      <w:r>
        <w:rPr>
          <w:rStyle w:val="EndnoteReference"/>
        </w:rPr>
        <w:endnoteReference w:id="14"/>
      </w:r>
      <w:r w:rsidRPr="005A589C">
        <w:t xml:space="preserve"> Resistance to rifamycins can develop both in the target infectious bacteria and in normal gut bacteria. </w:t>
      </w:r>
    </w:p>
    <w:p w14:paraId="7132B3C7" w14:textId="486C0633" w:rsidR="00E9288F" w:rsidRDefault="00E9288F" w:rsidP="008B6DE9">
      <w:r>
        <w:t xml:space="preserve">There are a number of potential uses for rifaximin in addition to hepatic encephalopathy. Rifaximin is also TGA registered for treatment of traveller’s diarrhoea, but this use is not PBS subsidised. A variety of clinical studies are currently investigating use of rifaximin to treat other conditions, for example </w:t>
      </w:r>
      <w:proofErr w:type="spellStart"/>
      <w:r>
        <w:t>Crohn</w:t>
      </w:r>
      <w:proofErr w:type="spellEnd"/>
      <w:r>
        <w:t xml:space="preserve"> disease.</w:t>
      </w:r>
      <w:r w:rsidRPr="00950916">
        <w:rPr>
          <w:vertAlign w:val="superscript"/>
        </w:rPr>
        <w:fldChar w:fldCharType="begin"/>
      </w:r>
      <w:r w:rsidRPr="00950916">
        <w:rPr>
          <w:vertAlign w:val="superscript"/>
        </w:rPr>
        <w:instrText xml:space="preserve"> NOTEREF _Ref460598098 \h </w:instrText>
      </w:r>
      <w:r>
        <w:rPr>
          <w:vertAlign w:val="superscript"/>
        </w:rPr>
        <w:instrText xml:space="preserve"> \* MERGEFORMAT </w:instrText>
      </w:r>
      <w:r w:rsidRPr="00950916">
        <w:rPr>
          <w:vertAlign w:val="superscript"/>
        </w:rPr>
      </w:r>
      <w:r w:rsidRPr="00950916">
        <w:rPr>
          <w:vertAlign w:val="superscript"/>
        </w:rPr>
        <w:fldChar w:fldCharType="separate"/>
      </w:r>
      <w:r w:rsidR="000F2C41">
        <w:rPr>
          <w:vertAlign w:val="superscript"/>
        </w:rPr>
        <w:t>9</w:t>
      </w:r>
      <w:r w:rsidRPr="00950916">
        <w:rPr>
          <w:vertAlign w:val="superscript"/>
        </w:rPr>
        <w:fldChar w:fldCharType="end"/>
      </w:r>
      <w:r w:rsidRPr="00950916">
        <w:rPr>
          <w:vertAlign w:val="superscript"/>
        </w:rPr>
        <w:t>,</w:t>
      </w:r>
      <w:r>
        <w:rPr>
          <w:rStyle w:val="EndnoteReference"/>
        </w:rPr>
        <w:endnoteReference w:id="15"/>
      </w:r>
      <w:r>
        <w:rPr>
          <w:vertAlign w:val="superscript"/>
        </w:rPr>
        <w:t xml:space="preserve"> </w:t>
      </w:r>
      <w:r>
        <w:t xml:space="preserve"> Rifaximin is also available in Australia as a compounded product. Private prescription data are not included in this report and data on the extent of use of compounded rifaximin is not available. </w:t>
      </w:r>
    </w:p>
    <w:p w14:paraId="07196853" w14:textId="64AC2899" w:rsidR="00AF1715" w:rsidRDefault="00E9288F" w:rsidP="008B6DE9">
      <w:r>
        <w:t xml:space="preserve">Nationally coordinated surveillance of AMR and antimicrobial use is one of the objectives of </w:t>
      </w:r>
      <w:r w:rsidRPr="003A2D00">
        <w:t>Australia’s National Antimicrobial Resistance Strategy.</w:t>
      </w:r>
      <w:r>
        <w:rPr>
          <w:rStyle w:val="EndnoteReference"/>
        </w:rPr>
        <w:endnoteReference w:id="16"/>
      </w:r>
      <w:r w:rsidRPr="003A2D00">
        <w:t xml:space="preserve"> </w:t>
      </w:r>
      <w:r w:rsidR="00AF1715" w:rsidRPr="003A2D00">
        <w:t xml:space="preserve">The Antimicrobial Use and Resistance in Australia (AURA) Surveillance System </w:t>
      </w:r>
      <w:proofErr w:type="gramStart"/>
      <w:r w:rsidR="00AF1715" w:rsidRPr="003A2D00">
        <w:t>allow</w:t>
      </w:r>
      <w:r w:rsidR="000A6964">
        <w:t>s</w:t>
      </w:r>
      <w:proofErr w:type="gramEnd"/>
      <w:r w:rsidR="00AF1715" w:rsidRPr="003A2D00">
        <w:t xml:space="preserve"> integrated analysis and reporting</w:t>
      </w:r>
      <w:r w:rsidR="000A6964">
        <w:t xml:space="preserve"> of antimicrobial use</w:t>
      </w:r>
      <w:r w:rsidR="00AF1715" w:rsidRPr="003A2D00">
        <w:t xml:space="preserve"> at a national level.</w:t>
      </w:r>
      <w:r w:rsidR="00950916" w:rsidRPr="00950916">
        <w:rPr>
          <w:vertAlign w:val="superscript"/>
        </w:rPr>
        <w:fldChar w:fldCharType="begin"/>
      </w:r>
      <w:r w:rsidR="00950916" w:rsidRPr="00950916">
        <w:rPr>
          <w:vertAlign w:val="superscript"/>
        </w:rPr>
        <w:instrText xml:space="preserve"> NOTEREF _Ref460598145 \h </w:instrText>
      </w:r>
      <w:r w:rsidR="00950916">
        <w:rPr>
          <w:vertAlign w:val="superscript"/>
        </w:rPr>
        <w:instrText xml:space="preserve"> \* MERGEFORMAT </w:instrText>
      </w:r>
      <w:r w:rsidR="00950916" w:rsidRPr="00950916">
        <w:rPr>
          <w:vertAlign w:val="superscript"/>
        </w:rPr>
      </w:r>
      <w:r w:rsidR="00950916" w:rsidRPr="00950916">
        <w:rPr>
          <w:vertAlign w:val="superscript"/>
        </w:rPr>
        <w:fldChar w:fldCharType="separate"/>
      </w:r>
      <w:r w:rsidR="000F2C41">
        <w:rPr>
          <w:vertAlign w:val="superscript"/>
        </w:rPr>
        <w:t>8</w:t>
      </w:r>
      <w:r w:rsidR="00950916" w:rsidRPr="00950916">
        <w:rPr>
          <w:vertAlign w:val="superscript"/>
        </w:rPr>
        <w:fldChar w:fldCharType="end"/>
      </w:r>
      <w:r w:rsidR="00AF1715">
        <w:t xml:space="preserve"> The AURA </w:t>
      </w:r>
      <w:r w:rsidR="00AF1715" w:rsidRPr="003A2D00">
        <w:t>Surveillance System</w:t>
      </w:r>
      <w:r w:rsidR="00AF1715">
        <w:t xml:space="preserve"> brings together data from a range of sources, including PBS/RPBS data.</w:t>
      </w:r>
    </w:p>
    <w:p w14:paraId="105F5E8B" w14:textId="182CA9D4" w:rsidR="007B6A72" w:rsidRDefault="007B6A72" w:rsidP="008B6DE9">
      <w:pPr>
        <w:rPr>
          <w:b/>
          <w:sz w:val="28"/>
          <w:szCs w:val="28"/>
        </w:rPr>
      </w:pPr>
      <w:r w:rsidRPr="007B6A72">
        <w:rPr>
          <w:b/>
          <w:sz w:val="28"/>
          <w:szCs w:val="28"/>
        </w:rPr>
        <w:t>DUSC Consideration</w:t>
      </w:r>
    </w:p>
    <w:p w14:paraId="20E2F9FB" w14:textId="73B7389B" w:rsidR="00D44C74" w:rsidRPr="00D44C74" w:rsidRDefault="00D44C74" w:rsidP="00D44C74">
      <w:pPr>
        <w:rPr>
          <w:bCs/>
        </w:rPr>
      </w:pPr>
      <w:r w:rsidRPr="00D44C74">
        <w:t xml:space="preserve">The number of patients supplied rifaximin was higher than predicted in both year 1 and year 2 of listing. </w:t>
      </w:r>
      <w:r w:rsidRPr="00D44C74">
        <w:rPr>
          <w:bCs/>
        </w:rPr>
        <w:t>DUSC recalled that in its consideration of the rifaximin submission (October 2011 meeting), the committee raised a number of reasons why the number of treated patients was underestimated by the submission:</w:t>
      </w:r>
    </w:p>
    <w:p w14:paraId="3E9CD505" w14:textId="03D4EC9F" w:rsidR="00D44C74" w:rsidRPr="00D44C74" w:rsidRDefault="00D44C74" w:rsidP="00D44C74">
      <w:pPr>
        <w:numPr>
          <w:ilvl w:val="0"/>
          <w:numId w:val="9"/>
        </w:numPr>
        <w:spacing w:after="0"/>
        <w:rPr>
          <w:bCs/>
        </w:rPr>
      </w:pPr>
      <w:r w:rsidRPr="00D44C74">
        <w:rPr>
          <w:bCs/>
        </w:rPr>
        <w:t>underestimated number of hospitalised patients experiencing HE events</w:t>
      </w:r>
    </w:p>
    <w:p w14:paraId="21A4FB8F" w14:textId="705072F1" w:rsidR="00D44C74" w:rsidRPr="00D44C74" w:rsidRDefault="00D44C74" w:rsidP="00D44C74">
      <w:pPr>
        <w:numPr>
          <w:ilvl w:val="0"/>
          <w:numId w:val="9"/>
        </w:numPr>
        <w:spacing w:after="0"/>
        <w:rPr>
          <w:bCs/>
        </w:rPr>
      </w:pPr>
      <w:r w:rsidRPr="00D44C74">
        <w:rPr>
          <w:bCs/>
        </w:rPr>
        <w:t>excluded patients with HE who were not hospitalised</w:t>
      </w:r>
    </w:p>
    <w:p w14:paraId="51534F27" w14:textId="478E80C2" w:rsidR="00D44C74" w:rsidRPr="00D44C74" w:rsidRDefault="00D44C74" w:rsidP="00D44C74">
      <w:pPr>
        <w:numPr>
          <w:ilvl w:val="0"/>
          <w:numId w:val="9"/>
        </w:numPr>
        <w:spacing w:after="0"/>
        <w:rPr>
          <w:bCs/>
        </w:rPr>
      </w:pPr>
      <w:r w:rsidRPr="00D44C74">
        <w:rPr>
          <w:bCs/>
        </w:rPr>
        <w:t>potential use in patients with less severe hepatic disease than those included in the trial</w:t>
      </w:r>
    </w:p>
    <w:p w14:paraId="04105979" w14:textId="150A5633" w:rsidR="00D44C74" w:rsidRPr="00D44C74" w:rsidRDefault="00D44C74" w:rsidP="00D44C74">
      <w:pPr>
        <w:numPr>
          <w:ilvl w:val="0"/>
          <w:numId w:val="9"/>
        </w:numPr>
        <w:spacing w:after="0"/>
        <w:rPr>
          <w:bCs/>
        </w:rPr>
      </w:pPr>
      <w:r w:rsidRPr="00D44C74">
        <w:rPr>
          <w:bCs/>
        </w:rPr>
        <w:t>underestimated uptake rates</w:t>
      </w:r>
    </w:p>
    <w:p w14:paraId="550CB9A7" w14:textId="77777777" w:rsidR="00D44C74" w:rsidRPr="00D44C74" w:rsidRDefault="00D44C74" w:rsidP="00D44C74">
      <w:pPr>
        <w:spacing w:after="0"/>
        <w:rPr>
          <w:bCs/>
        </w:rPr>
      </w:pPr>
    </w:p>
    <w:p w14:paraId="3168A249" w14:textId="2EF0108F" w:rsidR="00D44C74" w:rsidRPr="00D44C74" w:rsidRDefault="00D44C74" w:rsidP="00D44C74">
      <w:pPr>
        <w:spacing w:after="0"/>
        <w:rPr>
          <w:bCs/>
        </w:rPr>
      </w:pPr>
      <w:r w:rsidRPr="00D44C74">
        <w:rPr>
          <w:bCs/>
        </w:rPr>
        <w:t xml:space="preserve">DUSC identified </w:t>
      </w:r>
      <w:r w:rsidR="0074107D">
        <w:rPr>
          <w:bCs/>
        </w:rPr>
        <w:t xml:space="preserve">that </w:t>
      </w:r>
      <w:r w:rsidRPr="00D44C74">
        <w:rPr>
          <w:bCs/>
        </w:rPr>
        <w:t xml:space="preserve">another potential reason for a higher number of patients using rifaximin may be because lactulose is not a very effective treatment option for a disease where there are few treatment options. Further, the mortality rate of liver disease and cirrhosis is quite high so it is possible that rifaximin might be trialled as primary prevention. DUSC also noted that the estimates were based on hospital admissions. The sponsor noted that a patient may have been initiated on rifaximin in hospital but had their first PBS-subsidised prescription written by a GP, and considered this would not have been accounted for in the estimates.  However, DUSC noted that the estimates included these patients. DUSC also discussed whether off-label use or use outside the restriction could be contributing to higher patient numbers than estimated, but considered the Authority Required restriction should help mitigate against this.  </w:t>
      </w:r>
    </w:p>
    <w:p w14:paraId="4899981A" w14:textId="77777777" w:rsidR="00D44C74" w:rsidRDefault="00D44C74" w:rsidP="00D44C74">
      <w:pPr>
        <w:spacing w:after="0"/>
      </w:pPr>
    </w:p>
    <w:p w14:paraId="5ED91B82" w14:textId="606AC146" w:rsidR="00D44C74" w:rsidRPr="00540A22" w:rsidRDefault="00D44C74" w:rsidP="00D44C74">
      <w:pPr>
        <w:spacing w:after="0"/>
        <w:rPr>
          <w:bCs/>
        </w:rPr>
      </w:pPr>
      <w:r w:rsidRPr="00D44C74">
        <w:t xml:space="preserve">While the number of patients supplied rifaximin was higher than predicted, these patients received fewer prescriptions per year than predicted. </w:t>
      </w:r>
      <w:r w:rsidRPr="00D44C74">
        <w:rPr>
          <w:bCs/>
        </w:rPr>
        <w:t xml:space="preserve">DUSC recalled from its consideration of the rifaximin submission (October 2011 meeting) that it had </w:t>
      </w:r>
      <w:r w:rsidRPr="00D44C74">
        <w:t>thought people would have fewer prescriptions per year than estimated by the submission</w:t>
      </w:r>
      <w:r w:rsidRPr="00D44C74">
        <w:rPr>
          <w:bCs/>
        </w:rPr>
        <w:t>. There was considerable uncertainty as to whether rifaximin would be prescribed intermittently or continuously and for how long.</w:t>
      </w:r>
      <w:r w:rsidRPr="00D44C74">
        <w:t xml:space="preserve"> </w:t>
      </w:r>
      <w:r w:rsidRPr="00D44C74">
        <w:rPr>
          <w:bCs/>
        </w:rPr>
        <w:t xml:space="preserve">Despite being indicated for prevention of HE, DUSC recalled that it had </w:t>
      </w:r>
      <w:r w:rsidRPr="00D44C74">
        <w:rPr>
          <w:bCs/>
        </w:rPr>
        <w:lastRenderedPageBreak/>
        <w:t xml:space="preserve">considered it would be conceivable that patients may only take rifaximin when experiencing exacerbations of HE. DUSC added that other reasons for the lower than predicted prescription numbers might be poor treatment persistence or adherence. DUSC also noted that there might be supervening clinical events that remove the need for rifaximin, such as receiving a liver transplant or death. The sponsor stated that a contributing factor towards a drop in follow-up/repeat prescribing might be the paperwork that a prescriber must complete in order to prescribe rifaximin on the PBS. The sponsor requested that rifaximin be considered for a </w:t>
      </w:r>
      <w:r w:rsidR="005E37C4">
        <w:rPr>
          <w:bCs/>
        </w:rPr>
        <w:t>s</w:t>
      </w:r>
      <w:r w:rsidRPr="00D44C74">
        <w:rPr>
          <w:bCs/>
        </w:rPr>
        <w:t xml:space="preserve">treamlined </w:t>
      </w:r>
      <w:r w:rsidR="005E37C4">
        <w:rPr>
          <w:bCs/>
        </w:rPr>
        <w:t>a</w:t>
      </w:r>
      <w:r w:rsidRPr="00D44C74">
        <w:rPr>
          <w:bCs/>
        </w:rPr>
        <w:t xml:space="preserve">uthority listing. DUSC noted that rifaximin is a phone authority therefore a prescriber would not be required to complete large amounts of paperwork to meet PBS criteria. </w:t>
      </w:r>
      <w:r w:rsidRPr="00540A22">
        <w:rPr>
          <w:bCs/>
        </w:rPr>
        <w:t xml:space="preserve">Further, at the August 2015 Post-Market Review of Authority Required PBS listings meeting, the PBAC recommended that rifaximin remain Authority Required. </w:t>
      </w:r>
    </w:p>
    <w:p w14:paraId="4A012890" w14:textId="77777777" w:rsidR="00D44C74" w:rsidRPr="00D44C74" w:rsidRDefault="00D44C74" w:rsidP="00D44C74">
      <w:pPr>
        <w:spacing w:after="0"/>
        <w:rPr>
          <w:bCs/>
          <w:i/>
        </w:rPr>
      </w:pPr>
    </w:p>
    <w:p w14:paraId="297DEA17" w14:textId="77777777" w:rsidR="00D44C74" w:rsidRPr="00D44C74" w:rsidRDefault="00D44C74" w:rsidP="00D44C74">
      <w:pPr>
        <w:rPr>
          <w:bCs/>
        </w:rPr>
      </w:pPr>
      <w:r w:rsidRPr="00D44C74">
        <w:rPr>
          <w:bCs/>
        </w:rPr>
        <w:t xml:space="preserve">The time to resupply analysis indicates variable patterns of use. Resupply after 28 or more days could indicate poor adherence or intermittent use. There were a number of same day supplies and resupplies within five days, which is inconsistent with expected use and the PBS 20 day supply rule.  There was also a small peak of supply at 14 days, which could potentially indicate use of higher doses of rifaximin. DUSC noted that while the time to resupply analysis showed that most rifaximin prescriptions were resupplied quite quickly, people only received six prescriptions per year on average. DUSC suggested that if future analyses of rifaximin use are conducted, the interpretation would be aided by analysis of how many people were only ever supplied one prescription. </w:t>
      </w:r>
    </w:p>
    <w:p w14:paraId="2725F030" w14:textId="2BFE40C0" w:rsidR="00D44C74" w:rsidRPr="00D44C74" w:rsidRDefault="00D44C74" w:rsidP="00D44C74">
      <w:r w:rsidRPr="00D44C74">
        <w:t xml:space="preserve">The sponsor stated in their response that with the large number of new patients appearing in both Year 1 and in Year 2 the average number of prescriptions per patient will inevitably be lower than in a stable patient population as patients are not necessarily initiated on therapy at the beginning of each PBS year. DUSC acknowledged that patients would initiate throughout the year and that a half-cycle correction was not included in the final estimates model. However, DUSC also considered that for a condition with limited treatment options, there would be a pool of patients available to start therapy at the date of listing. </w:t>
      </w:r>
      <w:r w:rsidRPr="00D44C74">
        <w:rPr>
          <w:bCs/>
        </w:rPr>
        <w:t>The sponsor acknowledged</w:t>
      </w:r>
      <w:r w:rsidRPr="00D44C74">
        <w:rPr>
          <w:bCs/>
          <w:i/>
        </w:rPr>
        <w:t xml:space="preserve"> </w:t>
      </w:r>
      <w:r w:rsidRPr="00D44C74">
        <w:rPr>
          <w:bCs/>
        </w:rPr>
        <w:t xml:space="preserve">the DUSC Secretariat had addressed this by performing a further analysis that followed each patient in a cohort for 12 months from their first prescription. </w:t>
      </w:r>
    </w:p>
    <w:p w14:paraId="757C2CD0" w14:textId="3CC46055" w:rsidR="00D44C74" w:rsidRPr="00D44C74" w:rsidRDefault="00D44C74" w:rsidP="00D44C74">
      <w:r w:rsidRPr="00D44C74">
        <w:t>The purpose of this report included review</w:t>
      </w:r>
      <w:r w:rsidR="00880B43">
        <w:t>ing the</w:t>
      </w:r>
      <w:r w:rsidRPr="00D44C74">
        <w:t xml:space="preserve"> use of rifaximin in the context of antimicrobial resistance. DUSC agreed with the clinical advice received by the PBAC that the risk of resistance from rifaximin use is real but difficult to quantify. As antimicrobial resistance is complex and multifactorial, DUSC considered it is difficult to determine the contribution of individual factors, such as rifaximin prescribing. Additionally, antimicrobial resistance takes a number of years to become apparent and rifaximin has only been PBS-listed for a short period of time. While PBS data can be used to assess the extent of use, it does not provide information on resistance. DUSC noted that the Antimicrobial Use and Resistance in Australia (AURA) Surveillance System allows integrated analysis and reporting of antimicrobial use at a national level.  DUSC also noted that there have only been two cases of potential resistance, both unsubstantiated. </w:t>
      </w:r>
    </w:p>
    <w:p w14:paraId="37D01D6D" w14:textId="77777777" w:rsidR="00D44C74" w:rsidRPr="00D44C74" w:rsidRDefault="00D44C74" w:rsidP="00D44C74"/>
    <w:p w14:paraId="4605ADCC" w14:textId="5406C930" w:rsidR="00D44C74" w:rsidRDefault="00D44C74" w:rsidP="00C82BF3">
      <w:pPr>
        <w:spacing w:after="0"/>
        <w:rPr>
          <w:bCs/>
        </w:rPr>
      </w:pPr>
      <w:r w:rsidRPr="00D44C74">
        <w:lastRenderedPageBreak/>
        <w:t xml:space="preserve">There are a number of potential uses for rifaximin in addition to hepatic encephalopathy. DUSC noted that rifaximin could be used to treat traveller’s diarrhoea (for which it is registered but not PBS-listed), irritable bowel syndrome and Clostridium difficile infection. DUSC considered that at the current level of use, the HE market is not yet saturated. However, DUSC was concerned that if the use of PBS-subsidised rifaximin continues to grow at the current rate, it will likely not be for the treatment of HE, rather for conditions outside of the restriction. </w:t>
      </w:r>
      <w:r w:rsidRPr="00D44C74">
        <w:rPr>
          <w:bCs/>
        </w:rPr>
        <w:t>DUSC</w:t>
      </w:r>
      <w:r w:rsidRPr="00D44C74">
        <w:t xml:space="preserve"> </w:t>
      </w:r>
      <w:r w:rsidRPr="00D44C74">
        <w:rPr>
          <w:bCs/>
        </w:rPr>
        <w:t>requested the opportunity to consider if rifaximin use should be reviewed again in 24 months to see if the number of patients treated plateaus as the HE market becomes saturated.</w:t>
      </w:r>
    </w:p>
    <w:p w14:paraId="7FDB85B8" w14:textId="77777777" w:rsidR="00C82BF3" w:rsidRDefault="00C82BF3" w:rsidP="00C82BF3">
      <w:pPr>
        <w:spacing w:after="0"/>
        <w:rPr>
          <w:i/>
        </w:rPr>
      </w:pPr>
    </w:p>
    <w:p w14:paraId="2ECBFE48" w14:textId="188E62BB" w:rsidR="001310AE" w:rsidRDefault="00801E74" w:rsidP="00C82BF3">
      <w:pPr>
        <w:pStyle w:val="Heading1"/>
        <w:spacing w:before="0" w:after="0"/>
        <w:rPr>
          <w:sz w:val="28"/>
          <w:szCs w:val="28"/>
        </w:rPr>
      </w:pPr>
      <w:r w:rsidRPr="007B6A72">
        <w:rPr>
          <w:sz w:val="28"/>
          <w:szCs w:val="28"/>
        </w:rPr>
        <w:t xml:space="preserve">DUSC </w:t>
      </w:r>
      <w:r w:rsidR="007B6A72" w:rsidRPr="007B6A72">
        <w:rPr>
          <w:sz w:val="28"/>
          <w:szCs w:val="28"/>
        </w:rPr>
        <w:t>Actions</w:t>
      </w:r>
    </w:p>
    <w:p w14:paraId="6239F5C8" w14:textId="77777777" w:rsidR="007B6A72" w:rsidRPr="007B6A72" w:rsidRDefault="007B6A72" w:rsidP="007B6A72">
      <w:pPr>
        <w:spacing w:after="0"/>
      </w:pPr>
    </w:p>
    <w:p w14:paraId="6F799161" w14:textId="77777777" w:rsidR="007B6A72" w:rsidRDefault="007B6A72" w:rsidP="007B6A72">
      <w:pPr>
        <w:spacing w:after="0"/>
      </w:pPr>
      <w:r w:rsidRPr="007B6A72">
        <w:t>DUSC requested that the report, stakeholder response and DUSC minutes be provided to the PBAC.</w:t>
      </w:r>
    </w:p>
    <w:p w14:paraId="0058FA33" w14:textId="77777777" w:rsidR="007B6A72" w:rsidRDefault="007B6A72" w:rsidP="007B6A72">
      <w:pPr>
        <w:spacing w:after="0"/>
      </w:pPr>
    </w:p>
    <w:p w14:paraId="743F8AE7" w14:textId="77777777" w:rsidR="007B6A72" w:rsidRDefault="007B6A72" w:rsidP="007B6A72">
      <w:pPr>
        <w:spacing w:after="0"/>
        <w:rPr>
          <w:b/>
          <w:sz w:val="28"/>
          <w:szCs w:val="28"/>
        </w:rPr>
      </w:pPr>
      <w:r w:rsidRPr="007B6A72">
        <w:rPr>
          <w:b/>
          <w:sz w:val="28"/>
          <w:szCs w:val="28"/>
        </w:rPr>
        <w:t>Context for Analysis</w:t>
      </w:r>
    </w:p>
    <w:p w14:paraId="54EAB982" w14:textId="77777777" w:rsidR="007B6A72" w:rsidRDefault="007B6A72" w:rsidP="007B6A72">
      <w:pPr>
        <w:spacing w:after="0"/>
      </w:pPr>
    </w:p>
    <w:p w14:paraId="313DC738" w14:textId="77777777" w:rsidR="007B6A72" w:rsidRDefault="007B6A72" w:rsidP="007B6A72">
      <w:pPr>
        <w:spacing w:after="0"/>
      </w:pPr>
      <w:r w:rsidRPr="007B6A72">
        <w:t xml:space="preserve">The DUSC is a Sub Committee of the Pharmaceutical Benefits Advisory Committee (PBAC). The DUSC assesses estimates on projected usage and financial cost of medicines. 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6D32E792" w14:textId="77777777" w:rsidR="007B6A72" w:rsidRDefault="007B6A72" w:rsidP="007B6A72">
      <w:pPr>
        <w:spacing w:after="0"/>
      </w:pPr>
    </w:p>
    <w:p w14:paraId="4BDB989A" w14:textId="77777777" w:rsidR="007B6A72" w:rsidRDefault="007B6A72" w:rsidP="007B6A72">
      <w:pPr>
        <w:spacing w:after="0"/>
      </w:pPr>
      <w:r w:rsidRPr="007B6A72">
        <w:t xml:space="preserve">The DUSC operates in accordance with the quality use of medicines objective of the National Medicines Policy and considers that the DUSC utilisation analyses will assist consumers and health professionals to better understand the costs, benefits and risks of medicines. The utilisation analysis report was provided to the pharmaceutical sponsors of each drug and comments on the report were provided to DUSC prior to its consideration of the analysis. </w:t>
      </w:r>
    </w:p>
    <w:p w14:paraId="632DC002" w14:textId="77777777" w:rsidR="007B6A72" w:rsidRDefault="007B6A72" w:rsidP="007B6A72">
      <w:pPr>
        <w:spacing w:after="0"/>
      </w:pPr>
    </w:p>
    <w:p w14:paraId="6041A178" w14:textId="4B53D996" w:rsidR="007B6A72" w:rsidRDefault="00C82BF3" w:rsidP="007B6A72">
      <w:pPr>
        <w:spacing w:after="0"/>
        <w:rPr>
          <w:b/>
          <w:sz w:val="28"/>
          <w:szCs w:val="28"/>
        </w:rPr>
      </w:pPr>
      <w:r w:rsidRPr="00C16C9B">
        <w:rPr>
          <w:b/>
          <w:sz w:val="28"/>
          <w:szCs w:val="28"/>
        </w:rPr>
        <w:t>Sponsor</w:t>
      </w:r>
      <w:r w:rsidR="007B6A72" w:rsidRPr="00C16C9B">
        <w:rPr>
          <w:b/>
          <w:sz w:val="28"/>
          <w:szCs w:val="28"/>
        </w:rPr>
        <w:t xml:space="preserve"> comments</w:t>
      </w:r>
    </w:p>
    <w:p w14:paraId="592EA51E" w14:textId="77777777" w:rsidR="00C16C9B" w:rsidRDefault="00C16C9B" w:rsidP="007B6A72">
      <w:pPr>
        <w:spacing w:after="0"/>
      </w:pPr>
    </w:p>
    <w:p w14:paraId="236107B3" w14:textId="7929F81E" w:rsidR="00D44C74" w:rsidRDefault="00BF4316" w:rsidP="007B6A72">
      <w:pPr>
        <w:spacing w:after="0"/>
        <w:rPr>
          <w:b/>
          <w:sz w:val="28"/>
          <w:szCs w:val="28"/>
        </w:rPr>
      </w:pPr>
      <w:proofErr w:type="spellStart"/>
      <w:r>
        <w:t>Norgine</w:t>
      </w:r>
      <w:proofErr w:type="spellEnd"/>
      <w:r>
        <w:t xml:space="preserve"> Pty Ltd: the sponsor has n</w:t>
      </w:r>
      <w:r w:rsidR="00C16C9B">
        <w:t>o comment.</w:t>
      </w:r>
    </w:p>
    <w:p w14:paraId="3491A19A" w14:textId="77777777" w:rsidR="007B6A72" w:rsidRDefault="007B6A72" w:rsidP="007B6A72">
      <w:pPr>
        <w:spacing w:after="0"/>
        <w:rPr>
          <w:sz w:val="28"/>
          <w:szCs w:val="28"/>
        </w:rPr>
      </w:pPr>
    </w:p>
    <w:p w14:paraId="37A8218F" w14:textId="77777777" w:rsidR="007B6A72" w:rsidRDefault="007B6A72" w:rsidP="007B6A72">
      <w:pPr>
        <w:spacing w:after="0"/>
        <w:rPr>
          <w:b/>
          <w:sz w:val="28"/>
          <w:szCs w:val="28"/>
        </w:rPr>
      </w:pPr>
      <w:r w:rsidRPr="007B6A72">
        <w:rPr>
          <w:b/>
          <w:sz w:val="28"/>
          <w:szCs w:val="28"/>
        </w:rPr>
        <w:t xml:space="preserve">Disclaimer </w:t>
      </w:r>
    </w:p>
    <w:p w14:paraId="198382A7" w14:textId="77777777" w:rsidR="00BD2F88" w:rsidRDefault="00BD2F88" w:rsidP="007B6A72">
      <w:pPr>
        <w:spacing w:after="0"/>
        <w:rPr>
          <w:b/>
          <w:sz w:val="28"/>
          <w:szCs w:val="28"/>
        </w:rPr>
      </w:pPr>
    </w:p>
    <w:p w14:paraId="200BB88E" w14:textId="2D74EA9F" w:rsidR="000A7016" w:rsidRPr="007B6A72" w:rsidRDefault="007B6A72" w:rsidP="007B6A72">
      <w:pPr>
        <w:spacing w:after="0"/>
      </w:pPr>
      <w:r w:rsidRPr="007B6A72">
        <w:t xml:space="preserve">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 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w:t>
      </w:r>
      <w:r w:rsidRPr="007B6A72">
        <w:lastRenderedPageBreak/>
        <w:t xml:space="preserve">information may have changed since publication. To the extent provided by law, DoH makes no warranties or representations as to accuracy or completeness of information contained in this report. 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 </w:t>
      </w:r>
      <w:r w:rsidR="000A7016" w:rsidRPr="007B6A72">
        <w:br w:type="page"/>
      </w:r>
    </w:p>
    <w:p w14:paraId="30F7386A" w14:textId="4A57A96E" w:rsidR="00336816" w:rsidRPr="0033504C" w:rsidRDefault="004B306F" w:rsidP="000A7016">
      <w:pPr>
        <w:pStyle w:val="Heading1"/>
      </w:pPr>
      <w:r>
        <w:lastRenderedPageBreak/>
        <w:t>References</w:t>
      </w:r>
    </w:p>
    <w:sectPr w:rsidR="00336816" w:rsidRPr="0033504C" w:rsidSect="00DD188C">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86F06" w14:textId="77777777" w:rsidR="00776E20" w:rsidRDefault="00776E20" w:rsidP="00A35800">
      <w:r>
        <w:separator/>
      </w:r>
    </w:p>
  </w:endnote>
  <w:endnote w:type="continuationSeparator" w:id="0">
    <w:p w14:paraId="0FAB162A" w14:textId="77777777" w:rsidR="00776E20" w:rsidRDefault="00776E20" w:rsidP="00A35800">
      <w:r>
        <w:continuationSeparator/>
      </w:r>
    </w:p>
  </w:endnote>
  <w:endnote w:id="1">
    <w:p w14:paraId="5B5F7B6E" w14:textId="77777777" w:rsidR="00D44BDB" w:rsidRDefault="00D44BDB" w:rsidP="00D44BDB">
      <w:pPr>
        <w:pStyle w:val="EndnoteText"/>
      </w:pPr>
      <w:r>
        <w:rPr>
          <w:rStyle w:val="EndnoteReference"/>
        </w:rPr>
        <w:endnoteRef/>
      </w:r>
      <w:r>
        <w:t xml:space="preserve"> </w:t>
      </w:r>
      <w:proofErr w:type="spellStart"/>
      <w:r>
        <w:t>Xifaxan</w:t>
      </w:r>
      <w:proofErr w:type="spellEnd"/>
      <w:r>
        <w:t>® (rifaximin). Australian Approved Consumer Medicine Information. NSW: Norgine Pty Ltd. September 2013. Available from &lt;</w:t>
      </w:r>
      <w:r w:rsidRPr="00211D1F">
        <w:rPr>
          <w:szCs w:val="18"/>
        </w:rPr>
        <w:t xml:space="preserve"> </w:t>
      </w:r>
      <w:hyperlink r:id="rId1" w:history="1">
        <w:r w:rsidRPr="00D41564">
          <w:rPr>
            <w:rStyle w:val="Hyperlink"/>
          </w:rPr>
          <w:t>https://www.ebs.tga.gov.au</w:t>
        </w:r>
      </w:hyperlink>
      <w:r>
        <w:t xml:space="preserve"> </w:t>
      </w:r>
      <w:r>
        <w:rPr>
          <w:szCs w:val="18"/>
        </w:rPr>
        <w:t xml:space="preserve">&gt; </w:t>
      </w:r>
    </w:p>
  </w:endnote>
  <w:endnote w:id="2">
    <w:p w14:paraId="1E1B012F" w14:textId="77777777" w:rsidR="00E9288F" w:rsidRDefault="00E9288F" w:rsidP="00094F6A">
      <w:pPr>
        <w:pStyle w:val="EndnoteText"/>
      </w:pPr>
      <w:r>
        <w:rPr>
          <w:rStyle w:val="EndnoteReference"/>
        </w:rPr>
        <w:endnoteRef/>
      </w:r>
      <w:r>
        <w:t xml:space="preserve"> Advanced liver disease [revised March 2016]. In: eTG complete [Internet]. </w:t>
      </w:r>
      <w:r w:rsidRPr="0019664D">
        <w:rPr>
          <w:szCs w:val="18"/>
        </w:rPr>
        <w:t>Melbourne: Therapeutic Guidelines Limited; 201</w:t>
      </w:r>
      <w:r>
        <w:rPr>
          <w:szCs w:val="18"/>
        </w:rPr>
        <w:t>6</w:t>
      </w:r>
      <w:r w:rsidRPr="0019664D">
        <w:rPr>
          <w:szCs w:val="18"/>
        </w:rPr>
        <w:t xml:space="preserve"> Mar.</w:t>
      </w:r>
    </w:p>
  </w:endnote>
  <w:endnote w:id="3">
    <w:p w14:paraId="7F2CEEA2" w14:textId="556BC3EC" w:rsidR="00E9288F" w:rsidRDefault="00E9288F">
      <w:pPr>
        <w:pStyle w:val="EndnoteText"/>
      </w:pPr>
      <w:r>
        <w:rPr>
          <w:rStyle w:val="EndnoteReference"/>
        </w:rPr>
        <w:endnoteRef/>
      </w:r>
      <w:r>
        <w:t xml:space="preserve"> </w:t>
      </w:r>
      <w:proofErr w:type="gramStart"/>
      <w:r>
        <w:t>PBAC public summary document rifaximin November 2011.</w:t>
      </w:r>
      <w:proofErr w:type="gramEnd"/>
      <w:r>
        <w:t xml:space="preserve"> </w:t>
      </w:r>
      <w:hyperlink r:id="rId2" w:history="1">
        <w:r w:rsidRPr="0044729E">
          <w:rPr>
            <w:rStyle w:val="Hyperlink"/>
          </w:rPr>
          <w:t>http://www.pbs.gov.au/info/industry/listing/elements/pbac-meetings/psd/2011-11/pbac-psd-rifaximin-nov11</w:t>
        </w:r>
      </w:hyperlink>
      <w:r>
        <w:t xml:space="preserve"> </w:t>
      </w:r>
    </w:p>
  </w:endnote>
  <w:endnote w:id="4">
    <w:p w14:paraId="47C089DF" w14:textId="77777777" w:rsidR="00E9288F" w:rsidRPr="00881913" w:rsidRDefault="00E9288F" w:rsidP="00881913">
      <w:pPr>
        <w:pStyle w:val="EndnoteText"/>
      </w:pPr>
      <w:r>
        <w:rPr>
          <w:rStyle w:val="EndnoteReference"/>
        </w:rPr>
        <w:endnoteRef/>
      </w:r>
      <w:r>
        <w:t xml:space="preserve"> </w:t>
      </w:r>
      <w:proofErr w:type="spellStart"/>
      <w:r>
        <w:t>Vilstrup</w:t>
      </w:r>
      <w:proofErr w:type="spellEnd"/>
      <w:r>
        <w:t xml:space="preserve"> H. </w:t>
      </w:r>
      <w:proofErr w:type="spellStart"/>
      <w:r>
        <w:t>Amodio</w:t>
      </w:r>
      <w:proofErr w:type="spellEnd"/>
      <w:r>
        <w:t xml:space="preserve"> P. Bajaj J. Cordoba J. </w:t>
      </w:r>
      <w:proofErr w:type="spellStart"/>
      <w:r>
        <w:t>Ferenci</w:t>
      </w:r>
      <w:proofErr w:type="spellEnd"/>
      <w:r>
        <w:t xml:space="preserve"> P. et al. </w:t>
      </w:r>
      <w:r w:rsidRPr="00881913">
        <w:t>Hepatic Encephalopathy in Chronic Liver Disease:</w:t>
      </w:r>
    </w:p>
    <w:p w14:paraId="0C47AB4F" w14:textId="637DFB29" w:rsidR="00E9288F" w:rsidRDefault="00E9288F" w:rsidP="00881913">
      <w:pPr>
        <w:pStyle w:val="EndnoteText"/>
      </w:pPr>
      <w:proofErr w:type="gramStart"/>
      <w:r w:rsidRPr="00881913">
        <w:t>2014 Practice Guideline by the European</w:t>
      </w:r>
      <w:r>
        <w:t xml:space="preserve"> </w:t>
      </w:r>
      <w:r w:rsidRPr="00881913">
        <w:t>Association for the Study of the Liver</w:t>
      </w:r>
      <w:r>
        <w:t xml:space="preserve"> and the </w:t>
      </w:r>
      <w:r w:rsidRPr="00881913">
        <w:t>American Association</w:t>
      </w:r>
      <w:r>
        <w:t xml:space="preserve"> </w:t>
      </w:r>
      <w:r w:rsidRPr="00881913">
        <w:t>for the Study of Liver Diseases</w:t>
      </w:r>
      <w:r>
        <w:t>.</w:t>
      </w:r>
      <w:proofErr w:type="gramEnd"/>
      <w:r>
        <w:t xml:space="preserve"> Journal of </w:t>
      </w:r>
      <w:proofErr w:type="spellStart"/>
      <w:r>
        <w:t>Hepatology</w:t>
      </w:r>
      <w:proofErr w:type="spellEnd"/>
      <w:r>
        <w:t xml:space="preserve"> 2014; 61:642–659.</w:t>
      </w:r>
    </w:p>
  </w:endnote>
  <w:endnote w:id="5">
    <w:p w14:paraId="0B1A18B0" w14:textId="27E9AEF4" w:rsidR="00E9288F" w:rsidRDefault="00E9288F">
      <w:pPr>
        <w:pStyle w:val="EndnoteText"/>
      </w:pPr>
      <w:r>
        <w:rPr>
          <w:rStyle w:val="EndnoteReference"/>
        </w:rPr>
        <w:endnoteRef/>
      </w:r>
      <w:r>
        <w:t xml:space="preserve"> </w:t>
      </w:r>
      <w:hyperlink r:id="rId3" w:history="1">
        <w:r w:rsidRPr="00B23CA9">
          <w:rPr>
            <w:rStyle w:val="Hyperlink"/>
          </w:rPr>
          <w:t>http://www.norgine.com/media/press-release/norgine-presents-prosper-study-first-ever-real-world-evidence-study-in-hepatic-encephalopathy-patients-taking-rifaximin-550mg</w:t>
        </w:r>
      </w:hyperlink>
      <w:r>
        <w:t xml:space="preserve"> </w:t>
      </w:r>
    </w:p>
  </w:endnote>
  <w:endnote w:id="6">
    <w:p w14:paraId="691FAA24" w14:textId="330D8E9E" w:rsidR="00E9288F" w:rsidRDefault="00E9288F">
      <w:pPr>
        <w:pStyle w:val="EndnoteText"/>
      </w:pPr>
      <w:r>
        <w:rPr>
          <w:rStyle w:val="EndnoteReference"/>
        </w:rPr>
        <w:endnoteRef/>
      </w:r>
      <w:r>
        <w:t xml:space="preserve"> </w:t>
      </w:r>
      <w:hyperlink r:id="rId4" w:history="1">
        <w:r w:rsidRPr="009C0911">
          <w:rPr>
            <w:rStyle w:val="Hyperlink"/>
          </w:rPr>
          <w:t>https://clinicaltrials.gov/ct2/show/NCT02488993</w:t>
        </w:r>
      </w:hyperlink>
      <w:r>
        <w:t xml:space="preserve"> </w:t>
      </w:r>
    </w:p>
  </w:endnote>
  <w:endnote w:id="7">
    <w:p w14:paraId="0A4DD767" w14:textId="77777777" w:rsidR="00E9288F" w:rsidRPr="00BC5AE2" w:rsidRDefault="00E9288F" w:rsidP="00576B18">
      <w:pPr>
        <w:pStyle w:val="EndnoteText"/>
      </w:pPr>
      <w:r w:rsidRPr="00BC5AE2">
        <w:rPr>
          <w:rStyle w:val="EndnoteReference"/>
        </w:rPr>
        <w:endnoteRef/>
      </w:r>
      <w:r w:rsidRPr="00BC5AE2">
        <w:t xml:space="preserve"> </w:t>
      </w:r>
      <w:proofErr w:type="gramStart"/>
      <w:r w:rsidRPr="00BC5AE2">
        <w:t>PBS statistics</w:t>
      </w:r>
      <w:r>
        <w:t>.</w:t>
      </w:r>
      <w:proofErr w:type="gramEnd"/>
      <w:r>
        <w:t xml:space="preserve"> </w:t>
      </w:r>
      <w:proofErr w:type="gramStart"/>
      <w:r>
        <w:t>Australian Government Department of Human Services Medicare.</w:t>
      </w:r>
      <w:proofErr w:type="gramEnd"/>
      <w:r>
        <w:t xml:space="preserve"> Canberra. </w:t>
      </w:r>
      <w:proofErr w:type="gramStart"/>
      <w:r>
        <w:t>Available from &lt;</w:t>
      </w:r>
      <w:hyperlink r:id="rId5" w:history="1">
        <w:r>
          <w:rPr>
            <w:rStyle w:val="Hyperlink"/>
          </w:rPr>
          <w:t>http://www.medicareaustralia.gov.au/provider/pbs/stats.jsp</w:t>
        </w:r>
      </w:hyperlink>
      <w:r>
        <w:t>&gt;.</w:t>
      </w:r>
      <w:proofErr w:type="gramEnd"/>
    </w:p>
  </w:endnote>
  <w:endnote w:id="8">
    <w:p w14:paraId="7629E441" w14:textId="6FB79BAA" w:rsidR="00E9288F" w:rsidRDefault="00E9288F" w:rsidP="00286404">
      <w:pPr>
        <w:pStyle w:val="EndnoteText"/>
      </w:pPr>
      <w:r>
        <w:rPr>
          <w:rStyle w:val="EndnoteReference"/>
        </w:rPr>
        <w:endnoteRef/>
      </w:r>
      <w:r>
        <w:t xml:space="preserve"> </w:t>
      </w:r>
      <w:proofErr w:type="gramStart"/>
      <w:r w:rsidRPr="00DD14C8">
        <w:t>Australian Commission on Safety and Quality in Health Care (ACSQHC).</w:t>
      </w:r>
      <w:proofErr w:type="gramEnd"/>
      <w:r w:rsidRPr="00DD14C8">
        <w:t xml:space="preserve"> </w:t>
      </w:r>
      <w:r w:rsidRPr="00DD14C8">
        <w:rPr>
          <w:i/>
          <w:iCs/>
        </w:rPr>
        <w:t>AURA 2016: first Australian report on antimicrobial use and resistance in human health – summary report</w:t>
      </w:r>
      <w:r w:rsidRPr="00DD14C8">
        <w:t xml:space="preserve">. Sydney: ACSQHC, 2016. </w:t>
      </w:r>
      <w:r>
        <w:t>ISBN:</w:t>
      </w:r>
      <w:r w:rsidRPr="00DD14C8">
        <w:t xml:space="preserve"> </w:t>
      </w:r>
      <w:r w:rsidRPr="003A2D00">
        <w:t>978-1-925224-48-1 (online)</w:t>
      </w:r>
      <w:r>
        <w:t xml:space="preserve">. Accessed from </w:t>
      </w:r>
      <w:hyperlink r:id="rId6" w:history="1">
        <w:r w:rsidRPr="00E91D68">
          <w:rPr>
            <w:rStyle w:val="Hyperlink"/>
          </w:rPr>
          <w:t>www.safetyandquality.gov.au</w:t>
        </w:r>
      </w:hyperlink>
      <w:r>
        <w:t xml:space="preserve"> </w:t>
      </w:r>
    </w:p>
  </w:endnote>
  <w:endnote w:id="9">
    <w:p w14:paraId="5D54E348" w14:textId="4FAEA2A0" w:rsidR="00E9288F" w:rsidRDefault="00E9288F">
      <w:pPr>
        <w:pStyle w:val="EndnoteText"/>
      </w:pPr>
      <w:r>
        <w:rPr>
          <w:rStyle w:val="EndnoteReference"/>
        </w:rPr>
        <w:endnoteRef/>
      </w:r>
      <w:r>
        <w:t xml:space="preserve"> </w:t>
      </w:r>
      <w:proofErr w:type="spellStart"/>
      <w:r>
        <w:t>Calanni</w:t>
      </w:r>
      <w:proofErr w:type="spellEnd"/>
      <w:r>
        <w:t xml:space="preserve"> F. </w:t>
      </w:r>
      <w:proofErr w:type="spellStart"/>
      <w:r>
        <w:t>Renzulli</w:t>
      </w:r>
      <w:proofErr w:type="spellEnd"/>
      <w:r>
        <w:t xml:space="preserve"> C. </w:t>
      </w:r>
      <w:proofErr w:type="spellStart"/>
      <w:r>
        <w:t>Barbanti</w:t>
      </w:r>
      <w:proofErr w:type="spellEnd"/>
      <w:r>
        <w:t xml:space="preserve"> M, </w:t>
      </w:r>
      <w:proofErr w:type="spellStart"/>
      <w:r>
        <w:t>Viscomi</w:t>
      </w:r>
      <w:proofErr w:type="spellEnd"/>
      <w:r>
        <w:t xml:space="preserve"> GC. </w:t>
      </w:r>
      <w:r w:rsidRPr="00E476EB">
        <w:t>Rifaximin: beyond the traditional antibiotic activity</w:t>
      </w:r>
      <w:r>
        <w:t>.</w:t>
      </w:r>
      <w:r w:rsidRPr="00E476EB">
        <w:rPr>
          <w:rFonts w:ascii="AdvTgo" w:hAnsi="AdvTgo" w:cs="AdvTgo"/>
          <w:color w:val="231F20"/>
          <w:szCs w:val="18"/>
        </w:rPr>
        <w:t xml:space="preserve"> </w:t>
      </w:r>
      <w:r w:rsidRPr="00E476EB">
        <w:t>The Journal of Antibiotics 2014</w:t>
      </w:r>
      <w:r>
        <w:t>;</w:t>
      </w:r>
      <w:r w:rsidRPr="00E476EB">
        <w:t xml:space="preserve"> 67</w:t>
      </w:r>
      <w:r>
        <w:t>:</w:t>
      </w:r>
      <w:r w:rsidRPr="00E476EB">
        <w:t>667–670</w:t>
      </w:r>
      <w:r>
        <w:t xml:space="preserve">. </w:t>
      </w:r>
      <w:r w:rsidRPr="00252C77">
        <w:t>doi:10.1038/ja.2014.106</w:t>
      </w:r>
    </w:p>
  </w:endnote>
  <w:endnote w:id="10">
    <w:p w14:paraId="40269A95" w14:textId="77777777" w:rsidR="00E9288F" w:rsidRDefault="00E9288F" w:rsidP="00A32B90">
      <w:pPr>
        <w:pStyle w:val="EndnoteText"/>
      </w:pPr>
      <w:r>
        <w:rPr>
          <w:rStyle w:val="EndnoteReference"/>
        </w:rPr>
        <w:endnoteRef/>
      </w:r>
      <w:r>
        <w:t xml:space="preserve"> Product Information and Consumer Medicine Information available from </w:t>
      </w:r>
      <w:hyperlink r:id="rId7" w:history="1">
        <w:r w:rsidRPr="00D41564">
          <w:rPr>
            <w:rStyle w:val="Hyperlink"/>
          </w:rPr>
          <w:t>https://www.ebs.tga.gov.au</w:t>
        </w:r>
      </w:hyperlink>
    </w:p>
  </w:endnote>
  <w:endnote w:id="11">
    <w:p w14:paraId="33B522FB" w14:textId="7D60051B" w:rsidR="00E9288F" w:rsidRDefault="00E9288F">
      <w:pPr>
        <w:pStyle w:val="EndnoteText"/>
      </w:pPr>
      <w:r>
        <w:rPr>
          <w:rStyle w:val="EndnoteReference"/>
        </w:rPr>
        <w:endnoteRef/>
      </w:r>
      <w:r>
        <w:t xml:space="preserve"> </w:t>
      </w:r>
      <w:r w:rsidRPr="005A589C">
        <w:t xml:space="preserve">Professor John </w:t>
      </w:r>
      <w:proofErr w:type="spellStart"/>
      <w:r w:rsidRPr="005A589C">
        <w:t>Turnidge</w:t>
      </w:r>
      <w:proofErr w:type="spellEnd"/>
      <w:r w:rsidRPr="005A589C">
        <w:t xml:space="preserve"> personal communication to the PBAC Secretary, May 2012</w:t>
      </w:r>
    </w:p>
  </w:endnote>
  <w:endnote w:id="12">
    <w:p w14:paraId="73E1BC2D" w14:textId="77777777" w:rsidR="00E9288F" w:rsidRDefault="00E9288F" w:rsidP="00A32B90">
      <w:pPr>
        <w:pStyle w:val="EndnoteText"/>
      </w:pPr>
      <w:r>
        <w:rPr>
          <w:rStyle w:val="EndnoteReference"/>
        </w:rPr>
        <w:endnoteRef/>
      </w:r>
      <w:r>
        <w:t xml:space="preserve"> </w:t>
      </w:r>
      <w:proofErr w:type="spellStart"/>
      <w:r>
        <w:t>Valentin</w:t>
      </w:r>
      <w:proofErr w:type="spellEnd"/>
      <w:r>
        <w:t xml:space="preserve"> T. </w:t>
      </w:r>
      <w:proofErr w:type="spellStart"/>
      <w:r>
        <w:t>Leitner</w:t>
      </w:r>
      <w:proofErr w:type="spellEnd"/>
      <w:r>
        <w:t xml:space="preserve"> E. </w:t>
      </w:r>
      <w:proofErr w:type="spellStart"/>
      <w:r>
        <w:t>Rohn</w:t>
      </w:r>
      <w:proofErr w:type="spellEnd"/>
      <w:r>
        <w:t xml:space="preserve"> A. </w:t>
      </w:r>
      <w:proofErr w:type="spellStart"/>
      <w:r>
        <w:t>Zollner-Schwetz</w:t>
      </w:r>
      <w:proofErr w:type="spellEnd"/>
      <w:r>
        <w:t xml:space="preserve"> I. </w:t>
      </w:r>
      <w:proofErr w:type="spellStart"/>
      <w:r>
        <w:t>Hoenigl</w:t>
      </w:r>
      <w:proofErr w:type="spellEnd"/>
      <w:r>
        <w:t xml:space="preserve"> M. et al. Rifaximin intake leads to emergence of </w:t>
      </w:r>
      <w:proofErr w:type="spellStart"/>
      <w:r>
        <w:t>rifampin</w:t>
      </w:r>
      <w:proofErr w:type="spellEnd"/>
      <w:r>
        <w:t xml:space="preserve">-resistant staphylococci. Journal of Infection 2011; 62(1):34-38. </w:t>
      </w:r>
      <w:proofErr w:type="spellStart"/>
      <w:r>
        <w:t>doi</w:t>
      </w:r>
      <w:proofErr w:type="spellEnd"/>
      <w:r>
        <w:t>:</w:t>
      </w:r>
      <w:r w:rsidRPr="001A2753">
        <w:t xml:space="preserve"> 10.1016/j.jinf.2010.11.004</w:t>
      </w:r>
    </w:p>
  </w:endnote>
  <w:endnote w:id="13">
    <w:p w14:paraId="35FD0468" w14:textId="77777777" w:rsidR="00E9288F" w:rsidRPr="00393F8C" w:rsidRDefault="00E9288F" w:rsidP="00A32B90">
      <w:pPr>
        <w:pStyle w:val="EndnoteText"/>
      </w:pPr>
      <w:r>
        <w:rPr>
          <w:rStyle w:val="EndnoteReference"/>
        </w:rPr>
        <w:endnoteRef/>
      </w:r>
      <w:r>
        <w:t xml:space="preserve"> Curry SR. Marsh JW. </w:t>
      </w:r>
      <w:proofErr w:type="spellStart"/>
      <w:r>
        <w:t>Shutt</w:t>
      </w:r>
      <w:proofErr w:type="spellEnd"/>
      <w:r>
        <w:t xml:space="preserve"> KA. </w:t>
      </w:r>
      <w:proofErr w:type="gramStart"/>
      <w:r>
        <w:t xml:space="preserve">Muto CA. O’Leary MM. et al. High frequency of </w:t>
      </w:r>
      <w:proofErr w:type="spellStart"/>
      <w:r>
        <w:t>rifampin</w:t>
      </w:r>
      <w:proofErr w:type="spellEnd"/>
      <w:r>
        <w:t xml:space="preserve"> resistance identified in an epidemic </w:t>
      </w:r>
      <w:r>
        <w:rPr>
          <w:i/>
        </w:rPr>
        <w:t xml:space="preserve">Clostridium </w:t>
      </w:r>
      <w:proofErr w:type="spellStart"/>
      <w:r>
        <w:rPr>
          <w:i/>
        </w:rPr>
        <w:t>difficile</w:t>
      </w:r>
      <w:proofErr w:type="spellEnd"/>
      <w:r>
        <w:t xml:space="preserve"> clone from a large teaching hospital.</w:t>
      </w:r>
      <w:proofErr w:type="gramEnd"/>
      <w:r>
        <w:t xml:space="preserve"> Clinical Infectious Diseases 2009; 48(4): 425-429. </w:t>
      </w:r>
      <w:proofErr w:type="spellStart"/>
      <w:r>
        <w:t>doi</w:t>
      </w:r>
      <w:proofErr w:type="spellEnd"/>
      <w:r>
        <w:t>: 10.1086/596315</w:t>
      </w:r>
    </w:p>
  </w:endnote>
  <w:endnote w:id="14">
    <w:p w14:paraId="57F3E36B" w14:textId="05F3CDC6" w:rsidR="00E9288F" w:rsidRPr="000741A0" w:rsidRDefault="00E9288F" w:rsidP="00A32B90">
      <w:pPr>
        <w:pStyle w:val="EndnoteText"/>
      </w:pPr>
      <w:r>
        <w:rPr>
          <w:rStyle w:val="EndnoteReference"/>
        </w:rPr>
        <w:endnoteRef/>
      </w:r>
      <w:r>
        <w:t xml:space="preserve"> Ruiz J. Mensa L. Pons MJ. Vila J. </w:t>
      </w:r>
      <w:proofErr w:type="spellStart"/>
      <w:r>
        <w:t>Gascon</w:t>
      </w:r>
      <w:proofErr w:type="spellEnd"/>
      <w:r>
        <w:t xml:space="preserve"> J. Development of </w:t>
      </w:r>
      <w:r>
        <w:rPr>
          <w:i/>
        </w:rPr>
        <w:t>Escherichia coli</w:t>
      </w:r>
      <w:r>
        <w:t xml:space="preserve"> rifaximin-resistant mutants: frequency of selection and stability. Journal of Antimicrobial Chemotherapy 2008; 61:1016–1019. doi:10.1093/</w:t>
      </w:r>
      <w:proofErr w:type="spellStart"/>
      <w:r>
        <w:t>jac</w:t>
      </w:r>
      <w:proofErr w:type="spellEnd"/>
      <w:r>
        <w:t>/dkn078</w:t>
      </w:r>
    </w:p>
  </w:endnote>
  <w:endnote w:id="15">
    <w:p w14:paraId="4127C437" w14:textId="77777777" w:rsidR="00E9288F" w:rsidRDefault="00E9288F" w:rsidP="008B6DE9">
      <w:pPr>
        <w:pStyle w:val="EndnoteText"/>
      </w:pPr>
      <w:r>
        <w:rPr>
          <w:rStyle w:val="EndnoteReference"/>
        </w:rPr>
        <w:endnoteRef/>
      </w:r>
      <w:r>
        <w:t xml:space="preserve"> </w:t>
      </w:r>
      <w:hyperlink r:id="rId8" w:history="1">
        <w:r w:rsidRPr="009C0911">
          <w:rPr>
            <w:rStyle w:val="Hyperlink"/>
          </w:rPr>
          <w:t>https://clinicaltrials.gov/ct2/show/NCT00603616</w:t>
        </w:r>
      </w:hyperlink>
    </w:p>
  </w:endnote>
  <w:endnote w:id="16">
    <w:p w14:paraId="62C1F055" w14:textId="0CDD51BA" w:rsidR="00E9288F" w:rsidRDefault="00E9288F">
      <w:pPr>
        <w:pStyle w:val="EndnoteText"/>
      </w:pPr>
      <w:r>
        <w:rPr>
          <w:rStyle w:val="EndnoteReference"/>
        </w:rPr>
        <w:endnoteRef/>
      </w:r>
      <w:r>
        <w:t xml:space="preserve"> </w:t>
      </w:r>
      <w:proofErr w:type="gramStart"/>
      <w:r>
        <w:t>Australian Government Department of Health and Department of Agriculture.</w:t>
      </w:r>
      <w:proofErr w:type="gramEnd"/>
      <w:r>
        <w:t xml:space="preserve"> </w:t>
      </w:r>
      <w:proofErr w:type="gramStart"/>
      <w:r>
        <w:t>Responding to the threat of antimicrobial resistance: Australia’s first national antimicrobial resistance strategy 2015-2019.</w:t>
      </w:r>
      <w:proofErr w:type="gramEnd"/>
      <w:r>
        <w:t xml:space="preserve"> Accessed from: </w:t>
      </w:r>
      <w:hyperlink r:id="rId9" w:history="1">
        <w:r w:rsidRPr="0044729E">
          <w:rPr>
            <w:rStyle w:val="Hyperlink"/>
          </w:rPr>
          <w:t>http://www.health.gov.au/internet/main/publishing.nsf/Content/ohp-amr.htm</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AdvTg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776E20" w:rsidRDefault="00776E20"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776E20" w:rsidRDefault="00776E20"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0682B98" w14:textId="3D68C59E" w:rsidR="00776E20" w:rsidRPr="000E72C6" w:rsidRDefault="007B6A72" w:rsidP="000E72C6">
            <w:pPr>
              <w:pStyle w:val="Footer"/>
              <w:jc w:val="center"/>
              <w:rPr>
                <w:i/>
                <w:sz w:val="20"/>
              </w:rPr>
            </w:pPr>
            <w:r>
              <w:rPr>
                <w:i/>
                <w:sz w:val="20"/>
              </w:rPr>
              <w:t>Public Release Document, September 2016 DUSC Meeting</w:t>
            </w:r>
          </w:p>
          <w:p w14:paraId="10292A9A" w14:textId="275D445E" w:rsidR="00776E20" w:rsidRDefault="00776E20"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0F2C41">
              <w:rPr>
                <w:bCs/>
                <w:i/>
                <w:noProof/>
                <w:sz w:val="20"/>
              </w:rPr>
              <w:t>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0F2C41">
              <w:rPr>
                <w:bCs/>
                <w:i/>
                <w:noProof/>
                <w:sz w:val="20"/>
              </w:rPr>
              <w:t>17</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22E1F" w14:textId="77777777" w:rsidR="00776E20" w:rsidRDefault="00776E20" w:rsidP="007A5733">
    <w:pPr>
      <w:pStyle w:val="Footer"/>
      <w:jc w:val="center"/>
      <w:rPr>
        <w:rStyle w:val="PageNumber"/>
      </w:rPr>
    </w:pPr>
    <w:r>
      <w:rPr>
        <w:rStyle w:val="PageNumber"/>
      </w:rPr>
      <w:t>Committee-in-Confidence</w:t>
    </w:r>
  </w:p>
  <w:p w14:paraId="3CE6880B" w14:textId="77777777" w:rsidR="00776E20" w:rsidRDefault="00776E20"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1DEE8" w14:textId="77777777" w:rsidR="00776E20" w:rsidRDefault="00776E20" w:rsidP="00A35800">
      <w:r>
        <w:separator/>
      </w:r>
    </w:p>
  </w:footnote>
  <w:footnote w:type="continuationSeparator" w:id="0">
    <w:p w14:paraId="41248F67" w14:textId="77777777" w:rsidR="00776E20" w:rsidRDefault="00776E20" w:rsidP="00A35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76553" w14:textId="77777777" w:rsidR="00264BCF" w:rsidRDefault="00264B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6F15D" w14:textId="77777777" w:rsidR="00776E20" w:rsidRDefault="00776E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B314D" w14:textId="77777777" w:rsidR="00264BCF" w:rsidRDefault="00264B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87902"/>
    <w:multiLevelType w:val="hybridMultilevel"/>
    <w:tmpl w:val="2F703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6E08C7"/>
    <w:multiLevelType w:val="hybridMultilevel"/>
    <w:tmpl w:val="DFF0A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89672A9"/>
    <w:multiLevelType w:val="hybridMultilevel"/>
    <w:tmpl w:val="30B27CE0"/>
    <w:lvl w:ilvl="0" w:tplc="63540160">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9992B7B"/>
    <w:multiLevelType w:val="hybridMultilevel"/>
    <w:tmpl w:val="A616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62327439"/>
    <w:multiLevelType w:val="hybridMultilevel"/>
    <w:tmpl w:val="A20AFBD0"/>
    <w:lvl w:ilvl="0" w:tplc="015802EE">
      <w:numFmt w:val="bullet"/>
      <w:lvlText w:val="-"/>
      <w:lvlJc w:val="left"/>
      <w:pPr>
        <w:ind w:left="720" w:hanging="360"/>
      </w:pPr>
      <w:rPr>
        <w:rFonts w:ascii="Calibri" w:eastAsia="MS Mincho"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2880EB7"/>
    <w:multiLevelType w:val="hybridMultilevel"/>
    <w:tmpl w:val="EBBE9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BCE5BD8"/>
    <w:multiLevelType w:val="multilevel"/>
    <w:tmpl w:val="6E9C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1"/>
  </w:num>
  <w:num w:numId="4">
    <w:abstractNumId w:val="8"/>
  </w:num>
  <w:num w:numId="5">
    <w:abstractNumId w:val="4"/>
  </w:num>
  <w:num w:numId="6">
    <w:abstractNumId w:val="0"/>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44033"/>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529A"/>
    <w:rsid w:val="00007E85"/>
    <w:rsid w:val="00013465"/>
    <w:rsid w:val="0002099E"/>
    <w:rsid w:val="000226B3"/>
    <w:rsid w:val="00024549"/>
    <w:rsid w:val="00033A8A"/>
    <w:rsid w:val="000354A9"/>
    <w:rsid w:val="00036404"/>
    <w:rsid w:val="000449FA"/>
    <w:rsid w:val="000454BF"/>
    <w:rsid w:val="00052215"/>
    <w:rsid w:val="000544B6"/>
    <w:rsid w:val="00055009"/>
    <w:rsid w:val="0005523B"/>
    <w:rsid w:val="000604AF"/>
    <w:rsid w:val="00071894"/>
    <w:rsid w:val="00071D15"/>
    <w:rsid w:val="000720F1"/>
    <w:rsid w:val="00072464"/>
    <w:rsid w:val="000741A0"/>
    <w:rsid w:val="00074C65"/>
    <w:rsid w:val="00084171"/>
    <w:rsid w:val="000848E1"/>
    <w:rsid w:val="00086C11"/>
    <w:rsid w:val="00094DCF"/>
    <w:rsid w:val="00094F6A"/>
    <w:rsid w:val="0009767D"/>
    <w:rsid w:val="000A510C"/>
    <w:rsid w:val="000A6964"/>
    <w:rsid w:val="000A6CFD"/>
    <w:rsid w:val="000A7007"/>
    <w:rsid w:val="000A7016"/>
    <w:rsid w:val="000B0982"/>
    <w:rsid w:val="000B2D60"/>
    <w:rsid w:val="000B3FB6"/>
    <w:rsid w:val="000B796C"/>
    <w:rsid w:val="000C46BB"/>
    <w:rsid w:val="000C4D9D"/>
    <w:rsid w:val="000C7C4B"/>
    <w:rsid w:val="000C7D8B"/>
    <w:rsid w:val="000D2851"/>
    <w:rsid w:val="000E0386"/>
    <w:rsid w:val="000E485D"/>
    <w:rsid w:val="000E72C6"/>
    <w:rsid w:val="000F1893"/>
    <w:rsid w:val="000F2C41"/>
    <w:rsid w:val="000F2F51"/>
    <w:rsid w:val="000F455F"/>
    <w:rsid w:val="0010484F"/>
    <w:rsid w:val="00113CF8"/>
    <w:rsid w:val="00113D74"/>
    <w:rsid w:val="001150C4"/>
    <w:rsid w:val="001153A6"/>
    <w:rsid w:val="00117C5C"/>
    <w:rsid w:val="00120C01"/>
    <w:rsid w:val="001310AE"/>
    <w:rsid w:val="00133A10"/>
    <w:rsid w:val="001420B3"/>
    <w:rsid w:val="001460C4"/>
    <w:rsid w:val="00156323"/>
    <w:rsid w:val="0015691C"/>
    <w:rsid w:val="00160C43"/>
    <w:rsid w:val="001621F7"/>
    <w:rsid w:val="001624D7"/>
    <w:rsid w:val="001625C5"/>
    <w:rsid w:val="0017328D"/>
    <w:rsid w:val="00177B86"/>
    <w:rsid w:val="00177F51"/>
    <w:rsid w:val="00182585"/>
    <w:rsid w:val="00191182"/>
    <w:rsid w:val="0019664D"/>
    <w:rsid w:val="001A2753"/>
    <w:rsid w:val="001A31AE"/>
    <w:rsid w:val="001A3A56"/>
    <w:rsid w:val="001A6103"/>
    <w:rsid w:val="001B5D37"/>
    <w:rsid w:val="001B74B4"/>
    <w:rsid w:val="001C2940"/>
    <w:rsid w:val="001C4016"/>
    <w:rsid w:val="001C4125"/>
    <w:rsid w:val="001C548D"/>
    <w:rsid w:val="001C6A5D"/>
    <w:rsid w:val="001D2536"/>
    <w:rsid w:val="001D44F7"/>
    <w:rsid w:val="001E31A6"/>
    <w:rsid w:val="001E42C7"/>
    <w:rsid w:val="001E4CAB"/>
    <w:rsid w:val="001F2F3E"/>
    <w:rsid w:val="001F4906"/>
    <w:rsid w:val="001F5E3C"/>
    <w:rsid w:val="001F7C4A"/>
    <w:rsid w:val="00200DC5"/>
    <w:rsid w:val="00205140"/>
    <w:rsid w:val="0020578A"/>
    <w:rsid w:val="0020602D"/>
    <w:rsid w:val="00207631"/>
    <w:rsid w:val="00211D1F"/>
    <w:rsid w:val="00214013"/>
    <w:rsid w:val="00220FC1"/>
    <w:rsid w:val="00222E9A"/>
    <w:rsid w:val="0023179D"/>
    <w:rsid w:val="00252C77"/>
    <w:rsid w:val="0025389D"/>
    <w:rsid w:val="00254E02"/>
    <w:rsid w:val="0026265F"/>
    <w:rsid w:val="00264BCF"/>
    <w:rsid w:val="00271B39"/>
    <w:rsid w:val="00272B03"/>
    <w:rsid w:val="00286404"/>
    <w:rsid w:val="00286C3A"/>
    <w:rsid w:val="002930F5"/>
    <w:rsid w:val="00295016"/>
    <w:rsid w:val="002A06B7"/>
    <w:rsid w:val="002B0B3F"/>
    <w:rsid w:val="002C1413"/>
    <w:rsid w:val="002C5A84"/>
    <w:rsid w:val="002C6E0C"/>
    <w:rsid w:val="002D144A"/>
    <w:rsid w:val="002E19A3"/>
    <w:rsid w:val="002E212B"/>
    <w:rsid w:val="002E3337"/>
    <w:rsid w:val="002E6D03"/>
    <w:rsid w:val="002F49A8"/>
    <w:rsid w:val="002F5E66"/>
    <w:rsid w:val="002F61CA"/>
    <w:rsid w:val="002F64B7"/>
    <w:rsid w:val="0030010D"/>
    <w:rsid w:val="003011C4"/>
    <w:rsid w:val="0033504C"/>
    <w:rsid w:val="00336816"/>
    <w:rsid w:val="003370D0"/>
    <w:rsid w:val="00337355"/>
    <w:rsid w:val="003402E4"/>
    <w:rsid w:val="00340F95"/>
    <w:rsid w:val="00341FB6"/>
    <w:rsid w:val="00344EA4"/>
    <w:rsid w:val="003531ED"/>
    <w:rsid w:val="00360B9A"/>
    <w:rsid w:val="003651E1"/>
    <w:rsid w:val="00370B0D"/>
    <w:rsid w:val="0037610F"/>
    <w:rsid w:val="00380F72"/>
    <w:rsid w:val="00381558"/>
    <w:rsid w:val="00383B6E"/>
    <w:rsid w:val="00384151"/>
    <w:rsid w:val="00385AF0"/>
    <w:rsid w:val="0038706F"/>
    <w:rsid w:val="0039017F"/>
    <w:rsid w:val="00393F8C"/>
    <w:rsid w:val="0039462A"/>
    <w:rsid w:val="00394AEE"/>
    <w:rsid w:val="00394F47"/>
    <w:rsid w:val="00395808"/>
    <w:rsid w:val="003970B4"/>
    <w:rsid w:val="003B31E4"/>
    <w:rsid w:val="003C2D98"/>
    <w:rsid w:val="003C7210"/>
    <w:rsid w:val="003D3A96"/>
    <w:rsid w:val="003D3B9C"/>
    <w:rsid w:val="003E661B"/>
    <w:rsid w:val="00404F03"/>
    <w:rsid w:val="00412051"/>
    <w:rsid w:val="00413060"/>
    <w:rsid w:val="0042257F"/>
    <w:rsid w:val="0042308B"/>
    <w:rsid w:val="00423B94"/>
    <w:rsid w:val="0042599B"/>
    <w:rsid w:val="0044696B"/>
    <w:rsid w:val="00453B0A"/>
    <w:rsid w:val="0046160E"/>
    <w:rsid w:val="00463731"/>
    <w:rsid w:val="0046400A"/>
    <w:rsid w:val="00467B25"/>
    <w:rsid w:val="00481108"/>
    <w:rsid w:val="0049042B"/>
    <w:rsid w:val="00495473"/>
    <w:rsid w:val="004A458E"/>
    <w:rsid w:val="004A7BA1"/>
    <w:rsid w:val="004B070F"/>
    <w:rsid w:val="004B23E7"/>
    <w:rsid w:val="004B306F"/>
    <w:rsid w:val="004C234E"/>
    <w:rsid w:val="004C3186"/>
    <w:rsid w:val="004C5042"/>
    <w:rsid w:val="004D0BEA"/>
    <w:rsid w:val="004D5FEC"/>
    <w:rsid w:val="004E4422"/>
    <w:rsid w:val="004F401B"/>
    <w:rsid w:val="00503998"/>
    <w:rsid w:val="00504FF5"/>
    <w:rsid w:val="0050623B"/>
    <w:rsid w:val="005068B6"/>
    <w:rsid w:val="00522F16"/>
    <w:rsid w:val="00523181"/>
    <w:rsid w:val="00524D13"/>
    <w:rsid w:val="0052610C"/>
    <w:rsid w:val="005339F6"/>
    <w:rsid w:val="00534FE0"/>
    <w:rsid w:val="00540A22"/>
    <w:rsid w:val="00545467"/>
    <w:rsid w:val="00556072"/>
    <w:rsid w:val="00575462"/>
    <w:rsid w:val="00576B18"/>
    <w:rsid w:val="00576F13"/>
    <w:rsid w:val="00580683"/>
    <w:rsid w:val="00587724"/>
    <w:rsid w:val="00591512"/>
    <w:rsid w:val="005A257D"/>
    <w:rsid w:val="005A589C"/>
    <w:rsid w:val="005B2D91"/>
    <w:rsid w:val="005B48B4"/>
    <w:rsid w:val="005C4F23"/>
    <w:rsid w:val="005C6661"/>
    <w:rsid w:val="005C6E3B"/>
    <w:rsid w:val="005D474B"/>
    <w:rsid w:val="005E0822"/>
    <w:rsid w:val="005E085C"/>
    <w:rsid w:val="005E147D"/>
    <w:rsid w:val="005E22C2"/>
    <w:rsid w:val="005E37C4"/>
    <w:rsid w:val="005E57BB"/>
    <w:rsid w:val="005F0017"/>
    <w:rsid w:val="005F02C4"/>
    <w:rsid w:val="006014F1"/>
    <w:rsid w:val="0061357B"/>
    <w:rsid w:val="00614A7D"/>
    <w:rsid w:val="0062521D"/>
    <w:rsid w:val="00635C26"/>
    <w:rsid w:val="0063631C"/>
    <w:rsid w:val="00637154"/>
    <w:rsid w:val="0063757B"/>
    <w:rsid w:val="006377CE"/>
    <w:rsid w:val="006474B2"/>
    <w:rsid w:val="00647ACC"/>
    <w:rsid w:val="006537D9"/>
    <w:rsid w:val="00655CC5"/>
    <w:rsid w:val="00660F1D"/>
    <w:rsid w:val="00664A48"/>
    <w:rsid w:val="00665DEF"/>
    <w:rsid w:val="006722DB"/>
    <w:rsid w:val="00675BB1"/>
    <w:rsid w:val="00676AE3"/>
    <w:rsid w:val="006775F1"/>
    <w:rsid w:val="00692AA7"/>
    <w:rsid w:val="006978EE"/>
    <w:rsid w:val="00697FEC"/>
    <w:rsid w:val="006A09A3"/>
    <w:rsid w:val="006A175F"/>
    <w:rsid w:val="006A44F5"/>
    <w:rsid w:val="006B3289"/>
    <w:rsid w:val="006B4537"/>
    <w:rsid w:val="006B4D9C"/>
    <w:rsid w:val="006B5F85"/>
    <w:rsid w:val="006B6929"/>
    <w:rsid w:val="006B709B"/>
    <w:rsid w:val="006C54AF"/>
    <w:rsid w:val="006D58FA"/>
    <w:rsid w:val="006E0181"/>
    <w:rsid w:val="006E1C84"/>
    <w:rsid w:val="006E3418"/>
    <w:rsid w:val="006E6D80"/>
    <w:rsid w:val="006F4BBE"/>
    <w:rsid w:val="00700C0E"/>
    <w:rsid w:val="00703DA5"/>
    <w:rsid w:val="00705DAD"/>
    <w:rsid w:val="00711F5D"/>
    <w:rsid w:val="007247B9"/>
    <w:rsid w:val="00725981"/>
    <w:rsid w:val="00727D85"/>
    <w:rsid w:val="00730B59"/>
    <w:rsid w:val="00733AB0"/>
    <w:rsid w:val="007346C7"/>
    <w:rsid w:val="00736041"/>
    <w:rsid w:val="007408C7"/>
    <w:rsid w:val="0074107D"/>
    <w:rsid w:val="007465DA"/>
    <w:rsid w:val="00752C7F"/>
    <w:rsid w:val="00761422"/>
    <w:rsid w:val="007640DA"/>
    <w:rsid w:val="00764C4C"/>
    <w:rsid w:val="00776598"/>
    <w:rsid w:val="00776E20"/>
    <w:rsid w:val="00777EB7"/>
    <w:rsid w:val="00780C81"/>
    <w:rsid w:val="00785BF8"/>
    <w:rsid w:val="0079291A"/>
    <w:rsid w:val="00792948"/>
    <w:rsid w:val="0079327F"/>
    <w:rsid w:val="00796E84"/>
    <w:rsid w:val="007A0AC8"/>
    <w:rsid w:val="007A3ADE"/>
    <w:rsid w:val="007A5733"/>
    <w:rsid w:val="007A5774"/>
    <w:rsid w:val="007A5B4C"/>
    <w:rsid w:val="007B6A72"/>
    <w:rsid w:val="007D26A5"/>
    <w:rsid w:val="007D2960"/>
    <w:rsid w:val="007D64A1"/>
    <w:rsid w:val="007E1616"/>
    <w:rsid w:val="007F1572"/>
    <w:rsid w:val="007F3FE3"/>
    <w:rsid w:val="0080155E"/>
    <w:rsid w:val="00801E74"/>
    <w:rsid w:val="0080248B"/>
    <w:rsid w:val="008028D6"/>
    <w:rsid w:val="0080485E"/>
    <w:rsid w:val="00806848"/>
    <w:rsid w:val="008142B4"/>
    <w:rsid w:val="00832324"/>
    <w:rsid w:val="00835337"/>
    <w:rsid w:val="00836AF0"/>
    <w:rsid w:val="00846DCD"/>
    <w:rsid w:val="00851D85"/>
    <w:rsid w:val="00860CCB"/>
    <w:rsid w:val="00871295"/>
    <w:rsid w:val="00871EE9"/>
    <w:rsid w:val="008740A3"/>
    <w:rsid w:val="00876563"/>
    <w:rsid w:val="00880B43"/>
    <w:rsid w:val="00881913"/>
    <w:rsid w:val="00887378"/>
    <w:rsid w:val="0089297B"/>
    <w:rsid w:val="008A0A03"/>
    <w:rsid w:val="008A3740"/>
    <w:rsid w:val="008B6DE9"/>
    <w:rsid w:val="008C010E"/>
    <w:rsid w:val="008C1AF0"/>
    <w:rsid w:val="008C36CA"/>
    <w:rsid w:val="008D1CD8"/>
    <w:rsid w:val="008E3F8C"/>
    <w:rsid w:val="009003CF"/>
    <w:rsid w:val="00901699"/>
    <w:rsid w:val="00902FD0"/>
    <w:rsid w:val="009053D3"/>
    <w:rsid w:val="0090691F"/>
    <w:rsid w:val="0093111F"/>
    <w:rsid w:val="00935689"/>
    <w:rsid w:val="00936399"/>
    <w:rsid w:val="00950916"/>
    <w:rsid w:val="0095303B"/>
    <w:rsid w:val="00965097"/>
    <w:rsid w:val="009663B6"/>
    <w:rsid w:val="00971F40"/>
    <w:rsid w:val="00974816"/>
    <w:rsid w:val="00974A47"/>
    <w:rsid w:val="00980286"/>
    <w:rsid w:val="00985673"/>
    <w:rsid w:val="00990DCF"/>
    <w:rsid w:val="00991BBB"/>
    <w:rsid w:val="00995F6A"/>
    <w:rsid w:val="009A4CD6"/>
    <w:rsid w:val="009A537C"/>
    <w:rsid w:val="009A7C17"/>
    <w:rsid w:val="009B49C2"/>
    <w:rsid w:val="009B4F54"/>
    <w:rsid w:val="009C0886"/>
    <w:rsid w:val="009C19EE"/>
    <w:rsid w:val="009C28D0"/>
    <w:rsid w:val="009C35F2"/>
    <w:rsid w:val="009C36AA"/>
    <w:rsid w:val="009C7782"/>
    <w:rsid w:val="009D1ED5"/>
    <w:rsid w:val="009D4C13"/>
    <w:rsid w:val="009E21A7"/>
    <w:rsid w:val="009F1D68"/>
    <w:rsid w:val="00A035ED"/>
    <w:rsid w:val="00A103ED"/>
    <w:rsid w:val="00A13C60"/>
    <w:rsid w:val="00A32B90"/>
    <w:rsid w:val="00A341A3"/>
    <w:rsid w:val="00A3432B"/>
    <w:rsid w:val="00A35800"/>
    <w:rsid w:val="00A37F75"/>
    <w:rsid w:val="00A52918"/>
    <w:rsid w:val="00A547B3"/>
    <w:rsid w:val="00A56349"/>
    <w:rsid w:val="00A5650F"/>
    <w:rsid w:val="00A62685"/>
    <w:rsid w:val="00A65CB3"/>
    <w:rsid w:val="00A70E82"/>
    <w:rsid w:val="00A84CAD"/>
    <w:rsid w:val="00A90E50"/>
    <w:rsid w:val="00A95FA5"/>
    <w:rsid w:val="00A966C9"/>
    <w:rsid w:val="00A96D92"/>
    <w:rsid w:val="00AA5F38"/>
    <w:rsid w:val="00AB3733"/>
    <w:rsid w:val="00AB6C12"/>
    <w:rsid w:val="00AB7897"/>
    <w:rsid w:val="00AC5054"/>
    <w:rsid w:val="00AD46B5"/>
    <w:rsid w:val="00AE4BAC"/>
    <w:rsid w:val="00AE51C2"/>
    <w:rsid w:val="00AE6560"/>
    <w:rsid w:val="00AE7D49"/>
    <w:rsid w:val="00AF1715"/>
    <w:rsid w:val="00AF3F4C"/>
    <w:rsid w:val="00B034FC"/>
    <w:rsid w:val="00B05310"/>
    <w:rsid w:val="00B10A0B"/>
    <w:rsid w:val="00B10D87"/>
    <w:rsid w:val="00B117C2"/>
    <w:rsid w:val="00B133C0"/>
    <w:rsid w:val="00B13679"/>
    <w:rsid w:val="00B155E9"/>
    <w:rsid w:val="00B169A6"/>
    <w:rsid w:val="00B22D2E"/>
    <w:rsid w:val="00B30D85"/>
    <w:rsid w:val="00B35A4A"/>
    <w:rsid w:val="00B36EDE"/>
    <w:rsid w:val="00B50720"/>
    <w:rsid w:val="00B63FD7"/>
    <w:rsid w:val="00B75FA0"/>
    <w:rsid w:val="00B816D9"/>
    <w:rsid w:val="00B9120F"/>
    <w:rsid w:val="00B92074"/>
    <w:rsid w:val="00B9216C"/>
    <w:rsid w:val="00B924A4"/>
    <w:rsid w:val="00B96965"/>
    <w:rsid w:val="00BA4169"/>
    <w:rsid w:val="00BA4DEB"/>
    <w:rsid w:val="00BB0D1A"/>
    <w:rsid w:val="00BB1D3B"/>
    <w:rsid w:val="00BC35ED"/>
    <w:rsid w:val="00BC5B3A"/>
    <w:rsid w:val="00BD2F88"/>
    <w:rsid w:val="00BD3E60"/>
    <w:rsid w:val="00BE205A"/>
    <w:rsid w:val="00BE3802"/>
    <w:rsid w:val="00BF1C82"/>
    <w:rsid w:val="00BF238E"/>
    <w:rsid w:val="00BF2F4A"/>
    <w:rsid w:val="00BF4316"/>
    <w:rsid w:val="00BF544D"/>
    <w:rsid w:val="00C0076F"/>
    <w:rsid w:val="00C0301C"/>
    <w:rsid w:val="00C050B6"/>
    <w:rsid w:val="00C10D30"/>
    <w:rsid w:val="00C10F12"/>
    <w:rsid w:val="00C16C9B"/>
    <w:rsid w:val="00C17FDC"/>
    <w:rsid w:val="00C245EA"/>
    <w:rsid w:val="00C256F6"/>
    <w:rsid w:val="00C3097E"/>
    <w:rsid w:val="00C330BB"/>
    <w:rsid w:val="00C35ECC"/>
    <w:rsid w:val="00C361A8"/>
    <w:rsid w:val="00C41246"/>
    <w:rsid w:val="00C430FB"/>
    <w:rsid w:val="00C45138"/>
    <w:rsid w:val="00C45E5F"/>
    <w:rsid w:val="00C46291"/>
    <w:rsid w:val="00C62CA4"/>
    <w:rsid w:val="00C63412"/>
    <w:rsid w:val="00C714D0"/>
    <w:rsid w:val="00C73A96"/>
    <w:rsid w:val="00C82A4A"/>
    <w:rsid w:val="00C82BF3"/>
    <w:rsid w:val="00C90EF4"/>
    <w:rsid w:val="00CA015A"/>
    <w:rsid w:val="00CB4D76"/>
    <w:rsid w:val="00CC1AA3"/>
    <w:rsid w:val="00CC49EB"/>
    <w:rsid w:val="00CD4486"/>
    <w:rsid w:val="00CD6D53"/>
    <w:rsid w:val="00CD7F52"/>
    <w:rsid w:val="00CE2509"/>
    <w:rsid w:val="00CE6BF0"/>
    <w:rsid w:val="00CF5E22"/>
    <w:rsid w:val="00CF6278"/>
    <w:rsid w:val="00D06A44"/>
    <w:rsid w:val="00D151EB"/>
    <w:rsid w:val="00D300E0"/>
    <w:rsid w:val="00D355E7"/>
    <w:rsid w:val="00D374CD"/>
    <w:rsid w:val="00D40CF7"/>
    <w:rsid w:val="00D44BDB"/>
    <w:rsid w:val="00D44C74"/>
    <w:rsid w:val="00D57381"/>
    <w:rsid w:val="00D60CF4"/>
    <w:rsid w:val="00D650CE"/>
    <w:rsid w:val="00D65C59"/>
    <w:rsid w:val="00D67654"/>
    <w:rsid w:val="00D67A58"/>
    <w:rsid w:val="00D71719"/>
    <w:rsid w:val="00D726B4"/>
    <w:rsid w:val="00D737B9"/>
    <w:rsid w:val="00D74BC7"/>
    <w:rsid w:val="00D776DA"/>
    <w:rsid w:val="00D825E0"/>
    <w:rsid w:val="00D8758B"/>
    <w:rsid w:val="00D942B3"/>
    <w:rsid w:val="00D94863"/>
    <w:rsid w:val="00DA1D6E"/>
    <w:rsid w:val="00DA5788"/>
    <w:rsid w:val="00DA646F"/>
    <w:rsid w:val="00DA7D09"/>
    <w:rsid w:val="00DB1519"/>
    <w:rsid w:val="00DB2118"/>
    <w:rsid w:val="00DB403F"/>
    <w:rsid w:val="00DB7F9C"/>
    <w:rsid w:val="00DC2630"/>
    <w:rsid w:val="00DC49E9"/>
    <w:rsid w:val="00DC55E4"/>
    <w:rsid w:val="00DC7D71"/>
    <w:rsid w:val="00DD08FD"/>
    <w:rsid w:val="00DD14C8"/>
    <w:rsid w:val="00DD188C"/>
    <w:rsid w:val="00DD1981"/>
    <w:rsid w:val="00DD1A57"/>
    <w:rsid w:val="00DD29A3"/>
    <w:rsid w:val="00DD4377"/>
    <w:rsid w:val="00DD48EE"/>
    <w:rsid w:val="00DE0B96"/>
    <w:rsid w:val="00DE10B9"/>
    <w:rsid w:val="00DF08C0"/>
    <w:rsid w:val="00DF0B13"/>
    <w:rsid w:val="00DF2EB8"/>
    <w:rsid w:val="00DF4A94"/>
    <w:rsid w:val="00DF6003"/>
    <w:rsid w:val="00E00095"/>
    <w:rsid w:val="00E02E5A"/>
    <w:rsid w:val="00E039ED"/>
    <w:rsid w:val="00E066C3"/>
    <w:rsid w:val="00E072E6"/>
    <w:rsid w:val="00E10D8C"/>
    <w:rsid w:val="00E1353A"/>
    <w:rsid w:val="00E1564B"/>
    <w:rsid w:val="00E158A8"/>
    <w:rsid w:val="00E208A0"/>
    <w:rsid w:val="00E25B49"/>
    <w:rsid w:val="00E31730"/>
    <w:rsid w:val="00E328B3"/>
    <w:rsid w:val="00E371EA"/>
    <w:rsid w:val="00E45C54"/>
    <w:rsid w:val="00E476EB"/>
    <w:rsid w:val="00E53BA2"/>
    <w:rsid w:val="00E56842"/>
    <w:rsid w:val="00E64429"/>
    <w:rsid w:val="00E677DD"/>
    <w:rsid w:val="00E7594B"/>
    <w:rsid w:val="00E9288F"/>
    <w:rsid w:val="00EB4688"/>
    <w:rsid w:val="00EB6100"/>
    <w:rsid w:val="00EB6C07"/>
    <w:rsid w:val="00EC028D"/>
    <w:rsid w:val="00ED2446"/>
    <w:rsid w:val="00ED5E97"/>
    <w:rsid w:val="00ED633B"/>
    <w:rsid w:val="00EE433B"/>
    <w:rsid w:val="00EE478C"/>
    <w:rsid w:val="00EE4FF4"/>
    <w:rsid w:val="00EE738B"/>
    <w:rsid w:val="00EF69E4"/>
    <w:rsid w:val="00F009FF"/>
    <w:rsid w:val="00F1132C"/>
    <w:rsid w:val="00F15DD5"/>
    <w:rsid w:val="00F166F0"/>
    <w:rsid w:val="00F17D4B"/>
    <w:rsid w:val="00F23139"/>
    <w:rsid w:val="00F52264"/>
    <w:rsid w:val="00F5717C"/>
    <w:rsid w:val="00F64170"/>
    <w:rsid w:val="00F66CD5"/>
    <w:rsid w:val="00F67A9A"/>
    <w:rsid w:val="00F70F4E"/>
    <w:rsid w:val="00F73113"/>
    <w:rsid w:val="00F75FC4"/>
    <w:rsid w:val="00F84CC6"/>
    <w:rsid w:val="00F85981"/>
    <w:rsid w:val="00F86398"/>
    <w:rsid w:val="00F87263"/>
    <w:rsid w:val="00F90F21"/>
    <w:rsid w:val="00F93725"/>
    <w:rsid w:val="00FA4890"/>
    <w:rsid w:val="00FB040B"/>
    <w:rsid w:val="00FB4795"/>
    <w:rsid w:val="00FB77FA"/>
    <w:rsid w:val="00FC3C70"/>
    <w:rsid w:val="00FC4A73"/>
    <w:rsid w:val="00FC559C"/>
    <w:rsid w:val="00FC7F0D"/>
    <w:rsid w:val="00FD4A3C"/>
    <w:rsid w:val="00FE5D34"/>
    <w:rsid w:val="00FE645A"/>
    <w:rsid w:val="00FF18BC"/>
    <w:rsid w:val="00FF6102"/>
    <w:rsid w:val="00FF789D"/>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211D1F"/>
    <w:rPr>
      <w:color w:val="800080" w:themeColor="followedHyperlink"/>
      <w:u w:val="single"/>
    </w:rPr>
  </w:style>
  <w:style w:type="paragraph" w:styleId="NormalWeb">
    <w:name w:val="Normal (Web)"/>
    <w:basedOn w:val="Normal"/>
    <w:uiPriority w:val="99"/>
    <w:semiHidden/>
    <w:unhideWhenUsed/>
    <w:rsid w:val="00AF3F4C"/>
    <w:rPr>
      <w:rFonts w:ascii="Times New Roman" w:hAnsi="Times New Roman" w:cs="Times New Roman"/>
    </w:rPr>
  </w:style>
  <w:style w:type="character" w:customStyle="1" w:styleId="prod-title">
    <w:name w:val="prod-title"/>
    <w:basedOn w:val="DefaultParagraphFont"/>
    <w:rsid w:val="00AE51C2"/>
  </w:style>
  <w:style w:type="character" w:customStyle="1" w:styleId="apple-converted-space">
    <w:name w:val="apple-converted-space"/>
    <w:basedOn w:val="DefaultParagraphFont"/>
    <w:rsid w:val="00AE51C2"/>
  </w:style>
  <w:style w:type="character" w:customStyle="1" w:styleId="published-date">
    <w:name w:val="published-date"/>
    <w:basedOn w:val="DefaultParagraphFont"/>
    <w:rsid w:val="00AE51C2"/>
  </w:style>
  <w:style w:type="paragraph" w:styleId="EndnoteText">
    <w:name w:val="endnote text"/>
    <w:basedOn w:val="Normal"/>
    <w:link w:val="EndnoteTextChar"/>
    <w:uiPriority w:val="99"/>
    <w:semiHidden/>
    <w:unhideWhenUsed/>
    <w:rsid w:val="00881913"/>
    <w:pPr>
      <w:spacing w:after="0"/>
    </w:pPr>
    <w:rPr>
      <w:sz w:val="20"/>
      <w:szCs w:val="20"/>
    </w:rPr>
  </w:style>
  <w:style w:type="character" w:customStyle="1" w:styleId="EndnoteTextChar">
    <w:name w:val="Endnote Text Char"/>
    <w:basedOn w:val="DefaultParagraphFont"/>
    <w:link w:val="EndnoteText"/>
    <w:uiPriority w:val="99"/>
    <w:semiHidden/>
    <w:rsid w:val="00881913"/>
    <w:rPr>
      <w:sz w:val="20"/>
      <w:szCs w:val="20"/>
    </w:rPr>
  </w:style>
  <w:style w:type="character" w:styleId="EndnoteReference">
    <w:name w:val="endnote reference"/>
    <w:basedOn w:val="DefaultParagraphFont"/>
    <w:uiPriority w:val="99"/>
    <w:semiHidden/>
    <w:unhideWhenUsed/>
    <w:rsid w:val="00881913"/>
    <w:rPr>
      <w:vertAlign w:val="superscript"/>
    </w:rPr>
  </w:style>
  <w:style w:type="paragraph" w:styleId="Revision">
    <w:name w:val="Revision"/>
    <w:hidden/>
    <w:uiPriority w:val="99"/>
    <w:semiHidden/>
    <w:rsid w:val="00881913"/>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211D1F"/>
    <w:rPr>
      <w:color w:val="800080" w:themeColor="followedHyperlink"/>
      <w:u w:val="single"/>
    </w:rPr>
  </w:style>
  <w:style w:type="paragraph" w:styleId="NormalWeb">
    <w:name w:val="Normal (Web)"/>
    <w:basedOn w:val="Normal"/>
    <w:uiPriority w:val="99"/>
    <w:semiHidden/>
    <w:unhideWhenUsed/>
    <w:rsid w:val="00AF3F4C"/>
    <w:rPr>
      <w:rFonts w:ascii="Times New Roman" w:hAnsi="Times New Roman" w:cs="Times New Roman"/>
    </w:rPr>
  </w:style>
  <w:style w:type="character" w:customStyle="1" w:styleId="prod-title">
    <w:name w:val="prod-title"/>
    <w:basedOn w:val="DefaultParagraphFont"/>
    <w:rsid w:val="00AE51C2"/>
  </w:style>
  <w:style w:type="character" w:customStyle="1" w:styleId="apple-converted-space">
    <w:name w:val="apple-converted-space"/>
    <w:basedOn w:val="DefaultParagraphFont"/>
    <w:rsid w:val="00AE51C2"/>
  </w:style>
  <w:style w:type="character" w:customStyle="1" w:styleId="published-date">
    <w:name w:val="published-date"/>
    <w:basedOn w:val="DefaultParagraphFont"/>
    <w:rsid w:val="00AE51C2"/>
  </w:style>
  <w:style w:type="paragraph" w:styleId="EndnoteText">
    <w:name w:val="endnote text"/>
    <w:basedOn w:val="Normal"/>
    <w:link w:val="EndnoteTextChar"/>
    <w:uiPriority w:val="99"/>
    <w:semiHidden/>
    <w:unhideWhenUsed/>
    <w:rsid w:val="00881913"/>
    <w:pPr>
      <w:spacing w:after="0"/>
    </w:pPr>
    <w:rPr>
      <w:sz w:val="20"/>
      <w:szCs w:val="20"/>
    </w:rPr>
  </w:style>
  <w:style w:type="character" w:customStyle="1" w:styleId="EndnoteTextChar">
    <w:name w:val="Endnote Text Char"/>
    <w:basedOn w:val="DefaultParagraphFont"/>
    <w:link w:val="EndnoteText"/>
    <w:uiPriority w:val="99"/>
    <w:semiHidden/>
    <w:rsid w:val="00881913"/>
    <w:rPr>
      <w:sz w:val="20"/>
      <w:szCs w:val="20"/>
    </w:rPr>
  </w:style>
  <w:style w:type="character" w:styleId="EndnoteReference">
    <w:name w:val="endnote reference"/>
    <w:basedOn w:val="DefaultParagraphFont"/>
    <w:uiPriority w:val="99"/>
    <w:semiHidden/>
    <w:unhideWhenUsed/>
    <w:rsid w:val="00881913"/>
    <w:rPr>
      <w:vertAlign w:val="superscript"/>
    </w:rPr>
  </w:style>
  <w:style w:type="paragraph" w:styleId="Revision">
    <w:name w:val="Revision"/>
    <w:hidden/>
    <w:uiPriority w:val="99"/>
    <w:semiHidden/>
    <w:rsid w:val="0088191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4910">
      <w:bodyDiv w:val="1"/>
      <w:marLeft w:val="0"/>
      <w:marRight w:val="0"/>
      <w:marTop w:val="0"/>
      <w:marBottom w:val="0"/>
      <w:divBdr>
        <w:top w:val="none" w:sz="0" w:space="0" w:color="auto"/>
        <w:left w:val="none" w:sz="0" w:space="0" w:color="auto"/>
        <w:bottom w:val="none" w:sz="0" w:space="0" w:color="auto"/>
        <w:right w:val="none" w:sz="0" w:space="0" w:color="auto"/>
      </w:divBdr>
    </w:div>
    <w:div w:id="184946766">
      <w:bodyDiv w:val="1"/>
      <w:marLeft w:val="0"/>
      <w:marRight w:val="0"/>
      <w:marTop w:val="0"/>
      <w:marBottom w:val="0"/>
      <w:divBdr>
        <w:top w:val="none" w:sz="0" w:space="0" w:color="auto"/>
        <w:left w:val="none" w:sz="0" w:space="0" w:color="auto"/>
        <w:bottom w:val="none" w:sz="0" w:space="0" w:color="auto"/>
        <w:right w:val="none" w:sz="0" w:space="0" w:color="auto"/>
      </w:divBdr>
    </w:div>
    <w:div w:id="185140037">
      <w:bodyDiv w:val="1"/>
      <w:marLeft w:val="0"/>
      <w:marRight w:val="0"/>
      <w:marTop w:val="0"/>
      <w:marBottom w:val="0"/>
      <w:divBdr>
        <w:top w:val="none" w:sz="0" w:space="0" w:color="auto"/>
        <w:left w:val="none" w:sz="0" w:space="0" w:color="auto"/>
        <w:bottom w:val="none" w:sz="0" w:space="0" w:color="auto"/>
        <w:right w:val="none" w:sz="0" w:space="0" w:color="auto"/>
      </w:divBdr>
    </w:div>
    <w:div w:id="281769672">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55756789">
      <w:bodyDiv w:val="1"/>
      <w:marLeft w:val="0"/>
      <w:marRight w:val="0"/>
      <w:marTop w:val="0"/>
      <w:marBottom w:val="0"/>
      <w:divBdr>
        <w:top w:val="none" w:sz="0" w:space="0" w:color="auto"/>
        <w:left w:val="none" w:sz="0" w:space="0" w:color="auto"/>
        <w:bottom w:val="none" w:sz="0" w:space="0" w:color="auto"/>
        <w:right w:val="none" w:sz="0" w:space="0" w:color="auto"/>
      </w:divBdr>
    </w:div>
    <w:div w:id="464009380">
      <w:bodyDiv w:val="1"/>
      <w:marLeft w:val="0"/>
      <w:marRight w:val="0"/>
      <w:marTop w:val="0"/>
      <w:marBottom w:val="0"/>
      <w:divBdr>
        <w:top w:val="none" w:sz="0" w:space="0" w:color="auto"/>
        <w:left w:val="none" w:sz="0" w:space="0" w:color="auto"/>
        <w:bottom w:val="none" w:sz="0" w:space="0" w:color="auto"/>
        <w:right w:val="none" w:sz="0" w:space="0" w:color="auto"/>
      </w:divBdr>
    </w:div>
    <w:div w:id="489712443">
      <w:bodyDiv w:val="1"/>
      <w:marLeft w:val="0"/>
      <w:marRight w:val="0"/>
      <w:marTop w:val="0"/>
      <w:marBottom w:val="0"/>
      <w:divBdr>
        <w:top w:val="none" w:sz="0" w:space="0" w:color="auto"/>
        <w:left w:val="none" w:sz="0" w:space="0" w:color="auto"/>
        <w:bottom w:val="none" w:sz="0" w:space="0" w:color="auto"/>
        <w:right w:val="none" w:sz="0" w:space="0" w:color="auto"/>
      </w:divBdr>
    </w:div>
    <w:div w:id="780801671">
      <w:bodyDiv w:val="1"/>
      <w:marLeft w:val="0"/>
      <w:marRight w:val="0"/>
      <w:marTop w:val="0"/>
      <w:marBottom w:val="0"/>
      <w:divBdr>
        <w:top w:val="none" w:sz="0" w:space="0" w:color="auto"/>
        <w:left w:val="none" w:sz="0" w:space="0" w:color="auto"/>
        <w:bottom w:val="none" w:sz="0" w:space="0" w:color="auto"/>
        <w:right w:val="none" w:sz="0" w:space="0" w:color="auto"/>
      </w:divBdr>
    </w:div>
    <w:div w:id="796530489">
      <w:bodyDiv w:val="1"/>
      <w:marLeft w:val="0"/>
      <w:marRight w:val="0"/>
      <w:marTop w:val="0"/>
      <w:marBottom w:val="0"/>
      <w:divBdr>
        <w:top w:val="none" w:sz="0" w:space="0" w:color="auto"/>
        <w:left w:val="none" w:sz="0" w:space="0" w:color="auto"/>
        <w:bottom w:val="none" w:sz="0" w:space="0" w:color="auto"/>
        <w:right w:val="none" w:sz="0" w:space="0" w:color="auto"/>
      </w:divBdr>
    </w:div>
    <w:div w:id="1017657734">
      <w:bodyDiv w:val="1"/>
      <w:marLeft w:val="0"/>
      <w:marRight w:val="0"/>
      <w:marTop w:val="0"/>
      <w:marBottom w:val="0"/>
      <w:divBdr>
        <w:top w:val="none" w:sz="0" w:space="0" w:color="auto"/>
        <w:left w:val="none" w:sz="0" w:space="0" w:color="auto"/>
        <w:bottom w:val="none" w:sz="0" w:space="0" w:color="auto"/>
        <w:right w:val="none" w:sz="0" w:space="0" w:color="auto"/>
      </w:divBdr>
    </w:div>
    <w:div w:id="1024210754">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271861288">
      <w:bodyDiv w:val="1"/>
      <w:marLeft w:val="0"/>
      <w:marRight w:val="0"/>
      <w:marTop w:val="0"/>
      <w:marBottom w:val="0"/>
      <w:divBdr>
        <w:top w:val="none" w:sz="0" w:space="0" w:color="auto"/>
        <w:left w:val="none" w:sz="0" w:space="0" w:color="auto"/>
        <w:bottom w:val="none" w:sz="0" w:space="0" w:color="auto"/>
        <w:right w:val="none" w:sz="0" w:space="0" w:color="auto"/>
      </w:divBdr>
      <w:divsChild>
        <w:div w:id="1946302930">
          <w:marLeft w:val="0"/>
          <w:marRight w:val="0"/>
          <w:marTop w:val="0"/>
          <w:marBottom w:val="0"/>
          <w:divBdr>
            <w:top w:val="none" w:sz="0" w:space="0" w:color="auto"/>
            <w:left w:val="none" w:sz="0" w:space="0" w:color="auto"/>
            <w:bottom w:val="none" w:sz="0" w:space="0" w:color="auto"/>
            <w:right w:val="none" w:sz="0" w:space="0" w:color="auto"/>
          </w:divBdr>
          <w:divsChild>
            <w:div w:id="4166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2455">
      <w:bodyDiv w:val="1"/>
      <w:marLeft w:val="0"/>
      <w:marRight w:val="0"/>
      <w:marTop w:val="0"/>
      <w:marBottom w:val="0"/>
      <w:divBdr>
        <w:top w:val="none" w:sz="0" w:space="0" w:color="auto"/>
        <w:left w:val="none" w:sz="0" w:space="0" w:color="auto"/>
        <w:bottom w:val="none" w:sz="0" w:space="0" w:color="auto"/>
        <w:right w:val="none" w:sz="0" w:space="0" w:color="auto"/>
      </w:divBdr>
    </w:div>
    <w:div w:id="1410736317">
      <w:bodyDiv w:val="1"/>
      <w:marLeft w:val="0"/>
      <w:marRight w:val="0"/>
      <w:marTop w:val="0"/>
      <w:marBottom w:val="0"/>
      <w:divBdr>
        <w:top w:val="none" w:sz="0" w:space="0" w:color="auto"/>
        <w:left w:val="none" w:sz="0" w:space="0" w:color="auto"/>
        <w:bottom w:val="none" w:sz="0" w:space="0" w:color="auto"/>
        <w:right w:val="none" w:sz="0" w:space="0" w:color="auto"/>
      </w:divBdr>
    </w:div>
    <w:div w:id="1702902616">
      <w:bodyDiv w:val="1"/>
      <w:marLeft w:val="0"/>
      <w:marRight w:val="0"/>
      <w:marTop w:val="0"/>
      <w:marBottom w:val="0"/>
      <w:divBdr>
        <w:top w:val="none" w:sz="0" w:space="0" w:color="auto"/>
        <w:left w:val="none" w:sz="0" w:space="0" w:color="auto"/>
        <w:bottom w:val="none" w:sz="0" w:space="0" w:color="auto"/>
        <w:right w:val="none" w:sz="0" w:space="0" w:color="auto"/>
      </w:divBdr>
    </w:div>
    <w:div w:id="1794056740">
      <w:bodyDiv w:val="1"/>
      <w:marLeft w:val="0"/>
      <w:marRight w:val="0"/>
      <w:marTop w:val="0"/>
      <w:marBottom w:val="0"/>
      <w:divBdr>
        <w:top w:val="none" w:sz="0" w:space="0" w:color="auto"/>
        <w:left w:val="none" w:sz="0" w:space="0" w:color="auto"/>
        <w:bottom w:val="none" w:sz="0" w:space="0" w:color="auto"/>
        <w:right w:val="none" w:sz="0" w:space="0" w:color="auto"/>
      </w:divBdr>
    </w:div>
    <w:div w:id="1795520786">
      <w:bodyDiv w:val="1"/>
      <w:marLeft w:val="0"/>
      <w:marRight w:val="0"/>
      <w:marTop w:val="0"/>
      <w:marBottom w:val="0"/>
      <w:divBdr>
        <w:top w:val="none" w:sz="0" w:space="0" w:color="auto"/>
        <w:left w:val="none" w:sz="0" w:space="0" w:color="auto"/>
        <w:bottom w:val="none" w:sz="0" w:space="0" w:color="auto"/>
        <w:right w:val="none" w:sz="0" w:space="0" w:color="auto"/>
      </w:divBdr>
    </w:div>
    <w:div w:id="193215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entral.health\DFSGroupData\Sites\CO1\CO\PBD\PEB\EVAL\DUSC\DUSC%20Documents\Predicted%20vs%20actual%20usage\pbs.gov.au" TargetMode="External"/><Relationship Id="rId18" Type="http://schemas.openxmlformats.org/officeDocument/2006/relationships/chart" Target="charts/chart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entral.health\DFSGroupData\Sites\CO1\CO\PBD\PEB\EVAL\DUSC\DUSC%20Documents\Predicted%20vs%20actual%20usage\pbs.gov.au" TargetMode="External"/><Relationship Id="rId17" Type="http://schemas.openxmlformats.org/officeDocument/2006/relationships/hyperlink" Target="http://www.pbs.gov.au/info/industry/listing/elements/pbac-meetings/psd/2013-04/rifaximi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bs.gov.au/info/industry/listing/elements/pbac-meetings/psd/2012-11/rifaximin"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pbs/home"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pbs.gov.au/info/industry/listing/elements/pbac-meetings/psd/2012-07/rifaximi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tga.gov.au/consumers/information-medicines-cmi.htm" TargetMode="Externa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http://tga.gov.au/hp/information-medicines-pi.htm" TargetMode="External"/><Relationship Id="rId14" Type="http://schemas.openxmlformats.org/officeDocument/2006/relationships/hyperlink" Target="http://www.pbs.gov.au/info/industry/listing/elements/pbac-meetings/psd/2011-11/pbac-psd-rifaximin-nov11" TargetMode="External"/><Relationship Id="rId22" Type="http://schemas.openxmlformats.org/officeDocument/2006/relationships/header" Target="header2.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clinicaltrials.gov/ct2/show/NCT00603616" TargetMode="External"/><Relationship Id="rId3" Type="http://schemas.openxmlformats.org/officeDocument/2006/relationships/hyperlink" Target="http://www.norgine.com/media/press-release/norgine-presents-prosper-study-first-ever-real-world-evidence-study-in-hepatic-encephalopathy-patients-taking-rifaximin-550mg" TargetMode="External"/><Relationship Id="rId7" Type="http://schemas.openxmlformats.org/officeDocument/2006/relationships/hyperlink" Target="https://www.ebs.tga.gov.au" TargetMode="External"/><Relationship Id="rId2" Type="http://schemas.openxmlformats.org/officeDocument/2006/relationships/hyperlink" Target="http://www.pbs.gov.au/info/industry/listing/elements/pbac-meetings/psd/2011-11/pbac-psd-rifaximin-nov11" TargetMode="External"/><Relationship Id="rId1" Type="http://schemas.openxmlformats.org/officeDocument/2006/relationships/hyperlink" Target="https://www.ebs.tga.gov.au" TargetMode="External"/><Relationship Id="rId6" Type="http://schemas.openxmlformats.org/officeDocument/2006/relationships/hyperlink" Target="http://www.safetyandquality.gov.au" TargetMode="External"/><Relationship Id="rId5" Type="http://schemas.openxmlformats.org/officeDocument/2006/relationships/hyperlink" Target="http://www.medicareaustralia.gov.au/provider/pbs/stats.jsp" TargetMode="External"/><Relationship Id="rId4" Type="http://schemas.openxmlformats.org/officeDocument/2006/relationships/hyperlink" Target="https://clinicaltrials.gov/ct2/show/NCT02488993" TargetMode="External"/><Relationship Id="rId9" Type="http://schemas.openxmlformats.org/officeDocument/2006/relationships/hyperlink" Target="http://www.health.gov.au/internet/main/publishing.nsf/Content/ohp-amr.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6%20Sep\Rifaximin\Data\D951%20-%20Rifaximin%20script%20summary%20-%20from%20DUSC%20database,%20incl%20AMFAC%20item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6%20Sep\Rifaximin\Data\D951%20-%20PAT_CNT_BY_DRUG_N_YEAR_fr_DE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6%20Sep\Rifaximin\Data\Script%20analysis%202Sep2016\Script_analysis_summary_2SEP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[D951 - Rifaximin script summary - from DUSC database, incl AMFAC items.xlsx]Sheet1!PivotTable4</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s>
    <c:plotArea>
      <c:layout/>
      <c:lineChart>
        <c:grouping val="standard"/>
        <c:varyColors val="0"/>
        <c:ser>
          <c:idx val="0"/>
          <c:order val="0"/>
          <c:tx>
            <c:strRef>
              <c:f>Sheet1!$B$4:$B$5</c:f>
              <c:strCache>
                <c:ptCount val="1"/>
                <c:pt idx="0">
                  <c:v>RIFAXIMIN</c:v>
                </c:pt>
              </c:strCache>
            </c:strRef>
          </c:tx>
          <c:marker>
            <c:symbol val="none"/>
          </c:marker>
          <c:cat>
            <c:strRef>
              <c:f>Sheet1!$A$6:$A$34</c:f>
              <c:strCache>
                <c:ptCount val="28"/>
                <c:pt idx="0">
                  <c:v>201312</c:v>
                </c:pt>
                <c:pt idx="1">
                  <c:v>201401</c:v>
                </c:pt>
                <c:pt idx="2">
                  <c:v>201402</c:v>
                </c:pt>
                <c:pt idx="3">
                  <c:v>201403</c:v>
                </c:pt>
                <c:pt idx="4">
                  <c:v>201404</c:v>
                </c:pt>
                <c:pt idx="5">
                  <c:v>201405</c:v>
                </c:pt>
                <c:pt idx="6">
                  <c:v>201406</c:v>
                </c:pt>
                <c:pt idx="7">
                  <c:v>201407</c:v>
                </c:pt>
                <c:pt idx="8">
                  <c:v>201408</c:v>
                </c:pt>
                <c:pt idx="9">
                  <c:v>201409</c:v>
                </c:pt>
                <c:pt idx="10">
                  <c:v>201410</c:v>
                </c:pt>
                <c:pt idx="11">
                  <c:v>201411</c:v>
                </c:pt>
                <c:pt idx="12">
                  <c:v>201412</c:v>
                </c:pt>
                <c:pt idx="13">
                  <c:v>201501</c:v>
                </c:pt>
                <c:pt idx="14">
                  <c:v>201502</c:v>
                </c:pt>
                <c:pt idx="15">
                  <c:v>201503</c:v>
                </c:pt>
                <c:pt idx="16">
                  <c:v>201504</c:v>
                </c:pt>
                <c:pt idx="17">
                  <c:v>201505</c:v>
                </c:pt>
                <c:pt idx="18">
                  <c:v>201506</c:v>
                </c:pt>
                <c:pt idx="19">
                  <c:v>201507</c:v>
                </c:pt>
                <c:pt idx="20">
                  <c:v>201508</c:v>
                </c:pt>
                <c:pt idx="21">
                  <c:v>201509</c:v>
                </c:pt>
                <c:pt idx="22">
                  <c:v>201510</c:v>
                </c:pt>
                <c:pt idx="23">
                  <c:v>201511</c:v>
                </c:pt>
                <c:pt idx="24">
                  <c:v>201512</c:v>
                </c:pt>
                <c:pt idx="25">
                  <c:v>201601</c:v>
                </c:pt>
                <c:pt idx="26">
                  <c:v>201602</c:v>
                </c:pt>
                <c:pt idx="27">
                  <c:v>201603</c:v>
                </c:pt>
              </c:strCache>
            </c:strRef>
          </c:cat>
          <c:val>
            <c:numRef>
              <c:f>Sheet1!$B$6:$B$34</c:f>
              <c:numCache>
                <c:formatCode>General</c:formatCode>
                <c:ptCount val="28"/>
                <c:pt idx="0">
                  <c:v>237</c:v>
                </c:pt>
                <c:pt idx="1">
                  <c:v>318</c:v>
                </c:pt>
                <c:pt idx="2">
                  <c:v>394</c:v>
                </c:pt>
                <c:pt idx="3">
                  <c:v>471</c:v>
                </c:pt>
                <c:pt idx="4">
                  <c:v>530</c:v>
                </c:pt>
                <c:pt idx="5">
                  <c:v>608</c:v>
                </c:pt>
                <c:pt idx="6">
                  <c:v>597</c:v>
                </c:pt>
                <c:pt idx="7">
                  <c:v>700</c:v>
                </c:pt>
                <c:pt idx="8">
                  <c:v>698</c:v>
                </c:pt>
                <c:pt idx="9">
                  <c:v>744</c:v>
                </c:pt>
                <c:pt idx="10">
                  <c:v>807</c:v>
                </c:pt>
                <c:pt idx="11">
                  <c:v>805</c:v>
                </c:pt>
                <c:pt idx="12">
                  <c:v>1052</c:v>
                </c:pt>
                <c:pt idx="13">
                  <c:v>732</c:v>
                </c:pt>
                <c:pt idx="14">
                  <c:v>828</c:v>
                </c:pt>
                <c:pt idx="15">
                  <c:v>949</c:v>
                </c:pt>
                <c:pt idx="16">
                  <c:v>905</c:v>
                </c:pt>
                <c:pt idx="17">
                  <c:v>983</c:v>
                </c:pt>
                <c:pt idx="18">
                  <c:v>1002</c:v>
                </c:pt>
                <c:pt idx="19">
                  <c:v>1101</c:v>
                </c:pt>
                <c:pt idx="20">
                  <c:v>1046</c:v>
                </c:pt>
                <c:pt idx="21">
                  <c:v>1141</c:v>
                </c:pt>
                <c:pt idx="22">
                  <c:v>1134</c:v>
                </c:pt>
                <c:pt idx="23">
                  <c:v>1125</c:v>
                </c:pt>
                <c:pt idx="24">
                  <c:v>1352</c:v>
                </c:pt>
                <c:pt idx="25">
                  <c:v>1025</c:v>
                </c:pt>
                <c:pt idx="26">
                  <c:v>1133</c:v>
                </c:pt>
                <c:pt idx="27">
                  <c:v>1255</c:v>
                </c:pt>
              </c:numCache>
            </c:numRef>
          </c:val>
          <c:smooth val="0"/>
        </c:ser>
        <c:dLbls>
          <c:showLegendKey val="0"/>
          <c:showVal val="0"/>
          <c:showCatName val="0"/>
          <c:showSerName val="0"/>
          <c:showPercent val="0"/>
          <c:showBubbleSize val="0"/>
        </c:dLbls>
        <c:marker val="1"/>
        <c:smooth val="0"/>
        <c:axId val="327530368"/>
        <c:axId val="368927488"/>
      </c:lineChart>
      <c:catAx>
        <c:axId val="327530368"/>
        <c:scaling>
          <c:orientation val="minMax"/>
        </c:scaling>
        <c:delete val="0"/>
        <c:axPos val="b"/>
        <c:title>
          <c:tx>
            <c:rich>
              <a:bodyPr/>
              <a:lstStyle/>
              <a:p>
                <a:pPr>
                  <a:defRPr/>
                </a:pPr>
                <a:r>
                  <a:rPr lang="en-AU"/>
                  <a:t>Month</a:t>
                </a:r>
                <a:r>
                  <a:rPr lang="en-AU" baseline="0"/>
                  <a:t> of supply</a:t>
                </a:r>
                <a:endParaRPr lang="en-AU"/>
              </a:p>
            </c:rich>
          </c:tx>
          <c:overlay val="0"/>
        </c:title>
        <c:majorTickMark val="none"/>
        <c:minorTickMark val="cross"/>
        <c:tickLblPos val="nextTo"/>
        <c:crossAx val="368927488"/>
        <c:crosses val="autoZero"/>
        <c:auto val="1"/>
        <c:lblAlgn val="ctr"/>
        <c:lblOffset val="100"/>
        <c:noMultiLvlLbl val="0"/>
      </c:catAx>
      <c:valAx>
        <c:axId val="368927488"/>
        <c:scaling>
          <c:orientation val="minMax"/>
        </c:scaling>
        <c:delete val="0"/>
        <c:axPos val="l"/>
        <c:majorGridlines/>
        <c:title>
          <c:tx>
            <c:rich>
              <a:bodyPr rot="-5400000" vert="horz"/>
              <a:lstStyle/>
              <a:p>
                <a:pPr>
                  <a:defRPr/>
                </a:pPr>
                <a:r>
                  <a:rPr lang="en-AU"/>
                  <a:t>Number of prescriptions</a:t>
                </a:r>
              </a:p>
            </c:rich>
          </c:tx>
          <c:overlay val="0"/>
        </c:title>
        <c:numFmt formatCode="#,##0" sourceLinked="0"/>
        <c:majorTickMark val="none"/>
        <c:minorTickMark val="none"/>
        <c:tickLblPos val="nextTo"/>
        <c:crossAx val="327530368"/>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[D951 - PAT_CNT_BY_DRUG_N_YEAR_fr_DEC.xlsx]Sheet1 (3)!PivotTable3</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pivotFmt>
      <c:pivotFmt>
        <c:idx val="11"/>
        <c:marker>
          <c:symbol val="none"/>
        </c:marker>
      </c:pivotFmt>
      <c:pivotFmt>
        <c:idx val="12"/>
        <c:marker>
          <c:symbol val="none"/>
        </c:marker>
      </c:pivotFmt>
      <c:pivotFmt>
        <c:idx val="13"/>
        <c:marker>
          <c:symbol val="none"/>
        </c:marker>
      </c:pivotFmt>
      <c:pivotFmt>
        <c:idx val="14"/>
      </c:pivotFmt>
      <c:pivotFmt>
        <c:idx val="15"/>
        <c:marker>
          <c:symbol val="none"/>
        </c:marker>
      </c:pivotFmt>
      <c:pivotFmt>
        <c:idx val="16"/>
      </c:pivotFmt>
      <c:pivotFmt>
        <c:idx val="17"/>
        <c:marker>
          <c:symbol val="none"/>
        </c:marker>
      </c:pivotFmt>
      <c:pivotFmt>
        <c:idx val="18"/>
        <c:marker>
          <c:symbol val="none"/>
        </c:marker>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s>
    <c:plotArea>
      <c:layout/>
      <c:barChart>
        <c:barDir val="col"/>
        <c:grouping val="percentStacked"/>
        <c:varyColors val="0"/>
        <c:ser>
          <c:idx val="0"/>
          <c:order val="0"/>
          <c:tx>
            <c:strRef>
              <c:f>'Sheet1 (3)'!$B$4:$B$5</c:f>
              <c:strCache>
                <c:ptCount val="1"/>
                <c:pt idx="0">
                  <c:v>Gastroenterology and Hepatology</c:v>
                </c:pt>
              </c:strCache>
            </c:strRef>
          </c:tx>
          <c:invertIfNegative val="0"/>
          <c:cat>
            <c:strRef>
              <c:f>'Sheet1 (3)'!$A$6:$A$8</c:f>
              <c:strCache>
                <c:ptCount val="2"/>
                <c:pt idx="0">
                  <c:v>December 2013 to November 2014</c:v>
                </c:pt>
                <c:pt idx="1">
                  <c:v>December 2014 to November 2015</c:v>
                </c:pt>
              </c:strCache>
            </c:strRef>
          </c:cat>
          <c:val>
            <c:numRef>
              <c:f>'Sheet1 (3)'!$B$6:$B$8</c:f>
              <c:numCache>
                <c:formatCode>General</c:formatCode>
                <c:ptCount val="2"/>
                <c:pt idx="0">
                  <c:v>426</c:v>
                </c:pt>
                <c:pt idx="1">
                  <c:v>315</c:v>
                </c:pt>
              </c:numCache>
            </c:numRef>
          </c:val>
        </c:ser>
        <c:ser>
          <c:idx val="1"/>
          <c:order val="1"/>
          <c:tx>
            <c:strRef>
              <c:f>'Sheet1 (3)'!$C$4:$C$5</c:f>
              <c:strCache>
                <c:ptCount val="1"/>
                <c:pt idx="0">
                  <c:v>GP</c:v>
                </c:pt>
              </c:strCache>
            </c:strRef>
          </c:tx>
          <c:invertIfNegative val="0"/>
          <c:cat>
            <c:strRef>
              <c:f>'Sheet1 (3)'!$A$6:$A$8</c:f>
              <c:strCache>
                <c:ptCount val="2"/>
                <c:pt idx="0">
                  <c:v>December 2013 to November 2014</c:v>
                </c:pt>
                <c:pt idx="1">
                  <c:v>December 2014 to November 2015</c:v>
                </c:pt>
              </c:strCache>
            </c:strRef>
          </c:cat>
          <c:val>
            <c:numRef>
              <c:f>'Sheet1 (3)'!$C$6:$C$8</c:f>
              <c:numCache>
                <c:formatCode>General</c:formatCode>
                <c:ptCount val="2"/>
                <c:pt idx="0">
                  <c:v>776</c:v>
                </c:pt>
                <c:pt idx="1">
                  <c:v>813</c:v>
                </c:pt>
              </c:numCache>
            </c:numRef>
          </c:val>
        </c:ser>
        <c:ser>
          <c:idx val="2"/>
          <c:order val="2"/>
          <c:tx>
            <c:strRef>
              <c:f>'Sheet1 (3)'!$D$4:$D$5</c:f>
              <c:strCache>
                <c:ptCount val="1"/>
                <c:pt idx="0">
                  <c:v>Other specialist</c:v>
                </c:pt>
              </c:strCache>
            </c:strRef>
          </c:tx>
          <c:invertIfNegative val="0"/>
          <c:cat>
            <c:strRef>
              <c:f>'Sheet1 (3)'!$A$6:$A$8</c:f>
              <c:strCache>
                <c:ptCount val="2"/>
                <c:pt idx="0">
                  <c:v>December 2013 to November 2014</c:v>
                </c:pt>
                <c:pt idx="1">
                  <c:v>December 2014 to November 2015</c:v>
                </c:pt>
              </c:strCache>
            </c:strRef>
          </c:cat>
          <c:val>
            <c:numRef>
              <c:f>'Sheet1 (3)'!$D$6:$D$8</c:f>
              <c:numCache>
                <c:formatCode>General</c:formatCode>
                <c:ptCount val="2"/>
                <c:pt idx="0">
                  <c:v>87</c:v>
                </c:pt>
                <c:pt idx="1">
                  <c:v>61</c:v>
                </c:pt>
              </c:numCache>
            </c:numRef>
          </c:val>
        </c:ser>
        <c:dLbls>
          <c:showLegendKey val="0"/>
          <c:showVal val="0"/>
          <c:showCatName val="0"/>
          <c:showSerName val="0"/>
          <c:showPercent val="0"/>
          <c:showBubbleSize val="0"/>
        </c:dLbls>
        <c:gapWidth val="150"/>
        <c:overlap val="100"/>
        <c:axId val="338082048"/>
        <c:axId val="338108800"/>
      </c:barChart>
      <c:catAx>
        <c:axId val="338082048"/>
        <c:scaling>
          <c:orientation val="minMax"/>
        </c:scaling>
        <c:delete val="0"/>
        <c:axPos val="b"/>
        <c:title>
          <c:tx>
            <c:rich>
              <a:bodyPr/>
              <a:lstStyle/>
              <a:p>
                <a:pPr>
                  <a:defRPr/>
                </a:pPr>
                <a:r>
                  <a:rPr lang="en-AU"/>
                  <a:t>Listing year</a:t>
                </a:r>
              </a:p>
            </c:rich>
          </c:tx>
          <c:overlay val="0"/>
        </c:title>
        <c:majorTickMark val="none"/>
        <c:minorTickMark val="none"/>
        <c:tickLblPos val="nextTo"/>
        <c:crossAx val="338108800"/>
        <c:crosses val="autoZero"/>
        <c:auto val="1"/>
        <c:lblAlgn val="ctr"/>
        <c:lblOffset val="100"/>
        <c:noMultiLvlLbl val="0"/>
      </c:catAx>
      <c:valAx>
        <c:axId val="338108800"/>
        <c:scaling>
          <c:orientation val="minMax"/>
        </c:scaling>
        <c:delete val="0"/>
        <c:axPos val="l"/>
        <c:majorGridlines/>
        <c:title>
          <c:tx>
            <c:rich>
              <a:bodyPr rot="-5400000" vert="horz"/>
              <a:lstStyle/>
              <a:p>
                <a:pPr>
                  <a:defRPr/>
                </a:pPr>
                <a:r>
                  <a:rPr lang="en-AU"/>
                  <a:t>Percentage of initiating patients</a:t>
                </a:r>
              </a:p>
            </c:rich>
          </c:tx>
          <c:overlay val="0"/>
        </c:title>
        <c:numFmt formatCode="0%" sourceLinked="1"/>
        <c:majorTickMark val="none"/>
        <c:minorTickMark val="none"/>
        <c:tickLblPos val="nextTo"/>
        <c:crossAx val="338082048"/>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DISTR_TIME_BW_SUPP!$C$1</c:f>
              <c:strCache>
                <c:ptCount val="1"/>
                <c:pt idx="0">
                  <c:v>Scripts</c:v>
                </c:pt>
              </c:strCache>
            </c:strRef>
          </c:tx>
          <c:marker>
            <c:symbol val="none"/>
          </c:marker>
          <c:val>
            <c:numRef>
              <c:f>DISTR_TIME_BW_SUPP!$C$2:$C$216</c:f>
              <c:numCache>
                <c:formatCode>General</c:formatCode>
                <c:ptCount val="215"/>
                <c:pt idx="0">
                  <c:v>840</c:v>
                </c:pt>
                <c:pt idx="1">
                  <c:v>92</c:v>
                </c:pt>
                <c:pt idx="2">
                  <c:v>88</c:v>
                </c:pt>
                <c:pt idx="3">
                  <c:v>75</c:v>
                </c:pt>
                <c:pt idx="4">
                  <c:v>70</c:v>
                </c:pt>
                <c:pt idx="5">
                  <c:v>78</c:v>
                </c:pt>
                <c:pt idx="6">
                  <c:v>78</c:v>
                </c:pt>
                <c:pt idx="7">
                  <c:v>105</c:v>
                </c:pt>
                <c:pt idx="8">
                  <c:v>90</c:v>
                </c:pt>
                <c:pt idx="9">
                  <c:v>81</c:v>
                </c:pt>
                <c:pt idx="10">
                  <c:v>91</c:v>
                </c:pt>
                <c:pt idx="11">
                  <c:v>87</c:v>
                </c:pt>
                <c:pt idx="12">
                  <c:v>128</c:v>
                </c:pt>
                <c:pt idx="13">
                  <c:v>165</c:v>
                </c:pt>
                <c:pt idx="14">
                  <c:v>203</c:v>
                </c:pt>
                <c:pt idx="15">
                  <c:v>164</c:v>
                </c:pt>
                <c:pt idx="16">
                  <c:v>144</c:v>
                </c:pt>
                <c:pt idx="17">
                  <c:v>166</c:v>
                </c:pt>
                <c:pt idx="18">
                  <c:v>152</c:v>
                </c:pt>
                <c:pt idx="19">
                  <c:v>191</c:v>
                </c:pt>
                <c:pt idx="20">
                  <c:v>286</c:v>
                </c:pt>
                <c:pt idx="21">
                  <c:v>929</c:v>
                </c:pt>
                <c:pt idx="22">
                  <c:v>540</c:v>
                </c:pt>
                <c:pt idx="23">
                  <c:v>477</c:v>
                </c:pt>
                <c:pt idx="24">
                  <c:v>509</c:v>
                </c:pt>
                <c:pt idx="25">
                  <c:v>565</c:v>
                </c:pt>
                <c:pt idx="26">
                  <c:v>692</c:v>
                </c:pt>
                <c:pt idx="27">
                  <c:v>975</c:v>
                </c:pt>
                <c:pt idx="28">
                  <c:v>1631</c:v>
                </c:pt>
                <c:pt idx="29">
                  <c:v>1003</c:v>
                </c:pt>
                <c:pt idx="30">
                  <c:v>719</c:v>
                </c:pt>
                <c:pt idx="31">
                  <c:v>648</c:v>
                </c:pt>
                <c:pt idx="32">
                  <c:v>540</c:v>
                </c:pt>
                <c:pt idx="33">
                  <c:v>430</c:v>
                </c:pt>
                <c:pt idx="34">
                  <c:v>473</c:v>
                </c:pt>
                <c:pt idx="35">
                  <c:v>498</c:v>
                </c:pt>
                <c:pt idx="36">
                  <c:v>323</c:v>
                </c:pt>
                <c:pt idx="37">
                  <c:v>240</c:v>
                </c:pt>
                <c:pt idx="38">
                  <c:v>232</c:v>
                </c:pt>
                <c:pt idx="39">
                  <c:v>201</c:v>
                </c:pt>
                <c:pt idx="40">
                  <c:v>195</c:v>
                </c:pt>
                <c:pt idx="41">
                  <c:v>188</c:v>
                </c:pt>
                <c:pt idx="42">
                  <c:v>231</c:v>
                </c:pt>
                <c:pt idx="43">
                  <c:v>138</c:v>
                </c:pt>
                <c:pt idx="44">
                  <c:v>127</c:v>
                </c:pt>
                <c:pt idx="45">
                  <c:v>104</c:v>
                </c:pt>
                <c:pt idx="46">
                  <c:v>94</c:v>
                </c:pt>
                <c:pt idx="47">
                  <c:v>81</c:v>
                </c:pt>
                <c:pt idx="48">
                  <c:v>114</c:v>
                </c:pt>
                <c:pt idx="49">
                  <c:v>95</c:v>
                </c:pt>
                <c:pt idx="50">
                  <c:v>67</c:v>
                </c:pt>
                <c:pt idx="51">
                  <c:v>64</c:v>
                </c:pt>
                <c:pt idx="52">
                  <c:v>61</c:v>
                </c:pt>
                <c:pt idx="53">
                  <c:v>57</c:v>
                </c:pt>
                <c:pt idx="54">
                  <c:v>83</c:v>
                </c:pt>
                <c:pt idx="55">
                  <c:v>73</c:v>
                </c:pt>
                <c:pt idx="56">
                  <c:v>106</c:v>
                </c:pt>
                <c:pt idx="57">
                  <c:v>61</c:v>
                </c:pt>
                <c:pt idx="58">
                  <c:v>54</c:v>
                </c:pt>
                <c:pt idx="59">
                  <c:v>45</c:v>
                </c:pt>
                <c:pt idx="60">
                  <c:v>49</c:v>
                </c:pt>
                <c:pt idx="61">
                  <c:v>53</c:v>
                </c:pt>
                <c:pt idx="62">
                  <c:v>49</c:v>
                </c:pt>
                <c:pt idx="63">
                  <c:v>42</c:v>
                </c:pt>
                <c:pt idx="64">
                  <c:v>30</c:v>
                </c:pt>
                <c:pt idx="65">
                  <c:v>42</c:v>
                </c:pt>
                <c:pt idx="66">
                  <c:v>34</c:v>
                </c:pt>
                <c:pt idx="67">
                  <c:v>27</c:v>
                </c:pt>
                <c:pt idx="68">
                  <c:v>33</c:v>
                </c:pt>
                <c:pt idx="69">
                  <c:v>34</c:v>
                </c:pt>
                <c:pt idx="70">
                  <c:v>34</c:v>
                </c:pt>
                <c:pt idx="71">
                  <c:v>24</c:v>
                </c:pt>
                <c:pt idx="72">
                  <c:v>23</c:v>
                </c:pt>
                <c:pt idx="73">
                  <c:v>18</c:v>
                </c:pt>
                <c:pt idx="74">
                  <c:v>15</c:v>
                </c:pt>
                <c:pt idx="75">
                  <c:v>19</c:v>
                </c:pt>
                <c:pt idx="76">
                  <c:v>20</c:v>
                </c:pt>
                <c:pt idx="77">
                  <c:v>29</c:v>
                </c:pt>
                <c:pt idx="78">
                  <c:v>10</c:v>
                </c:pt>
                <c:pt idx="79">
                  <c:v>19</c:v>
                </c:pt>
                <c:pt idx="80">
                  <c:v>15</c:v>
                </c:pt>
                <c:pt idx="81">
                  <c:v>5</c:v>
                </c:pt>
                <c:pt idx="82">
                  <c:v>12</c:v>
                </c:pt>
                <c:pt idx="83">
                  <c:v>14</c:v>
                </c:pt>
                <c:pt idx="84">
                  <c:v>17</c:v>
                </c:pt>
                <c:pt idx="85">
                  <c:v>6</c:v>
                </c:pt>
                <c:pt idx="86">
                  <c:v>14</c:v>
                </c:pt>
                <c:pt idx="87">
                  <c:v>11</c:v>
                </c:pt>
                <c:pt idx="88">
                  <c:v>16</c:v>
                </c:pt>
                <c:pt idx="89">
                  <c:v>12</c:v>
                </c:pt>
                <c:pt idx="90">
                  <c:v>12</c:v>
                </c:pt>
                <c:pt idx="91">
                  <c:v>22</c:v>
                </c:pt>
                <c:pt idx="92">
                  <c:v>7</c:v>
                </c:pt>
                <c:pt idx="93">
                  <c:v>8</c:v>
                </c:pt>
                <c:pt idx="94">
                  <c:v>10</c:v>
                </c:pt>
                <c:pt idx="95">
                  <c:v>9</c:v>
                </c:pt>
                <c:pt idx="96">
                  <c:v>6</c:v>
                </c:pt>
                <c:pt idx="97">
                  <c:v>10</c:v>
                </c:pt>
                <c:pt idx="98">
                  <c:v>9</c:v>
                </c:pt>
                <c:pt idx="99">
                  <c:v>7</c:v>
                </c:pt>
                <c:pt idx="100">
                  <c:v>3</c:v>
                </c:pt>
                <c:pt idx="101">
                  <c:v>2</c:v>
                </c:pt>
                <c:pt idx="102">
                  <c:v>5</c:v>
                </c:pt>
                <c:pt idx="103">
                  <c:v>5</c:v>
                </c:pt>
                <c:pt idx="104">
                  <c:v>5</c:v>
                </c:pt>
                <c:pt idx="105">
                  <c:v>12</c:v>
                </c:pt>
                <c:pt idx="106">
                  <c:v>8</c:v>
                </c:pt>
                <c:pt idx="107">
                  <c:v>3</c:v>
                </c:pt>
                <c:pt idx="108">
                  <c:v>2</c:v>
                </c:pt>
                <c:pt idx="109">
                  <c:v>1</c:v>
                </c:pt>
                <c:pt idx="110">
                  <c:v>8</c:v>
                </c:pt>
                <c:pt idx="111">
                  <c:v>2</c:v>
                </c:pt>
                <c:pt idx="112">
                  <c:v>12</c:v>
                </c:pt>
                <c:pt idx="113">
                  <c:v>8</c:v>
                </c:pt>
                <c:pt idx="114">
                  <c:v>4</c:v>
                </c:pt>
                <c:pt idx="115">
                  <c:v>4</c:v>
                </c:pt>
                <c:pt idx="116">
                  <c:v>6</c:v>
                </c:pt>
                <c:pt idx="117">
                  <c:v>2</c:v>
                </c:pt>
                <c:pt idx="118">
                  <c:v>3</c:v>
                </c:pt>
                <c:pt idx="119">
                  <c:v>3</c:v>
                </c:pt>
                <c:pt idx="120">
                  <c:v>4</c:v>
                </c:pt>
                <c:pt idx="121">
                  <c:v>5</c:v>
                </c:pt>
                <c:pt idx="122">
                  <c:v>3</c:v>
                </c:pt>
                <c:pt idx="123">
                  <c:v>4</c:v>
                </c:pt>
                <c:pt idx="124">
                  <c:v>2</c:v>
                </c:pt>
                <c:pt idx="125">
                  <c:v>4</c:v>
                </c:pt>
                <c:pt idx="126">
                  <c:v>2</c:v>
                </c:pt>
                <c:pt idx="127">
                  <c:v>3</c:v>
                </c:pt>
                <c:pt idx="128">
                  <c:v>2</c:v>
                </c:pt>
                <c:pt idx="129">
                  <c:v>2</c:v>
                </c:pt>
                <c:pt idx="130">
                  <c:v>1</c:v>
                </c:pt>
                <c:pt idx="131">
                  <c:v>3</c:v>
                </c:pt>
                <c:pt idx="132">
                  <c:v>5</c:v>
                </c:pt>
                <c:pt idx="133">
                  <c:v>4</c:v>
                </c:pt>
                <c:pt idx="134">
                  <c:v>4</c:v>
                </c:pt>
                <c:pt idx="135">
                  <c:v>2</c:v>
                </c:pt>
                <c:pt idx="136">
                  <c:v>3</c:v>
                </c:pt>
                <c:pt idx="137">
                  <c:v>2</c:v>
                </c:pt>
                <c:pt idx="138">
                  <c:v>1</c:v>
                </c:pt>
                <c:pt idx="139">
                  <c:v>4</c:v>
                </c:pt>
                <c:pt idx="140">
                  <c:v>4</c:v>
                </c:pt>
                <c:pt idx="141">
                  <c:v>2</c:v>
                </c:pt>
                <c:pt idx="142">
                  <c:v>2</c:v>
                </c:pt>
                <c:pt idx="143">
                  <c:v>3</c:v>
                </c:pt>
                <c:pt idx="144">
                  <c:v>3</c:v>
                </c:pt>
                <c:pt idx="145">
                  <c:v>2</c:v>
                </c:pt>
                <c:pt idx="146">
                  <c:v>1</c:v>
                </c:pt>
                <c:pt idx="147">
                  <c:v>2</c:v>
                </c:pt>
                <c:pt idx="148">
                  <c:v>3</c:v>
                </c:pt>
                <c:pt idx="149">
                  <c:v>1</c:v>
                </c:pt>
                <c:pt idx="150">
                  <c:v>1</c:v>
                </c:pt>
                <c:pt idx="151">
                  <c:v>1</c:v>
                </c:pt>
                <c:pt idx="152">
                  <c:v>2</c:v>
                </c:pt>
                <c:pt idx="153">
                  <c:v>2</c:v>
                </c:pt>
                <c:pt idx="154">
                  <c:v>1</c:v>
                </c:pt>
                <c:pt idx="155">
                  <c:v>3</c:v>
                </c:pt>
                <c:pt idx="156">
                  <c:v>3</c:v>
                </c:pt>
                <c:pt idx="157">
                  <c:v>2</c:v>
                </c:pt>
                <c:pt idx="158">
                  <c:v>2</c:v>
                </c:pt>
                <c:pt idx="159">
                  <c:v>2</c:v>
                </c:pt>
                <c:pt idx="160">
                  <c:v>1</c:v>
                </c:pt>
                <c:pt idx="161">
                  <c:v>2</c:v>
                </c:pt>
                <c:pt idx="162">
                  <c:v>1</c:v>
                </c:pt>
                <c:pt idx="163">
                  <c:v>2</c:v>
                </c:pt>
                <c:pt idx="164">
                  <c:v>2</c:v>
                </c:pt>
                <c:pt idx="165">
                  <c:v>2</c:v>
                </c:pt>
                <c:pt idx="166">
                  <c:v>1</c:v>
                </c:pt>
                <c:pt idx="167">
                  <c:v>2</c:v>
                </c:pt>
                <c:pt idx="168">
                  <c:v>4</c:v>
                </c:pt>
                <c:pt idx="169">
                  <c:v>1</c:v>
                </c:pt>
                <c:pt idx="170">
                  <c:v>2</c:v>
                </c:pt>
                <c:pt idx="171">
                  <c:v>2</c:v>
                </c:pt>
                <c:pt idx="172">
                  <c:v>1</c:v>
                </c:pt>
                <c:pt idx="173">
                  <c:v>2</c:v>
                </c:pt>
                <c:pt idx="174">
                  <c:v>1</c:v>
                </c:pt>
                <c:pt idx="175">
                  <c:v>1</c:v>
                </c:pt>
                <c:pt idx="176">
                  <c:v>1</c:v>
                </c:pt>
                <c:pt idx="177">
                  <c:v>2</c:v>
                </c:pt>
                <c:pt idx="178">
                  <c:v>1</c:v>
                </c:pt>
                <c:pt idx="179">
                  <c:v>1</c:v>
                </c:pt>
                <c:pt idx="180">
                  <c:v>3</c:v>
                </c:pt>
                <c:pt idx="181">
                  <c:v>1</c:v>
                </c:pt>
                <c:pt idx="182">
                  <c:v>1</c:v>
                </c:pt>
                <c:pt idx="183">
                  <c:v>1</c:v>
                </c:pt>
                <c:pt idx="184">
                  <c:v>1</c:v>
                </c:pt>
                <c:pt idx="185">
                  <c:v>2</c:v>
                </c:pt>
                <c:pt idx="186">
                  <c:v>2</c:v>
                </c:pt>
                <c:pt idx="187">
                  <c:v>3</c:v>
                </c:pt>
                <c:pt idx="188">
                  <c:v>2</c:v>
                </c:pt>
                <c:pt idx="189">
                  <c:v>1</c:v>
                </c:pt>
                <c:pt idx="190">
                  <c:v>2</c:v>
                </c:pt>
                <c:pt idx="191">
                  <c:v>1</c:v>
                </c:pt>
                <c:pt idx="192">
                  <c:v>1</c:v>
                </c:pt>
                <c:pt idx="193">
                  <c:v>1</c:v>
                </c:pt>
                <c:pt idx="194">
                  <c:v>1</c:v>
                </c:pt>
                <c:pt idx="195">
                  <c:v>1</c:v>
                </c:pt>
                <c:pt idx="196">
                  <c:v>1</c:v>
                </c:pt>
                <c:pt idx="197">
                  <c:v>1</c:v>
                </c:pt>
                <c:pt idx="198">
                  <c:v>1</c:v>
                </c:pt>
                <c:pt idx="199">
                  <c:v>1</c:v>
                </c:pt>
                <c:pt idx="200">
                  <c:v>1</c:v>
                </c:pt>
                <c:pt idx="201">
                  <c:v>1</c:v>
                </c:pt>
                <c:pt idx="202">
                  <c:v>2</c:v>
                </c:pt>
                <c:pt idx="203">
                  <c:v>1</c:v>
                </c:pt>
                <c:pt idx="204">
                  <c:v>2</c:v>
                </c:pt>
                <c:pt idx="205">
                  <c:v>1</c:v>
                </c:pt>
                <c:pt idx="206">
                  <c:v>1</c:v>
                </c:pt>
                <c:pt idx="207">
                  <c:v>1</c:v>
                </c:pt>
                <c:pt idx="208">
                  <c:v>2</c:v>
                </c:pt>
                <c:pt idx="209">
                  <c:v>1</c:v>
                </c:pt>
                <c:pt idx="210">
                  <c:v>1</c:v>
                </c:pt>
                <c:pt idx="211">
                  <c:v>1</c:v>
                </c:pt>
                <c:pt idx="212">
                  <c:v>1</c:v>
                </c:pt>
                <c:pt idx="213">
                  <c:v>1</c:v>
                </c:pt>
                <c:pt idx="214">
                  <c:v>1</c:v>
                </c:pt>
              </c:numCache>
            </c:numRef>
          </c:val>
          <c:smooth val="0"/>
        </c:ser>
        <c:dLbls>
          <c:showLegendKey val="0"/>
          <c:showVal val="0"/>
          <c:showCatName val="0"/>
          <c:showSerName val="0"/>
          <c:showPercent val="0"/>
          <c:showBubbleSize val="0"/>
        </c:dLbls>
        <c:marker val="1"/>
        <c:smooth val="0"/>
        <c:axId val="353018624"/>
        <c:axId val="353020544"/>
      </c:lineChart>
      <c:catAx>
        <c:axId val="353018624"/>
        <c:scaling>
          <c:orientation val="minMax"/>
        </c:scaling>
        <c:delete val="0"/>
        <c:axPos val="b"/>
        <c:title>
          <c:tx>
            <c:rich>
              <a:bodyPr/>
              <a:lstStyle/>
              <a:p>
                <a:pPr>
                  <a:defRPr/>
                </a:pPr>
                <a:r>
                  <a:rPr lang="en-AU"/>
                  <a:t>Days</a:t>
                </a:r>
                <a:r>
                  <a:rPr lang="en-AU" baseline="0"/>
                  <a:t> between re-supply</a:t>
                </a:r>
                <a:endParaRPr lang="en-AU"/>
              </a:p>
            </c:rich>
          </c:tx>
          <c:overlay val="0"/>
        </c:title>
        <c:majorTickMark val="out"/>
        <c:minorTickMark val="none"/>
        <c:tickLblPos val="nextTo"/>
        <c:crossAx val="353020544"/>
        <c:crosses val="autoZero"/>
        <c:auto val="1"/>
        <c:lblAlgn val="ctr"/>
        <c:lblOffset val="100"/>
        <c:noMultiLvlLbl val="0"/>
      </c:catAx>
      <c:valAx>
        <c:axId val="353020544"/>
        <c:scaling>
          <c:orientation val="minMax"/>
        </c:scaling>
        <c:delete val="0"/>
        <c:axPos val="l"/>
        <c:majorGridlines/>
        <c:title>
          <c:tx>
            <c:rich>
              <a:bodyPr rot="-5400000" vert="horz"/>
              <a:lstStyle/>
              <a:p>
                <a:pPr>
                  <a:defRPr/>
                </a:pPr>
                <a:r>
                  <a:rPr lang="en-AU"/>
                  <a:t>Frequency</a:t>
                </a:r>
                <a:r>
                  <a:rPr lang="en-AU" baseline="0"/>
                  <a:t> of prescriptions</a:t>
                </a:r>
                <a:endParaRPr lang="en-AU"/>
              </a:p>
            </c:rich>
          </c:tx>
          <c:overlay val="0"/>
        </c:title>
        <c:numFmt formatCode="General" sourceLinked="1"/>
        <c:majorTickMark val="out"/>
        <c:minorTickMark val="none"/>
        <c:tickLblPos val="nextTo"/>
        <c:crossAx val="353018624"/>
        <c:crosses val="autoZero"/>
        <c:crossBetween val="between"/>
      </c:valAx>
    </c:plotArea>
    <c:plotVisOnly val="1"/>
    <c:dispBlanksAs val="gap"/>
    <c:showDLblsOverMax val="0"/>
  </c:chart>
  <c:spPr>
    <a:ln>
      <a:solidFill>
        <a:schemeClr val="bg1">
          <a:lumMod val="65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5BEF7-EF07-4091-88D3-2EA06496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4948</Words>
  <Characters>28204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2017-01-08T23:14:00Z</dcterms:created>
  <dcterms:modified xsi:type="dcterms:W3CDTF">2017-02-22T04:59:00Z</dcterms:modified>
</cp:coreProperties>
</file>