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3C130" w14:textId="53BA454B" w:rsidR="00832324" w:rsidRDefault="000E1CAE" w:rsidP="00FE645A">
      <w:pPr>
        <w:pStyle w:val="Title"/>
      </w:pPr>
      <w:r>
        <w:t>Testosterone</w:t>
      </w:r>
      <w:r w:rsidR="001C4016">
        <w:t xml:space="preserve">: </w:t>
      </w:r>
      <w:r w:rsidR="005652AA">
        <w:t>utilisation</w:t>
      </w:r>
      <w:r>
        <w:t xml:space="preserve"> </w:t>
      </w:r>
      <w:r w:rsidR="001C4016">
        <w:t>a</w:t>
      </w:r>
      <w:r w:rsidR="00935689">
        <w:t>nalysis</w:t>
      </w:r>
    </w:p>
    <w:p w14:paraId="68F00614" w14:textId="799F8740" w:rsidR="00736041" w:rsidRDefault="009053D3" w:rsidP="00A35800">
      <w:pPr>
        <w:pStyle w:val="Heading1"/>
      </w:pPr>
      <w:r>
        <w:t>D</w:t>
      </w:r>
      <w:r w:rsidR="00832324" w:rsidRPr="0063631C">
        <w:t xml:space="preserve">rug utilisation sub-committee </w:t>
      </w:r>
      <w:r w:rsidR="00832324">
        <w:t>(DUSC)</w:t>
      </w:r>
    </w:p>
    <w:p w14:paraId="78148839" w14:textId="1167BA67" w:rsidR="009053D3" w:rsidRPr="000C46BB" w:rsidRDefault="000E1CAE" w:rsidP="000C46BB">
      <w:pPr>
        <w:pStyle w:val="Heading2"/>
      </w:pPr>
      <w:r>
        <w:t>September 2016</w:t>
      </w:r>
    </w:p>
    <w:p w14:paraId="1494B8AD" w14:textId="77777777" w:rsidR="005C6661" w:rsidRDefault="005C6661" w:rsidP="005C6661">
      <w:pPr>
        <w:pStyle w:val="Heading3"/>
      </w:pPr>
      <w:r>
        <w:t>Abstract</w:t>
      </w:r>
    </w:p>
    <w:p w14:paraId="287D7939" w14:textId="77777777" w:rsidR="005C6661" w:rsidRDefault="005C6661" w:rsidP="005C6661">
      <w:pPr>
        <w:pStyle w:val="Heading2"/>
      </w:pPr>
      <w:r>
        <w:t>Purpose</w:t>
      </w:r>
    </w:p>
    <w:p w14:paraId="147E8AF4" w14:textId="6D0C485D" w:rsidR="00AE31D5" w:rsidRPr="006018BD" w:rsidRDefault="00AE31D5" w:rsidP="00AE31D5">
      <w:pPr>
        <w:rPr>
          <w:color w:val="000000"/>
        </w:rPr>
      </w:pPr>
      <w:r>
        <w:t xml:space="preserve">The </w:t>
      </w:r>
      <w:r w:rsidRPr="006018BD">
        <w:t>P</w:t>
      </w:r>
      <w:r w:rsidR="00552FF4">
        <w:t xml:space="preserve">harmaceutical </w:t>
      </w:r>
      <w:r w:rsidRPr="006018BD">
        <w:t>B</w:t>
      </w:r>
      <w:r w:rsidR="00552FF4">
        <w:t xml:space="preserve">enefits </w:t>
      </w:r>
      <w:r w:rsidRPr="006018BD">
        <w:t>A</w:t>
      </w:r>
      <w:r w:rsidR="00552FF4">
        <w:t xml:space="preserve">dvisory </w:t>
      </w:r>
      <w:r w:rsidRPr="006018BD">
        <w:t>C</w:t>
      </w:r>
      <w:r w:rsidR="00552FF4">
        <w:t>ommittee (PBAC)</w:t>
      </w:r>
      <w:r w:rsidRPr="006018BD">
        <w:t xml:space="preserve"> requested </w:t>
      </w:r>
      <w:r w:rsidRPr="006018BD">
        <w:rPr>
          <w:color w:val="000000"/>
        </w:rPr>
        <w:t xml:space="preserve">a </w:t>
      </w:r>
      <w:r>
        <w:rPr>
          <w:color w:val="000000"/>
        </w:rPr>
        <w:t xml:space="preserve">12 month </w:t>
      </w:r>
      <w:r w:rsidRPr="006018BD">
        <w:rPr>
          <w:color w:val="000000"/>
        </w:rPr>
        <w:t xml:space="preserve">utilisation </w:t>
      </w:r>
      <w:r>
        <w:rPr>
          <w:color w:val="000000"/>
        </w:rPr>
        <w:t xml:space="preserve">analysis </w:t>
      </w:r>
      <w:r w:rsidRPr="006018BD">
        <w:rPr>
          <w:color w:val="000000"/>
        </w:rPr>
        <w:t xml:space="preserve">of testosterone to assess the impact of </w:t>
      </w:r>
      <w:r>
        <w:rPr>
          <w:color w:val="000000"/>
        </w:rPr>
        <w:t>a</w:t>
      </w:r>
      <w:r w:rsidRPr="006018BD">
        <w:rPr>
          <w:color w:val="000000"/>
        </w:rPr>
        <w:t xml:space="preserve"> change in the restriction</w:t>
      </w:r>
      <w:r>
        <w:rPr>
          <w:color w:val="000000"/>
        </w:rPr>
        <w:t xml:space="preserve"> that occurred 1</w:t>
      </w:r>
      <w:r w:rsidR="00BD43F3">
        <w:rPr>
          <w:color w:val="000000"/>
        </w:rPr>
        <w:t> </w:t>
      </w:r>
      <w:r>
        <w:rPr>
          <w:color w:val="000000"/>
        </w:rPr>
        <w:t>April 2015</w:t>
      </w:r>
      <w:r w:rsidRPr="006018BD">
        <w:rPr>
          <w:color w:val="000000"/>
        </w:rPr>
        <w:t>.</w:t>
      </w:r>
      <w:r w:rsidR="00C6220D">
        <w:rPr>
          <w:color w:val="000000"/>
        </w:rPr>
        <w:t xml:space="preserve"> </w:t>
      </w:r>
      <w:r w:rsidR="00C6220D" w:rsidRPr="00552FF4">
        <w:rPr>
          <w:color w:val="000000"/>
        </w:rPr>
        <w:t xml:space="preserve">The change </w:t>
      </w:r>
      <w:r w:rsidR="00C6220D">
        <w:rPr>
          <w:color w:val="000000"/>
        </w:rPr>
        <w:t xml:space="preserve">included </w:t>
      </w:r>
      <w:r w:rsidR="003E1CAC" w:rsidRPr="003E1CAC">
        <w:rPr>
          <w:color w:val="000000"/>
        </w:rPr>
        <w:t xml:space="preserve">involving a specialist in the treatment </w:t>
      </w:r>
      <w:r w:rsidR="003E1CAC">
        <w:rPr>
          <w:color w:val="000000"/>
        </w:rPr>
        <w:t xml:space="preserve">for all patients; </w:t>
      </w:r>
      <w:r w:rsidR="00C6220D">
        <w:rPr>
          <w:color w:val="000000"/>
        </w:rPr>
        <w:t>a</w:t>
      </w:r>
      <w:r w:rsidR="00C6220D" w:rsidRPr="00773DBD">
        <w:t>mending the serum testosterone threshold</w:t>
      </w:r>
      <w:r w:rsidR="0003260D">
        <w:t xml:space="preserve"> for</w:t>
      </w:r>
      <w:r w:rsidR="003E1CAC">
        <w:t xml:space="preserve"> androgen deficiency in males who do not have established pituitary or testicular disorder</w:t>
      </w:r>
      <w:r w:rsidR="00834305">
        <w:t>;</w:t>
      </w:r>
      <w:r w:rsidR="003E1CAC">
        <w:t xml:space="preserve"> </w:t>
      </w:r>
      <w:r w:rsidR="00C6220D">
        <w:rPr>
          <w:rFonts w:ascii="Calibri" w:eastAsia="MS Mincho" w:hAnsi="Calibri"/>
        </w:rPr>
        <w:t>and e</w:t>
      </w:r>
      <w:r w:rsidR="00C6220D" w:rsidRPr="00773DBD">
        <w:t>xcluding treatment</w:t>
      </w:r>
      <w:r w:rsidR="00BD43F3">
        <w:t xml:space="preserve"> </w:t>
      </w:r>
      <w:r w:rsidR="00C6220D" w:rsidRPr="00773DBD">
        <w:t xml:space="preserve">for low serum testosterone due primarily to age, obesity, cardiovascular diseases, infertility </w:t>
      </w:r>
      <w:r w:rsidR="00C6220D">
        <w:t>or drugs.</w:t>
      </w:r>
    </w:p>
    <w:p w14:paraId="244742A5" w14:textId="4238CCBA" w:rsidR="00BE41C5" w:rsidRPr="00BE41C5" w:rsidRDefault="00454162" w:rsidP="00146FD3">
      <w:r>
        <w:t>The additional requirement to involve a specialist in treatment was the only change</w:t>
      </w:r>
      <w:r w:rsidR="00013CAF">
        <w:t xml:space="preserve"> to the subsidy criteria for m</w:t>
      </w:r>
      <w:r w:rsidR="00013CAF" w:rsidRPr="00013CAF">
        <w:t>icropenis, pubertal induction, or constitutional delay of growth or puberty</w:t>
      </w:r>
      <w:r w:rsidR="00834305">
        <w:t>;</w:t>
      </w:r>
      <w:r w:rsidR="00013CAF">
        <w:t xml:space="preserve"> or for a</w:t>
      </w:r>
      <w:r w:rsidR="00BD43F3" w:rsidRPr="00BD43F3">
        <w:t>ndrogen deficiency with established pituitary or testicular disorders</w:t>
      </w:r>
      <w:r w:rsidR="00834305">
        <w:t xml:space="preserve">. </w:t>
      </w:r>
    </w:p>
    <w:p w14:paraId="61D60464" w14:textId="77777777" w:rsidR="005A5BA8" w:rsidRDefault="005A5BA8" w:rsidP="005A5BA8">
      <w:pPr>
        <w:pStyle w:val="Heading2"/>
      </w:pPr>
      <w:r>
        <w:t>Date of listing on the Pharmaceutical Benefits Scheme (PBS)</w:t>
      </w:r>
    </w:p>
    <w:p w14:paraId="510C1F2A" w14:textId="0036A0B0" w:rsidR="00375E0C" w:rsidRPr="00375E0C" w:rsidRDefault="00375E0C" w:rsidP="00375E0C">
      <w:r>
        <w:t xml:space="preserve">There are a variety of listings and forms of testosterone on the PBS. The first was listed prior to 1966. </w:t>
      </w:r>
    </w:p>
    <w:p w14:paraId="526743BB" w14:textId="77777777" w:rsidR="005C6661" w:rsidRDefault="005C6661" w:rsidP="005C6661">
      <w:pPr>
        <w:pStyle w:val="Heading2"/>
      </w:pPr>
      <w:r>
        <w:t>Data Source / methodology</w:t>
      </w:r>
    </w:p>
    <w:p w14:paraId="72DFCB72" w14:textId="2005E0DE" w:rsidR="002578FE" w:rsidRPr="002578FE" w:rsidRDefault="002578FE" w:rsidP="002578FE">
      <w:pPr>
        <w:pStyle w:val="Heading3"/>
        <w:rPr>
          <w:b w:val="0"/>
          <w:i/>
          <w:sz w:val="24"/>
          <w:szCs w:val="24"/>
        </w:rPr>
      </w:pPr>
      <w:r w:rsidRPr="002578FE">
        <w:rPr>
          <w:b w:val="0"/>
          <w:sz w:val="24"/>
          <w:szCs w:val="24"/>
        </w:rPr>
        <w:t xml:space="preserve">Data were extracted from the DUSC and Department of Human Services (DHS) prescription databases from the earliest available data and continuing to </w:t>
      </w:r>
      <w:r>
        <w:rPr>
          <w:b w:val="0"/>
          <w:sz w:val="24"/>
          <w:szCs w:val="24"/>
        </w:rPr>
        <w:t>March 2016</w:t>
      </w:r>
      <w:r w:rsidRPr="002578FE">
        <w:rPr>
          <w:b w:val="0"/>
          <w:sz w:val="24"/>
          <w:szCs w:val="24"/>
        </w:rPr>
        <w:t xml:space="preserve">. </w:t>
      </w:r>
    </w:p>
    <w:p w14:paraId="7599E7C1" w14:textId="77777777" w:rsidR="005C6661" w:rsidRPr="004F689E" w:rsidRDefault="005C6661" w:rsidP="005C6661">
      <w:pPr>
        <w:pStyle w:val="Heading2"/>
      </w:pPr>
      <w:r w:rsidRPr="004F689E">
        <w:t>Key Findings</w:t>
      </w:r>
    </w:p>
    <w:p w14:paraId="4875D3B2" w14:textId="337F5C60" w:rsidR="00A85084" w:rsidRDefault="00A85084" w:rsidP="00A306BB">
      <w:pPr>
        <w:pStyle w:val="NoSpacing"/>
        <w:numPr>
          <w:ilvl w:val="0"/>
          <w:numId w:val="1"/>
        </w:numPr>
        <w:spacing w:after="120"/>
        <w:ind w:left="357" w:hanging="357"/>
      </w:pPr>
      <w:r>
        <w:t xml:space="preserve">The restriction change to testosterone on 1 April 2015 </w:t>
      </w:r>
      <w:r w:rsidR="00494F2D">
        <w:t>reduced</w:t>
      </w:r>
      <w:r>
        <w:t xml:space="preserve"> the use of </w:t>
      </w:r>
      <w:r w:rsidR="00D92FFD">
        <w:t xml:space="preserve">testosterone </w:t>
      </w:r>
      <w:r>
        <w:t>subsidised</w:t>
      </w:r>
      <w:r w:rsidR="00D92FFD">
        <w:t xml:space="preserve"> </w:t>
      </w:r>
      <w:r w:rsidR="00D92FFD" w:rsidRPr="00D92FFD">
        <w:t xml:space="preserve">on the </w:t>
      </w:r>
      <w:r w:rsidR="00D92FFD">
        <w:t>PBS and</w:t>
      </w:r>
      <w:r w:rsidR="00D92FFD" w:rsidRPr="00D92FFD">
        <w:t xml:space="preserve"> Repatriation Pharmaceutical Benefits Scheme (RPBS)</w:t>
      </w:r>
      <w:r>
        <w:t>.</w:t>
      </w:r>
    </w:p>
    <w:p w14:paraId="64E1FDBD" w14:textId="0CB4EB11" w:rsidR="00074D98" w:rsidRPr="00074D98" w:rsidRDefault="00074D98" w:rsidP="00375E0C">
      <w:pPr>
        <w:pStyle w:val="ListParagraph"/>
        <w:numPr>
          <w:ilvl w:val="0"/>
          <w:numId w:val="1"/>
        </w:numPr>
        <w:spacing w:after="0"/>
      </w:pPr>
      <w:r>
        <w:t>I</w:t>
      </w:r>
      <w:r w:rsidRPr="00074D98">
        <w:t>n the year after the restriction change compared to the year before</w:t>
      </w:r>
      <w:r>
        <w:t>:</w:t>
      </w:r>
      <w:r w:rsidRPr="00074D98">
        <w:t xml:space="preserve"> </w:t>
      </w:r>
    </w:p>
    <w:p w14:paraId="09305A12" w14:textId="1EBC3E9F" w:rsidR="00552FF4" w:rsidRDefault="004F689E" w:rsidP="00375E0C">
      <w:pPr>
        <w:pStyle w:val="NoSpacing"/>
        <w:numPr>
          <w:ilvl w:val="0"/>
          <w:numId w:val="11"/>
        </w:numPr>
      </w:pPr>
      <w:r>
        <w:t xml:space="preserve">The number of patients initiating </w:t>
      </w:r>
      <w:r w:rsidR="003F7FD2">
        <w:t xml:space="preserve">testosterone </w:t>
      </w:r>
      <w:r w:rsidR="00552FF4">
        <w:t>therapy was 60% lower</w:t>
      </w:r>
      <w:r w:rsidR="00834305">
        <w:t>.</w:t>
      </w:r>
      <w:r w:rsidR="00552FF4">
        <w:t xml:space="preserve"> </w:t>
      </w:r>
    </w:p>
    <w:p w14:paraId="36BB17E1" w14:textId="346A1D6D" w:rsidR="003F7FD2" w:rsidRDefault="003F7FD2" w:rsidP="00375E0C">
      <w:pPr>
        <w:pStyle w:val="NoSpacing"/>
        <w:numPr>
          <w:ilvl w:val="0"/>
          <w:numId w:val="11"/>
        </w:numPr>
      </w:pPr>
      <w:r>
        <w:rPr>
          <w:noProof/>
        </w:rPr>
        <w:t>There was an 86% reduction in patients initiating testosterone under the non-established androgen deficiency restriction.</w:t>
      </w:r>
    </w:p>
    <w:p w14:paraId="0CD5E1B7" w14:textId="0440DD1C" w:rsidR="00454162" w:rsidRDefault="00454162" w:rsidP="00375E0C">
      <w:pPr>
        <w:pStyle w:val="NoSpacing"/>
        <w:numPr>
          <w:ilvl w:val="0"/>
          <w:numId w:val="11"/>
        </w:numPr>
      </w:pPr>
      <w:r>
        <w:t>There was a reduction in the rate of people 40 years and over starting testosterone.</w:t>
      </w:r>
    </w:p>
    <w:p w14:paraId="53B9C528" w14:textId="77777777" w:rsidR="00834305" w:rsidRDefault="00552FF4" w:rsidP="00834305">
      <w:pPr>
        <w:pStyle w:val="NoSpacing"/>
        <w:numPr>
          <w:ilvl w:val="0"/>
          <w:numId w:val="11"/>
        </w:numPr>
      </w:pPr>
      <w:r>
        <w:t>The number of prevalent patients was</w:t>
      </w:r>
      <w:r w:rsidR="00A85084">
        <w:t xml:space="preserve"> 20% </w:t>
      </w:r>
      <w:r w:rsidR="004F689E">
        <w:t>lower</w:t>
      </w:r>
      <w:r w:rsidR="00834305">
        <w:t>.</w:t>
      </w:r>
      <w:r w:rsidR="004F689E">
        <w:t xml:space="preserve"> </w:t>
      </w:r>
    </w:p>
    <w:p w14:paraId="0A1024D3" w14:textId="2B322732" w:rsidR="00834305" w:rsidRDefault="00146FD3" w:rsidP="00834305">
      <w:pPr>
        <w:pStyle w:val="NoSpacing"/>
        <w:numPr>
          <w:ilvl w:val="0"/>
          <w:numId w:val="11"/>
        </w:numPr>
      </w:pPr>
      <w:r w:rsidRPr="00146FD3">
        <w:t>The number of initiat</w:t>
      </w:r>
      <w:r w:rsidR="00A27BCB">
        <w:t>ing</w:t>
      </w:r>
      <w:r w:rsidRPr="00146FD3">
        <w:t xml:space="preserve"> patients </w:t>
      </w:r>
      <w:r w:rsidR="00A27BCB">
        <w:t xml:space="preserve">where the first prescription was written by a GP </w:t>
      </w:r>
      <w:r w:rsidRPr="00146FD3">
        <w:t xml:space="preserve">reduced by </w:t>
      </w:r>
      <w:r w:rsidR="00A27BCB">
        <w:t>80</w:t>
      </w:r>
      <w:r w:rsidRPr="00146FD3">
        <w:t>%</w:t>
      </w:r>
      <w:r w:rsidR="00074D98">
        <w:t>.</w:t>
      </w:r>
      <w:r w:rsidRPr="00146FD3">
        <w:t xml:space="preserve"> </w:t>
      </w:r>
    </w:p>
    <w:p w14:paraId="476F346B" w14:textId="77777777" w:rsidR="00454162" w:rsidRDefault="00454162" w:rsidP="00454162">
      <w:pPr>
        <w:pStyle w:val="NoSpacing"/>
        <w:ind w:left="720"/>
      </w:pPr>
    </w:p>
    <w:p w14:paraId="650614D5" w14:textId="2861775D" w:rsidR="00555DC8" w:rsidRDefault="00146FD3" w:rsidP="00375E0C">
      <w:pPr>
        <w:pStyle w:val="ListParagraph"/>
        <w:numPr>
          <w:ilvl w:val="0"/>
          <w:numId w:val="1"/>
        </w:numPr>
        <w:spacing w:after="0"/>
        <w:ind w:left="357" w:hanging="357"/>
      </w:pPr>
      <w:r w:rsidRPr="00146FD3">
        <w:lastRenderedPageBreak/>
        <w:t>In 2015, the total number of supplied R/PBS-subsidised testosterone prescriptions was 17% less than in 2014.</w:t>
      </w:r>
      <w:r w:rsidR="006D29D1">
        <w:t xml:space="preserve"> </w:t>
      </w:r>
      <w:r w:rsidR="00A85084">
        <w:t xml:space="preserve">In 2015, Government expenditure </w:t>
      </w:r>
      <w:r w:rsidR="006D29D1">
        <w:t xml:space="preserve">in 2015 </w:t>
      </w:r>
      <w:r w:rsidR="00A85084">
        <w:t>was $16.2 million</w:t>
      </w:r>
      <w:r w:rsidR="00A85084" w:rsidRPr="00A85084">
        <w:t>, down 20% from 2014.</w:t>
      </w:r>
    </w:p>
    <w:p w14:paraId="1243B38D" w14:textId="77777777" w:rsidR="005A5BA8" w:rsidRDefault="005A5BA8">
      <w:pPr>
        <w:spacing w:line="276" w:lineRule="auto"/>
        <w:rPr>
          <w:b/>
          <w:sz w:val="32"/>
          <w:szCs w:val="32"/>
        </w:rPr>
      </w:pPr>
      <w:r>
        <w:br w:type="page"/>
      </w:r>
    </w:p>
    <w:p w14:paraId="5B262047" w14:textId="2DD9A961" w:rsidR="00E677DD" w:rsidRDefault="00E677DD" w:rsidP="000C46BB">
      <w:pPr>
        <w:pStyle w:val="Heading4"/>
      </w:pPr>
      <w:r w:rsidRPr="000C46BB">
        <w:lastRenderedPageBreak/>
        <w:t xml:space="preserve">Purpose of </w:t>
      </w:r>
      <w:r w:rsidR="00D151EB" w:rsidRPr="000C46BB">
        <w:t>analysis</w:t>
      </w:r>
    </w:p>
    <w:p w14:paraId="26D2F472" w14:textId="77777777" w:rsidR="006E5C3D" w:rsidRPr="006018BD" w:rsidRDefault="006E5C3D" w:rsidP="006E5C3D">
      <w:pPr>
        <w:rPr>
          <w:color w:val="000000"/>
        </w:rPr>
      </w:pPr>
      <w:r>
        <w:t xml:space="preserve">The </w:t>
      </w:r>
      <w:r w:rsidRPr="006018BD">
        <w:t>P</w:t>
      </w:r>
      <w:r>
        <w:t xml:space="preserve">harmaceutical </w:t>
      </w:r>
      <w:r w:rsidRPr="006018BD">
        <w:t>B</w:t>
      </w:r>
      <w:r>
        <w:t xml:space="preserve">enefits </w:t>
      </w:r>
      <w:r w:rsidRPr="006018BD">
        <w:t>A</w:t>
      </w:r>
      <w:r>
        <w:t xml:space="preserve">dvisory </w:t>
      </w:r>
      <w:r w:rsidRPr="006018BD">
        <w:t>C</w:t>
      </w:r>
      <w:r>
        <w:t>ommittee (PBAC)</w:t>
      </w:r>
      <w:r w:rsidRPr="006018BD">
        <w:t xml:space="preserve"> requested </w:t>
      </w:r>
      <w:r w:rsidRPr="006018BD">
        <w:rPr>
          <w:color w:val="000000"/>
        </w:rPr>
        <w:t xml:space="preserve">a </w:t>
      </w:r>
      <w:r>
        <w:rPr>
          <w:color w:val="000000"/>
        </w:rPr>
        <w:t xml:space="preserve">12 month </w:t>
      </w:r>
      <w:r w:rsidRPr="006018BD">
        <w:rPr>
          <w:color w:val="000000"/>
        </w:rPr>
        <w:t xml:space="preserve">utilisation </w:t>
      </w:r>
      <w:r>
        <w:rPr>
          <w:color w:val="000000"/>
        </w:rPr>
        <w:t xml:space="preserve">analysis </w:t>
      </w:r>
      <w:r w:rsidRPr="006018BD">
        <w:rPr>
          <w:color w:val="000000"/>
        </w:rPr>
        <w:t xml:space="preserve">of testosterone to assess the impact of </w:t>
      </w:r>
      <w:r>
        <w:rPr>
          <w:color w:val="000000"/>
        </w:rPr>
        <w:t>a</w:t>
      </w:r>
      <w:r w:rsidRPr="006018BD">
        <w:rPr>
          <w:color w:val="000000"/>
        </w:rPr>
        <w:t xml:space="preserve"> change in the restriction</w:t>
      </w:r>
      <w:r>
        <w:rPr>
          <w:color w:val="000000"/>
        </w:rPr>
        <w:t xml:space="preserve"> that occurred 1 April 2015</w:t>
      </w:r>
      <w:r w:rsidRPr="006018BD">
        <w:rPr>
          <w:color w:val="000000"/>
        </w:rPr>
        <w:t>.</w:t>
      </w:r>
      <w:r>
        <w:rPr>
          <w:color w:val="000000"/>
        </w:rPr>
        <w:t xml:space="preserve"> </w:t>
      </w:r>
      <w:r w:rsidRPr="00552FF4">
        <w:rPr>
          <w:color w:val="000000"/>
        </w:rPr>
        <w:t xml:space="preserve">The change </w:t>
      </w:r>
      <w:r>
        <w:rPr>
          <w:color w:val="000000"/>
        </w:rPr>
        <w:t xml:space="preserve">included </w:t>
      </w:r>
      <w:r w:rsidRPr="003E1CAC">
        <w:rPr>
          <w:color w:val="000000"/>
        </w:rPr>
        <w:t xml:space="preserve">involving a specialist in the treatment </w:t>
      </w:r>
      <w:r>
        <w:rPr>
          <w:color w:val="000000"/>
        </w:rPr>
        <w:t>for all patients; a</w:t>
      </w:r>
      <w:r w:rsidRPr="00773DBD">
        <w:t>mending the serum testosterone threshold</w:t>
      </w:r>
      <w:r>
        <w:t xml:space="preserve"> for androgen deficiency in males who do not have established pituitary or testicular disorder, </w:t>
      </w:r>
      <w:r>
        <w:rPr>
          <w:rFonts w:ascii="Calibri" w:eastAsia="MS Mincho" w:hAnsi="Calibri"/>
        </w:rPr>
        <w:t>and e</w:t>
      </w:r>
      <w:r w:rsidRPr="00773DBD">
        <w:t>xcluding treatment</w:t>
      </w:r>
      <w:r>
        <w:t xml:space="preserve"> </w:t>
      </w:r>
      <w:r w:rsidRPr="00773DBD">
        <w:t xml:space="preserve">for low serum testosterone due primarily to age, obesity, cardiovascular diseases, infertility </w:t>
      </w:r>
      <w:r>
        <w:t>or drugs.</w:t>
      </w:r>
    </w:p>
    <w:p w14:paraId="685E8309" w14:textId="77777777" w:rsidR="00454162" w:rsidRDefault="00454162" w:rsidP="001D6E28">
      <w:pPr>
        <w:spacing w:after="0"/>
      </w:pPr>
      <w:r>
        <w:t>The additional requirement to involve a specialist in treatment was the only change to the subsidy criteria for m</w:t>
      </w:r>
      <w:r w:rsidRPr="00013CAF">
        <w:t>icropenis, pubertal induction, or constitutional delay of growth or puberty</w:t>
      </w:r>
      <w:r>
        <w:t>; or for a</w:t>
      </w:r>
      <w:r w:rsidRPr="00BD43F3">
        <w:t>ndrogen deficiency with established pituitary or testicular disorders</w:t>
      </w:r>
      <w:r>
        <w:t xml:space="preserve">. </w:t>
      </w:r>
    </w:p>
    <w:p w14:paraId="25C7E202" w14:textId="77777777" w:rsidR="001D6E28" w:rsidRPr="00BE41C5" w:rsidRDefault="001D6E28" w:rsidP="00454162"/>
    <w:p w14:paraId="0A7F0B57" w14:textId="034D22D5" w:rsidR="006537D9" w:rsidRPr="005E22C2" w:rsidRDefault="00736041" w:rsidP="001E4CAB">
      <w:pPr>
        <w:pStyle w:val="Heading4"/>
      </w:pPr>
      <w:r w:rsidRPr="005E22C2">
        <w:t>Background</w:t>
      </w:r>
    </w:p>
    <w:p w14:paraId="3778E7B4" w14:textId="3A8103A0" w:rsidR="000D20BE" w:rsidRDefault="002F7B53" w:rsidP="006E5C3D">
      <w:pPr>
        <w:pStyle w:val="Heading2"/>
      </w:pPr>
      <w:r>
        <w:t xml:space="preserve">Previous reviews by </w:t>
      </w:r>
      <w:r w:rsidR="000D20BE">
        <w:t>DUSC</w:t>
      </w:r>
    </w:p>
    <w:p w14:paraId="345DA461" w14:textId="706EC45E" w:rsidR="000D20BE" w:rsidRDefault="002F7B53" w:rsidP="000D20BE">
      <w:r>
        <w:t xml:space="preserve">At its June 2012 meeting, </w:t>
      </w:r>
      <w:r w:rsidR="000D20BE">
        <w:t>DUSC noted a recently published research article highlighted an increase in PBS-subs</w:t>
      </w:r>
      <w:r w:rsidR="006E5C3D">
        <w:t>idised testosterone prescribing</w:t>
      </w:r>
      <w:r>
        <w:t xml:space="preserve">. </w:t>
      </w:r>
      <w:r w:rsidR="000D20BE">
        <w:t>DUSC considered it timely to review the utilisation of testosterone and requested a report be prepared for consideration at its October 2012 meeting. The key findings of the report were:</w:t>
      </w:r>
    </w:p>
    <w:p w14:paraId="0777FBBA" w14:textId="77777777" w:rsidR="000D20BE" w:rsidRDefault="000D20BE" w:rsidP="000D20BE">
      <w:r>
        <w:t>•</w:t>
      </w:r>
      <w:r>
        <w:tab/>
        <w:t xml:space="preserve">Utilisation of PBS-subsidised testosterone had doubled over the years 2007 to 2011. </w:t>
      </w:r>
    </w:p>
    <w:p w14:paraId="2100C3EC" w14:textId="77777777" w:rsidR="000D20BE" w:rsidRDefault="000D20BE" w:rsidP="00507602">
      <w:pPr>
        <w:ind w:left="709" w:hanging="709"/>
      </w:pPr>
      <w:r>
        <w:t>•</w:t>
      </w:r>
      <w:r>
        <w:tab/>
        <w:t xml:space="preserve">The listing of two products, testosterone transdermal gel and intramuscular injection 1000 mg, had driven the growth in the market. </w:t>
      </w:r>
    </w:p>
    <w:p w14:paraId="3568F4CD" w14:textId="77777777" w:rsidR="000D20BE" w:rsidRDefault="000D20BE" w:rsidP="000D20BE">
      <w:r>
        <w:t>•</w:t>
      </w:r>
      <w:r>
        <w:tab/>
        <w:t xml:space="preserve">There was a trend towards more GPs initiating therapy than specialists. </w:t>
      </w:r>
    </w:p>
    <w:p w14:paraId="16841B91" w14:textId="77777777" w:rsidR="000D20BE" w:rsidRDefault="000D20BE" w:rsidP="00507602">
      <w:pPr>
        <w:ind w:left="709" w:hanging="709"/>
      </w:pPr>
      <w:r>
        <w:t>•</w:t>
      </w:r>
      <w:r>
        <w:tab/>
        <w:t xml:space="preserve">In 2011, Government expenditure for testosterone preparations was $14.6 million, up from $5.6 million in 2005. This was a growth of 260% over 5 years. </w:t>
      </w:r>
    </w:p>
    <w:p w14:paraId="65223AE7" w14:textId="77777777" w:rsidR="000D20BE" w:rsidRDefault="000D20BE" w:rsidP="000D20BE">
      <w:r>
        <w:t>•</w:t>
      </w:r>
      <w:r>
        <w:tab/>
        <w:t>Most initiations were for patients aged 40-79 years.</w:t>
      </w:r>
    </w:p>
    <w:p w14:paraId="6D3A96B8" w14:textId="5306D410" w:rsidR="000D20BE" w:rsidRDefault="000D20BE" w:rsidP="000D20BE">
      <w:r>
        <w:t>With regard to the tes</w:t>
      </w:r>
      <w:r w:rsidR="002F7B53">
        <w:t xml:space="preserve">tosterone PBS restrictions, </w:t>
      </w:r>
      <w:r>
        <w:t>DUSC was concerned that a high degree of variability had been observed in measurement of testosterone levels depending on the</w:t>
      </w:r>
      <w:r w:rsidR="002F7B53">
        <w:t xml:space="preserve"> assay methodology adopted. </w:t>
      </w:r>
      <w:r>
        <w:t>DUSC suggested that the PBAC should review the testosterone restrictions and consider input from the various stakeholders.</w:t>
      </w:r>
    </w:p>
    <w:p w14:paraId="7BB4F2C6" w14:textId="4637AFE6" w:rsidR="000D20BE" w:rsidRDefault="000D20BE" w:rsidP="000D20BE">
      <w:r>
        <w:t xml:space="preserve">For details of the DUSC consideration of testosterone, refer to the </w:t>
      </w:r>
      <w:hyperlink r:id="rId9" w:history="1">
        <w:r w:rsidRPr="00562F2F">
          <w:rPr>
            <w:rStyle w:val="Hyperlink"/>
          </w:rPr>
          <w:t>Public Release Document</w:t>
        </w:r>
      </w:hyperlink>
      <w:r>
        <w:t xml:space="preserve"> from the October 2012 DUSC meeting.</w:t>
      </w:r>
    </w:p>
    <w:p w14:paraId="67D27F5A" w14:textId="77777777" w:rsidR="000D20BE" w:rsidRDefault="000D20BE" w:rsidP="006E5C3D">
      <w:pPr>
        <w:pStyle w:val="Heading2"/>
      </w:pPr>
      <w:r>
        <w:t>Relevant aspects of consideration by the Pharmaceutical Benefits Advisory Committee (PBAC)</w:t>
      </w:r>
    </w:p>
    <w:p w14:paraId="116C8F6B" w14:textId="77777777" w:rsidR="000D20BE" w:rsidRDefault="000D20BE" w:rsidP="000D20BE">
      <w:r>
        <w:t xml:space="preserve">The findings from the DUSC October 2012 meeting were presented to the PBAC at the August 2013 Special PBAC meeting to consider if the PBS restrictions for testosterone products required revision. </w:t>
      </w:r>
    </w:p>
    <w:p w14:paraId="0CC6A8AF" w14:textId="3807A485" w:rsidR="000D20BE" w:rsidRDefault="000D20BE" w:rsidP="000D20BE">
      <w:r>
        <w:lastRenderedPageBreak/>
        <w:t xml:space="preserve">The PBAC noted that the number of </w:t>
      </w:r>
      <w:r w:rsidR="00D92FFD">
        <w:t xml:space="preserve">subsidised </w:t>
      </w:r>
      <w:r>
        <w:t>prescriptions increased, while non-PBS prescriptions had remained stable and low. Though the proportion of GPs writing the first testosterone prescription for a patient had increased only slightly (62% in 2005 to 68% in 2011), the PBAC noted that almost all of the growth in new patients treated in the most recent year of analysis (2011) was due to initiations by GPs (84%), rather than by specialists.</w:t>
      </w:r>
    </w:p>
    <w:p w14:paraId="3C41E684" w14:textId="77777777" w:rsidR="000D20BE" w:rsidRDefault="000D20BE" w:rsidP="000D20BE">
      <w:r>
        <w:t>The PBAC noted the utilisation in the younger age groups had remained constant, while initiations for patients aged 40-79 years had increased over time. The PBAC considered that the growth in initiations for patients in the 40-79 aged cohorts may have been due to the increase in diagnosis and treatment of PBS listed indications; however, may also include inappropriate use outside the PBS restrictions, such as patients without a pathologically-based androgen deficiency.</w:t>
      </w:r>
    </w:p>
    <w:p w14:paraId="47351E7C" w14:textId="204C0255" w:rsidR="000D20BE" w:rsidRDefault="000D20BE" w:rsidP="000D20BE">
      <w:r>
        <w:t xml:space="preserve">The PBAC noted the original serum testosterone threshold was </w:t>
      </w:r>
      <w:proofErr w:type="gramStart"/>
      <w:r>
        <w:t xml:space="preserve">8 </w:t>
      </w:r>
      <w:proofErr w:type="spellStart"/>
      <w:r>
        <w:t>nmol</w:t>
      </w:r>
      <w:proofErr w:type="spellEnd"/>
      <w:r>
        <w:t>/L</w:t>
      </w:r>
      <w:proofErr w:type="gramEnd"/>
      <w:r>
        <w:t xml:space="preserve"> and was based on informed judgement from advice and correspondence from the Endocrine Society, the Australasian Paediatric Endocrine Group, sponsors at the time (Schering, </w:t>
      </w:r>
      <w:proofErr w:type="spellStart"/>
      <w:r>
        <w:t>Organon</w:t>
      </w:r>
      <w:proofErr w:type="spellEnd"/>
      <w:r>
        <w:t xml:space="preserve">) and clinicians during the December 1998 and March 1999 PBAC meeting. </w:t>
      </w:r>
      <w:r w:rsidR="00E632BD">
        <w:t>The PBAC noted t</w:t>
      </w:r>
      <w:r>
        <w:t xml:space="preserve">his threshold was vindicated in recent studies.  </w:t>
      </w:r>
    </w:p>
    <w:p w14:paraId="5BDF4E4A" w14:textId="4DC812B4" w:rsidR="000D20BE" w:rsidRDefault="000D20BE" w:rsidP="000D20BE">
      <w:r>
        <w:t>The PBAC acknowl</w:t>
      </w:r>
      <w:r w:rsidR="002F7B53">
        <w:t xml:space="preserve">edged the concern </w:t>
      </w:r>
      <w:proofErr w:type="gramStart"/>
      <w:r w:rsidR="002F7B53">
        <w:t>raised</w:t>
      </w:r>
      <w:proofErr w:type="gramEnd"/>
      <w:r w:rsidR="002F7B53">
        <w:t xml:space="preserve"> by </w:t>
      </w:r>
      <w:r>
        <w:t>DUSC that a high degree of variability had been observed in the measurement of testosterone levels depending on the assay methodology used. The PBAC noted the challenges in clinical diagnosis of testosterone deficiency and the accuracy in establishing a definitive threshold.</w:t>
      </w:r>
    </w:p>
    <w:p w14:paraId="20CB6585" w14:textId="77777777" w:rsidR="000D20BE" w:rsidRDefault="000D20BE" w:rsidP="000D20BE">
      <w:r>
        <w:t xml:space="preserve">Therefore, the PBAC recommended: </w:t>
      </w:r>
    </w:p>
    <w:p w14:paraId="360263BA" w14:textId="77777777" w:rsidR="000D20BE" w:rsidRDefault="000D20BE" w:rsidP="00507602">
      <w:pPr>
        <w:ind w:left="709" w:hanging="709"/>
      </w:pPr>
      <w:r>
        <w:t>•</w:t>
      </w:r>
      <w:r>
        <w:tab/>
        <w:t xml:space="preserve">Amending the serum testosterone threshold in the PBS restriction for men aged 40 years or older who do not have established pituitary disorders to 6-15 </w:t>
      </w:r>
      <w:proofErr w:type="spellStart"/>
      <w:r>
        <w:t>nmol</w:t>
      </w:r>
      <w:proofErr w:type="spellEnd"/>
      <w:r>
        <w:t xml:space="preserve">/L in combination with a high LH (greater than 1.5 times the upper limit of the </w:t>
      </w:r>
      <w:proofErr w:type="spellStart"/>
      <w:r>
        <w:t>eugonadal</w:t>
      </w:r>
      <w:proofErr w:type="spellEnd"/>
      <w:r>
        <w:t xml:space="preserve"> reference range for young men, or greater than 14 IU/L, whichever is higher).</w:t>
      </w:r>
    </w:p>
    <w:p w14:paraId="14B8AA31" w14:textId="77777777" w:rsidR="000D20BE" w:rsidRDefault="000D20BE" w:rsidP="00507602">
      <w:pPr>
        <w:ind w:left="709" w:hanging="709"/>
      </w:pPr>
      <w:r>
        <w:t>•</w:t>
      </w:r>
      <w:r>
        <w:tab/>
        <w:t xml:space="preserve">Confirmation of androgen deficiency should include measurement of serum testosterone, LH and FSH to allow for the appropriate diagnosis of primary androgen deficiency. (The PBAC noted that testing of serum LH and FSH together with serum testosterone is not expected to increase the cost to the Commonwealth as the MBS item 66695 already covers up to 6 assays from a single sample.) </w:t>
      </w:r>
    </w:p>
    <w:p w14:paraId="0B65E88E" w14:textId="77777777" w:rsidR="000D20BE" w:rsidRDefault="000D20BE" w:rsidP="00507602">
      <w:pPr>
        <w:ind w:left="709" w:hanging="709"/>
      </w:pPr>
      <w:r>
        <w:t>•</w:t>
      </w:r>
      <w:r>
        <w:tab/>
        <w:t>Patients prescribed testosterone must be treated by or in consultation with a specialist urologist, specialist endocrinologist or a registered member of the Australasian Chapter of Sexual Health Medicine or have an appointment to be assessed by one of these specialists.</w:t>
      </w:r>
    </w:p>
    <w:p w14:paraId="5F973F63" w14:textId="77777777" w:rsidR="000D20BE" w:rsidRDefault="000D20BE" w:rsidP="00507602">
      <w:pPr>
        <w:ind w:left="709" w:hanging="709"/>
      </w:pPr>
      <w:r>
        <w:t>•</w:t>
      </w:r>
      <w:r>
        <w:tab/>
        <w:t xml:space="preserve">Excluding treatment for low serum testosterone due primarily to age, obesity, cardiovascular diseases, infertility or drugs. These indications had not been assessed for efficacy and cost-effectiveness by the PBAC. </w:t>
      </w:r>
    </w:p>
    <w:p w14:paraId="4867B4D2" w14:textId="011AF48E" w:rsidR="000D20BE" w:rsidRDefault="000D20BE" w:rsidP="000D20BE">
      <w:r>
        <w:t xml:space="preserve">The PBAC recommended that a review of </w:t>
      </w:r>
      <w:r w:rsidR="002F7B53">
        <w:t xml:space="preserve">testosterone utilisation by </w:t>
      </w:r>
      <w:r>
        <w:t>DUSC be undertaken twelve months after the PBS restriction has been finalised and implemented.</w:t>
      </w:r>
    </w:p>
    <w:p w14:paraId="4D90BFCB" w14:textId="379D2F13" w:rsidR="000D20BE" w:rsidRDefault="000D20BE" w:rsidP="000D20BE">
      <w:r>
        <w:lastRenderedPageBreak/>
        <w:t xml:space="preserve">For further details refer to the </w:t>
      </w:r>
      <w:hyperlink r:id="rId10" w:history="1">
        <w:r w:rsidRPr="00562F2F">
          <w:rPr>
            <w:rStyle w:val="Hyperlink"/>
          </w:rPr>
          <w:t>Public Summary Document</w:t>
        </w:r>
      </w:hyperlink>
      <w:r>
        <w:t xml:space="preserve"> from the </w:t>
      </w:r>
      <w:r w:rsidRPr="00562F2F">
        <w:t>August 2013 Special PBAC meeting</w:t>
      </w:r>
      <w:r>
        <w:t>.</w:t>
      </w:r>
    </w:p>
    <w:p w14:paraId="451AB0FA" w14:textId="77777777" w:rsidR="000D20BE" w:rsidRDefault="000D20BE" w:rsidP="000D20BE">
      <w:r>
        <w:t>At the July 2014 PBAC meeting, the PBAC was advised of responses from sponsors and stakeholders in relation to recommended amendments to the PBS restrictions for testosterone products from the August 2013 Special PBAC meeting. Following stakeholder consultation, the Secretariat undertook a further review of the proposed amendments to the restrictions and considered that they did not accurately reflect the intent of the PBAC.</w:t>
      </w:r>
    </w:p>
    <w:p w14:paraId="2C0445AE" w14:textId="77777777" w:rsidR="000D20BE" w:rsidRDefault="000D20BE" w:rsidP="000D20BE">
      <w:r>
        <w:t xml:space="preserve">The PBAC recommended amending the restrictions for testosterone products: </w:t>
      </w:r>
    </w:p>
    <w:p w14:paraId="3AF1FC67" w14:textId="77777777" w:rsidR="000D20BE" w:rsidRDefault="000D20BE" w:rsidP="00507602">
      <w:pPr>
        <w:ind w:left="709" w:hanging="709"/>
      </w:pPr>
      <w:r>
        <w:t>•</w:t>
      </w:r>
      <w:r>
        <w:tab/>
        <w:t xml:space="preserve">For restrictions for androgen deficiency, remove redundant reference to the condition not being due to age, obesity, cardiovascular diseases, infertility or drugs; </w:t>
      </w:r>
    </w:p>
    <w:p w14:paraId="706CCD3D" w14:textId="77777777" w:rsidR="000D20BE" w:rsidRDefault="000D20BE" w:rsidP="00507602">
      <w:pPr>
        <w:ind w:left="709" w:hanging="709"/>
      </w:pPr>
      <w:r>
        <w:t>•</w:t>
      </w:r>
      <w:r>
        <w:tab/>
        <w:t xml:space="preserve">To include registered members of the Australasian Chapter of Sexual Health Medicine as prescribers </w:t>
      </w:r>
      <w:proofErr w:type="gramStart"/>
      <w:r>
        <w:t>that are</w:t>
      </w:r>
      <w:proofErr w:type="gramEnd"/>
      <w:r>
        <w:t xml:space="preserve"> able to prescribe testosterone products on the PBS.</w:t>
      </w:r>
    </w:p>
    <w:p w14:paraId="190A847D" w14:textId="2EDF2BAF" w:rsidR="000D20BE" w:rsidRDefault="000D20BE" w:rsidP="000D20BE">
      <w:r>
        <w:t xml:space="preserve">For further details refer to the </w:t>
      </w:r>
      <w:hyperlink r:id="rId11" w:history="1">
        <w:r w:rsidRPr="00562F2F">
          <w:rPr>
            <w:rStyle w:val="Hyperlink"/>
          </w:rPr>
          <w:t>Public Summary Document</w:t>
        </w:r>
      </w:hyperlink>
      <w:r>
        <w:t xml:space="preserve"> from the </w:t>
      </w:r>
      <w:r w:rsidRPr="00562F2F">
        <w:t>July 2014 PBAC meeting</w:t>
      </w:r>
      <w:r>
        <w:t>.</w:t>
      </w:r>
    </w:p>
    <w:p w14:paraId="43897578" w14:textId="77777777" w:rsidR="000D20BE" w:rsidRDefault="000D20BE" w:rsidP="000D20BE">
      <w:r>
        <w:t xml:space="preserve">At its July 2015 meeting, the PBAC recommended amending the restriction wording for testosterone to remove the population criterion ‘patient must be male’ as per a minor submission to enable access by transgender and intersex patients. </w:t>
      </w:r>
    </w:p>
    <w:p w14:paraId="773A14EF" w14:textId="658D89CB" w:rsidR="00806EF4" w:rsidRDefault="000D20BE" w:rsidP="000D20BE">
      <w:r>
        <w:t xml:space="preserve">For further details refer to the </w:t>
      </w:r>
      <w:hyperlink r:id="rId12" w:history="1">
        <w:r w:rsidRPr="00562F2F">
          <w:rPr>
            <w:rStyle w:val="Hyperlink"/>
          </w:rPr>
          <w:t>Public Summary Document</w:t>
        </w:r>
      </w:hyperlink>
      <w:r>
        <w:t xml:space="preserve"> from the </w:t>
      </w:r>
      <w:r w:rsidRPr="00562F2F">
        <w:t>July 2015 PBAC meeting</w:t>
      </w:r>
      <w:r>
        <w:t xml:space="preserve">. </w:t>
      </w:r>
    </w:p>
    <w:p w14:paraId="645C1960" w14:textId="77777777" w:rsidR="00834305" w:rsidRDefault="00834305" w:rsidP="00834305">
      <w:pPr>
        <w:rPr>
          <w:b/>
          <w:sz w:val="28"/>
          <w:szCs w:val="28"/>
        </w:rPr>
      </w:pPr>
      <w:r w:rsidRPr="00562F2F">
        <w:rPr>
          <w:b/>
          <w:sz w:val="28"/>
          <w:szCs w:val="28"/>
        </w:rPr>
        <w:t>PBS listing details (as at August 2016)</w:t>
      </w:r>
    </w:p>
    <w:p w14:paraId="01EC1E98" w14:textId="7A485DAB" w:rsidR="00562F2F" w:rsidRPr="00562F2F" w:rsidRDefault="00562F2F" w:rsidP="00834305">
      <w:r>
        <w:t>Below are the R/PBS listings of testosterone products as at August 2016.</w:t>
      </w:r>
    </w:p>
    <w:p w14:paraId="3C4656F6" w14:textId="53A94C88" w:rsidR="00834305" w:rsidRPr="00834305" w:rsidRDefault="00834305" w:rsidP="00834305">
      <w:pPr>
        <w:spacing w:after="0"/>
        <w:rPr>
          <w:b/>
        </w:rPr>
      </w:pPr>
      <w:r w:rsidRPr="00F739A6">
        <w:rPr>
          <w:b/>
        </w:rPr>
        <w:t xml:space="preserve">Table </w:t>
      </w:r>
      <w:r w:rsidR="00F739A6" w:rsidRPr="00F739A6">
        <w:rPr>
          <w:b/>
        </w:rPr>
        <w:t>1</w:t>
      </w:r>
      <w:r w:rsidRPr="00F739A6">
        <w:rPr>
          <w:b/>
        </w:rPr>
        <w:t>:</w:t>
      </w:r>
      <w:r w:rsidRPr="00834305">
        <w:rPr>
          <w:b/>
        </w:rPr>
        <w:t xml:space="preserve"> </w:t>
      </w:r>
      <w:r w:rsidR="00562F2F">
        <w:rPr>
          <w:b/>
        </w:rPr>
        <w:t>R/</w:t>
      </w:r>
      <w:r w:rsidRPr="00834305">
        <w:rPr>
          <w:b/>
        </w:rPr>
        <w:t>PBS listing of testosterone</w:t>
      </w:r>
    </w:p>
    <w:tbl>
      <w:tblPr>
        <w:tblStyle w:val="TableGrid"/>
        <w:tblW w:w="9064" w:type="dxa"/>
        <w:tblLayout w:type="fixed"/>
        <w:tblLook w:val="04A0" w:firstRow="1" w:lastRow="0" w:firstColumn="1" w:lastColumn="0" w:noHBand="0" w:noVBand="1"/>
        <w:tblCaption w:val="R/PBS listing details for testosterone"/>
        <w:tblDescription w:val="Number of products where the name, form and strength, pack size, max quantity, repeats, DPMQ, brand name and manufacturer are listed."/>
      </w:tblPr>
      <w:tblGrid>
        <w:gridCol w:w="969"/>
        <w:gridCol w:w="2400"/>
        <w:gridCol w:w="1701"/>
        <w:gridCol w:w="850"/>
        <w:gridCol w:w="1040"/>
        <w:gridCol w:w="2104"/>
      </w:tblGrid>
      <w:tr w:rsidR="00834305" w:rsidRPr="00834305" w14:paraId="36567A68" w14:textId="77777777" w:rsidTr="00834305">
        <w:trPr>
          <w:trHeight w:val="694"/>
          <w:tblHeader/>
        </w:trPr>
        <w:tc>
          <w:tcPr>
            <w:tcW w:w="969" w:type="dxa"/>
            <w:shd w:val="clear" w:color="auto" w:fill="BFBFBF" w:themeFill="background1" w:themeFillShade="BF"/>
          </w:tcPr>
          <w:p w14:paraId="7182E219" w14:textId="77777777" w:rsidR="00834305" w:rsidRPr="00834305" w:rsidRDefault="00834305" w:rsidP="00EC49C7">
            <w:pPr>
              <w:rPr>
                <w:b/>
                <w:sz w:val="20"/>
                <w:szCs w:val="20"/>
              </w:rPr>
            </w:pPr>
            <w:r w:rsidRPr="00834305">
              <w:rPr>
                <w:b/>
                <w:sz w:val="20"/>
                <w:szCs w:val="20"/>
              </w:rPr>
              <w:t>Item</w:t>
            </w:r>
          </w:p>
        </w:tc>
        <w:tc>
          <w:tcPr>
            <w:tcW w:w="2400" w:type="dxa"/>
            <w:shd w:val="clear" w:color="auto" w:fill="BFBFBF" w:themeFill="background1" w:themeFillShade="BF"/>
          </w:tcPr>
          <w:p w14:paraId="4528C4E7" w14:textId="77777777" w:rsidR="00834305" w:rsidRPr="00834305" w:rsidRDefault="00834305" w:rsidP="00EC49C7">
            <w:pPr>
              <w:rPr>
                <w:b/>
                <w:sz w:val="20"/>
                <w:szCs w:val="20"/>
              </w:rPr>
            </w:pPr>
            <w:r w:rsidRPr="00834305">
              <w:rPr>
                <w:b/>
                <w:sz w:val="20"/>
                <w:szCs w:val="20"/>
              </w:rPr>
              <w:t>Name, form &amp; strength, pack size</w:t>
            </w:r>
          </w:p>
        </w:tc>
        <w:tc>
          <w:tcPr>
            <w:tcW w:w="1701" w:type="dxa"/>
            <w:shd w:val="clear" w:color="auto" w:fill="BFBFBF" w:themeFill="background1" w:themeFillShade="BF"/>
          </w:tcPr>
          <w:p w14:paraId="4816BA71" w14:textId="77777777" w:rsidR="00834305" w:rsidRPr="00834305" w:rsidRDefault="00834305" w:rsidP="00EC49C7">
            <w:pPr>
              <w:rPr>
                <w:b/>
                <w:sz w:val="20"/>
                <w:szCs w:val="20"/>
              </w:rPr>
            </w:pPr>
            <w:r w:rsidRPr="00834305">
              <w:rPr>
                <w:b/>
                <w:sz w:val="20"/>
                <w:szCs w:val="20"/>
              </w:rPr>
              <w:t xml:space="preserve">Max. quant. </w:t>
            </w:r>
          </w:p>
        </w:tc>
        <w:tc>
          <w:tcPr>
            <w:tcW w:w="850" w:type="dxa"/>
            <w:shd w:val="clear" w:color="auto" w:fill="BFBFBF" w:themeFill="background1" w:themeFillShade="BF"/>
          </w:tcPr>
          <w:p w14:paraId="2AFB69CD" w14:textId="77777777" w:rsidR="00834305" w:rsidRPr="00834305" w:rsidRDefault="00834305" w:rsidP="00EC49C7">
            <w:pPr>
              <w:rPr>
                <w:b/>
                <w:sz w:val="20"/>
                <w:szCs w:val="20"/>
              </w:rPr>
            </w:pPr>
            <w:proofErr w:type="spellStart"/>
            <w:r w:rsidRPr="00834305">
              <w:rPr>
                <w:b/>
                <w:sz w:val="20"/>
                <w:szCs w:val="20"/>
              </w:rPr>
              <w:t>Rpts</w:t>
            </w:r>
            <w:proofErr w:type="spellEnd"/>
            <w:r w:rsidRPr="00834305">
              <w:rPr>
                <w:b/>
                <w:sz w:val="20"/>
                <w:szCs w:val="20"/>
              </w:rPr>
              <w:t xml:space="preserve"> </w:t>
            </w:r>
          </w:p>
        </w:tc>
        <w:tc>
          <w:tcPr>
            <w:tcW w:w="1040" w:type="dxa"/>
            <w:shd w:val="clear" w:color="auto" w:fill="BFBFBF" w:themeFill="background1" w:themeFillShade="BF"/>
          </w:tcPr>
          <w:p w14:paraId="0A16B4C5" w14:textId="77777777" w:rsidR="00834305" w:rsidRPr="00834305" w:rsidRDefault="00834305" w:rsidP="00EC49C7">
            <w:pPr>
              <w:rPr>
                <w:b/>
                <w:sz w:val="20"/>
                <w:szCs w:val="20"/>
              </w:rPr>
            </w:pPr>
            <w:r w:rsidRPr="00834305">
              <w:rPr>
                <w:b/>
                <w:sz w:val="20"/>
                <w:szCs w:val="20"/>
              </w:rPr>
              <w:t>DPMQ</w:t>
            </w:r>
          </w:p>
        </w:tc>
        <w:tc>
          <w:tcPr>
            <w:tcW w:w="2104" w:type="dxa"/>
            <w:shd w:val="clear" w:color="auto" w:fill="BFBFBF" w:themeFill="background1" w:themeFillShade="BF"/>
          </w:tcPr>
          <w:p w14:paraId="24218E22" w14:textId="77777777" w:rsidR="00834305" w:rsidRPr="00834305" w:rsidRDefault="00834305" w:rsidP="00EC49C7">
            <w:pPr>
              <w:rPr>
                <w:b/>
                <w:sz w:val="20"/>
                <w:szCs w:val="20"/>
              </w:rPr>
            </w:pPr>
            <w:r w:rsidRPr="00834305">
              <w:rPr>
                <w:b/>
                <w:sz w:val="20"/>
                <w:szCs w:val="20"/>
              </w:rPr>
              <w:t>Brand name and manufacturer</w:t>
            </w:r>
          </w:p>
        </w:tc>
      </w:tr>
      <w:tr w:rsidR="00834305" w:rsidRPr="00834305" w14:paraId="014C2E94" w14:textId="77777777" w:rsidTr="00834305">
        <w:trPr>
          <w:trHeight w:val="552"/>
          <w:tblHeader/>
        </w:trPr>
        <w:tc>
          <w:tcPr>
            <w:tcW w:w="969" w:type="dxa"/>
            <w:shd w:val="clear" w:color="auto" w:fill="auto"/>
          </w:tcPr>
          <w:p w14:paraId="2EA2A945" w14:textId="77777777" w:rsidR="00834305" w:rsidRPr="00834305" w:rsidRDefault="00834305" w:rsidP="00EC49C7">
            <w:pPr>
              <w:rPr>
                <w:sz w:val="20"/>
                <w:szCs w:val="20"/>
              </w:rPr>
            </w:pPr>
            <w:r w:rsidRPr="00834305">
              <w:rPr>
                <w:sz w:val="20"/>
                <w:szCs w:val="20"/>
              </w:rPr>
              <w:t>2114G</w:t>
            </w:r>
          </w:p>
        </w:tc>
        <w:tc>
          <w:tcPr>
            <w:tcW w:w="2400" w:type="dxa"/>
            <w:shd w:val="clear" w:color="auto" w:fill="auto"/>
          </w:tcPr>
          <w:p w14:paraId="31448C77" w14:textId="77777777" w:rsidR="00834305" w:rsidRPr="00834305" w:rsidRDefault="00834305" w:rsidP="00EC49C7">
            <w:pPr>
              <w:rPr>
                <w:sz w:val="20"/>
                <w:szCs w:val="20"/>
              </w:rPr>
            </w:pPr>
            <w:r w:rsidRPr="00834305">
              <w:rPr>
                <w:sz w:val="20"/>
                <w:szCs w:val="20"/>
              </w:rPr>
              <w:t xml:space="preserve">Testosterone </w:t>
            </w:r>
            <w:proofErr w:type="spellStart"/>
            <w:r w:rsidRPr="00834305">
              <w:rPr>
                <w:sz w:val="20"/>
                <w:szCs w:val="20"/>
              </w:rPr>
              <w:t>enanthate</w:t>
            </w:r>
            <w:proofErr w:type="spellEnd"/>
            <w:r w:rsidRPr="00834305">
              <w:rPr>
                <w:sz w:val="20"/>
                <w:szCs w:val="20"/>
              </w:rPr>
              <w:t xml:space="preserve"> 250 mg/mL injection, 3 x 1 mL syringes</w:t>
            </w:r>
          </w:p>
        </w:tc>
        <w:tc>
          <w:tcPr>
            <w:tcW w:w="1701" w:type="dxa"/>
            <w:shd w:val="clear" w:color="auto" w:fill="auto"/>
          </w:tcPr>
          <w:p w14:paraId="2DCD8740" w14:textId="77777777" w:rsidR="00834305" w:rsidRPr="00834305" w:rsidRDefault="00834305" w:rsidP="00EC49C7">
            <w:pPr>
              <w:rPr>
                <w:sz w:val="20"/>
                <w:szCs w:val="20"/>
              </w:rPr>
            </w:pPr>
            <w:r w:rsidRPr="00834305">
              <w:rPr>
                <w:sz w:val="20"/>
                <w:szCs w:val="20"/>
              </w:rPr>
              <w:t>1</w:t>
            </w:r>
          </w:p>
        </w:tc>
        <w:tc>
          <w:tcPr>
            <w:tcW w:w="850" w:type="dxa"/>
            <w:shd w:val="clear" w:color="auto" w:fill="auto"/>
          </w:tcPr>
          <w:p w14:paraId="40CA69CF" w14:textId="77777777" w:rsidR="00834305" w:rsidRPr="00834305" w:rsidRDefault="00834305" w:rsidP="00EC49C7">
            <w:pPr>
              <w:rPr>
                <w:sz w:val="20"/>
                <w:szCs w:val="20"/>
              </w:rPr>
            </w:pPr>
            <w:r w:rsidRPr="00834305">
              <w:rPr>
                <w:sz w:val="20"/>
                <w:szCs w:val="20"/>
              </w:rPr>
              <w:t>3</w:t>
            </w:r>
          </w:p>
        </w:tc>
        <w:tc>
          <w:tcPr>
            <w:tcW w:w="1040" w:type="dxa"/>
            <w:shd w:val="clear" w:color="auto" w:fill="auto"/>
          </w:tcPr>
          <w:p w14:paraId="3049EF96" w14:textId="77777777" w:rsidR="00834305" w:rsidRPr="00834305" w:rsidRDefault="00834305" w:rsidP="00EC49C7">
            <w:pPr>
              <w:rPr>
                <w:sz w:val="20"/>
                <w:szCs w:val="20"/>
              </w:rPr>
            </w:pPr>
            <w:r w:rsidRPr="00834305">
              <w:rPr>
                <w:sz w:val="20"/>
                <w:szCs w:val="20"/>
              </w:rPr>
              <w:t>$32.91</w:t>
            </w:r>
          </w:p>
        </w:tc>
        <w:tc>
          <w:tcPr>
            <w:tcW w:w="2104" w:type="dxa"/>
            <w:shd w:val="clear" w:color="auto" w:fill="auto"/>
          </w:tcPr>
          <w:p w14:paraId="1F79089D" w14:textId="77777777" w:rsidR="00834305" w:rsidRPr="00834305" w:rsidRDefault="00834305" w:rsidP="00EC49C7">
            <w:pPr>
              <w:rPr>
                <w:sz w:val="20"/>
                <w:szCs w:val="20"/>
              </w:rPr>
            </w:pPr>
            <w:proofErr w:type="spellStart"/>
            <w:r w:rsidRPr="00834305">
              <w:rPr>
                <w:sz w:val="20"/>
                <w:szCs w:val="20"/>
              </w:rPr>
              <w:t>Primoteston</w:t>
            </w:r>
            <w:proofErr w:type="spellEnd"/>
            <w:r w:rsidRPr="00834305">
              <w:rPr>
                <w:sz w:val="20"/>
                <w:szCs w:val="20"/>
              </w:rPr>
              <w:t>® Bayer Australia Ltd</w:t>
            </w:r>
          </w:p>
        </w:tc>
      </w:tr>
      <w:tr w:rsidR="00834305" w:rsidRPr="00834305" w14:paraId="5D09B371" w14:textId="77777777" w:rsidTr="00834305">
        <w:trPr>
          <w:trHeight w:val="546"/>
          <w:tblHeader/>
        </w:trPr>
        <w:tc>
          <w:tcPr>
            <w:tcW w:w="969" w:type="dxa"/>
            <w:shd w:val="clear" w:color="auto" w:fill="auto"/>
          </w:tcPr>
          <w:p w14:paraId="62A39870" w14:textId="77777777" w:rsidR="00834305" w:rsidRPr="00834305" w:rsidRDefault="00834305" w:rsidP="00EC49C7">
            <w:pPr>
              <w:rPr>
                <w:sz w:val="20"/>
                <w:szCs w:val="20"/>
              </w:rPr>
            </w:pPr>
            <w:r w:rsidRPr="00834305">
              <w:rPr>
                <w:sz w:val="20"/>
                <w:szCs w:val="20"/>
              </w:rPr>
              <w:t>10205D</w:t>
            </w:r>
          </w:p>
        </w:tc>
        <w:tc>
          <w:tcPr>
            <w:tcW w:w="2400" w:type="dxa"/>
            <w:shd w:val="clear" w:color="auto" w:fill="auto"/>
          </w:tcPr>
          <w:p w14:paraId="391BF521" w14:textId="77777777" w:rsidR="00834305" w:rsidRPr="00834305" w:rsidRDefault="00834305" w:rsidP="00EC49C7">
            <w:pPr>
              <w:rPr>
                <w:sz w:val="20"/>
                <w:szCs w:val="20"/>
              </w:rPr>
            </w:pPr>
            <w:r w:rsidRPr="00834305">
              <w:rPr>
                <w:sz w:val="20"/>
                <w:szCs w:val="20"/>
              </w:rPr>
              <w:t>Testosterone undecanoate 1 g/4 mL injection, 4 mL vial</w:t>
            </w:r>
          </w:p>
        </w:tc>
        <w:tc>
          <w:tcPr>
            <w:tcW w:w="1701" w:type="dxa"/>
            <w:shd w:val="clear" w:color="auto" w:fill="auto"/>
          </w:tcPr>
          <w:p w14:paraId="0097BC46" w14:textId="77777777" w:rsidR="00834305" w:rsidRPr="00834305" w:rsidRDefault="00834305" w:rsidP="00EC49C7">
            <w:pPr>
              <w:rPr>
                <w:sz w:val="20"/>
                <w:szCs w:val="20"/>
              </w:rPr>
            </w:pPr>
            <w:r w:rsidRPr="00834305">
              <w:rPr>
                <w:sz w:val="20"/>
                <w:szCs w:val="20"/>
              </w:rPr>
              <w:t>1</w:t>
            </w:r>
          </w:p>
        </w:tc>
        <w:tc>
          <w:tcPr>
            <w:tcW w:w="850" w:type="dxa"/>
            <w:shd w:val="clear" w:color="auto" w:fill="auto"/>
          </w:tcPr>
          <w:p w14:paraId="581E6F44" w14:textId="77777777" w:rsidR="00834305" w:rsidRPr="00834305" w:rsidRDefault="00834305" w:rsidP="00EC49C7">
            <w:pPr>
              <w:rPr>
                <w:sz w:val="20"/>
                <w:szCs w:val="20"/>
              </w:rPr>
            </w:pPr>
            <w:r w:rsidRPr="00834305">
              <w:rPr>
                <w:sz w:val="20"/>
                <w:szCs w:val="20"/>
              </w:rPr>
              <w:t>1</w:t>
            </w:r>
          </w:p>
        </w:tc>
        <w:tc>
          <w:tcPr>
            <w:tcW w:w="1040" w:type="dxa"/>
            <w:shd w:val="clear" w:color="auto" w:fill="auto"/>
          </w:tcPr>
          <w:p w14:paraId="229F797E" w14:textId="77777777" w:rsidR="00834305" w:rsidRPr="00834305" w:rsidRDefault="00834305" w:rsidP="00EC49C7">
            <w:pPr>
              <w:rPr>
                <w:sz w:val="20"/>
                <w:szCs w:val="20"/>
              </w:rPr>
            </w:pPr>
            <w:r w:rsidRPr="00834305">
              <w:rPr>
                <w:sz w:val="20"/>
                <w:szCs w:val="20"/>
              </w:rPr>
              <w:t>$132.33</w:t>
            </w:r>
          </w:p>
        </w:tc>
        <w:tc>
          <w:tcPr>
            <w:tcW w:w="2104" w:type="dxa"/>
            <w:shd w:val="clear" w:color="auto" w:fill="auto"/>
          </w:tcPr>
          <w:p w14:paraId="5B04AA64" w14:textId="77777777" w:rsidR="00834305" w:rsidRPr="00834305" w:rsidRDefault="00834305" w:rsidP="00EC49C7">
            <w:pPr>
              <w:rPr>
                <w:sz w:val="20"/>
                <w:szCs w:val="20"/>
              </w:rPr>
            </w:pPr>
            <w:proofErr w:type="spellStart"/>
            <w:r w:rsidRPr="00834305">
              <w:rPr>
                <w:sz w:val="20"/>
                <w:szCs w:val="20"/>
              </w:rPr>
              <w:t>Reandron</w:t>
            </w:r>
            <w:proofErr w:type="spellEnd"/>
            <w:r w:rsidRPr="00834305">
              <w:rPr>
                <w:sz w:val="20"/>
                <w:szCs w:val="20"/>
              </w:rPr>
              <w:t>® Bayer Australia Ltd</w:t>
            </w:r>
          </w:p>
        </w:tc>
      </w:tr>
      <w:tr w:rsidR="00834305" w:rsidRPr="00834305" w14:paraId="2478D969" w14:textId="77777777" w:rsidTr="00834305">
        <w:trPr>
          <w:trHeight w:val="546"/>
          <w:tblHeader/>
        </w:trPr>
        <w:tc>
          <w:tcPr>
            <w:tcW w:w="969" w:type="dxa"/>
            <w:shd w:val="clear" w:color="auto" w:fill="auto"/>
          </w:tcPr>
          <w:p w14:paraId="5835CC38" w14:textId="77777777" w:rsidR="00834305" w:rsidRPr="00834305" w:rsidRDefault="00834305" w:rsidP="00EC49C7">
            <w:pPr>
              <w:rPr>
                <w:sz w:val="20"/>
                <w:szCs w:val="20"/>
              </w:rPr>
            </w:pPr>
            <w:r w:rsidRPr="00834305">
              <w:rPr>
                <w:sz w:val="20"/>
                <w:szCs w:val="20"/>
              </w:rPr>
              <w:t>2115H</w:t>
            </w:r>
          </w:p>
        </w:tc>
        <w:tc>
          <w:tcPr>
            <w:tcW w:w="2400" w:type="dxa"/>
            <w:shd w:val="clear" w:color="auto" w:fill="auto"/>
          </w:tcPr>
          <w:p w14:paraId="22E855D7" w14:textId="77777777" w:rsidR="00834305" w:rsidRPr="00834305" w:rsidRDefault="00834305" w:rsidP="00EC49C7">
            <w:pPr>
              <w:rPr>
                <w:sz w:val="20"/>
                <w:szCs w:val="20"/>
              </w:rPr>
            </w:pPr>
            <w:r w:rsidRPr="00834305">
              <w:rPr>
                <w:sz w:val="20"/>
                <w:szCs w:val="20"/>
              </w:rPr>
              <w:t>Testosterone undecanoate 40 mg capsule, 60</w:t>
            </w:r>
          </w:p>
        </w:tc>
        <w:tc>
          <w:tcPr>
            <w:tcW w:w="1701" w:type="dxa"/>
            <w:shd w:val="clear" w:color="auto" w:fill="auto"/>
          </w:tcPr>
          <w:p w14:paraId="4631D63F" w14:textId="77777777" w:rsidR="00834305" w:rsidRPr="00834305" w:rsidRDefault="00834305" w:rsidP="00EC49C7">
            <w:pPr>
              <w:rPr>
                <w:sz w:val="20"/>
                <w:szCs w:val="20"/>
              </w:rPr>
            </w:pPr>
            <w:r w:rsidRPr="00834305">
              <w:rPr>
                <w:sz w:val="20"/>
                <w:szCs w:val="20"/>
              </w:rPr>
              <w:t>1</w:t>
            </w:r>
          </w:p>
        </w:tc>
        <w:tc>
          <w:tcPr>
            <w:tcW w:w="850" w:type="dxa"/>
            <w:shd w:val="clear" w:color="auto" w:fill="auto"/>
          </w:tcPr>
          <w:p w14:paraId="00F5111F" w14:textId="77777777" w:rsidR="00834305" w:rsidRPr="00834305" w:rsidRDefault="00834305" w:rsidP="00EC49C7">
            <w:pPr>
              <w:rPr>
                <w:sz w:val="20"/>
                <w:szCs w:val="20"/>
              </w:rPr>
            </w:pPr>
            <w:r w:rsidRPr="00834305">
              <w:rPr>
                <w:sz w:val="20"/>
                <w:szCs w:val="20"/>
              </w:rPr>
              <w:t>5</w:t>
            </w:r>
          </w:p>
        </w:tc>
        <w:tc>
          <w:tcPr>
            <w:tcW w:w="1040" w:type="dxa"/>
            <w:shd w:val="clear" w:color="auto" w:fill="auto"/>
          </w:tcPr>
          <w:p w14:paraId="549E8AC2" w14:textId="77777777" w:rsidR="00834305" w:rsidRPr="00834305" w:rsidRDefault="00834305" w:rsidP="00EC49C7">
            <w:pPr>
              <w:rPr>
                <w:sz w:val="20"/>
                <w:szCs w:val="20"/>
              </w:rPr>
            </w:pPr>
            <w:r w:rsidRPr="00834305">
              <w:rPr>
                <w:sz w:val="20"/>
                <w:szCs w:val="20"/>
              </w:rPr>
              <w:t>$36.26</w:t>
            </w:r>
          </w:p>
        </w:tc>
        <w:tc>
          <w:tcPr>
            <w:tcW w:w="2104" w:type="dxa"/>
            <w:shd w:val="clear" w:color="auto" w:fill="auto"/>
          </w:tcPr>
          <w:p w14:paraId="613E0CAB" w14:textId="77777777" w:rsidR="00834305" w:rsidRPr="00834305" w:rsidRDefault="00834305" w:rsidP="00EC49C7">
            <w:pPr>
              <w:rPr>
                <w:sz w:val="20"/>
                <w:szCs w:val="20"/>
              </w:rPr>
            </w:pPr>
            <w:proofErr w:type="spellStart"/>
            <w:r w:rsidRPr="00834305">
              <w:rPr>
                <w:sz w:val="20"/>
                <w:szCs w:val="20"/>
              </w:rPr>
              <w:t>Andriol</w:t>
            </w:r>
            <w:proofErr w:type="spellEnd"/>
            <w:r w:rsidRPr="00834305">
              <w:rPr>
                <w:sz w:val="20"/>
                <w:szCs w:val="20"/>
              </w:rPr>
              <w:t xml:space="preserve"> </w:t>
            </w:r>
            <w:proofErr w:type="spellStart"/>
            <w:r w:rsidRPr="00834305">
              <w:rPr>
                <w:sz w:val="20"/>
                <w:szCs w:val="20"/>
              </w:rPr>
              <w:t>Testocaps</w:t>
            </w:r>
            <w:proofErr w:type="spellEnd"/>
            <w:r w:rsidRPr="00834305">
              <w:rPr>
                <w:sz w:val="20"/>
                <w:szCs w:val="20"/>
              </w:rPr>
              <w:t xml:space="preserve">® Merck Sharp &amp; </w:t>
            </w:r>
            <w:proofErr w:type="spellStart"/>
            <w:r w:rsidRPr="00834305">
              <w:rPr>
                <w:sz w:val="20"/>
                <w:szCs w:val="20"/>
              </w:rPr>
              <w:t>Dohme</w:t>
            </w:r>
            <w:proofErr w:type="spellEnd"/>
            <w:r w:rsidRPr="00834305">
              <w:rPr>
                <w:sz w:val="20"/>
                <w:szCs w:val="20"/>
              </w:rPr>
              <w:t xml:space="preserve"> Pty Ltd</w:t>
            </w:r>
          </w:p>
        </w:tc>
      </w:tr>
      <w:tr w:rsidR="00834305" w:rsidRPr="00834305" w14:paraId="6DFB00CF" w14:textId="77777777" w:rsidTr="00834305">
        <w:trPr>
          <w:trHeight w:val="546"/>
          <w:tblHeader/>
        </w:trPr>
        <w:tc>
          <w:tcPr>
            <w:tcW w:w="969" w:type="dxa"/>
            <w:shd w:val="clear" w:color="auto" w:fill="auto"/>
          </w:tcPr>
          <w:p w14:paraId="4B394A17" w14:textId="77777777" w:rsidR="00834305" w:rsidRPr="00834305" w:rsidRDefault="00834305" w:rsidP="00EC49C7">
            <w:pPr>
              <w:rPr>
                <w:sz w:val="20"/>
                <w:szCs w:val="20"/>
              </w:rPr>
            </w:pPr>
            <w:r w:rsidRPr="00834305">
              <w:rPr>
                <w:sz w:val="20"/>
                <w:szCs w:val="20"/>
              </w:rPr>
              <w:t>10380H</w:t>
            </w:r>
          </w:p>
        </w:tc>
        <w:tc>
          <w:tcPr>
            <w:tcW w:w="2400" w:type="dxa"/>
            <w:shd w:val="clear" w:color="auto" w:fill="auto"/>
          </w:tcPr>
          <w:p w14:paraId="6FDC2FFD" w14:textId="77777777" w:rsidR="00834305" w:rsidRPr="00834305" w:rsidRDefault="00834305" w:rsidP="00EC49C7">
            <w:pPr>
              <w:rPr>
                <w:sz w:val="20"/>
                <w:szCs w:val="20"/>
              </w:rPr>
            </w:pPr>
            <w:r w:rsidRPr="00834305">
              <w:rPr>
                <w:sz w:val="20"/>
                <w:szCs w:val="20"/>
              </w:rPr>
              <w:t xml:space="preserve">Testosterone 1% (12.5 mg/actuation) gel, 2 x 60 actuations </w:t>
            </w:r>
          </w:p>
        </w:tc>
        <w:tc>
          <w:tcPr>
            <w:tcW w:w="1701" w:type="dxa"/>
            <w:shd w:val="clear" w:color="auto" w:fill="auto"/>
          </w:tcPr>
          <w:p w14:paraId="6D2A02BB" w14:textId="77777777" w:rsidR="00834305" w:rsidRPr="00834305" w:rsidRDefault="00834305" w:rsidP="00EC49C7">
            <w:pPr>
              <w:rPr>
                <w:sz w:val="20"/>
                <w:szCs w:val="20"/>
              </w:rPr>
            </w:pPr>
            <w:r w:rsidRPr="00834305">
              <w:rPr>
                <w:sz w:val="20"/>
                <w:szCs w:val="20"/>
              </w:rPr>
              <w:t>1</w:t>
            </w:r>
          </w:p>
        </w:tc>
        <w:tc>
          <w:tcPr>
            <w:tcW w:w="850" w:type="dxa"/>
            <w:shd w:val="clear" w:color="auto" w:fill="auto"/>
          </w:tcPr>
          <w:p w14:paraId="7FB7A981" w14:textId="77777777" w:rsidR="00834305" w:rsidRPr="00834305" w:rsidRDefault="00834305" w:rsidP="00EC49C7">
            <w:pPr>
              <w:rPr>
                <w:sz w:val="20"/>
                <w:szCs w:val="20"/>
              </w:rPr>
            </w:pPr>
            <w:r w:rsidRPr="00834305">
              <w:rPr>
                <w:sz w:val="20"/>
                <w:szCs w:val="20"/>
              </w:rPr>
              <w:t>4</w:t>
            </w:r>
          </w:p>
        </w:tc>
        <w:tc>
          <w:tcPr>
            <w:tcW w:w="1040" w:type="dxa"/>
            <w:shd w:val="clear" w:color="auto" w:fill="auto"/>
          </w:tcPr>
          <w:p w14:paraId="43EEB785" w14:textId="77777777" w:rsidR="00834305" w:rsidRPr="00834305" w:rsidRDefault="00834305" w:rsidP="00EC49C7">
            <w:pPr>
              <w:rPr>
                <w:sz w:val="20"/>
                <w:szCs w:val="20"/>
              </w:rPr>
            </w:pPr>
            <w:r w:rsidRPr="00834305">
              <w:rPr>
                <w:sz w:val="20"/>
                <w:szCs w:val="20"/>
              </w:rPr>
              <w:t>$87.17</w:t>
            </w:r>
          </w:p>
        </w:tc>
        <w:tc>
          <w:tcPr>
            <w:tcW w:w="2104" w:type="dxa"/>
            <w:shd w:val="clear" w:color="auto" w:fill="auto"/>
          </w:tcPr>
          <w:p w14:paraId="38033452" w14:textId="77777777" w:rsidR="00834305" w:rsidRPr="00834305" w:rsidRDefault="00834305" w:rsidP="00EC49C7">
            <w:pPr>
              <w:rPr>
                <w:sz w:val="20"/>
                <w:szCs w:val="20"/>
              </w:rPr>
            </w:pPr>
            <w:proofErr w:type="spellStart"/>
            <w:r w:rsidRPr="00834305">
              <w:rPr>
                <w:sz w:val="20"/>
                <w:szCs w:val="20"/>
              </w:rPr>
              <w:t>Testogel</w:t>
            </w:r>
            <w:proofErr w:type="spellEnd"/>
            <w:r w:rsidRPr="00834305">
              <w:rPr>
                <w:sz w:val="20"/>
                <w:szCs w:val="20"/>
              </w:rPr>
              <w:t xml:space="preserve">® </w:t>
            </w:r>
            <w:proofErr w:type="spellStart"/>
            <w:r w:rsidRPr="00834305">
              <w:rPr>
                <w:sz w:val="20"/>
                <w:szCs w:val="20"/>
              </w:rPr>
              <w:t>Besins</w:t>
            </w:r>
            <w:proofErr w:type="spellEnd"/>
            <w:r w:rsidRPr="00834305">
              <w:rPr>
                <w:sz w:val="20"/>
                <w:szCs w:val="20"/>
              </w:rPr>
              <w:t xml:space="preserve"> Healthcare Australia Pty Ltd</w:t>
            </w:r>
          </w:p>
        </w:tc>
      </w:tr>
      <w:tr w:rsidR="00834305" w:rsidRPr="00834305" w14:paraId="0A364785" w14:textId="77777777" w:rsidTr="00834305">
        <w:trPr>
          <w:trHeight w:val="546"/>
          <w:tblHeader/>
        </w:trPr>
        <w:tc>
          <w:tcPr>
            <w:tcW w:w="969" w:type="dxa"/>
            <w:shd w:val="clear" w:color="auto" w:fill="auto"/>
          </w:tcPr>
          <w:p w14:paraId="515AE8EE" w14:textId="77777777" w:rsidR="00834305" w:rsidRPr="00834305" w:rsidRDefault="00834305" w:rsidP="00EC49C7">
            <w:pPr>
              <w:rPr>
                <w:sz w:val="20"/>
                <w:szCs w:val="20"/>
              </w:rPr>
            </w:pPr>
            <w:r w:rsidRPr="00834305">
              <w:rPr>
                <w:sz w:val="20"/>
                <w:szCs w:val="20"/>
              </w:rPr>
              <w:t>8830R</w:t>
            </w:r>
          </w:p>
        </w:tc>
        <w:tc>
          <w:tcPr>
            <w:tcW w:w="2400" w:type="dxa"/>
            <w:shd w:val="clear" w:color="auto" w:fill="auto"/>
          </w:tcPr>
          <w:p w14:paraId="27A6C34F" w14:textId="77777777" w:rsidR="00834305" w:rsidRPr="00834305" w:rsidRDefault="00834305" w:rsidP="00EC49C7">
            <w:pPr>
              <w:rPr>
                <w:sz w:val="20"/>
                <w:szCs w:val="20"/>
              </w:rPr>
            </w:pPr>
            <w:r w:rsidRPr="00834305">
              <w:rPr>
                <w:sz w:val="20"/>
                <w:szCs w:val="20"/>
              </w:rPr>
              <w:t>Testosterone 1% (50 mg/5 g) gel, 30 x 5 g sachets</w:t>
            </w:r>
          </w:p>
        </w:tc>
        <w:tc>
          <w:tcPr>
            <w:tcW w:w="1701" w:type="dxa"/>
            <w:shd w:val="clear" w:color="auto" w:fill="auto"/>
          </w:tcPr>
          <w:p w14:paraId="439F872A" w14:textId="77777777" w:rsidR="00834305" w:rsidRPr="00834305" w:rsidRDefault="00834305" w:rsidP="00EC49C7">
            <w:pPr>
              <w:rPr>
                <w:sz w:val="20"/>
                <w:szCs w:val="20"/>
              </w:rPr>
            </w:pPr>
            <w:r w:rsidRPr="00834305">
              <w:rPr>
                <w:sz w:val="20"/>
                <w:szCs w:val="20"/>
              </w:rPr>
              <w:t>1</w:t>
            </w:r>
          </w:p>
        </w:tc>
        <w:tc>
          <w:tcPr>
            <w:tcW w:w="850" w:type="dxa"/>
            <w:shd w:val="clear" w:color="auto" w:fill="auto"/>
          </w:tcPr>
          <w:p w14:paraId="5A112B73" w14:textId="77777777" w:rsidR="00834305" w:rsidRPr="00834305" w:rsidRDefault="00834305" w:rsidP="00EC49C7">
            <w:pPr>
              <w:rPr>
                <w:sz w:val="20"/>
                <w:szCs w:val="20"/>
              </w:rPr>
            </w:pPr>
            <w:r w:rsidRPr="00834305">
              <w:rPr>
                <w:sz w:val="20"/>
                <w:szCs w:val="20"/>
              </w:rPr>
              <w:t>5</w:t>
            </w:r>
          </w:p>
        </w:tc>
        <w:tc>
          <w:tcPr>
            <w:tcW w:w="1040" w:type="dxa"/>
            <w:shd w:val="clear" w:color="auto" w:fill="auto"/>
          </w:tcPr>
          <w:p w14:paraId="5FBCC8C5" w14:textId="77777777" w:rsidR="00834305" w:rsidRPr="00834305" w:rsidRDefault="00834305" w:rsidP="00EC49C7">
            <w:pPr>
              <w:rPr>
                <w:sz w:val="20"/>
                <w:szCs w:val="20"/>
              </w:rPr>
            </w:pPr>
            <w:r w:rsidRPr="00834305">
              <w:rPr>
                <w:sz w:val="20"/>
                <w:szCs w:val="20"/>
              </w:rPr>
              <w:t>$87.17</w:t>
            </w:r>
          </w:p>
        </w:tc>
        <w:tc>
          <w:tcPr>
            <w:tcW w:w="2104" w:type="dxa"/>
            <w:shd w:val="clear" w:color="auto" w:fill="auto"/>
          </w:tcPr>
          <w:p w14:paraId="686F2048" w14:textId="77777777" w:rsidR="00834305" w:rsidRPr="00834305" w:rsidRDefault="00834305" w:rsidP="00EC49C7">
            <w:pPr>
              <w:rPr>
                <w:sz w:val="20"/>
                <w:szCs w:val="20"/>
              </w:rPr>
            </w:pPr>
            <w:proofErr w:type="spellStart"/>
            <w:r w:rsidRPr="00834305">
              <w:rPr>
                <w:sz w:val="20"/>
                <w:szCs w:val="20"/>
              </w:rPr>
              <w:t>Testogel</w:t>
            </w:r>
            <w:proofErr w:type="spellEnd"/>
            <w:r w:rsidRPr="00834305">
              <w:rPr>
                <w:sz w:val="20"/>
                <w:szCs w:val="20"/>
              </w:rPr>
              <w:t xml:space="preserve">® </w:t>
            </w:r>
            <w:proofErr w:type="spellStart"/>
            <w:r w:rsidRPr="00834305">
              <w:rPr>
                <w:sz w:val="20"/>
                <w:szCs w:val="20"/>
              </w:rPr>
              <w:t>Besins</w:t>
            </w:r>
            <w:proofErr w:type="spellEnd"/>
            <w:r w:rsidRPr="00834305">
              <w:rPr>
                <w:sz w:val="20"/>
                <w:szCs w:val="20"/>
              </w:rPr>
              <w:t xml:space="preserve"> Healthcare Australia Pty Ltd</w:t>
            </w:r>
          </w:p>
        </w:tc>
      </w:tr>
      <w:tr w:rsidR="00834305" w:rsidRPr="00834305" w14:paraId="0DC311A9" w14:textId="77777777" w:rsidTr="00834305">
        <w:trPr>
          <w:trHeight w:val="546"/>
          <w:tblHeader/>
        </w:trPr>
        <w:tc>
          <w:tcPr>
            <w:tcW w:w="969" w:type="dxa"/>
            <w:shd w:val="clear" w:color="auto" w:fill="auto"/>
          </w:tcPr>
          <w:p w14:paraId="5F62793B" w14:textId="77777777" w:rsidR="00834305" w:rsidRPr="00834305" w:rsidRDefault="00834305" w:rsidP="00EC49C7">
            <w:pPr>
              <w:rPr>
                <w:sz w:val="20"/>
                <w:szCs w:val="20"/>
              </w:rPr>
            </w:pPr>
            <w:r w:rsidRPr="00834305">
              <w:rPr>
                <w:sz w:val="20"/>
                <w:szCs w:val="20"/>
              </w:rPr>
              <w:lastRenderedPageBreak/>
              <w:t>2341F</w:t>
            </w:r>
          </w:p>
        </w:tc>
        <w:tc>
          <w:tcPr>
            <w:tcW w:w="2400" w:type="dxa"/>
            <w:shd w:val="clear" w:color="auto" w:fill="auto"/>
          </w:tcPr>
          <w:p w14:paraId="5FD1A3F3" w14:textId="77777777" w:rsidR="00834305" w:rsidRPr="00834305" w:rsidRDefault="00834305" w:rsidP="00EC49C7">
            <w:pPr>
              <w:rPr>
                <w:sz w:val="20"/>
                <w:szCs w:val="20"/>
              </w:rPr>
            </w:pPr>
            <w:r w:rsidRPr="00834305">
              <w:rPr>
                <w:sz w:val="20"/>
                <w:szCs w:val="20"/>
              </w:rPr>
              <w:t>Testosterone 2% (30 mg/actuation) solution, 60 actuations</w:t>
            </w:r>
          </w:p>
        </w:tc>
        <w:tc>
          <w:tcPr>
            <w:tcW w:w="1701" w:type="dxa"/>
            <w:shd w:val="clear" w:color="auto" w:fill="auto"/>
          </w:tcPr>
          <w:p w14:paraId="088B811D" w14:textId="77777777" w:rsidR="00834305" w:rsidRPr="00834305" w:rsidRDefault="00834305" w:rsidP="00EC49C7">
            <w:pPr>
              <w:rPr>
                <w:sz w:val="20"/>
                <w:szCs w:val="20"/>
              </w:rPr>
            </w:pPr>
            <w:r w:rsidRPr="00834305">
              <w:rPr>
                <w:sz w:val="20"/>
                <w:szCs w:val="20"/>
              </w:rPr>
              <w:t>1</w:t>
            </w:r>
          </w:p>
        </w:tc>
        <w:tc>
          <w:tcPr>
            <w:tcW w:w="850" w:type="dxa"/>
            <w:shd w:val="clear" w:color="auto" w:fill="auto"/>
          </w:tcPr>
          <w:p w14:paraId="6AE4F539" w14:textId="77777777" w:rsidR="00834305" w:rsidRPr="00834305" w:rsidRDefault="00834305" w:rsidP="00EC49C7">
            <w:pPr>
              <w:rPr>
                <w:sz w:val="20"/>
                <w:szCs w:val="20"/>
              </w:rPr>
            </w:pPr>
            <w:r w:rsidRPr="00834305">
              <w:rPr>
                <w:sz w:val="20"/>
                <w:szCs w:val="20"/>
              </w:rPr>
              <w:t>5</w:t>
            </w:r>
          </w:p>
        </w:tc>
        <w:tc>
          <w:tcPr>
            <w:tcW w:w="1040" w:type="dxa"/>
            <w:shd w:val="clear" w:color="auto" w:fill="auto"/>
          </w:tcPr>
          <w:p w14:paraId="6CA074AE" w14:textId="77777777" w:rsidR="00834305" w:rsidRPr="00834305" w:rsidRDefault="00834305" w:rsidP="00EC49C7">
            <w:pPr>
              <w:rPr>
                <w:sz w:val="20"/>
                <w:szCs w:val="20"/>
              </w:rPr>
            </w:pPr>
            <w:r w:rsidRPr="00834305">
              <w:rPr>
                <w:sz w:val="20"/>
                <w:szCs w:val="20"/>
              </w:rPr>
              <w:t>$76.23</w:t>
            </w:r>
          </w:p>
        </w:tc>
        <w:tc>
          <w:tcPr>
            <w:tcW w:w="2104" w:type="dxa"/>
            <w:shd w:val="clear" w:color="auto" w:fill="auto"/>
          </w:tcPr>
          <w:p w14:paraId="62A9237B" w14:textId="77777777" w:rsidR="00834305" w:rsidRPr="00834305" w:rsidRDefault="00834305" w:rsidP="00EC49C7">
            <w:pPr>
              <w:rPr>
                <w:sz w:val="20"/>
                <w:szCs w:val="20"/>
              </w:rPr>
            </w:pPr>
            <w:proofErr w:type="spellStart"/>
            <w:r w:rsidRPr="00834305">
              <w:rPr>
                <w:sz w:val="20"/>
                <w:szCs w:val="20"/>
              </w:rPr>
              <w:t>Axiron</w:t>
            </w:r>
            <w:proofErr w:type="spellEnd"/>
            <w:r w:rsidRPr="00834305">
              <w:rPr>
                <w:sz w:val="20"/>
                <w:szCs w:val="20"/>
              </w:rPr>
              <w:t>® Eli Lilly Australia Pty Ltd</w:t>
            </w:r>
          </w:p>
        </w:tc>
      </w:tr>
      <w:tr w:rsidR="00834305" w:rsidRPr="00834305" w14:paraId="43E15EAE" w14:textId="77777777" w:rsidTr="00834305">
        <w:trPr>
          <w:trHeight w:val="546"/>
          <w:tblHeader/>
        </w:trPr>
        <w:tc>
          <w:tcPr>
            <w:tcW w:w="969" w:type="dxa"/>
            <w:shd w:val="clear" w:color="auto" w:fill="auto"/>
          </w:tcPr>
          <w:p w14:paraId="0F892A0F" w14:textId="77777777" w:rsidR="00834305" w:rsidRPr="00834305" w:rsidRDefault="00834305" w:rsidP="00EC49C7">
            <w:pPr>
              <w:rPr>
                <w:sz w:val="20"/>
                <w:szCs w:val="20"/>
              </w:rPr>
            </w:pPr>
            <w:r w:rsidRPr="00834305">
              <w:rPr>
                <w:sz w:val="20"/>
                <w:szCs w:val="20"/>
              </w:rPr>
              <w:t>10378F</w:t>
            </w:r>
          </w:p>
        </w:tc>
        <w:tc>
          <w:tcPr>
            <w:tcW w:w="2400" w:type="dxa"/>
            <w:shd w:val="clear" w:color="auto" w:fill="auto"/>
          </w:tcPr>
          <w:p w14:paraId="1C1F34A1" w14:textId="77777777" w:rsidR="00834305" w:rsidRPr="00834305" w:rsidRDefault="00834305" w:rsidP="00EC49C7">
            <w:pPr>
              <w:rPr>
                <w:sz w:val="20"/>
                <w:szCs w:val="20"/>
              </w:rPr>
            </w:pPr>
            <w:r w:rsidRPr="00834305">
              <w:rPr>
                <w:sz w:val="20"/>
                <w:szCs w:val="20"/>
              </w:rPr>
              <w:t>Testosterone 5% (50 mg/mL) cream, 50 mL</w:t>
            </w:r>
          </w:p>
        </w:tc>
        <w:tc>
          <w:tcPr>
            <w:tcW w:w="1701" w:type="dxa"/>
            <w:shd w:val="clear" w:color="auto" w:fill="auto"/>
          </w:tcPr>
          <w:p w14:paraId="7432BA49" w14:textId="77777777" w:rsidR="00834305" w:rsidRPr="00834305" w:rsidRDefault="00834305" w:rsidP="00EC49C7">
            <w:pPr>
              <w:rPr>
                <w:sz w:val="20"/>
                <w:szCs w:val="20"/>
              </w:rPr>
            </w:pPr>
            <w:r w:rsidRPr="00834305">
              <w:rPr>
                <w:sz w:val="20"/>
                <w:szCs w:val="20"/>
              </w:rPr>
              <w:t>1</w:t>
            </w:r>
          </w:p>
        </w:tc>
        <w:tc>
          <w:tcPr>
            <w:tcW w:w="850" w:type="dxa"/>
            <w:shd w:val="clear" w:color="auto" w:fill="auto"/>
          </w:tcPr>
          <w:p w14:paraId="59216C64" w14:textId="77777777" w:rsidR="00834305" w:rsidRPr="00834305" w:rsidRDefault="00834305" w:rsidP="00EC49C7">
            <w:pPr>
              <w:rPr>
                <w:sz w:val="20"/>
                <w:szCs w:val="20"/>
              </w:rPr>
            </w:pPr>
            <w:r w:rsidRPr="00834305">
              <w:rPr>
                <w:sz w:val="20"/>
                <w:szCs w:val="20"/>
              </w:rPr>
              <w:t>6</w:t>
            </w:r>
          </w:p>
        </w:tc>
        <w:tc>
          <w:tcPr>
            <w:tcW w:w="1040" w:type="dxa"/>
            <w:shd w:val="clear" w:color="auto" w:fill="auto"/>
          </w:tcPr>
          <w:p w14:paraId="72482B7D" w14:textId="77777777" w:rsidR="00834305" w:rsidRPr="00834305" w:rsidRDefault="00834305" w:rsidP="00EC49C7">
            <w:pPr>
              <w:rPr>
                <w:sz w:val="20"/>
                <w:szCs w:val="20"/>
              </w:rPr>
            </w:pPr>
            <w:r w:rsidRPr="00834305">
              <w:rPr>
                <w:sz w:val="20"/>
                <w:szCs w:val="20"/>
              </w:rPr>
              <w:t>$73.42</w:t>
            </w:r>
          </w:p>
        </w:tc>
        <w:tc>
          <w:tcPr>
            <w:tcW w:w="2104" w:type="dxa"/>
            <w:shd w:val="clear" w:color="auto" w:fill="auto"/>
          </w:tcPr>
          <w:p w14:paraId="55B96194" w14:textId="77777777" w:rsidR="00834305" w:rsidRPr="00834305" w:rsidRDefault="00834305" w:rsidP="00EC49C7">
            <w:pPr>
              <w:rPr>
                <w:sz w:val="20"/>
                <w:szCs w:val="20"/>
              </w:rPr>
            </w:pPr>
            <w:proofErr w:type="spellStart"/>
            <w:r w:rsidRPr="00834305">
              <w:rPr>
                <w:sz w:val="20"/>
                <w:szCs w:val="20"/>
              </w:rPr>
              <w:t>Androforte</w:t>
            </w:r>
            <w:proofErr w:type="spellEnd"/>
            <w:r w:rsidRPr="00834305">
              <w:rPr>
                <w:sz w:val="20"/>
                <w:szCs w:val="20"/>
              </w:rPr>
              <w:t xml:space="preserve">® </w:t>
            </w:r>
            <w:proofErr w:type="spellStart"/>
            <w:r w:rsidRPr="00834305">
              <w:rPr>
                <w:sz w:val="20"/>
                <w:szCs w:val="20"/>
              </w:rPr>
              <w:t>Lawley</w:t>
            </w:r>
            <w:proofErr w:type="spellEnd"/>
            <w:r w:rsidRPr="00834305">
              <w:rPr>
                <w:sz w:val="20"/>
                <w:szCs w:val="20"/>
              </w:rPr>
              <w:t xml:space="preserve"> Pharmaceuticals Pty Ltd</w:t>
            </w:r>
          </w:p>
        </w:tc>
      </w:tr>
      <w:tr w:rsidR="00834305" w:rsidRPr="00834305" w14:paraId="07AC1E41" w14:textId="77777777" w:rsidTr="00834305">
        <w:trPr>
          <w:trHeight w:val="546"/>
          <w:tblHeader/>
        </w:trPr>
        <w:tc>
          <w:tcPr>
            <w:tcW w:w="969" w:type="dxa"/>
            <w:shd w:val="clear" w:color="auto" w:fill="auto"/>
          </w:tcPr>
          <w:p w14:paraId="37FA12FA" w14:textId="77777777" w:rsidR="00834305" w:rsidRPr="00834305" w:rsidRDefault="00834305" w:rsidP="00EC49C7">
            <w:pPr>
              <w:rPr>
                <w:sz w:val="20"/>
                <w:szCs w:val="20"/>
              </w:rPr>
            </w:pPr>
            <w:r w:rsidRPr="00834305">
              <w:rPr>
                <w:sz w:val="20"/>
                <w:szCs w:val="20"/>
              </w:rPr>
              <w:t>8460G</w:t>
            </w:r>
          </w:p>
        </w:tc>
        <w:tc>
          <w:tcPr>
            <w:tcW w:w="2400" w:type="dxa"/>
            <w:shd w:val="clear" w:color="auto" w:fill="auto"/>
          </w:tcPr>
          <w:p w14:paraId="0FB6CB87" w14:textId="77777777" w:rsidR="00834305" w:rsidRPr="00834305" w:rsidRDefault="00834305" w:rsidP="00EC49C7">
            <w:pPr>
              <w:rPr>
                <w:sz w:val="20"/>
                <w:szCs w:val="20"/>
              </w:rPr>
            </w:pPr>
            <w:r w:rsidRPr="00834305">
              <w:rPr>
                <w:sz w:val="20"/>
                <w:szCs w:val="20"/>
              </w:rPr>
              <w:t>Testosterone 2.5 mg/24 hours patch, 60</w:t>
            </w:r>
          </w:p>
        </w:tc>
        <w:tc>
          <w:tcPr>
            <w:tcW w:w="1701" w:type="dxa"/>
            <w:shd w:val="clear" w:color="auto" w:fill="auto"/>
          </w:tcPr>
          <w:p w14:paraId="72AAB130" w14:textId="77777777" w:rsidR="00834305" w:rsidRPr="00834305" w:rsidRDefault="00834305" w:rsidP="00EC49C7">
            <w:pPr>
              <w:rPr>
                <w:sz w:val="20"/>
                <w:szCs w:val="20"/>
              </w:rPr>
            </w:pPr>
            <w:r w:rsidRPr="00834305">
              <w:rPr>
                <w:sz w:val="20"/>
                <w:szCs w:val="20"/>
              </w:rPr>
              <w:t>1</w:t>
            </w:r>
          </w:p>
        </w:tc>
        <w:tc>
          <w:tcPr>
            <w:tcW w:w="850" w:type="dxa"/>
            <w:shd w:val="clear" w:color="auto" w:fill="auto"/>
          </w:tcPr>
          <w:p w14:paraId="195C72A7" w14:textId="77777777" w:rsidR="00834305" w:rsidRPr="00834305" w:rsidRDefault="00834305" w:rsidP="00EC49C7">
            <w:pPr>
              <w:rPr>
                <w:sz w:val="20"/>
                <w:szCs w:val="20"/>
              </w:rPr>
            </w:pPr>
            <w:r w:rsidRPr="00834305">
              <w:rPr>
                <w:sz w:val="20"/>
                <w:szCs w:val="20"/>
              </w:rPr>
              <w:t>5</w:t>
            </w:r>
          </w:p>
        </w:tc>
        <w:tc>
          <w:tcPr>
            <w:tcW w:w="1040" w:type="dxa"/>
            <w:shd w:val="clear" w:color="auto" w:fill="auto"/>
          </w:tcPr>
          <w:p w14:paraId="0AA74005" w14:textId="77777777" w:rsidR="00834305" w:rsidRPr="00834305" w:rsidRDefault="00834305" w:rsidP="00EC49C7">
            <w:pPr>
              <w:rPr>
                <w:sz w:val="20"/>
                <w:szCs w:val="20"/>
              </w:rPr>
            </w:pPr>
            <w:r w:rsidRPr="00834305">
              <w:rPr>
                <w:sz w:val="20"/>
                <w:szCs w:val="20"/>
              </w:rPr>
              <w:t>$87.78</w:t>
            </w:r>
          </w:p>
        </w:tc>
        <w:tc>
          <w:tcPr>
            <w:tcW w:w="2104" w:type="dxa"/>
            <w:shd w:val="clear" w:color="auto" w:fill="auto"/>
          </w:tcPr>
          <w:p w14:paraId="4D4FC101" w14:textId="77777777" w:rsidR="00834305" w:rsidRPr="00834305" w:rsidRDefault="00834305" w:rsidP="00EC49C7">
            <w:pPr>
              <w:rPr>
                <w:sz w:val="20"/>
                <w:szCs w:val="20"/>
              </w:rPr>
            </w:pPr>
            <w:proofErr w:type="spellStart"/>
            <w:r w:rsidRPr="00834305">
              <w:rPr>
                <w:sz w:val="20"/>
                <w:szCs w:val="20"/>
              </w:rPr>
              <w:t>Androderm</w:t>
            </w:r>
            <w:proofErr w:type="spellEnd"/>
            <w:r w:rsidRPr="00834305">
              <w:rPr>
                <w:sz w:val="20"/>
                <w:szCs w:val="20"/>
              </w:rPr>
              <w:t>® Allergan Australia Pty Ltd</w:t>
            </w:r>
          </w:p>
        </w:tc>
      </w:tr>
      <w:tr w:rsidR="00834305" w:rsidRPr="00834305" w14:paraId="278DEAF7" w14:textId="77777777" w:rsidTr="00834305">
        <w:trPr>
          <w:trHeight w:val="546"/>
          <w:tblHeader/>
        </w:trPr>
        <w:tc>
          <w:tcPr>
            <w:tcW w:w="969" w:type="dxa"/>
            <w:shd w:val="clear" w:color="auto" w:fill="auto"/>
          </w:tcPr>
          <w:p w14:paraId="711163C0" w14:textId="77777777" w:rsidR="00834305" w:rsidRPr="00834305" w:rsidRDefault="00834305" w:rsidP="00EC49C7">
            <w:pPr>
              <w:rPr>
                <w:sz w:val="20"/>
                <w:szCs w:val="20"/>
              </w:rPr>
            </w:pPr>
            <w:r w:rsidRPr="00834305">
              <w:rPr>
                <w:sz w:val="20"/>
                <w:szCs w:val="20"/>
              </w:rPr>
              <w:t>8619P</w:t>
            </w:r>
          </w:p>
        </w:tc>
        <w:tc>
          <w:tcPr>
            <w:tcW w:w="2400" w:type="dxa"/>
            <w:shd w:val="clear" w:color="auto" w:fill="auto"/>
          </w:tcPr>
          <w:p w14:paraId="432CA92C" w14:textId="77777777" w:rsidR="00834305" w:rsidRPr="00834305" w:rsidRDefault="00834305" w:rsidP="00EC49C7">
            <w:pPr>
              <w:rPr>
                <w:sz w:val="20"/>
                <w:szCs w:val="20"/>
              </w:rPr>
            </w:pPr>
            <w:r w:rsidRPr="00834305">
              <w:rPr>
                <w:sz w:val="20"/>
                <w:szCs w:val="20"/>
              </w:rPr>
              <w:t>Testosterone 5 mg/24 hours patch, 30</w:t>
            </w:r>
          </w:p>
        </w:tc>
        <w:tc>
          <w:tcPr>
            <w:tcW w:w="1701" w:type="dxa"/>
            <w:shd w:val="clear" w:color="auto" w:fill="auto"/>
          </w:tcPr>
          <w:p w14:paraId="2362D088" w14:textId="77777777" w:rsidR="00834305" w:rsidRPr="00834305" w:rsidRDefault="00834305" w:rsidP="00EC49C7">
            <w:pPr>
              <w:rPr>
                <w:sz w:val="20"/>
                <w:szCs w:val="20"/>
              </w:rPr>
            </w:pPr>
            <w:r w:rsidRPr="00834305">
              <w:rPr>
                <w:sz w:val="20"/>
                <w:szCs w:val="20"/>
              </w:rPr>
              <w:t>1</w:t>
            </w:r>
          </w:p>
        </w:tc>
        <w:tc>
          <w:tcPr>
            <w:tcW w:w="850" w:type="dxa"/>
            <w:shd w:val="clear" w:color="auto" w:fill="auto"/>
          </w:tcPr>
          <w:p w14:paraId="20E6B931" w14:textId="77777777" w:rsidR="00834305" w:rsidRPr="00834305" w:rsidRDefault="00834305" w:rsidP="00EC49C7">
            <w:pPr>
              <w:rPr>
                <w:sz w:val="20"/>
                <w:szCs w:val="20"/>
              </w:rPr>
            </w:pPr>
            <w:r w:rsidRPr="00834305">
              <w:rPr>
                <w:sz w:val="20"/>
                <w:szCs w:val="20"/>
              </w:rPr>
              <w:t>5</w:t>
            </w:r>
          </w:p>
        </w:tc>
        <w:tc>
          <w:tcPr>
            <w:tcW w:w="1040" w:type="dxa"/>
            <w:shd w:val="clear" w:color="auto" w:fill="auto"/>
          </w:tcPr>
          <w:p w14:paraId="4E5B40BA" w14:textId="77777777" w:rsidR="00834305" w:rsidRPr="00834305" w:rsidRDefault="00834305" w:rsidP="00EC49C7">
            <w:pPr>
              <w:rPr>
                <w:sz w:val="20"/>
                <w:szCs w:val="20"/>
              </w:rPr>
            </w:pPr>
            <w:r w:rsidRPr="00834305">
              <w:rPr>
                <w:sz w:val="20"/>
                <w:szCs w:val="20"/>
              </w:rPr>
              <w:t>$87.78</w:t>
            </w:r>
          </w:p>
        </w:tc>
        <w:tc>
          <w:tcPr>
            <w:tcW w:w="2104" w:type="dxa"/>
            <w:shd w:val="clear" w:color="auto" w:fill="auto"/>
          </w:tcPr>
          <w:p w14:paraId="1DCEF4B1" w14:textId="77777777" w:rsidR="00834305" w:rsidRPr="00834305" w:rsidRDefault="00834305" w:rsidP="00EC49C7">
            <w:pPr>
              <w:rPr>
                <w:sz w:val="20"/>
                <w:szCs w:val="20"/>
              </w:rPr>
            </w:pPr>
            <w:proofErr w:type="spellStart"/>
            <w:r w:rsidRPr="00834305">
              <w:rPr>
                <w:sz w:val="20"/>
                <w:szCs w:val="20"/>
              </w:rPr>
              <w:t>Androderm</w:t>
            </w:r>
            <w:proofErr w:type="spellEnd"/>
            <w:r w:rsidRPr="00834305">
              <w:rPr>
                <w:sz w:val="20"/>
                <w:szCs w:val="20"/>
              </w:rPr>
              <w:t>® Allergan Australia Pty Ltd</w:t>
            </w:r>
          </w:p>
        </w:tc>
      </w:tr>
    </w:tbl>
    <w:p w14:paraId="0A7BD635" w14:textId="77777777" w:rsidR="00834305" w:rsidRPr="0084770F" w:rsidRDefault="00834305" w:rsidP="00834305">
      <w:pPr>
        <w:rPr>
          <w:sz w:val="20"/>
          <w:szCs w:val="20"/>
        </w:rPr>
      </w:pPr>
      <w:r w:rsidRPr="0084770F">
        <w:rPr>
          <w:sz w:val="20"/>
          <w:szCs w:val="20"/>
        </w:rPr>
        <w:t xml:space="preserve">Source: the </w:t>
      </w:r>
      <w:hyperlink r:id="rId13" w:history="1">
        <w:r w:rsidRPr="0084770F">
          <w:rPr>
            <w:rStyle w:val="Hyperlink"/>
            <w:sz w:val="20"/>
            <w:szCs w:val="20"/>
          </w:rPr>
          <w:t>PBS website</w:t>
        </w:r>
      </w:hyperlink>
      <w:r w:rsidRPr="0084770F">
        <w:rPr>
          <w:sz w:val="20"/>
          <w:szCs w:val="20"/>
        </w:rPr>
        <w:t xml:space="preserve">. </w:t>
      </w:r>
    </w:p>
    <w:p w14:paraId="4BD565E0" w14:textId="77777777" w:rsidR="00834305" w:rsidRPr="00834305" w:rsidRDefault="00834305" w:rsidP="00834305">
      <w:pPr>
        <w:rPr>
          <w:b/>
          <w:i/>
        </w:rPr>
      </w:pPr>
      <w:r w:rsidRPr="00834305">
        <w:rPr>
          <w:b/>
          <w:i/>
        </w:rPr>
        <w:t>Restriction</w:t>
      </w:r>
    </w:p>
    <w:p w14:paraId="54B22C2C" w14:textId="023D06D4" w:rsidR="00834305" w:rsidRPr="00834305" w:rsidRDefault="00834305" w:rsidP="00834305">
      <w:r w:rsidRPr="00834305">
        <w:t xml:space="preserve">All the testosterone items in the above table are PBS-listed for androgen deficiency, micropenis, pubertal induction and the delay in growth or onset of puberty. For a list of restriction codes for the classical androgen deficiencies, refer </w:t>
      </w:r>
      <w:r w:rsidRPr="00F739A6">
        <w:t xml:space="preserve">to Appendix </w:t>
      </w:r>
      <w:r w:rsidR="00F739A6" w:rsidRPr="00F739A6">
        <w:t>A</w:t>
      </w:r>
      <w:r w:rsidRPr="00F739A6">
        <w:t>.</w:t>
      </w:r>
      <w:r w:rsidRPr="00834305">
        <w:t xml:space="preserve"> </w:t>
      </w:r>
    </w:p>
    <w:p w14:paraId="5255801B" w14:textId="3C4048EC" w:rsidR="00834305" w:rsidRPr="00834305" w:rsidRDefault="00834305" w:rsidP="00834305">
      <w:r w:rsidRPr="00834305">
        <w:t>For both classical and non-classical andr</w:t>
      </w:r>
      <w:r w:rsidR="00EC49C7">
        <w:t>ogen deficiencies, a telephone a</w:t>
      </w:r>
      <w:r w:rsidRPr="00834305">
        <w:t xml:space="preserve">uthority approval must be obtained by the prescriber from the Department of Human Services. The level of approval was not altered by the change to the PBS restriction that occurred on 1 April 2015. </w:t>
      </w:r>
    </w:p>
    <w:p w14:paraId="352069C5" w14:textId="77777777" w:rsidR="00834305" w:rsidRPr="00834305" w:rsidRDefault="00834305" w:rsidP="00834305">
      <w:r w:rsidRPr="00834305">
        <w:t xml:space="preserve">For details of the current PBS-listing refer to the </w:t>
      </w:r>
      <w:hyperlink r:id="rId14" w:history="1">
        <w:r w:rsidRPr="00834305">
          <w:rPr>
            <w:rStyle w:val="Hyperlink"/>
          </w:rPr>
          <w:t>PBS website</w:t>
        </w:r>
      </w:hyperlink>
      <w:r w:rsidRPr="00834305">
        <w:rPr>
          <w:u w:val="single"/>
        </w:rPr>
        <w:t>.</w:t>
      </w:r>
    </w:p>
    <w:p w14:paraId="37867BDD" w14:textId="77777777" w:rsidR="00834305" w:rsidRDefault="00834305" w:rsidP="00834305">
      <w:pPr>
        <w:rPr>
          <w:b/>
          <w:i/>
        </w:rPr>
      </w:pPr>
      <w:r w:rsidRPr="00834305">
        <w:rPr>
          <w:b/>
          <w:i/>
        </w:rPr>
        <w:t>PBS Restriction (abridged) for testosterone before and after the change</w:t>
      </w:r>
    </w:p>
    <w:p w14:paraId="093A4CEC" w14:textId="76A635E8" w:rsidR="00EC49C7" w:rsidRDefault="00EC49C7" w:rsidP="00834305">
      <w:r>
        <w:t xml:space="preserve">The following table outlines the abridged restriction before and after the </w:t>
      </w:r>
      <w:r w:rsidR="00454162">
        <w:t xml:space="preserve">restriction </w:t>
      </w:r>
      <w:r>
        <w:t xml:space="preserve">change occurred. </w:t>
      </w:r>
      <w:r w:rsidR="00E849C8">
        <w:t>On 1 October 2015, the restriction was changed to remove the term ‘males’ from the restriction. T</w:t>
      </w:r>
      <w:r>
        <w:t xml:space="preserve">he current restriction </w:t>
      </w:r>
      <w:r w:rsidR="00454162">
        <w:t xml:space="preserve">in Table 2 </w:t>
      </w:r>
      <w:r>
        <w:t xml:space="preserve">includes all changes made to the restriction </w:t>
      </w:r>
      <w:r w:rsidR="00454162">
        <w:t>on and after</w:t>
      </w:r>
      <w:r>
        <w:t xml:space="preserve"> 1 April 2015.</w:t>
      </w:r>
    </w:p>
    <w:p w14:paraId="18691F85" w14:textId="47942ACE" w:rsidR="00EC49C7" w:rsidRPr="00EC49C7" w:rsidRDefault="00EC49C7" w:rsidP="00EC49C7">
      <w:pPr>
        <w:spacing w:after="0"/>
        <w:rPr>
          <w:b/>
        </w:rPr>
      </w:pPr>
      <w:r w:rsidRPr="00F739A6">
        <w:rPr>
          <w:b/>
        </w:rPr>
        <w:t xml:space="preserve">Table </w:t>
      </w:r>
      <w:r w:rsidR="00F739A6" w:rsidRPr="00F739A6">
        <w:rPr>
          <w:b/>
        </w:rPr>
        <w:t>2</w:t>
      </w:r>
      <w:r>
        <w:rPr>
          <w:b/>
        </w:rPr>
        <w:t>: Restriction before and after the restriction change</w:t>
      </w:r>
    </w:p>
    <w:tbl>
      <w:tblPr>
        <w:tblStyle w:val="TableGrid"/>
        <w:tblW w:w="9180" w:type="dxa"/>
        <w:tblLook w:val="04A0" w:firstRow="1" w:lastRow="0" w:firstColumn="1" w:lastColumn="0" w:noHBand="0" w:noVBand="1"/>
        <w:tblCaption w:val="Restriction before and after the restriction change"/>
        <w:tblDescription w:val="Two columns indicating the changes to the restriction before and after April 2015. The main changes have been to where the condition must not be due to a number of issues; reduction in the testosterone nmol per L levels; and that the patient must be treated by or have an appointment to see certain specialists."/>
      </w:tblPr>
      <w:tblGrid>
        <w:gridCol w:w="4503"/>
        <w:gridCol w:w="4677"/>
      </w:tblGrid>
      <w:tr w:rsidR="00834305" w:rsidRPr="00834305" w14:paraId="0CFB5A85" w14:textId="77777777" w:rsidTr="00E12E3C">
        <w:trPr>
          <w:tblHeader/>
        </w:trPr>
        <w:tc>
          <w:tcPr>
            <w:tcW w:w="4503" w:type="dxa"/>
            <w:tcBorders>
              <w:bottom w:val="single" w:sz="4" w:space="0" w:color="auto"/>
            </w:tcBorders>
            <w:shd w:val="clear" w:color="auto" w:fill="BFBFBF" w:themeFill="background1" w:themeFillShade="BF"/>
          </w:tcPr>
          <w:p w14:paraId="3D4AAA32" w14:textId="77777777" w:rsidR="00834305" w:rsidRPr="00834305" w:rsidRDefault="00834305" w:rsidP="00834305">
            <w:pPr>
              <w:jc w:val="center"/>
              <w:rPr>
                <w:b/>
                <w:sz w:val="20"/>
                <w:szCs w:val="20"/>
              </w:rPr>
            </w:pPr>
            <w:r w:rsidRPr="00834305">
              <w:rPr>
                <w:b/>
                <w:sz w:val="20"/>
                <w:szCs w:val="20"/>
              </w:rPr>
              <w:t>Prior to April 2015</w:t>
            </w:r>
          </w:p>
        </w:tc>
        <w:tc>
          <w:tcPr>
            <w:tcW w:w="4677" w:type="dxa"/>
            <w:tcBorders>
              <w:bottom w:val="single" w:sz="4" w:space="0" w:color="auto"/>
            </w:tcBorders>
            <w:shd w:val="clear" w:color="auto" w:fill="BFBFBF" w:themeFill="background1" w:themeFillShade="BF"/>
          </w:tcPr>
          <w:p w14:paraId="747022FE" w14:textId="77777777" w:rsidR="00834305" w:rsidRPr="00834305" w:rsidRDefault="00834305" w:rsidP="00834305">
            <w:pPr>
              <w:jc w:val="center"/>
              <w:rPr>
                <w:b/>
                <w:sz w:val="20"/>
                <w:szCs w:val="20"/>
              </w:rPr>
            </w:pPr>
            <w:r w:rsidRPr="00834305">
              <w:rPr>
                <w:b/>
                <w:sz w:val="20"/>
                <w:szCs w:val="20"/>
              </w:rPr>
              <w:t>Current</w:t>
            </w:r>
          </w:p>
        </w:tc>
      </w:tr>
      <w:tr w:rsidR="00834305" w:rsidRPr="00834305" w14:paraId="3E54E4CB" w14:textId="77777777" w:rsidTr="00834305">
        <w:tc>
          <w:tcPr>
            <w:tcW w:w="4503" w:type="dxa"/>
            <w:tcBorders>
              <w:bottom w:val="nil"/>
            </w:tcBorders>
          </w:tcPr>
          <w:p w14:paraId="21CC578A" w14:textId="77777777" w:rsidR="00834305" w:rsidRPr="00834305" w:rsidRDefault="00834305" w:rsidP="00834305">
            <w:pPr>
              <w:rPr>
                <w:sz w:val="20"/>
                <w:szCs w:val="20"/>
              </w:rPr>
            </w:pPr>
            <w:r w:rsidRPr="00834305">
              <w:rPr>
                <w:sz w:val="20"/>
                <w:szCs w:val="20"/>
              </w:rPr>
              <w:t>Androgen deficiency</w:t>
            </w:r>
          </w:p>
        </w:tc>
        <w:tc>
          <w:tcPr>
            <w:tcW w:w="4677" w:type="dxa"/>
            <w:tcBorders>
              <w:bottom w:val="nil"/>
            </w:tcBorders>
          </w:tcPr>
          <w:p w14:paraId="37471DF4" w14:textId="77777777" w:rsidR="00834305" w:rsidRPr="00834305" w:rsidRDefault="00834305" w:rsidP="00834305">
            <w:pPr>
              <w:rPr>
                <w:sz w:val="20"/>
                <w:szCs w:val="20"/>
              </w:rPr>
            </w:pPr>
            <w:r w:rsidRPr="00834305">
              <w:rPr>
                <w:sz w:val="20"/>
                <w:szCs w:val="20"/>
              </w:rPr>
              <w:t>Androgen deficiency</w:t>
            </w:r>
          </w:p>
        </w:tc>
      </w:tr>
      <w:tr w:rsidR="00834305" w:rsidRPr="00834305" w14:paraId="5801AD42" w14:textId="77777777" w:rsidTr="00834305">
        <w:tc>
          <w:tcPr>
            <w:tcW w:w="4503" w:type="dxa"/>
            <w:tcBorders>
              <w:top w:val="nil"/>
              <w:bottom w:val="nil"/>
            </w:tcBorders>
          </w:tcPr>
          <w:p w14:paraId="59DA20B4" w14:textId="77777777" w:rsidR="00834305" w:rsidRPr="00834305" w:rsidRDefault="00834305" w:rsidP="00834305">
            <w:pPr>
              <w:numPr>
                <w:ilvl w:val="0"/>
                <w:numId w:val="10"/>
              </w:numPr>
              <w:rPr>
                <w:sz w:val="20"/>
                <w:szCs w:val="20"/>
              </w:rPr>
            </w:pPr>
            <w:r w:rsidRPr="00834305">
              <w:rPr>
                <w:sz w:val="20"/>
                <w:szCs w:val="20"/>
              </w:rPr>
              <w:t>in males 40 years or older</w:t>
            </w:r>
          </w:p>
        </w:tc>
        <w:tc>
          <w:tcPr>
            <w:tcW w:w="4677" w:type="dxa"/>
            <w:tcBorders>
              <w:top w:val="nil"/>
              <w:bottom w:val="nil"/>
            </w:tcBorders>
          </w:tcPr>
          <w:p w14:paraId="202574E1" w14:textId="77777777" w:rsidR="00834305" w:rsidRPr="00834305" w:rsidRDefault="00834305" w:rsidP="00834305">
            <w:pPr>
              <w:numPr>
                <w:ilvl w:val="0"/>
                <w:numId w:val="10"/>
              </w:numPr>
              <w:rPr>
                <w:sz w:val="20"/>
                <w:szCs w:val="20"/>
              </w:rPr>
            </w:pPr>
            <w:r w:rsidRPr="00834305">
              <w:rPr>
                <w:sz w:val="20"/>
                <w:szCs w:val="20"/>
              </w:rPr>
              <w:t>in patients 40 years or older</w:t>
            </w:r>
          </w:p>
        </w:tc>
      </w:tr>
      <w:tr w:rsidR="00834305" w:rsidRPr="00834305" w14:paraId="0EF6A0FD" w14:textId="77777777" w:rsidTr="00834305">
        <w:tc>
          <w:tcPr>
            <w:tcW w:w="4503" w:type="dxa"/>
            <w:tcBorders>
              <w:top w:val="nil"/>
              <w:bottom w:val="nil"/>
            </w:tcBorders>
          </w:tcPr>
          <w:p w14:paraId="5360AECB" w14:textId="77777777" w:rsidR="00834305" w:rsidRPr="00834305" w:rsidRDefault="00834305" w:rsidP="00834305">
            <w:pPr>
              <w:numPr>
                <w:ilvl w:val="0"/>
                <w:numId w:val="10"/>
              </w:numPr>
              <w:rPr>
                <w:sz w:val="20"/>
                <w:szCs w:val="20"/>
              </w:rPr>
            </w:pPr>
            <w:r w:rsidRPr="00834305">
              <w:rPr>
                <w:sz w:val="20"/>
                <w:szCs w:val="20"/>
              </w:rPr>
              <w:t>who do not have established pituitary or testicular disorders other than aging</w:t>
            </w:r>
          </w:p>
        </w:tc>
        <w:tc>
          <w:tcPr>
            <w:tcW w:w="4677" w:type="dxa"/>
            <w:tcBorders>
              <w:top w:val="nil"/>
              <w:bottom w:val="nil"/>
            </w:tcBorders>
          </w:tcPr>
          <w:p w14:paraId="3F1E7837" w14:textId="77777777" w:rsidR="00834305" w:rsidRPr="00834305" w:rsidRDefault="00834305" w:rsidP="00834305">
            <w:pPr>
              <w:numPr>
                <w:ilvl w:val="0"/>
                <w:numId w:val="10"/>
              </w:numPr>
              <w:rPr>
                <w:sz w:val="20"/>
                <w:szCs w:val="20"/>
              </w:rPr>
            </w:pPr>
            <w:proofErr w:type="gramStart"/>
            <w:r w:rsidRPr="00834305">
              <w:rPr>
                <w:sz w:val="20"/>
                <w:szCs w:val="20"/>
              </w:rPr>
              <w:t>who</w:t>
            </w:r>
            <w:proofErr w:type="gramEnd"/>
            <w:r w:rsidRPr="00834305">
              <w:rPr>
                <w:sz w:val="20"/>
                <w:szCs w:val="20"/>
              </w:rPr>
              <w:t xml:space="preserve"> do not have established pituitary or testicular disorders and the condition must not be due to age, obesity, cardiovascular diseases, infertility or drugs.</w:t>
            </w:r>
          </w:p>
        </w:tc>
      </w:tr>
      <w:tr w:rsidR="00834305" w:rsidRPr="00834305" w14:paraId="0B50C416" w14:textId="77777777" w:rsidTr="00834305">
        <w:tc>
          <w:tcPr>
            <w:tcW w:w="4503" w:type="dxa"/>
            <w:tcBorders>
              <w:top w:val="nil"/>
              <w:bottom w:val="nil"/>
            </w:tcBorders>
          </w:tcPr>
          <w:p w14:paraId="268AB692" w14:textId="77777777" w:rsidR="00834305" w:rsidRPr="00834305" w:rsidRDefault="00834305" w:rsidP="00834305">
            <w:pPr>
              <w:numPr>
                <w:ilvl w:val="0"/>
                <w:numId w:val="10"/>
              </w:numPr>
              <w:rPr>
                <w:sz w:val="20"/>
                <w:szCs w:val="20"/>
              </w:rPr>
            </w:pPr>
            <w:proofErr w:type="gramStart"/>
            <w:r w:rsidRPr="00834305">
              <w:rPr>
                <w:sz w:val="20"/>
                <w:szCs w:val="20"/>
              </w:rPr>
              <w:t>confirmed</w:t>
            </w:r>
            <w:proofErr w:type="gramEnd"/>
            <w:r w:rsidRPr="00834305">
              <w:rPr>
                <w:sz w:val="20"/>
                <w:szCs w:val="20"/>
              </w:rPr>
              <w:t xml:space="preserve"> by at least 2 morning blood samples taken on different mornings. </w:t>
            </w:r>
          </w:p>
        </w:tc>
        <w:tc>
          <w:tcPr>
            <w:tcW w:w="4677" w:type="dxa"/>
            <w:tcBorders>
              <w:top w:val="nil"/>
              <w:bottom w:val="nil"/>
            </w:tcBorders>
          </w:tcPr>
          <w:p w14:paraId="328ABC68" w14:textId="77777777" w:rsidR="00834305" w:rsidRPr="00834305" w:rsidRDefault="00834305" w:rsidP="00834305">
            <w:pPr>
              <w:numPr>
                <w:ilvl w:val="0"/>
                <w:numId w:val="10"/>
              </w:numPr>
              <w:rPr>
                <w:sz w:val="20"/>
                <w:szCs w:val="20"/>
              </w:rPr>
            </w:pPr>
            <w:proofErr w:type="gramStart"/>
            <w:r w:rsidRPr="00834305">
              <w:rPr>
                <w:sz w:val="20"/>
                <w:szCs w:val="20"/>
              </w:rPr>
              <w:t>confirmed</w:t>
            </w:r>
            <w:proofErr w:type="gramEnd"/>
            <w:r w:rsidRPr="00834305">
              <w:rPr>
                <w:sz w:val="20"/>
                <w:szCs w:val="20"/>
              </w:rPr>
              <w:t xml:space="preserve"> by at least 2 morning blood samples taken on different mornings.</w:t>
            </w:r>
          </w:p>
          <w:p w14:paraId="0F6AB28F" w14:textId="77777777" w:rsidR="00834305" w:rsidRPr="00834305" w:rsidRDefault="00834305" w:rsidP="00834305">
            <w:pPr>
              <w:rPr>
                <w:sz w:val="20"/>
                <w:szCs w:val="20"/>
              </w:rPr>
            </w:pPr>
          </w:p>
        </w:tc>
      </w:tr>
      <w:tr w:rsidR="00834305" w:rsidRPr="00834305" w14:paraId="4FD3B3CA" w14:textId="77777777" w:rsidTr="00834305">
        <w:tc>
          <w:tcPr>
            <w:tcW w:w="4503" w:type="dxa"/>
            <w:tcBorders>
              <w:top w:val="nil"/>
              <w:bottom w:val="nil"/>
            </w:tcBorders>
          </w:tcPr>
          <w:p w14:paraId="347F32F2" w14:textId="77777777" w:rsidR="00834305" w:rsidRPr="00834305" w:rsidRDefault="00834305" w:rsidP="00834305">
            <w:pPr>
              <w:numPr>
                <w:ilvl w:val="0"/>
                <w:numId w:val="10"/>
              </w:numPr>
              <w:rPr>
                <w:sz w:val="20"/>
                <w:szCs w:val="20"/>
              </w:rPr>
            </w:pPr>
            <w:r w:rsidRPr="00834305">
              <w:rPr>
                <w:sz w:val="20"/>
                <w:szCs w:val="20"/>
              </w:rPr>
              <w:t>defined as</w:t>
            </w:r>
          </w:p>
          <w:p w14:paraId="7C256513" w14:textId="77777777" w:rsidR="00EC49C7" w:rsidRDefault="00834305" w:rsidP="00EC49C7">
            <w:pPr>
              <w:numPr>
                <w:ilvl w:val="0"/>
                <w:numId w:val="9"/>
              </w:numPr>
              <w:ind w:hanging="294"/>
              <w:rPr>
                <w:sz w:val="20"/>
                <w:szCs w:val="20"/>
              </w:rPr>
            </w:pPr>
            <w:r w:rsidRPr="00834305">
              <w:rPr>
                <w:sz w:val="20"/>
                <w:szCs w:val="20"/>
              </w:rPr>
              <w:t xml:space="preserve">testosterone less than 8 </w:t>
            </w:r>
            <w:proofErr w:type="spellStart"/>
            <w:r w:rsidRPr="00834305">
              <w:rPr>
                <w:sz w:val="20"/>
                <w:szCs w:val="20"/>
              </w:rPr>
              <w:t>nmol</w:t>
            </w:r>
            <w:proofErr w:type="spellEnd"/>
            <w:r w:rsidRPr="00834305">
              <w:rPr>
                <w:sz w:val="20"/>
                <w:szCs w:val="20"/>
              </w:rPr>
              <w:t xml:space="preserve"> per L; </w:t>
            </w:r>
          </w:p>
          <w:p w14:paraId="0ED2352D" w14:textId="36BD0499" w:rsidR="00834305" w:rsidRPr="00834305" w:rsidRDefault="00EC49C7" w:rsidP="00EC49C7">
            <w:pPr>
              <w:rPr>
                <w:sz w:val="20"/>
                <w:szCs w:val="20"/>
              </w:rPr>
            </w:pPr>
            <w:r>
              <w:rPr>
                <w:sz w:val="20"/>
                <w:szCs w:val="20"/>
              </w:rPr>
              <w:t xml:space="preserve">        </w:t>
            </w:r>
            <w:r w:rsidR="00834305" w:rsidRPr="00834305">
              <w:rPr>
                <w:sz w:val="20"/>
                <w:szCs w:val="20"/>
              </w:rPr>
              <w:t>OR</w:t>
            </w:r>
          </w:p>
          <w:p w14:paraId="314EA8DC" w14:textId="77777777" w:rsidR="00834305" w:rsidRPr="00834305" w:rsidDel="00BD43F3" w:rsidRDefault="00834305" w:rsidP="00EC49C7">
            <w:pPr>
              <w:numPr>
                <w:ilvl w:val="0"/>
                <w:numId w:val="9"/>
              </w:numPr>
              <w:ind w:hanging="294"/>
              <w:rPr>
                <w:sz w:val="20"/>
                <w:szCs w:val="20"/>
              </w:rPr>
            </w:pPr>
            <w:r w:rsidRPr="00834305">
              <w:rPr>
                <w:sz w:val="20"/>
                <w:szCs w:val="20"/>
              </w:rPr>
              <w:t xml:space="preserve">testosterone 8-15 </w:t>
            </w:r>
            <w:proofErr w:type="spellStart"/>
            <w:r w:rsidRPr="00834305">
              <w:rPr>
                <w:sz w:val="20"/>
                <w:szCs w:val="20"/>
              </w:rPr>
              <w:t>nmol</w:t>
            </w:r>
            <w:proofErr w:type="spellEnd"/>
            <w:r w:rsidRPr="00834305">
              <w:rPr>
                <w:sz w:val="20"/>
                <w:szCs w:val="20"/>
              </w:rPr>
              <w:t xml:space="preserve"> per L with high luteinising hormone (LH) (greater than 1.5 times the upper limit of the </w:t>
            </w:r>
            <w:proofErr w:type="spellStart"/>
            <w:r w:rsidRPr="00834305">
              <w:rPr>
                <w:sz w:val="20"/>
                <w:szCs w:val="20"/>
              </w:rPr>
              <w:t>eugonadal</w:t>
            </w:r>
            <w:proofErr w:type="spellEnd"/>
            <w:r w:rsidRPr="00834305">
              <w:rPr>
                <w:sz w:val="20"/>
                <w:szCs w:val="20"/>
              </w:rPr>
              <w:t xml:space="preserve"> reference range for young men)</w:t>
            </w:r>
          </w:p>
        </w:tc>
        <w:tc>
          <w:tcPr>
            <w:tcW w:w="4677" w:type="dxa"/>
            <w:tcBorders>
              <w:top w:val="nil"/>
              <w:bottom w:val="nil"/>
            </w:tcBorders>
          </w:tcPr>
          <w:p w14:paraId="31B0CB87" w14:textId="77777777" w:rsidR="00834305" w:rsidRPr="00834305" w:rsidRDefault="00834305" w:rsidP="00834305">
            <w:pPr>
              <w:numPr>
                <w:ilvl w:val="0"/>
                <w:numId w:val="10"/>
              </w:numPr>
              <w:rPr>
                <w:sz w:val="20"/>
                <w:szCs w:val="20"/>
              </w:rPr>
            </w:pPr>
            <w:r w:rsidRPr="00834305">
              <w:rPr>
                <w:sz w:val="20"/>
                <w:szCs w:val="20"/>
              </w:rPr>
              <w:t>defined as</w:t>
            </w:r>
          </w:p>
          <w:p w14:paraId="667CB815" w14:textId="77777777" w:rsidR="00834305" w:rsidRPr="00834305" w:rsidRDefault="00834305" w:rsidP="00EC49C7">
            <w:pPr>
              <w:numPr>
                <w:ilvl w:val="0"/>
                <w:numId w:val="8"/>
              </w:numPr>
              <w:ind w:left="884" w:hanging="425"/>
              <w:rPr>
                <w:sz w:val="20"/>
                <w:szCs w:val="20"/>
              </w:rPr>
            </w:pPr>
            <w:r w:rsidRPr="00834305">
              <w:rPr>
                <w:sz w:val="20"/>
                <w:szCs w:val="20"/>
              </w:rPr>
              <w:t xml:space="preserve">testosterone less than 6 </w:t>
            </w:r>
            <w:proofErr w:type="spellStart"/>
            <w:r w:rsidRPr="00834305">
              <w:rPr>
                <w:sz w:val="20"/>
                <w:szCs w:val="20"/>
              </w:rPr>
              <w:t>nmol</w:t>
            </w:r>
            <w:proofErr w:type="spellEnd"/>
            <w:r w:rsidRPr="00834305">
              <w:rPr>
                <w:sz w:val="20"/>
                <w:szCs w:val="20"/>
              </w:rPr>
              <w:t xml:space="preserve"> per L; </w:t>
            </w:r>
          </w:p>
          <w:p w14:paraId="59AEE6C1" w14:textId="51246437" w:rsidR="00834305" w:rsidRPr="00834305" w:rsidRDefault="00EC49C7" w:rsidP="00834305">
            <w:pPr>
              <w:rPr>
                <w:sz w:val="20"/>
                <w:szCs w:val="20"/>
              </w:rPr>
            </w:pPr>
            <w:r>
              <w:rPr>
                <w:sz w:val="20"/>
                <w:szCs w:val="20"/>
              </w:rPr>
              <w:t xml:space="preserve">         </w:t>
            </w:r>
            <w:r w:rsidR="00834305" w:rsidRPr="00834305">
              <w:rPr>
                <w:sz w:val="20"/>
                <w:szCs w:val="20"/>
              </w:rPr>
              <w:t>OR</w:t>
            </w:r>
          </w:p>
          <w:p w14:paraId="25D74DE3" w14:textId="77777777" w:rsidR="00834305" w:rsidRPr="00834305" w:rsidDel="00BD43F3" w:rsidRDefault="00834305" w:rsidP="00EC49C7">
            <w:pPr>
              <w:numPr>
                <w:ilvl w:val="0"/>
                <w:numId w:val="8"/>
              </w:numPr>
              <w:ind w:left="884" w:hanging="425"/>
              <w:rPr>
                <w:sz w:val="20"/>
                <w:szCs w:val="20"/>
              </w:rPr>
            </w:pPr>
            <w:r w:rsidRPr="00834305">
              <w:rPr>
                <w:sz w:val="20"/>
                <w:szCs w:val="20"/>
              </w:rPr>
              <w:t xml:space="preserve">testosterone between 6 and 15  </w:t>
            </w:r>
            <w:proofErr w:type="spellStart"/>
            <w:r w:rsidRPr="00834305">
              <w:rPr>
                <w:sz w:val="20"/>
                <w:szCs w:val="20"/>
              </w:rPr>
              <w:t>nmol</w:t>
            </w:r>
            <w:proofErr w:type="spellEnd"/>
            <w:r w:rsidRPr="00834305">
              <w:rPr>
                <w:sz w:val="20"/>
                <w:szCs w:val="20"/>
              </w:rPr>
              <w:t xml:space="preserve"> per L with  greater than 1.5 times the upper limit of the </w:t>
            </w:r>
            <w:proofErr w:type="spellStart"/>
            <w:r w:rsidRPr="00834305">
              <w:rPr>
                <w:sz w:val="20"/>
                <w:szCs w:val="20"/>
              </w:rPr>
              <w:t>eugonadal</w:t>
            </w:r>
            <w:proofErr w:type="spellEnd"/>
            <w:r w:rsidRPr="00834305">
              <w:rPr>
                <w:sz w:val="20"/>
                <w:szCs w:val="20"/>
              </w:rPr>
              <w:t xml:space="preserve"> reference range for young men, or greater than 14IU per L, whichever is higher)</w:t>
            </w:r>
          </w:p>
        </w:tc>
      </w:tr>
      <w:tr w:rsidR="00834305" w:rsidRPr="00834305" w14:paraId="6782E003" w14:textId="77777777" w:rsidTr="00834305">
        <w:tc>
          <w:tcPr>
            <w:tcW w:w="4503" w:type="dxa"/>
            <w:tcBorders>
              <w:top w:val="nil"/>
            </w:tcBorders>
          </w:tcPr>
          <w:p w14:paraId="07A51A50" w14:textId="77777777" w:rsidR="00834305" w:rsidRPr="00834305" w:rsidRDefault="00834305" w:rsidP="00834305">
            <w:pPr>
              <w:rPr>
                <w:sz w:val="20"/>
                <w:szCs w:val="20"/>
              </w:rPr>
            </w:pPr>
          </w:p>
        </w:tc>
        <w:tc>
          <w:tcPr>
            <w:tcW w:w="4677" w:type="dxa"/>
            <w:tcBorders>
              <w:top w:val="nil"/>
            </w:tcBorders>
          </w:tcPr>
          <w:p w14:paraId="63EF1EF1" w14:textId="77777777" w:rsidR="00834305" w:rsidRPr="00834305" w:rsidRDefault="00834305" w:rsidP="00834305">
            <w:pPr>
              <w:numPr>
                <w:ilvl w:val="0"/>
                <w:numId w:val="10"/>
              </w:numPr>
              <w:rPr>
                <w:sz w:val="20"/>
                <w:szCs w:val="20"/>
              </w:rPr>
            </w:pPr>
            <w:proofErr w:type="gramStart"/>
            <w:r w:rsidRPr="00834305">
              <w:rPr>
                <w:sz w:val="20"/>
                <w:szCs w:val="20"/>
              </w:rPr>
              <w:t>treated</w:t>
            </w:r>
            <w:proofErr w:type="gramEnd"/>
            <w:r w:rsidRPr="00834305">
              <w:rPr>
                <w:sz w:val="20"/>
                <w:szCs w:val="20"/>
              </w:rPr>
              <w:t xml:space="preserve"> by, in consultation with, or have appointment to see specified specialists.</w:t>
            </w:r>
          </w:p>
        </w:tc>
      </w:tr>
    </w:tbl>
    <w:p w14:paraId="22D8B27A" w14:textId="77777777" w:rsidR="00834305" w:rsidRPr="00834305" w:rsidRDefault="00834305" w:rsidP="00834305">
      <w:pPr>
        <w:rPr>
          <w:b/>
          <w:i/>
        </w:rPr>
      </w:pPr>
      <w:r w:rsidRPr="00834305">
        <w:rPr>
          <w:b/>
          <w:i/>
        </w:rPr>
        <w:lastRenderedPageBreak/>
        <w:t>Date of listing on PBS</w:t>
      </w:r>
    </w:p>
    <w:p w14:paraId="6E43AE8F" w14:textId="77777777" w:rsidR="00834305" w:rsidRPr="00834305" w:rsidRDefault="00834305" w:rsidP="00834305">
      <w:pPr>
        <w:numPr>
          <w:ilvl w:val="0"/>
          <w:numId w:val="1"/>
        </w:numPr>
        <w:spacing w:after="0"/>
      </w:pPr>
      <w:r w:rsidRPr="00834305">
        <w:t xml:space="preserve">Testosterone esters injection (delisted January 2012): pre-1966  </w:t>
      </w:r>
    </w:p>
    <w:p w14:paraId="358CA5A7" w14:textId="77777777" w:rsidR="00834305" w:rsidRPr="00834305" w:rsidRDefault="00834305" w:rsidP="00834305">
      <w:pPr>
        <w:numPr>
          <w:ilvl w:val="0"/>
          <w:numId w:val="1"/>
        </w:numPr>
        <w:spacing w:after="0"/>
      </w:pPr>
      <w:r w:rsidRPr="00834305">
        <w:t xml:space="preserve">Testosterone </w:t>
      </w:r>
      <w:proofErr w:type="spellStart"/>
      <w:r w:rsidRPr="00834305">
        <w:t>enanthate</w:t>
      </w:r>
      <w:proofErr w:type="spellEnd"/>
      <w:r w:rsidRPr="00834305">
        <w:t xml:space="preserve"> injection: pre-1974</w:t>
      </w:r>
    </w:p>
    <w:p w14:paraId="6FBBBB53" w14:textId="77777777" w:rsidR="00834305" w:rsidRPr="00834305" w:rsidRDefault="00834305" w:rsidP="00834305">
      <w:pPr>
        <w:numPr>
          <w:ilvl w:val="0"/>
          <w:numId w:val="1"/>
        </w:numPr>
        <w:spacing w:after="0"/>
      </w:pPr>
      <w:r w:rsidRPr="00834305">
        <w:t>Testosterone undecanoate capsule: April 1990</w:t>
      </w:r>
    </w:p>
    <w:p w14:paraId="100E602F" w14:textId="77777777" w:rsidR="00834305" w:rsidRPr="00834305" w:rsidRDefault="00834305" w:rsidP="00834305">
      <w:pPr>
        <w:numPr>
          <w:ilvl w:val="0"/>
          <w:numId w:val="1"/>
        </w:numPr>
        <w:spacing w:after="0"/>
      </w:pPr>
      <w:r w:rsidRPr="00834305">
        <w:t>Testosterone subcutaneous implant: November 1996</w:t>
      </w:r>
    </w:p>
    <w:p w14:paraId="128C9650" w14:textId="77777777" w:rsidR="00834305" w:rsidRPr="00834305" w:rsidRDefault="00834305" w:rsidP="00834305">
      <w:pPr>
        <w:numPr>
          <w:ilvl w:val="0"/>
          <w:numId w:val="1"/>
        </w:numPr>
        <w:spacing w:after="0"/>
      </w:pPr>
      <w:r w:rsidRPr="00834305">
        <w:t>Testosterone transdermal patch: November 2000</w:t>
      </w:r>
    </w:p>
    <w:p w14:paraId="366F271F" w14:textId="77777777" w:rsidR="00834305" w:rsidRPr="00834305" w:rsidRDefault="00834305" w:rsidP="00834305">
      <w:pPr>
        <w:numPr>
          <w:ilvl w:val="0"/>
          <w:numId w:val="1"/>
        </w:numPr>
        <w:spacing w:after="0"/>
      </w:pPr>
      <w:r w:rsidRPr="00834305">
        <w:t>Testosterone transdermal gel: August 2005</w:t>
      </w:r>
    </w:p>
    <w:p w14:paraId="613CA29B" w14:textId="77777777" w:rsidR="00834305" w:rsidRPr="00834305" w:rsidRDefault="00834305" w:rsidP="00834305">
      <w:pPr>
        <w:numPr>
          <w:ilvl w:val="0"/>
          <w:numId w:val="1"/>
        </w:numPr>
        <w:spacing w:after="0"/>
      </w:pPr>
      <w:r w:rsidRPr="00834305">
        <w:t>Testosterone undecanoate injection: August 2006</w:t>
      </w:r>
    </w:p>
    <w:p w14:paraId="6E37060C" w14:textId="77777777" w:rsidR="00834305" w:rsidRPr="00834305" w:rsidRDefault="00834305" w:rsidP="00834305">
      <w:pPr>
        <w:numPr>
          <w:ilvl w:val="0"/>
          <w:numId w:val="1"/>
        </w:numPr>
        <w:spacing w:after="0"/>
      </w:pPr>
      <w:r w:rsidRPr="00834305">
        <w:t>Testosterone transdermal solution: March 2013</w:t>
      </w:r>
    </w:p>
    <w:p w14:paraId="4FEFF039" w14:textId="77777777" w:rsidR="00834305" w:rsidRPr="00834305" w:rsidRDefault="00834305" w:rsidP="00834305">
      <w:pPr>
        <w:numPr>
          <w:ilvl w:val="0"/>
          <w:numId w:val="1"/>
        </w:numPr>
        <w:spacing w:after="0"/>
      </w:pPr>
      <w:r w:rsidRPr="00834305">
        <w:t>Testosterone transdermal cream: August 2015</w:t>
      </w:r>
    </w:p>
    <w:p w14:paraId="3C1B9DAB" w14:textId="77777777" w:rsidR="001D6E28" w:rsidRDefault="001D6E28" w:rsidP="001D6E28">
      <w:pPr>
        <w:spacing w:after="0"/>
        <w:rPr>
          <w:b/>
          <w:i/>
        </w:rPr>
      </w:pPr>
    </w:p>
    <w:p w14:paraId="42DF89E8" w14:textId="77777777" w:rsidR="00834305" w:rsidRDefault="00834305" w:rsidP="001D6E28">
      <w:pPr>
        <w:spacing w:after="0"/>
        <w:rPr>
          <w:b/>
          <w:i/>
        </w:rPr>
      </w:pPr>
      <w:r w:rsidRPr="00834305">
        <w:rPr>
          <w:b/>
          <w:i/>
        </w:rPr>
        <w:t>Changes to listing</w:t>
      </w:r>
    </w:p>
    <w:p w14:paraId="4755A043" w14:textId="77777777" w:rsidR="009916A1" w:rsidRPr="00834305" w:rsidRDefault="009916A1" w:rsidP="001D6E28">
      <w:pPr>
        <w:spacing w:after="0"/>
        <w:rPr>
          <w:b/>
          <w:i/>
        </w:rPr>
      </w:pPr>
    </w:p>
    <w:p w14:paraId="14BA62E6" w14:textId="59D48AF4" w:rsidR="00834305" w:rsidRPr="00834305" w:rsidRDefault="00834305" w:rsidP="00834305">
      <w:r w:rsidRPr="00834305">
        <w:t xml:space="preserve">For changes to </w:t>
      </w:r>
      <w:r w:rsidR="00F739A6">
        <w:t>R/</w:t>
      </w:r>
      <w:r w:rsidRPr="00834305">
        <w:t xml:space="preserve">PBS listing, refer to </w:t>
      </w:r>
      <w:r w:rsidR="00F739A6">
        <w:t>Appendix B</w:t>
      </w:r>
      <w:r w:rsidRPr="00834305">
        <w:t xml:space="preserve">. Current PBS listing details are available from the </w:t>
      </w:r>
      <w:hyperlink r:id="rId15" w:history="1">
        <w:r w:rsidRPr="00834305">
          <w:rPr>
            <w:rStyle w:val="Hyperlink"/>
          </w:rPr>
          <w:t>PBS website</w:t>
        </w:r>
      </w:hyperlink>
      <w:r w:rsidRPr="00834305">
        <w:t>.</w:t>
      </w:r>
    </w:p>
    <w:p w14:paraId="15E919C1" w14:textId="2ACD8C03" w:rsidR="006B709B" w:rsidRDefault="006B709B" w:rsidP="00FE645A">
      <w:pPr>
        <w:pStyle w:val="Heading3"/>
      </w:pPr>
      <w:r>
        <w:t>Dosage and administration</w:t>
      </w:r>
    </w:p>
    <w:p w14:paraId="0866831D" w14:textId="779982D5" w:rsidR="00E51D41" w:rsidRDefault="005163B2" w:rsidP="006E5C3D">
      <w:r>
        <w:t>A wide</w:t>
      </w:r>
      <w:r w:rsidR="00E51D41">
        <w:t xml:space="preserve"> range of products</w:t>
      </w:r>
      <w:r>
        <w:t xml:space="preserve"> are</w:t>
      </w:r>
      <w:r w:rsidR="00E51D41">
        <w:t xml:space="preserve"> registered in Australia for use as testosterone replacement therapy. </w:t>
      </w:r>
      <w:r>
        <w:t>G</w:t>
      </w:r>
      <w:r w:rsidR="00E51D41">
        <w:t xml:space="preserve">el, cream, liquid and patch formulations are </w:t>
      </w:r>
      <w:r>
        <w:t xml:space="preserve">generally </w:t>
      </w:r>
      <w:r w:rsidR="00E51D41">
        <w:t>applied daily</w:t>
      </w:r>
      <w:r w:rsidR="00E849C8">
        <w:t>;</w:t>
      </w:r>
      <w:r w:rsidR="00E51D41">
        <w:t xml:space="preserve"> capsules are usually taken twice daily</w:t>
      </w:r>
      <w:r w:rsidR="00E849C8">
        <w:t>;</w:t>
      </w:r>
      <w:r w:rsidR="00E51D41">
        <w:t xml:space="preserve"> shorter acting intramuscular (IM) injections </w:t>
      </w:r>
      <w:r>
        <w:t xml:space="preserve">given </w:t>
      </w:r>
      <w:r w:rsidR="00E849C8">
        <w:t>every 2-</w:t>
      </w:r>
      <w:r w:rsidR="00E51D41">
        <w:t>3</w:t>
      </w:r>
      <w:r w:rsidR="00E849C8">
        <w:t> </w:t>
      </w:r>
      <w:r w:rsidR="00E51D41">
        <w:t>weeks</w:t>
      </w:r>
      <w:r w:rsidR="00E849C8">
        <w:t>;</w:t>
      </w:r>
      <w:r w:rsidR="00E51D41">
        <w:t xml:space="preserve"> and longer acting IM injections every 1</w:t>
      </w:r>
      <w:r>
        <w:t>0</w:t>
      </w:r>
      <w:r w:rsidR="00E51D41">
        <w:t xml:space="preserve">-14 weeks. </w:t>
      </w:r>
    </w:p>
    <w:p w14:paraId="2A8CA9AC" w14:textId="4EF4C828" w:rsidR="005163B2" w:rsidRPr="002F61CA" w:rsidRDefault="005163B2" w:rsidP="005163B2">
      <w:r>
        <w:t xml:space="preserve">Further information is provided in </w:t>
      </w:r>
      <w:r w:rsidRPr="00F739A6">
        <w:t xml:space="preserve">Appendix </w:t>
      </w:r>
      <w:r w:rsidR="00F739A6" w:rsidRPr="00F739A6">
        <w:t>C</w:t>
      </w:r>
      <w:r w:rsidR="00E849C8">
        <w:t>,</w:t>
      </w:r>
      <w:r w:rsidRPr="002F61CA">
        <w:t xml:space="preserve"> </w:t>
      </w:r>
      <w:hyperlink r:id="rId16" w:history="1">
        <w:r>
          <w:rPr>
            <w:rStyle w:val="Hyperlink"/>
          </w:rPr>
          <w:t>the Product Information</w:t>
        </w:r>
      </w:hyperlink>
      <w:r>
        <w:t xml:space="preserve"> and </w:t>
      </w:r>
      <w:hyperlink r:id="rId17" w:history="1">
        <w:r>
          <w:rPr>
            <w:rStyle w:val="Hyperlink"/>
          </w:rPr>
          <w:t>the Consumer Medicines Information</w:t>
        </w:r>
      </w:hyperlink>
      <w:r>
        <w:t>.</w:t>
      </w:r>
    </w:p>
    <w:p w14:paraId="143CC403" w14:textId="4DE908EA" w:rsidR="001420B3" w:rsidRPr="007247B9" w:rsidRDefault="001420B3" w:rsidP="00FE645A">
      <w:pPr>
        <w:pStyle w:val="Heading3"/>
      </w:pPr>
      <w:r w:rsidRPr="007247B9">
        <w:t xml:space="preserve">Clinical </w:t>
      </w:r>
      <w:r w:rsidR="00E849C8">
        <w:t>situation</w:t>
      </w:r>
      <w:r w:rsidR="00151364">
        <w:rPr>
          <w:vertAlign w:val="superscript"/>
        </w:rPr>
        <w:t xml:space="preserve"> </w:t>
      </w:r>
    </w:p>
    <w:p w14:paraId="5B1BD727" w14:textId="112E0D10" w:rsidR="00BA532D" w:rsidRDefault="00BA532D" w:rsidP="00BA532D">
      <w:pPr>
        <w:autoSpaceDE w:val="0"/>
        <w:autoSpaceDN w:val="0"/>
        <w:adjustRightInd w:val="0"/>
        <w:spacing w:after="0"/>
        <w:rPr>
          <w:rFonts w:cs="BerkeleyStd-Book"/>
        </w:rPr>
      </w:pPr>
      <w:r w:rsidRPr="00BA532D">
        <w:rPr>
          <w:rFonts w:cs="BerkeleyStd-Book"/>
        </w:rPr>
        <w:t xml:space="preserve">Hypogonadism </w:t>
      </w:r>
      <w:r w:rsidR="00E849C8">
        <w:rPr>
          <w:rFonts w:cs="BerkeleyStd-Book"/>
        </w:rPr>
        <w:t>is</w:t>
      </w:r>
      <w:r w:rsidRPr="00BA532D">
        <w:rPr>
          <w:rFonts w:cs="BerkeleyStd-Book"/>
        </w:rPr>
        <w:t xml:space="preserve"> a disorder that results in the</w:t>
      </w:r>
      <w:r>
        <w:rPr>
          <w:rFonts w:cs="BerkeleyStd-Book"/>
        </w:rPr>
        <w:t xml:space="preserve"> </w:t>
      </w:r>
      <w:r w:rsidRPr="00BA532D">
        <w:rPr>
          <w:rFonts w:cs="BerkeleyStd-Book"/>
        </w:rPr>
        <w:t>testes being unable to produce both physiological levels of testosterone</w:t>
      </w:r>
      <w:r>
        <w:rPr>
          <w:rFonts w:cs="BerkeleyStd-Book"/>
        </w:rPr>
        <w:t xml:space="preserve"> </w:t>
      </w:r>
      <w:r w:rsidRPr="00BA532D">
        <w:rPr>
          <w:rFonts w:cs="BerkeleyStd-Book"/>
        </w:rPr>
        <w:t>(androgen deficiency) and adequate numbers of functional</w:t>
      </w:r>
      <w:r>
        <w:rPr>
          <w:rFonts w:cs="BerkeleyStd-Book"/>
        </w:rPr>
        <w:t xml:space="preserve"> </w:t>
      </w:r>
      <w:r w:rsidRPr="00BA532D">
        <w:rPr>
          <w:rFonts w:cs="BerkeleyStd-Book"/>
        </w:rPr>
        <w:t>sperm for paternity (male infertility).</w:t>
      </w:r>
      <w:r>
        <w:rPr>
          <w:rFonts w:cs="BerkeleyStd-Book"/>
        </w:rPr>
        <w:t xml:space="preserve"> </w:t>
      </w:r>
      <w:r w:rsidRPr="00BA532D">
        <w:rPr>
          <w:rFonts w:cs="BerkeleyStd-Book"/>
        </w:rPr>
        <w:t>Most often, hypogonadism is due to congenital or acquired defects</w:t>
      </w:r>
      <w:r>
        <w:rPr>
          <w:rFonts w:cs="BerkeleyStd-Book"/>
        </w:rPr>
        <w:t xml:space="preserve"> </w:t>
      </w:r>
      <w:r w:rsidRPr="00BA532D">
        <w:rPr>
          <w:rFonts w:cs="BerkeleyStd-Book"/>
        </w:rPr>
        <w:t>of the teste</w:t>
      </w:r>
      <w:r w:rsidR="00E849C8">
        <w:rPr>
          <w:rFonts w:cs="BerkeleyStd-Book"/>
        </w:rPr>
        <w:t xml:space="preserve">s (primary testicular failure). </w:t>
      </w:r>
      <w:r w:rsidRPr="00BA532D">
        <w:t>The delay in growth or onset of puberty, micropenis and pubertal induction</w:t>
      </w:r>
      <w:r w:rsidRPr="00BA532D">
        <w:rPr>
          <w:rFonts w:cs="BerkeleyStd-Book"/>
        </w:rPr>
        <w:t xml:space="preserve"> are examples of </w:t>
      </w:r>
      <w:r>
        <w:rPr>
          <w:rFonts w:cs="BerkeleyStd-Book"/>
        </w:rPr>
        <w:t>primary testicular failure (</w:t>
      </w:r>
      <w:r w:rsidRPr="00BA532D">
        <w:rPr>
          <w:rFonts w:cs="BerkeleyStd-Book"/>
        </w:rPr>
        <w:t>classical early onset testosterone deficiencies</w:t>
      </w:r>
      <w:r w:rsidR="00E849C8">
        <w:rPr>
          <w:rFonts w:cs="BerkeleyStd-Book"/>
        </w:rPr>
        <w:t>)</w:t>
      </w:r>
      <w:r w:rsidRPr="00BA532D">
        <w:rPr>
          <w:rFonts w:cs="BerkeleyStd-Book"/>
        </w:rPr>
        <w:t>.</w:t>
      </w:r>
      <w:r w:rsidR="00454162" w:rsidRPr="00454162">
        <w:rPr>
          <w:rFonts w:cs="BerkeleyStd-Book"/>
          <w:vertAlign w:val="superscript"/>
        </w:rPr>
        <w:fldChar w:fldCharType="begin"/>
      </w:r>
      <w:r w:rsidR="00454162" w:rsidRPr="00454162">
        <w:rPr>
          <w:rFonts w:cs="BerkeleyStd-Book"/>
          <w:vertAlign w:val="superscript"/>
        </w:rPr>
        <w:instrText xml:space="preserve"> NOTEREF _Ref460406856 \h  \* MERGEFORMAT </w:instrText>
      </w:r>
      <w:r w:rsidR="00454162" w:rsidRPr="00454162">
        <w:rPr>
          <w:rFonts w:cs="BerkeleyStd-Book"/>
          <w:vertAlign w:val="superscript"/>
        </w:rPr>
      </w:r>
      <w:r w:rsidR="00454162" w:rsidRPr="00454162">
        <w:rPr>
          <w:rFonts w:cs="BerkeleyStd-Book"/>
          <w:vertAlign w:val="superscript"/>
        </w:rPr>
        <w:fldChar w:fldCharType="separate"/>
      </w:r>
      <w:r w:rsidR="00E63CD2">
        <w:rPr>
          <w:rFonts w:cs="BerkeleyStd-Book"/>
          <w:vertAlign w:val="superscript"/>
        </w:rPr>
        <w:t>1</w:t>
      </w:r>
      <w:r w:rsidR="00454162" w:rsidRPr="00454162">
        <w:rPr>
          <w:rFonts w:cs="BerkeleyStd-Book"/>
          <w:vertAlign w:val="superscript"/>
        </w:rPr>
        <w:fldChar w:fldCharType="end"/>
      </w:r>
      <w:r w:rsidR="00454162">
        <w:rPr>
          <w:rFonts w:cs="BerkeleyStd-Book"/>
        </w:rPr>
        <w:t xml:space="preserve"> </w:t>
      </w:r>
    </w:p>
    <w:p w14:paraId="1073572F" w14:textId="77777777" w:rsidR="00151364" w:rsidRDefault="00151364" w:rsidP="00BA532D">
      <w:pPr>
        <w:autoSpaceDE w:val="0"/>
        <w:autoSpaceDN w:val="0"/>
        <w:adjustRightInd w:val="0"/>
        <w:spacing w:after="0"/>
        <w:rPr>
          <w:rFonts w:cs="BerkeleyStd-Book"/>
        </w:rPr>
      </w:pPr>
    </w:p>
    <w:p w14:paraId="2565F1AB" w14:textId="68A341F2" w:rsidR="00507602" w:rsidRDefault="00522263" w:rsidP="006A4BB0">
      <w:pPr>
        <w:autoSpaceDE w:val="0"/>
        <w:autoSpaceDN w:val="0"/>
        <w:adjustRightInd w:val="0"/>
        <w:spacing w:after="0"/>
        <w:rPr>
          <w:rFonts w:cs="BerkeleyStd-Book"/>
        </w:rPr>
      </w:pPr>
      <w:r>
        <w:t xml:space="preserve">There are a variety of </w:t>
      </w:r>
      <w:r w:rsidR="00F739A6">
        <w:t xml:space="preserve">Australian and </w:t>
      </w:r>
      <w:r>
        <w:t xml:space="preserve">international </w:t>
      </w:r>
      <w:r w:rsidR="00A27BCB">
        <w:t>position</w:t>
      </w:r>
      <w:r w:rsidR="00C57A6B">
        <w:t xml:space="preserve"> and consensus</w:t>
      </w:r>
      <w:r w:rsidR="00A27BCB">
        <w:t xml:space="preserve"> statements </w:t>
      </w:r>
      <w:r>
        <w:t xml:space="preserve">regarding testosterone treatment. The Endocrine Society of Australia </w:t>
      </w:r>
      <w:r w:rsidR="003F7FD2">
        <w:t xml:space="preserve">(ESA) </w:t>
      </w:r>
      <w:r>
        <w:t>recently published a position statement</w:t>
      </w:r>
      <w:bookmarkStart w:id="0" w:name="_Ref460406856"/>
      <w:r w:rsidR="00601ED6">
        <w:rPr>
          <w:rStyle w:val="FootnoteReference"/>
        </w:rPr>
        <w:footnoteReference w:id="1"/>
      </w:r>
      <w:bookmarkEnd w:id="0"/>
      <w:r>
        <w:t xml:space="preserve"> including indications for testosterone therapy</w:t>
      </w:r>
      <w:r w:rsidR="00C57A6B">
        <w:t xml:space="preserve">. </w:t>
      </w:r>
      <w:r w:rsidR="00A27BCB">
        <w:t>The position statement recommends</w:t>
      </w:r>
      <w:r w:rsidR="00C57A6B">
        <w:t xml:space="preserve"> t</w:t>
      </w:r>
      <w:r>
        <w:t>estosterone</w:t>
      </w:r>
      <w:r w:rsidR="00151364" w:rsidRPr="00F912F7">
        <w:t xml:space="preserve"> </w:t>
      </w:r>
      <w:r w:rsidR="00151364">
        <w:t xml:space="preserve">treatment </w:t>
      </w:r>
      <w:r w:rsidR="00151364" w:rsidRPr="00F912F7">
        <w:t xml:space="preserve">for androgen-deficient men with proven </w:t>
      </w:r>
      <w:r w:rsidR="00C57A6B">
        <w:t xml:space="preserve">pathological hypogonadism, </w:t>
      </w:r>
      <w:r w:rsidR="00A27BCB">
        <w:t>regardless of age</w:t>
      </w:r>
      <w:r w:rsidR="003F7FD2">
        <w:t>. The position statement also</w:t>
      </w:r>
      <w:r w:rsidR="00C57A6B">
        <w:t xml:space="preserve"> notes that </w:t>
      </w:r>
      <w:r w:rsidR="00C57A6B">
        <w:rPr>
          <w:rFonts w:cs="BerkeleyStd-Book"/>
        </w:rPr>
        <w:t>t</w:t>
      </w:r>
      <w:r w:rsidR="00C57A6B" w:rsidRPr="00335F9B">
        <w:rPr>
          <w:rFonts w:cs="BerkeleyStd-Book"/>
        </w:rPr>
        <w:t>here are limited data from high</w:t>
      </w:r>
      <w:r w:rsidR="003F7FD2">
        <w:rPr>
          <w:rFonts w:cs="BerkeleyStd-Book"/>
        </w:rPr>
        <w:t>-</w:t>
      </w:r>
      <w:r w:rsidR="00C57A6B" w:rsidRPr="00335F9B">
        <w:rPr>
          <w:rFonts w:cs="BerkeleyStd-Book"/>
        </w:rPr>
        <w:t xml:space="preserve">quality randomised controlled trials with clinically meaningful </w:t>
      </w:r>
      <w:r w:rsidR="00C57A6B" w:rsidRPr="00335F9B">
        <w:rPr>
          <w:rFonts w:cs="BerkeleyStd-Book"/>
        </w:rPr>
        <w:lastRenderedPageBreak/>
        <w:t>outcomes to justify testosterone treatment in older men without</w:t>
      </w:r>
      <w:r w:rsidR="00C57A6B" w:rsidRPr="00C57A6B">
        <w:t xml:space="preserve"> </w:t>
      </w:r>
      <w:r w:rsidR="00C57A6B" w:rsidRPr="00335F9B">
        <w:rPr>
          <w:rFonts w:cs="BerkeleyStd-Book"/>
        </w:rPr>
        <w:t>hypothalamic, pituitary or testicular disease.</w:t>
      </w:r>
      <w:r w:rsidR="000314D6">
        <w:rPr>
          <w:rFonts w:cs="BerkeleyStd-Book"/>
        </w:rPr>
        <w:t xml:space="preserve"> </w:t>
      </w:r>
    </w:p>
    <w:p w14:paraId="37DCB97D" w14:textId="3048CBB9" w:rsidR="00522263" w:rsidRDefault="00C57A6B" w:rsidP="00F912F7">
      <w:pPr>
        <w:autoSpaceDE w:val="0"/>
        <w:autoSpaceDN w:val="0"/>
        <w:adjustRightInd w:val="0"/>
        <w:spacing w:after="0"/>
      </w:pPr>
      <w:r>
        <w:t>In addition</w:t>
      </w:r>
      <w:r w:rsidR="00224C96">
        <w:t>,</w:t>
      </w:r>
      <w:r>
        <w:t xml:space="preserve"> the </w:t>
      </w:r>
      <w:r w:rsidR="00224C96">
        <w:t xml:space="preserve">ESA </w:t>
      </w:r>
      <w:r w:rsidR="003F7FD2">
        <w:t>p</w:t>
      </w:r>
      <w:r>
        <w:t xml:space="preserve">osition </w:t>
      </w:r>
      <w:r w:rsidR="003F7FD2">
        <w:t>s</w:t>
      </w:r>
      <w:r>
        <w:t xml:space="preserve">tatement notes that obesity, </w:t>
      </w:r>
      <w:r w:rsidR="00224C96">
        <w:t>metabolic</w:t>
      </w:r>
      <w:r>
        <w:t xml:space="preserve"> </w:t>
      </w:r>
      <w:r w:rsidR="00224C96">
        <w:t>syndrome</w:t>
      </w:r>
      <w:r>
        <w:t xml:space="preserve"> and type </w:t>
      </w:r>
      <w:proofErr w:type="gramStart"/>
      <w:r>
        <w:t>2</w:t>
      </w:r>
      <w:r w:rsidR="003F7FD2">
        <w:t xml:space="preserve"> </w:t>
      </w:r>
      <w:r>
        <w:t>diabetes</w:t>
      </w:r>
      <w:proofErr w:type="gramEnd"/>
      <w:r>
        <w:t xml:space="preserve"> are associated with lowering of circulating testosterone level</w:t>
      </w:r>
      <w:r w:rsidR="003F7FD2">
        <w:t>s</w:t>
      </w:r>
      <w:r>
        <w:t xml:space="preserve"> but without </w:t>
      </w:r>
      <w:r w:rsidR="00224C96">
        <w:t>elevation</w:t>
      </w:r>
      <w:r>
        <w:t xml:space="preserve"> of LH and FSH levels. </w:t>
      </w:r>
      <w:r w:rsidR="00224C96">
        <w:t xml:space="preserve">Evidence of safety and efficacy of treatment with testosterone in this setting is lacking. </w:t>
      </w:r>
      <w:r w:rsidR="00601ED6">
        <w:t>There is a clinical trial being conducted in Australia (recruiting from 2013 to 2016) studying the effects of testosterone therapy and lifestyle modification on diabetes prevention. It aims to recruit 1,500 men across Australia for a two year period.</w:t>
      </w:r>
      <w:bookmarkStart w:id="1" w:name="_Ref465166325"/>
      <w:r w:rsidR="00601ED6">
        <w:rPr>
          <w:rStyle w:val="FootnoteReference"/>
        </w:rPr>
        <w:footnoteReference w:id="2"/>
      </w:r>
      <w:bookmarkEnd w:id="1"/>
    </w:p>
    <w:p w14:paraId="7C50B946" w14:textId="77777777" w:rsidR="00522263" w:rsidRDefault="00522263" w:rsidP="00F912F7">
      <w:pPr>
        <w:autoSpaceDE w:val="0"/>
        <w:autoSpaceDN w:val="0"/>
        <w:adjustRightInd w:val="0"/>
        <w:spacing w:after="0"/>
      </w:pPr>
    </w:p>
    <w:p w14:paraId="0312FFEC" w14:textId="5C6A9662" w:rsidR="00E677DD" w:rsidRPr="005E22C2" w:rsidRDefault="00E677DD" w:rsidP="00587724">
      <w:pPr>
        <w:pStyle w:val="Heading4"/>
      </w:pPr>
      <w:bookmarkStart w:id="2" w:name="_Methods"/>
      <w:bookmarkEnd w:id="2"/>
      <w:r w:rsidRPr="005E22C2">
        <w:t>Method</w:t>
      </w:r>
      <w:r w:rsidR="001B5D37" w:rsidRPr="005E22C2">
        <w:t>s</w:t>
      </w:r>
    </w:p>
    <w:p w14:paraId="5DA5E66C" w14:textId="2EC09CBF" w:rsidR="00E24943" w:rsidRDefault="00E24943" w:rsidP="00E24943">
      <w:r>
        <w:t>The analyses used data from the DUSC database</w:t>
      </w:r>
      <w:r w:rsidRPr="00E24943">
        <w:t xml:space="preserve"> </w:t>
      </w:r>
      <w:r>
        <w:t>and the Department of Human Services (DHS) supplied prescriptions database.</w:t>
      </w:r>
    </w:p>
    <w:p w14:paraId="31888F3E" w14:textId="4C4AC039" w:rsidR="00E24943" w:rsidRDefault="00E24943" w:rsidP="00E24943">
      <w:r w:rsidRPr="00CF7365">
        <w:t>The DUSC database combines data on PBS prescriptions submitted to the Department of Human Servi</w:t>
      </w:r>
      <w:r w:rsidR="00834305">
        <w:t xml:space="preserve">ces (DHS) for payment of an </w:t>
      </w:r>
      <w:r w:rsidRPr="00CF7365">
        <w:t>R</w:t>
      </w:r>
      <w:r w:rsidR="00834305">
        <w:t>/</w:t>
      </w:r>
      <w:r w:rsidRPr="00CF7365">
        <w:t>PBS subsidy by the Govern</w:t>
      </w:r>
      <w:r>
        <w:t>ment with an estimate of under</w:t>
      </w:r>
      <w:r w:rsidRPr="00CF7365">
        <w:t xml:space="preserve"> </w:t>
      </w:r>
      <w:r>
        <w:t xml:space="preserve">patient </w:t>
      </w:r>
      <w:r w:rsidRPr="00CF7365">
        <w:t>co-payment prescriptions based on dispensing data from a sample of pharmacies to the end of August 2012</w:t>
      </w:r>
      <w:r>
        <w:t>. This was</w:t>
      </w:r>
      <w:r w:rsidRPr="00CF7365">
        <w:t xml:space="preserve"> replaced by actual under </w:t>
      </w:r>
      <w:r>
        <w:t xml:space="preserve">patient </w:t>
      </w:r>
      <w:r w:rsidRPr="00CF7365">
        <w:t xml:space="preserve">co-payment </w:t>
      </w:r>
      <w:r>
        <w:t xml:space="preserve">prescription </w:t>
      </w:r>
      <w:r w:rsidRPr="00CF7365">
        <w:t xml:space="preserve">data from 1 April 2012. </w:t>
      </w:r>
      <w:r w:rsidR="004D112F">
        <w:t xml:space="preserve">Testosterone </w:t>
      </w:r>
      <w:proofErr w:type="spellStart"/>
      <w:r w:rsidR="004D112F">
        <w:t>enanthate</w:t>
      </w:r>
      <w:proofErr w:type="spellEnd"/>
      <w:r w:rsidR="004D112F">
        <w:t xml:space="preserve"> injection and testosterone undecanoate are priced under the general patient </w:t>
      </w:r>
      <w:proofErr w:type="spellStart"/>
      <w:r w:rsidR="004D112F">
        <w:t>copayment</w:t>
      </w:r>
      <w:proofErr w:type="spellEnd"/>
      <w:r w:rsidR="004D112F">
        <w:t xml:space="preserve">. </w:t>
      </w:r>
      <w:r w:rsidRPr="00CF7365">
        <w:t>The DUSC database includes an estimate of private prescriptions based on dispensing data from a sample of pharmacies to the end of August 2012</w:t>
      </w:r>
      <w:r>
        <w:t xml:space="preserve">. An estimate of private prescriptions is not included from 1 September 2012. The DUSC database was used for analyses of prescriptions and R/PBS benefits. </w:t>
      </w:r>
    </w:p>
    <w:p w14:paraId="30440B73" w14:textId="1DA1F0EF" w:rsidR="00CB1221" w:rsidRDefault="00CB1221" w:rsidP="00CB1221">
      <w:pPr>
        <w:spacing w:after="0"/>
      </w:pPr>
      <w:r w:rsidRPr="00F74FBD">
        <w:t xml:space="preserve">The DHS </w:t>
      </w:r>
      <w:r>
        <w:t>s</w:t>
      </w:r>
      <w:r w:rsidRPr="00F74FBD">
        <w:t>upplied prescriptions database includes data submitted</w:t>
      </w:r>
      <w:r w:rsidR="00834305">
        <w:t xml:space="preserve"> to DHS for payment of an </w:t>
      </w:r>
      <w:r>
        <w:t>R</w:t>
      </w:r>
      <w:r w:rsidR="00834305">
        <w:t>/</w:t>
      </w:r>
      <w:r>
        <w:t xml:space="preserve">PBS subsidy by the Government. </w:t>
      </w:r>
      <w:r w:rsidRPr="00F74FBD">
        <w:t>This database includes actual under co</w:t>
      </w:r>
      <w:r w:rsidRPr="00F74FBD">
        <w:noBreakHyphen/>
        <w:t xml:space="preserve">payment prescription data from 1 April 2012. </w:t>
      </w:r>
      <w:r w:rsidR="00601ED6">
        <w:t xml:space="preserve">Patient counts were based on de-identified unique patient identification numbers (PINs) from the prescription data. </w:t>
      </w:r>
      <w:r w:rsidRPr="00F74FBD">
        <w:t xml:space="preserve">This allows for patients to be classified as new patients and to identify prior treatments. The DHS </w:t>
      </w:r>
      <w:r w:rsidR="005729D1">
        <w:t xml:space="preserve">supplied prescriptions </w:t>
      </w:r>
      <w:r w:rsidRPr="00F74FBD">
        <w:t>database was used for patient level analyses</w:t>
      </w:r>
      <w:r>
        <w:t>;</w:t>
      </w:r>
      <w:r w:rsidRPr="00F74FBD">
        <w:t xml:space="preserve"> including age,</w:t>
      </w:r>
      <w:r w:rsidR="00AE4533">
        <w:t xml:space="preserve"> prescriber type </w:t>
      </w:r>
      <w:r w:rsidRPr="00F74FBD">
        <w:t xml:space="preserve">and </w:t>
      </w:r>
      <w:r w:rsidR="00454162">
        <w:t>tracking</w:t>
      </w:r>
      <w:r w:rsidR="00601ED6">
        <w:t xml:space="preserve"> original prescription supplies</w:t>
      </w:r>
      <w:r w:rsidRPr="00F74FBD">
        <w:t xml:space="preserve">. </w:t>
      </w:r>
    </w:p>
    <w:p w14:paraId="3D77F632" w14:textId="77777777" w:rsidR="00CB1221" w:rsidRDefault="00CB1221" w:rsidP="00CB1221">
      <w:pPr>
        <w:spacing w:after="0"/>
      </w:pPr>
    </w:p>
    <w:p w14:paraId="321C96A3" w14:textId="1D5125EB" w:rsidR="007A72E3" w:rsidRDefault="007A72E3" w:rsidP="007A72E3">
      <w:pPr>
        <w:spacing w:after="0"/>
      </w:pPr>
      <w:r w:rsidRPr="00F74FBD">
        <w:t xml:space="preserve">For the patient level analyses, patients initiating </w:t>
      </w:r>
      <w:r>
        <w:t xml:space="preserve">to therapy </w:t>
      </w:r>
      <w:r w:rsidRPr="00F74FBD">
        <w:t xml:space="preserve">were defined as those who have not been supplied </w:t>
      </w:r>
      <w:r w:rsidR="00BF71A2">
        <w:t>testosterone</w:t>
      </w:r>
      <w:r w:rsidRPr="00F74FBD">
        <w:t xml:space="preserve"> since </w:t>
      </w:r>
      <w:r>
        <w:t>April 2003</w:t>
      </w:r>
      <w:r w:rsidRPr="00F74FBD">
        <w:t xml:space="preserve">. </w:t>
      </w:r>
      <w:r w:rsidRPr="00F74FBD">
        <w:rPr>
          <w:rFonts w:cs="Arial"/>
        </w:rPr>
        <w:t>Age</w:t>
      </w:r>
      <w:r>
        <w:rPr>
          <w:rFonts w:cs="Arial"/>
        </w:rPr>
        <w:t xml:space="preserve"> was</w:t>
      </w:r>
      <w:r w:rsidRPr="00F74FBD">
        <w:rPr>
          <w:rFonts w:cs="Arial"/>
        </w:rPr>
        <w:t xml:space="preserve"> assigned based on the first supply in the time period. </w:t>
      </w:r>
    </w:p>
    <w:p w14:paraId="0626C130" w14:textId="77777777" w:rsidR="00E24943" w:rsidRDefault="00E24943" w:rsidP="00E24943">
      <w:pPr>
        <w:spacing w:after="0"/>
      </w:pPr>
    </w:p>
    <w:p w14:paraId="56774C5B" w14:textId="68A4BAF7" w:rsidR="00E24943" w:rsidRDefault="00601ED6" w:rsidP="00E24943">
      <w:r>
        <w:t xml:space="preserve">An analysis of testosterone initiators by age was conducted for three years before and one year after the restriction change. The number of initiating patients in each age bracket was determined from the DHS </w:t>
      </w:r>
      <w:r w:rsidR="005729D1">
        <w:t xml:space="preserve">supplied prescriptions </w:t>
      </w:r>
      <w:r>
        <w:t xml:space="preserve">database. These were then standardised by the male </w:t>
      </w:r>
      <w:r w:rsidR="00454162">
        <w:t xml:space="preserve">Australian population according to the </w:t>
      </w:r>
      <w:r w:rsidR="00E24943" w:rsidRPr="00DF53EA">
        <w:t xml:space="preserve">Australian Bureau of Statistics (ABS) Quarterly Population Estimates (ERP), by State/Territory, Sex and Age database </w:t>
      </w:r>
      <w:r w:rsidR="00E24943" w:rsidRPr="00BF71A2">
        <w:t xml:space="preserve">in </w:t>
      </w:r>
      <w:r w:rsidR="00E24943" w:rsidRPr="00BF71A2">
        <w:lastRenderedPageBreak/>
        <w:t>September 2015</w:t>
      </w:r>
      <w:r>
        <w:t>.</w:t>
      </w:r>
      <w:r w:rsidR="00E24943" w:rsidRPr="00DF53EA">
        <w:t xml:space="preserve"> </w:t>
      </w:r>
      <w:r w:rsidR="00E24943">
        <w:t xml:space="preserve">The rates of patients initiating on testosterone were calculated as the number of initiating patients divided by the </w:t>
      </w:r>
      <w:r>
        <w:t xml:space="preserve">male </w:t>
      </w:r>
      <w:r w:rsidR="00E24943">
        <w:t>ABS Estimated Residential Population (ERP) population</w:t>
      </w:r>
      <w:r w:rsidR="007A72E3">
        <w:rPr>
          <w:rStyle w:val="FootnoteReference"/>
        </w:rPr>
        <w:footnoteReference w:id="3"/>
      </w:r>
      <w:r w:rsidR="00E24943">
        <w:t xml:space="preserve"> in the specific year of each initiating cohort (as at 30 June). The rates are expressed as the number of incident patients per 100,000. The age adjusted rates were derived using the Direct Method.</w:t>
      </w:r>
      <w:r w:rsidR="007A72E3">
        <w:rPr>
          <w:rStyle w:val="FootnoteReference"/>
        </w:rPr>
        <w:footnoteReference w:id="4"/>
      </w:r>
    </w:p>
    <w:p w14:paraId="31AA0A46" w14:textId="1EF530E1" w:rsidR="00601ED6" w:rsidRDefault="00454162" w:rsidP="00B52C53">
      <w:pPr>
        <w:spacing w:after="0"/>
        <w:rPr>
          <w:iCs/>
        </w:rPr>
      </w:pPr>
      <w:r>
        <w:rPr>
          <w:iCs/>
        </w:rPr>
        <w:t xml:space="preserve">A patient level analysis of original prescriptions </w:t>
      </w:r>
      <w:r w:rsidR="00601ED6">
        <w:rPr>
          <w:iCs/>
        </w:rPr>
        <w:t>was conducted</w:t>
      </w:r>
      <w:r w:rsidR="00E60E59">
        <w:rPr>
          <w:iCs/>
        </w:rPr>
        <w:t xml:space="preserve">. Original prescriptions are an indication of patient contact with a doctor and as such may be an indicator of prescriber intent. </w:t>
      </w:r>
      <w:r>
        <w:rPr>
          <w:iCs/>
        </w:rPr>
        <w:t xml:space="preserve">Patients who were supplied an original prescription for testosterone in the year before the restriction change (April 2014 to March 2015) were followed in the data to determine whether they received a subsequent original prescription in the year following the restriction change) April 2015 to March 2016). For comparison, this same process was completed for patients supplied an original prescription in April 2013 to March 2014 (two years before the restriction change) who </w:t>
      </w:r>
      <w:proofErr w:type="gramStart"/>
      <w:r>
        <w:rPr>
          <w:iCs/>
        </w:rPr>
        <w:t>were</w:t>
      </w:r>
      <w:proofErr w:type="gramEnd"/>
      <w:r>
        <w:rPr>
          <w:iCs/>
        </w:rPr>
        <w:t xml:space="preserve"> followed up in April 2014 to March 2015. This analysis was performed as a proxy for patients discontinuing R/PBS-subsidised testosterone.</w:t>
      </w:r>
    </w:p>
    <w:p w14:paraId="18B3BD45" w14:textId="77777777" w:rsidR="008A5E21" w:rsidRDefault="008A5E21" w:rsidP="00B52C53">
      <w:pPr>
        <w:spacing w:after="0"/>
      </w:pPr>
    </w:p>
    <w:p w14:paraId="704DF9D5" w14:textId="4F9FDEB6" w:rsidR="00AE4533" w:rsidRDefault="004644A6" w:rsidP="00B52C53">
      <w:pPr>
        <w:spacing w:after="0"/>
      </w:pPr>
      <w:r>
        <w:t>A</w:t>
      </w:r>
      <w:r w:rsidR="00AE4533">
        <w:t>ggregated data on Authority approvals and rejections was provided by the Department of Human Services.</w:t>
      </w:r>
      <w:r>
        <w:t xml:space="preserve"> It covered the period from January 2015 to June 2016. </w:t>
      </w:r>
    </w:p>
    <w:p w14:paraId="0EE42BF7" w14:textId="77777777" w:rsidR="004644A6" w:rsidRDefault="004644A6" w:rsidP="00B52C53">
      <w:pPr>
        <w:spacing w:after="0"/>
      </w:pPr>
    </w:p>
    <w:p w14:paraId="0801B95A" w14:textId="791E648C" w:rsidR="00AE4533" w:rsidRDefault="004644A6" w:rsidP="00404725">
      <w:pPr>
        <w:rPr>
          <w:sz w:val="20"/>
          <w:szCs w:val="20"/>
        </w:rPr>
      </w:pPr>
      <w:r>
        <w:t>Private prescription data was provided by MedicineInsight</w:t>
      </w:r>
      <w:r w:rsidR="003E5DC0">
        <w:t xml:space="preserve"> for the period </w:t>
      </w:r>
      <w:r w:rsidR="00404725">
        <w:t>January 2014</w:t>
      </w:r>
      <w:r>
        <w:t xml:space="preserve"> to June</w:t>
      </w:r>
      <w:r w:rsidR="00B05717">
        <w:t> </w:t>
      </w:r>
      <w:r>
        <w:t>2016.</w:t>
      </w:r>
      <w:r w:rsidR="00404725" w:rsidRPr="00404725">
        <w:rPr>
          <w:i/>
          <w:iCs/>
          <w:color w:val="1F497D"/>
        </w:rPr>
        <w:t xml:space="preserve"> </w:t>
      </w:r>
      <w:r w:rsidR="00404725" w:rsidRPr="00404725">
        <w:rPr>
          <w:iCs/>
        </w:rPr>
        <w:t xml:space="preserve">They compared the number of original and repeat prescriptions ordered by 364 MedicineInsight </w:t>
      </w:r>
      <w:r w:rsidR="00404725">
        <w:rPr>
          <w:iCs/>
        </w:rPr>
        <w:t xml:space="preserve">general </w:t>
      </w:r>
      <w:r w:rsidR="00404725" w:rsidRPr="00404725">
        <w:rPr>
          <w:iCs/>
        </w:rPr>
        <w:t>practices in the 15 months prior to 1 April 2015 and those ordered in the 15 months after.</w:t>
      </w:r>
    </w:p>
    <w:p w14:paraId="0712D9D5" w14:textId="6ABD261E" w:rsidR="00524D13" w:rsidRDefault="00E7594B" w:rsidP="00524D13">
      <w:r>
        <w:t xml:space="preserve">As this analysis uses date of supply </w:t>
      </w:r>
      <w:r w:rsidR="005E085C">
        <w:t xml:space="preserve">prescription </w:t>
      </w:r>
      <w:r>
        <w:t>data, there may be small differences compared with publicly available Department of Human Services (DHS) Medicare date of processing data.</w:t>
      </w:r>
      <w:r w:rsidR="00576B18">
        <w:rPr>
          <w:rStyle w:val="FootnoteReference"/>
        </w:rPr>
        <w:footnoteReference w:id="5"/>
      </w:r>
      <w:r w:rsidR="00576B18">
        <w:t xml:space="preserve"> </w:t>
      </w:r>
      <w:r w:rsidR="0090691F">
        <w:t xml:space="preserve">The </w:t>
      </w:r>
      <w:r w:rsidR="00AC5054">
        <w:t xml:space="preserve">publicly available </w:t>
      </w:r>
      <w:r w:rsidR="0090691F">
        <w:t xml:space="preserve">DHS Medicare data </w:t>
      </w:r>
      <w:r w:rsidR="008E3F8C">
        <w:t xml:space="preserve">only </w:t>
      </w:r>
      <w:r w:rsidR="0090691F">
        <w:t xml:space="preserve">includes </w:t>
      </w:r>
      <w:r w:rsidR="00524D13">
        <w:t xml:space="preserve">subsidised R/PBS prescriptions </w:t>
      </w:r>
      <w:r w:rsidR="008E3F8C">
        <w:t xml:space="preserve">with prescriptions </w:t>
      </w:r>
      <w:r w:rsidR="00524D13">
        <w:t xml:space="preserve">under </w:t>
      </w:r>
      <w:r w:rsidR="00DD29A3">
        <w:t xml:space="preserve">the </w:t>
      </w:r>
      <w:r w:rsidR="00524D13">
        <w:t xml:space="preserve">patient co-payment </w:t>
      </w:r>
      <w:r w:rsidR="008E3F8C">
        <w:t>not included</w:t>
      </w:r>
      <w:r w:rsidR="00524D13">
        <w:t>.</w:t>
      </w:r>
      <w:r w:rsidR="00DD29A3">
        <w:t xml:space="preserve">  </w:t>
      </w:r>
    </w:p>
    <w:p w14:paraId="5E6F4D51" w14:textId="77777777" w:rsidR="00AE4533" w:rsidRPr="00FD18E2" w:rsidRDefault="00AE4533" w:rsidP="00AE4533">
      <w:pPr>
        <w:rPr>
          <w:rFonts w:eastAsia="Calibri" w:cs="Times New Roman"/>
          <w:b/>
          <w:sz w:val="28"/>
          <w:szCs w:val="28"/>
        </w:rPr>
      </w:pPr>
      <w:r w:rsidRPr="00FD18E2">
        <w:rPr>
          <w:rFonts w:eastAsia="Calibri" w:cs="Times New Roman"/>
          <w:b/>
          <w:sz w:val="28"/>
          <w:szCs w:val="28"/>
        </w:rPr>
        <w:t>Limitations of the data</w:t>
      </w:r>
    </w:p>
    <w:p w14:paraId="3E095B56" w14:textId="0A0E3A9E" w:rsidR="00AE4533" w:rsidRDefault="00AE4533" w:rsidP="00AE4533">
      <w:r w:rsidRPr="005D3E15">
        <w:t>For interpreting the results of this analysis, it should be noted that prescriptions for testosterone are valid for 12 months from the</w:t>
      </w:r>
      <w:r w:rsidR="004644A6">
        <w:t xml:space="preserve"> date of prescribing. Therefore, </w:t>
      </w:r>
      <w:r w:rsidRPr="005D3E15">
        <w:t>in the 12</w:t>
      </w:r>
      <w:r w:rsidR="00B05717">
        <w:t> </w:t>
      </w:r>
      <w:r w:rsidRPr="005D3E15">
        <w:t xml:space="preserve">months </w:t>
      </w:r>
      <w:r w:rsidR="004644A6">
        <w:t xml:space="preserve">after the restriction change, there are </w:t>
      </w:r>
      <w:r w:rsidRPr="005D3E15">
        <w:t>prescrip</w:t>
      </w:r>
      <w:r w:rsidR="004644A6">
        <w:t xml:space="preserve">tions </w:t>
      </w:r>
      <w:r w:rsidR="00C33BCC">
        <w:t xml:space="preserve">included </w:t>
      </w:r>
      <w:r w:rsidR="004644A6">
        <w:t>that are valid</w:t>
      </w:r>
      <w:r w:rsidRPr="005D3E15">
        <w:t xml:space="preserve"> </w:t>
      </w:r>
      <w:r w:rsidR="004644A6">
        <w:t xml:space="preserve">but </w:t>
      </w:r>
      <w:r w:rsidRPr="005D3E15">
        <w:t>may not comply with the new PBS restriction.</w:t>
      </w:r>
      <w:r w:rsidR="004644A6">
        <w:t xml:space="preserve"> </w:t>
      </w:r>
      <w:r w:rsidR="00FD18E2">
        <w:t xml:space="preserve">Further, only 12 months of data since the change in restriction was available at the time of the analysis. </w:t>
      </w:r>
    </w:p>
    <w:p w14:paraId="75D478ED" w14:textId="77777777" w:rsidR="00E11537" w:rsidRDefault="00E11537">
      <w:pPr>
        <w:spacing w:line="276" w:lineRule="auto"/>
        <w:rPr>
          <w:b/>
          <w:sz w:val="32"/>
          <w:szCs w:val="32"/>
        </w:rPr>
      </w:pPr>
      <w:r>
        <w:br w:type="page"/>
      </w:r>
    </w:p>
    <w:p w14:paraId="4F91A98A" w14:textId="01AA1AD8" w:rsidR="00C714D0" w:rsidRPr="005E22C2" w:rsidRDefault="00C714D0" w:rsidP="001F4906">
      <w:pPr>
        <w:pStyle w:val="Heading4"/>
      </w:pPr>
      <w:r w:rsidRPr="005E22C2">
        <w:lastRenderedPageBreak/>
        <w:t>Results</w:t>
      </w:r>
    </w:p>
    <w:p w14:paraId="2221FF19" w14:textId="336CE8B2" w:rsidR="00736041" w:rsidRPr="005E22C2" w:rsidRDefault="001B5D37" w:rsidP="00FE645A">
      <w:pPr>
        <w:pStyle w:val="Heading3"/>
      </w:pPr>
      <w:r w:rsidRPr="005E22C2">
        <w:t xml:space="preserve">Analysis </w:t>
      </w:r>
      <w:r w:rsidR="00736041" w:rsidRPr="005E22C2">
        <w:t xml:space="preserve">of </w:t>
      </w:r>
      <w:r w:rsidR="0063631C">
        <w:t>d</w:t>
      </w:r>
      <w:r w:rsidR="00E677DD" w:rsidRPr="005E22C2">
        <w:t xml:space="preserve">rug </w:t>
      </w:r>
      <w:r w:rsidR="0063631C">
        <w:t>u</w:t>
      </w:r>
      <w:r w:rsidR="00E677DD" w:rsidRPr="005E22C2">
        <w:t>tilisation</w:t>
      </w:r>
    </w:p>
    <w:p w14:paraId="765C0754" w14:textId="6A871BDA" w:rsidR="00345EDD" w:rsidRDefault="00345EDD" w:rsidP="00345EDD">
      <w:pPr>
        <w:pStyle w:val="Heading2"/>
      </w:pPr>
      <w:r>
        <w:t>Overall utilisation</w:t>
      </w:r>
    </w:p>
    <w:p w14:paraId="5CC9C6EC" w14:textId="77777777" w:rsidR="00F739A6" w:rsidRDefault="00345EDD" w:rsidP="00425C41">
      <w:pPr>
        <w:spacing w:after="0"/>
      </w:pPr>
      <w:r>
        <w:t xml:space="preserve">Figure </w:t>
      </w:r>
      <w:r w:rsidR="007A1F6D">
        <w:t>1</w:t>
      </w:r>
      <w:r>
        <w:t xml:space="preserve"> depicts the number of testosterone prescriptions supplied</w:t>
      </w:r>
      <w:r w:rsidR="005732E3">
        <w:t xml:space="preserve"> from </w:t>
      </w:r>
      <w:r>
        <w:t>January 2006 to 30</w:t>
      </w:r>
      <w:r w:rsidR="00B05717">
        <w:t> </w:t>
      </w:r>
      <w:r>
        <w:t xml:space="preserve">April 2016. </w:t>
      </w:r>
    </w:p>
    <w:p w14:paraId="1E9E9877" w14:textId="43E1359C" w:rsidR="005761ED" w:rsidRDefault="00A02068" w:rsidP="00425C41">
      <w:pPr>
        <w:spacing w:after="0"/>
        <w:rPr>
          <w:highlight w:val="yellow"/>
        </w:rPr>
      </w:pPr>
      <w:r w:rsidRPr="002D1714">
        <w:rPr>
          <w:noProof/>
          <w:highlight w:val="yellow"/>
        </w:rPr>
        <mc:AlternateContent>
          <mc:Choice Requires="wps">
            <w:drawing>
              <wp:anchor distT="0" distB="0" distL="114300" distR="114300" simplePos="0" relativeHeight="251663360" behindDoc="0" locked="0" layoutInCell="1" allowOverlap="1" wp14:anchorId="07F863A9" wp14:editId="280E2B08">
                <wp:simplePos x="0" y="0"/>
                <wp:positionH relativeFrom="column">
                  <wp:posOffset>4222750</wp:posOffset>
                </wp:positionH>
                <wp:positionV relativeFrom="paragraph">
                  <wp:posOffset>192287</wp:posOffset>
                </wp:positionV>
                <wp:extent cx="1435204" cy="312553"/>
                <wp:effectExtent l="0" t="0" r="12700" b="11430"/>
                <wp:wrapNone/>
                <wp:docPr id="3" name="Text Box 2" title="Restriction change 1 Apri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204" cy="312553"/>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722254A5" w14:textId="2139D2F9" w:rsidR="00355884" w:rsidRPr="00A02068" w:rsidRDefault="00355884" w:rsidP="00A02068">
                            <w:pPr>
                              <w:jc w:val="center"/>
                              <w:rPr>
                                <w:b/>
                                <w:sz w:val="18"/>
                                <w:szCs w:val="18"/>
                              </w:rPr>
                            </w:pPr>
                            <w:r w:rsidRPr="00A02068">
                              <w:rPr>
                                <w:b/>
                                <w:sz w:val="18"/>
                                <w:szCs w:val="18"/>
                              </w:rPr>
                              <w:t>Restriction change 1 April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Title: Restriction change 1 April" style="position:absolute;margin-left:332.5pt;margin-top:15.15pt;width:113pt;height:2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" fillcolor="white [3201]" strokecolor="black [3200]" strokeweight="1pt">
                <v:textbox>
                  <w:txbxContent>
                    <w:p w14:paraId="722254A5" w14:textId="2139D2F9" w:rsidR="00355884" w:rsidRPr="00A02068" w:rsidRDefault="00355884" w:rsidP="00A02068">
                      <w:pPr>
                        <w:jc w:val="center"/>
                        <w:rPr>
                          <w:b/>
                          <w:sz w:val="18"/>
                          <w:szCs w:val="18"/>
                        </w:rPr>
                      </w:pPr>
                      <w:r w:rsidRPr="00A02068">
                        <w:rPr>
                          <w:b/>
                          <w:sz w:val="18"/>
                          <w:szCs w:val="18"/>
                        </w:rPr>
                        <w:t>Restriction change 1 April</w:t>
                      </w:r>
                    </w:p>
                  </w:txbxContent>
                </v:textbox>
              </v:shape>
            </w:pict>
          </mc:Fallback>
        </mc:AlternateContent>
      </w:r>
      <w:r w:rsidR="007C647F" w:rsidRPr="007C647F">
        <w:rPr>
          <w:noProof/>
        </w:rPr>
        <w:t xml:space="preserve"> </w:t>
      </w:r>
      <w:r w:rsidR="001F532D">
        <w:rPr>
          <w:noProof/>
        </w:rPr>
        <w:drawing>
          <wp:inline distT="0" distB="0" distL="0" distR="0" wp14:anchorId="6CFBA3FD" wp14:editId="64D829FB">
            <wp:extent cx="5687695" cy="3703686"/>
            <wp:effectExtent l="0" t="0" r="27305" b="11430"/>
            <wp:docPr id="4" name="Chart 4" descr="The graph indicates that a restriction change occured on 1 April 2015. " title="Testosterone prescriptions supplied by quarter from January 2006 to 30 June 20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335B3EC" w14:textId="7A1C74EC" w:rsidR="00007AB9" w:rsidRPr="00DC6CCB" w:rsidRDefault="005761ED" w:rsidP="00425C41">
      <w:pPr>
        <w:pStyle w:val="Figurecaption"/>
        <w:spacing w:before="0" w:after="0"/>
        <w:rPr>
          <w:b/>
          <w:sz w:val="24"/>
          <w:szCs w:val="24"/>
        </w:rPr>
      </w:pPr>
      <w:r w:rsidRPr="00007AB9">
        <w:rPr>
          <w:b/>
          <w:sz w:val="24"/>
          <w:szCs w:val="24"/>
        </w:rPr>
        <w:t>Figure 1:</w:t>
      </w:r>
      <w:r w:rsidRPr="005761ED">
        <w:t xml:space="preserve"> </w:t>
      </w:r>
      <w:r w:rsidR="00FD26B0">
        <w:rPr>
          <w:b/>
          <w:sz w:val="24"/>
          <w:szCs w:val="24"/>
        </w:rPr>
        <w:t>T</w:t>
      </w:r>
      <w:r w:rsidR="00007AB9">
        <w:rPr>
          <w:b/>
          <w:sz w:val="24"/>
          <w:szCs w:val="24"/>
        </w:rPr>
        <w:t>estosterone</w:t>
      </w:r>
      <w:r w:rsidR="00007AB9" w:rsidRPr="00DC6CCB">
        <w:rPr>
          <w:b/>
          <w:sz w:val="24"/>
          <w:szCs w:val="24"/>
        </w:rPr>
        <w:t xml:space="preserve"> </w:t>
      </w:r>
      <w:r w:rsidR="00F704C4">
        <w:rPr>
          <w:b/>
          <w:sz w:val="24"/>
          <w:szCs w:val="24"/>
        </w:rPr>
        <w:t xml:space="preserve">prescriptions supplied </w:t>
      </w:r>
      <w:r w:rsidR="00007AB9" w:rsidRPr="00DC6CCB">
        <w:rPr>
          <w:b/>
          <w:sz w:val="24"/>
          <w:szCs w:val="24"/>
        </w:rPr>
        <w:t xml:space="preserve">per quarter from </w:t>
      </w:r>
      <w:r w:rsidR="00007AB9">
        <w:rPr>
          <w:b/>
          <w:sz w:val="24"/>
          <w:szCs w:val="24"/>
        </w:rPr>
        <w:t>January 2006</w:t>
      </w:r>
      <w:r w:rsidR="00007AB9" w:rsidRPr="00DC6CCB">
        <w:rPr>
          <w:b/>
          <w:sz w:val="24"/>
          <w:szCs w:val="24"/>
        </w:rPr>
        <w:t xml:space="preserve"> to </w:t>
      </w:r>
      <w:r w:rsidR="005732E3">
        <w:rPr>
          <w:b/>
          <w:sz w:val="24"/>
          <w:szCs w:val="24"/>
        </w:rPr>
        <w:t>3</w:t>
      </w:r>
      <w:r w:rsidR="001F532D">
        <w:rPr>
          <w:b/>
          <w:sz w:val="24"/>
          <w:szCs w:val="24"/>
        </w:rPr>
        <w:t>0</w:t>
      </w:r>
      <w:r w:rsidR="005732E3">
        <w:rPr>
          <w:b/>
          <w:sz w:val="24"/>
          <w:szCs w:val="24"/>
        </w:rPr>
        <w:t xml:space="preserve"> </w:t>
      </w:r>
      <w:r w:rsidR="001F532D">
        <w:rPr>
          <w:b/>
          <w:sz w:val="24"/>
          <w:szCs w:val="24"/>
        </w:rPr>
        <w:t>June</w:t>
      </w:r>
      <w:r w:rsidR="00007AB9" w:rsidRPr="00DC6CCB">
        <w:rPr>
          <w:b/>
          <w:sz w:val="24"/>
          <w:szCs w:val="24"/>
        </w:rPr>
        <w:t xml:space="preserve"> 201</w:t>
      </w:r>
      <w:r w:rsidR="00007AB9">
        <w:rPr>
          <w:b/>
          <w:sz w:val="24"/>
          <w:szCs w:val="24"/>
        </w:rPr>
        <w:t>6</w:t>
      </w:r>
    </w:p>
    <w:p w14:paraId="511A37F0" w14:textId="49ED508E" w:rsidR="00B61FD4" w:rsidRDefault="00007AB9" w:rsidP="00B61FD4">
      <w:pPr>
        <w:pStyle w:val="Figurecaption"/>
        <w:spacing w:before="0" w:after="0"/>
      </w:pPr>
      <w:proofErr w:type="gramStart"/>
      <w:r>
        <w:t>Prescriptions by date of supply.</w:t>
      </w:r>
      <w:proofErr w:type="gramEnd"/>
      <w:r>
        <w:t xml:space="preserve"> </w:t>
      </w:r>
      <w:proofErr w:type="gramStart"/>
      <w:r>
        <w:t xml:space="preserve">Includes </w:t>
      </w:r>
      <w:r w:rsidR="00E01D1B" w:rsidRPr="00E01D1B">
        <w:t xml:space="preserve">under co-payment estimate </w:t>
      </w:r>
      <w:r w:rsidR="00E01D1B">
        <w:t xml:space="preserve">to March 2012 </w:t>
      </w:r>
      <w:r w:rsidR="00E01D1B" w:rsidRPr="00E01D1B">
        <w:t>and actual</w:t>
      </w:r>
      <w:r w:rsidR="00E01D1B">
        <w:t xml:space="preserve"> data from April 2012</w:t>
      </w:r>
      <w:r w:rsidR="00E01D1B" w:rsidRPr="00E01D1B">
        <w:t>.</w:t>
      </w:r>
      <w:proofErr w:type="gramEnd"/>
      <w:r w:rsidR="00E01D1B" w:rsidRPr="00E01D1B">
        <w:t xml:space="preserve"> </w:t>
      </w:r>
      <w:proofErr w:type="gramStart"/>
      <w:r w:rsidR="00E01D1B">
        <w:t>P</w:t>
      </w:r>
      <w:r w:rsidR="00B61FD4">
        <w:t>rivate estimate</w:t>
      </w:r>
      <w:r w:rsidR="00E01D1B">
        <w:t xml:space="preserve"> until August 2012.</w:t>
      </w:r>
      <w:proofErr w:type="gramEnd"/>
      <w:r w:rsidR="00B61FD4">
        <w:t xml:space="preserve"> </w:t>
      </w:r>
      <w:r w:rsidR="00425C41" w:rsidRPr="00E01D1B">
        <w:t xml:space="preserve">Source: DUSC database accessed </w:t>
      </w:r>
      <w:r w:rsidR="00425C41">
        <w:t>August</w:t>
      </w:r>
      <w:r w:rsidR="00425C41" w:rsidRPr="00E01D1B">
        <w:t xml:space="preserve"> 2016.</w:t>
      </w:r>
    </w:p>
    <w:p w14:paraId="51A9C1D7" w14:textId="77777777" w:rsidR="002D2934" w:rsidRDefault="002D2934" w:rsidP="002D2934">
      <w:pPr>
        <w:spacing w:after="0"/>
      </w:pPr>
    </w:p>
    <w:p w14:paraId="193113F8" w14:textId="7FBE48CA" w:rsidR="00E01D1B" w:rsidRDefault="00E01D1B" w:rsidP="002D2934">
      <w:pPr>
        <w:spacing w:after="0"/>
      </w:pPr>
      <w:r w:rsidRPr="00E01D1B">
        <w:t>The total number of testosterone prescriptions supplied increased steadily from quarter one 2006 (n=35,173) to quarter four 2014 (n=62,241).</w:t>
      </w:r>
      <w:r w:rsidR="004908BB" w:rsidRPr="004908BB">
        <w:t xml:space="preserve"> The trajectory of growth in testosterone prescriptions can be seen from January 2006 up until the time of the restriction change. At that point, a downwards trend can be seen.</w:t>
      </w:r>
    </w:p>
    <w:p w14:paraId="153DBBB1" w14:textId="77777777" w:rsidR="002D2934" w:rsidRDefault="002D2934" w:rsidP="002D2934">
      <w:pPr>
        <w:spacing w:after="0"/>
      </w:pPr>
    </w:p>
    <w:p w14:paraId="14E6E32C" w14:textId="77777777" w:rsidR="00E11537" w:rsidRDefault="00E11537">
      <w:pPr>
        <w:spacing w:line="276" w:lineRule="auto"/>
      </w:pPr>
      <w:r>
        <w:br w:type="page"/>
      </w:r>
    </w:p>
    <w:p w14:paraId="28924C26" w14:textId="5FC49DCE" w:rsidR="00E01D1B" w:rsidRDefault="00E01D1B" w:rsidP="00E01D1B">
      <w:r w:rsidRPr="00F739A6">
        <w:lastRenderedPageBreak/>
        <w:t xml:space="preserve">Table </w:t>
      </w:r>
      <w:r w:rsidR="00F739A6" w:rsidRPr="00F739A6">
        <w:t>3</w:t>
      </w:r>
      <w:r w:rsidRPr="00F739A6">
        <w:t xml:space="preserve"> contains</w:t>
      </w:r>
      <w:r>
        <w:t xml:space="preserve"> the number of prescriptions supplied on the </w:t>
      </w:r>
      <w:r w:rsidR="00B05717">
        <w:t>R/</w:t>
      </w:r>
      <w:r>
        <w:t>PBS each year from 2013 to 2016.</w:t>
      </w:r>
    </w:p>
    <w:p w14:paraId="5924797E" w14:textId="73301F98" w:rsidR="00CC61C5" w:rsidRDefault="00CC61C5" w:rsidP="00CC61C5">
      <w:pPr>
        <w:pStyle w:val="Heading2"/>
        <w:spacing w:after="0"/>
        <w:rPr>
          <w:i w:val="0"/>
        </w:rPr>
      </w:pPr>
      <w:r w:rsidRPr="00F739A6">
        <w:rPr>
          <w:i w:val="0"/>
        </w:rPr>
        <w:t>Ta</w:t>
      </w:r>
      <w:r w:rsidR="00F739A6" w:rsidRPr="00F739A6">
        <w:rPr>
          <w:i w:val="0"/>
        </w:rPr>
        <w:t>ble 3</w:t>
      </w:r>
      <w:r w:rsidRPr="00F739A6">
        <w:rPr>
          <w:i w:val="0"/>
        </w:rPr>
        <w:t>: Number</w:t>
      </w:r>
      <w:r w:rsidRPr="00C84BB4">
        <w:rPr>
          <w:i w:val="0"/>
        </w:rPr>
        <w:t xml:space="preserve"> of </w:t>
      </w:r>
      <w:r w:rsidR="00F704C4">
        <w:rPr>
          <w:i w:val="0"/>
        </w:rPr>
        <w:t>R/</w:t>
      </w:r>
      <w:r w:rsidRPr="00C84BB4">
        <w:rPr>
          <w:i w:val="0"/>
        </w:rPr>
        <w:t>PBS testosterone prescriptions supplied</w:t>
      </w:r>
    </w:p>
    <w:tbl>
      <w:tblPr>
        <w:tblStyle w:val="TableGrid"/>
        <w:tblW w:w="0" w:type="auto"/>
        <w:tblLook w:val="04A0" w:firstRow="1" w:lastRow="0" w:firstColumn="1" w:lastColumn="0" w:noHBand="0" w:noVBand="1"/>
        <w:tblCaption w:val="Number of R/PBS testosterone prescriptions supplied"/>
        <w:tblDescription w:val="Indicates the number of prescriptions and annual growth from 2012 to 2016 which is part year "/>
      </w:tblPr>
      <w:tblGrid>
        <w:gridCol w:w="1526"/>
        <w:gridCol w:w="2268"/>
        <w:gridCol w:w="2268"/>
      </w:tblGrid>
      <w:tr w:rsidR="00E01D1B" w14:paraId="61CDB3AF" w14:textId="7BEB9B0B" w:rsidTr="00E12E3C">
        <w:trPr>
          <w:tblHeader/>
        </w:trPr>
        <w:tc>
          <w:tcPr>
            <w:tcW w:w="1526" w:type="dxa"/>
            <w:shd w:val="clear" w:color="auto" w:fill="BFBFBF" w:themeFill="background1" w:themeFillShade="BF"/>
          </w:tcPr>
          <w:p w14:paraId="6755C78A" w14:textId="77777777" w:rsidR="00E01D1B" w:rsidRPr="007C2460" w:rsidRDefault="00E01D1B" w:rsidP="002D2934">
            <w:pPr>
              <w:jc w:val="center"/>
              <w:rPr>
                <w:b/>
                <w:sz w:val="20"/>
                <w:szCs w:val="20"/>
              </w:rPr>
            </w:pPr>
            <w:r w:rsidRPr="007C2460">
              <w:rPr>
                <w:b/>
                <w:sz w:val="20"/>
                <w:szCs w:val="20"/>
              </w:rPr>
              <w:t>Year</w:t>
            </w:r>
          </w:p>
        </w:tc>
        <w:tc>
          <w:tcPr>
            <w:tcW w:w="2268" w:type="dxa"/>
            <w:shd w:val="clear" w:color="auto" w:fill="BFBFBF" w:themeFill="background1" w:themeFillShade="BF"/>
          </w:tcPr>
          <w:p w14:paraId="60D4E122" w14:textId="77777777" w:rsidR="00E01D1B" w:rsidRPr="007C2460" w:rsidRDefault="00E01D1B" w:rsidP="002D2934">
            <w:pPr>
              <w:jc w:val="center"/>
              <w:rPr>
                <w:b/>
                <w:sz w:val="20"/>
                <w:szCs w:val="20"/>
              </w:rPr>
            </w:pPr>
            <w:r w:rsidRPr="007C2460">
              <w:rPr>
                <w:b/>
                <w:sz w:val="20"/>
                <w:szCs w:val="20"/>
              </w:rPr>
              <w:t>Number of prescriptions</w:t>
            </w:r>
          </w:p>
        </w:tc>
        <w:tc>
          <w:tcPr>
            <w:tcW w:w="2268" w:type="dxa"/>
            <w:shd w:val="clear" w:color="auto" w:fill="BFBFBF" w:themeFill="background1" w:themeFillShade="BF"/>
          </w:tcPr>
          <w:p w14:paraId="18A7EA1D" w14:textId="04028BCF" w:rsidR="00E01D1B" w:rsidRPr="007C2460" w:rsidRDefault="00B05717" w:rsidP="002D2934">
            <w:pPr>
              <w:jc w:val="center"/>
              <w:rPr>
                <w:b/>
                <w:sz w:val="20"/>
                <w:szCs w:val="20"/>
              </w:rPr>
            </w:pPr>
            <w:r>
              <w:rPr>
                <w:b/>
                <w:sz w:val="20"/>
                <w:szCs w:val="20"/>
              </w:rPr>
              <w:t xml:space="preserve">Annual </w:t>
            </w:r>
            <w:r w:rsidR="00E01D1B">
              <w:rPr>
                <w:b/>
                <w:sz w:val="20"/>
                <w:szCs w:val="20"/>
              </w:rPr>
              <w:t>Growth</w:t>
            </w:r>
          </w:p>
        </w:tc>
      </w:tr>
      <w:tr w:rsidR="00B05717" w14:paraId="266DBBA3" w14:textId="77777777" w:rsidTr="002625D2">
        <w:tc>
          <w:tcPr>
            <w:tcW w:w="1526" w:type="dxa"/>
          </w:tcPr>
          <w:p w14:paraId="35577B0E" w14:textId="5AC41BC1" w:rsidR="00B05717" w:rsidRDefault="00B05717" w:rsidP="0019295E">
            <w:pPr>
              <w:rPr>
                <w:sz w:val="20"/>
                <w:szCs w:val="20"/>
              </w:rPr>
            </w:pPr>
            <w:r>
              <w:rPr>
                <w:sz w:val="20"/>
                <w:szCs w:val="20"/>
              </w:rPr>
              <w:t>2012</w:t>
            </w:r>
          </w:p>
        </w:tc>
        <w:tc>
          <w:tcPr>
            <w:tcW w:w="2268" w:type="dxa"/>
          </w:tcPr>
          <w:p w14:paraId="78188FA4" w14:textId="2E7CC79D" w:rsidR="00B05717" w:rsidRDefault="00B05717" w:rsidP="0019295E">
            <w:pPr>
              <w:jc w:val="right"/>
              <w:rPr>
                <w:sz w:val="20"/>
                <w:szCs w:val="20"/>
              </w:rPr>
            </w:pPr>
            <w:r>
              <w:rPr>
                <w:sz w:val="20"/>
                <w:szCs w:val="20"/>
              </w:rPr>
              <w:t>189,895</w:t>
            </w:r>
          </w:p>
        </w:tc>
        <w:tc>
          <w:tcPr>
            <w:tcW w:w="2268" w:type="dxa"/>
          </w:tcPr>
          <w:p w14:paraId="614B7253" w14:textId="30699627" w:rsidR="00B05717" w:rsidRDefault="00B05717" w:rsidP="0019295E">
            <w:pPr>
              <w:jc w:val="right"/>
              <w:rPr>
                <w:sz w:val="20"/>
                <w:szCs w:val="20"/>
              </w:rPr>
            </w:pPr>
            <w:r>
              <w:rPr>
                <w:sz w:val="20"/>
                <w:szCs w:val="20"/>
              </w:rPr>
              <w:t>N/A</w:t>
            </w:r>
          </w:p>
        </w:tc>
      </w:tr>
      <w:tr w:rsidR="00E01D1B" w14:paraId="6755BBB9" w14:textId="7CCD0A69" w:rsidTr="002625D2">
        <w:tc>
          <w:tcPr>
            <w:tcW w:w="1526" w:type="dxa"/>
          </w:tcPr>
          <w:p w14:paraId="2B7334B7" w14:textId="77777777" w:rsidR="00E01D1B" w:rsidRPr="00DF406A" w:rsidRDefault="00E01D1B" w:rsidP="0019295E">
            <w:pPr>
              <w:rPr>
                <w:sz w:val="20"/>
                <w:szCs w:val="20"/>
              </w:rPr>
            </w:pPr>
            <w:r>
              <w:rPr>
                <w:sz w:val="20"/>
                <w:szCs w:val="20"/>
              </w:rPr>
              <w:t>2013</w:t>
            </w:r>
          </w:p>
        </w:tc>
        <w:tc>
          <w:tcPr>
            <w:tcW w:w="2268" w:type="dxa"/>
          </w:tcPr>
          <w:p w14:paraId="7DBA18C8" w14:textId="77777777" w:rsidR="00E01D1B" w:rsidRPr="00DF406A" w:rsidRDefault="00E01D1B" w:rsidP="0019295E">
            <w:pPr>
              <w:jc w:val="right"/>
              <w:rPr>
                <w:sz w:val="20"/>
                <w:szCs w:val="20"/>
              </w:rPr>
            </w:pPr>
            <w:r>
              <w:rPr>
                <w:sz w:val="20"/>
                <w:szCs w:val="20"/>
              </w:rPr>
              <w:t>210,243</w:t>
            </w:r>
          </w:p>
        </w:tc>
        <w:tc>
          <w:tcPr>
            <w:tcW w:w="2268" w:type="dxa"/>
          </w:tcPr>
          <w:p w14:paraId="611560F8" w14:textId="49EB7EFA" w:rsidR="00E01D1B" w:rsidRDefault="002D2934" w:rsidP="0019295E">
            <w:pPr>
              <w:jc w:val="right"/>
              <w:rPr>
                <w:sz w:val="20"/>
                <w:szCs w:val="20"/>
              </w:rPr>
            </w:pPr>
            <w:r>
              <w:rPr>
                <w:sz w:val="20"/>
                <w:szCs w:val="20"/>
              </w:rPr>
              <w:t>10.7%</w:t>
            </w:r>
          </w:p>
        </w:tc>
      </w:tr>
      <w:tr w:rsidR="00E01D1B" w14:paraId="4092FD4C" w14:textId="0C35E97B" w:rsidTr="002625D2">
        <w:tc>
          <w:tcPr>
            <w:tcW w:w="1526" w:type="dxa"/>
          </w:tcPr>
          <w:p w14:paraId="5F0F86D7" w14:textId="77777777" w:rsidR="00E01D1B" w:rsidRPr="00DF406A" w:rsidRDefault="00E01D1B" w:rsidP="0019295E">
            <w:pPr>
              <w:rPr>
                <w:sz w:val="20"/>
                <w:szCs w:val="20"/>
              </w:rPr>
            </w:pPr>
            <w:r>
              <w:rPr>
                <w:sz w:val="20"/>
                <w:szCs w:val="20"/>
              </w:rPr>
              <w:t>2014</w:t>
            </w:r>
          </w:p>
        </w:tc>
        <w:tc>
          <w:tcPr>
            <w:tcW w:w="2268" w:type="dxa"/>
          </w:tcPr>
          <w:p w14:paraId="71B4CFC0" w14:textId="77777777" w:rsidR="00E01D1B" w:rsidRPr="00DF406A" w:rsidRDefault="00E01D1B" w:rsidP="0019295E">
            <w:pPr>
              <w:jc w:val="right"/>
              <w:rPr>
                <w:sz w:val="20"/>
                <w:szCs w:val="20"/>
              </w:rPr>
            </w:pPr>
            <w:r>
              <w:rPr>
                <w:sz w:val="20"/>
                <w:szCs w:val="20"/>
              </w:rPr>
              <w:t>222,955</w:t>
            </w:r>
          </w:p>
        </w:tc>
        <w:tc>
          <w:tcPr>
            <w:tcW w:w="2268" w:type="dxa"/>
          </w:tcPr>
          <w:p w14:paraId="0B4ACFEE" w14:textId="6A731A07" w:rsidR="00E01D1B" w:rsidRDefault="002D2934" w:rsidP="0019295E">
            <w:pPr>
              <w:jc w:val="right"/>
              <w:rPr>
                <w:sz w:val="20"/>
                <w:szCs w:val="20"/>
              </w:rPr>
            </w:pPr>
            <w:r>
              <w:rPr>
                <w:sz w:val="20"/>
                <w:szCs w:val="20"/>
              </w:rPr>
              <w:t>6.0%</w:t>
            </w:r>
          </w:p>
        </w:tc>
      </w:tr>
      <w:tr w:rsidR="00E01D1B" w14:paraId="3A374E04" w14:textId="5017926F" w:rsidTr="002625D2">
        <w:tc>
          <w:tcPr>
            <w:tcW w:w="1526" w:type="dxa"/>
          </w:tcPr>
          <w:p w14:paraId="620C32E2" w14:textId="77777777" w:rsidR="00E01D1B" w:rsidRDefault="00E01D1B" w:rsidP="0019295E">
            <w:pPr>
              <w:rPr>
                <w:sz w:val="20"/>
                <w:szCs w:val="20"/>
              </w:rPr>
            </w:pPr>
            <w:r>
              <w:rPr>
                <w:sz w:val="20"/>
                <w:szCs w:val="20"/>
              </w:rPr>
              <w:t>2015</w:t>
            </w:r>
          </w:p>
        </w:tc>
        <w:tc>
          <w:tcPr>
            <w:tcW w:w="2268" w:type="dxa"/>
          </w:tcPr>
          <w:p w14:paraId="090905FC" w14:textId="77777777" w:rsidR="00E01D1B" w:rsidRPr="00DF406A" w:rsidRDefault="00E01D1B" w:rsidP="0019295E">
            <w:pPr>
              <w:jc w:val="right"/>
              <w:rPr>
                <w:sz w:val="20"/>
                <w:szCs w:val="20"/>
              </w:rPr>
            </w:pPr>
            <w:r>
              <w:rPr>
                <w:sz w:val="20"/>
                <w:szCs w:val="20"/>
              </w:rPr>
              <w:t>183,745</w:t>
            </w:r>
          </w:p>
        </w:tc>
        <w:tc>
          <w:tcPr>
            <w:tcW w:w="2268" w:type="dxa"/>
          </w:tcPr>
          <w:p w14:paraId="33599646" w14:textId="19A23C8D" w:rsidR="00E01D1B" w:rsidRDefault="00D02AB8" w:rsidP="0019295E">
            <w:pPr>
              <w:jc w:val="right"/>
              <w:rPr>
                <w:sz w:val="20"/>
                <w:szCs w:val="20"/>
              </w:rPr>
            </w:pPr>
            <w:r>
              <w:rPr>
                <w:sz w:val="20"/>
                <w:szCs w:val="20"/>
              </w:rPr>
              <w:t>-</w:t>
            </w:r>
            <w:r w:rsidR="002D2934">
              <w:rPr>
                <w:sz w:val="20"/>
                <w:szCs w:val="20"/>
              </w:rPr>
              <w:t>17.6%</w:t>
            </w:r>
          </w:p>
        </w:tc>
      </w:tr>
      <w:tr w:rsidR="00E01D1B" w14:paraId="56516403" w14:textId="0EE6CF21" w:rsidTr="002625D2">
        <w:tc>
          <w:tcPr>
            <w:tcW w:w="1526" w:type="dxa"/>
          </w:tcPr>
          <w:p w14:paraId="76B8D581" w14:textId="77777777" w:rsidR="00E01D1B" w:rsidRDefault="00E01D1B" w:rsidP="0019295E">
            <w:pPr>
              <w:rPr>
                <w:sz w:val="20"/>
                <w:szCs w:val="20"/>
              </w:rPr>
            </w:pPr>
            <w:r>
              <w:rPr>
                <w:sz w:val="20"/>
                <w:szCs w:val="20"/>
              </w:rPr>
              <w:t>2016</w:t>
            </w:r>
            <w:r w:rsidRPr="00DF406A">
              <w:rPr>
                <w:sz w:val="20"/>
                <w:szCs w:val="20"/>
                <w:vertAlign w:val="superscript"/>
              </w:rPr>
              <w:t>Ɨ</w:t>
            </w:r>
          </w:p>
        </w:tc>
        <w:tc>
          <w:tcPr>
            <w:tcW w:w="2268" w:type="dxa"/>
          </w:tcPr>
          <w:p w14:paraId="2BE39ED7" w14:textId="4CAADDF6" w:rsidR="00E01D1B" w:rsidRPr="00DF406A" w:rsidRDefault="001F532D" w:rsidP="0019295E">
            <w:pPr>
              <w:jc w:val="right"/>
              <w:rPr>
                <w:sz w:val="20"/>
                <w:szCs w:val="20"/>
              </w:rPr>
            </w:pPr>
            <w:r>
              <w:rPr>
                <w:sz w:val="20"/>
                <w:szCs w:val="20"/>
              </w:rPr>
              <w:t>72,918</w:t>
            </w:r>
          </w:p>
        </w:tc>
        <w:tc>
          <w:tcPr>
            <w:tcW w:w="2268" w:type="dxa"/>
          </w:tcPr>
          <w:p w14:paraId="47A4D458" w14:textId="162542B5" w:rsidR="00E01D1B" w:rsidRDefault="00B05717" w:rsidP="0019295E">
            <w:pPr>
              <w:jc w:val="right"/>
              <w:rPr>
                <w:sz w:val="20"/>
                <w:szCs w:val="20"/>
              </w:rPr>
            </w:pPr>
            <w:r>
              <w:rPr>
                <w:sz w:val="20"/>
                <w:szCs w:val="20"/>
              </w:rPr>
              <w:t>N/A</w:t>
            </w:r>
          </w:p>
        </w:tc>
      </w:tr>
    </w:tbl>
    <w:p w14:paraId="0B76B2FD" w14:textId="68EA4036" w:rsidR="00CC61C5" w:rsidRPr="00DF406A" w:rsidRDefault="00CC61C5" w:rsidP="00CC61C5">
      <w:pPr>
        <w:spacing w:after="0"/>
        <w:rPr>
          <w:sz w:val="20"/>
          <w:szCs w:val="20"/>
        </w:rPr>
      </w:pPr>
      <w:r w:rsidRPr="00DF406A">
        <w:rPr>
          <w:sz w:val="20"/>
          <w:szCs w:val="20"/>
          <w:vertAlign w:val="superscript"/>
        </w:rPr>
        <w:t>Ɨ</w:t>
      </w:r>
      <w:r>
        <w:rPr>
          <w:sz w:val="20"/>
          <w:szCs w:val="20"/>
          <w:vertAlign w:val="superscript"/>
        </w:rPr>
        <w:t xml:space="preserve"> </w:t>
      </w:r>
      <w:r>
        <w:rPr>
          <w:sz w:val="20"/>
          <w:szCs w:val="20"/>
        </w:rPr>
        <w:t>Part year (1 January to 3</w:t>
      </w:r>
      <w:r w:rsidR="001F532D">
        <w:rPr>
          <w:sz w:val="20"/>
          <w:szCs w:val="20"/>
        </w:rPr>
        <w:t>0</w:t>
      </w:r>
      <w:r>
        <w:rPr>
          <w:sz w:val="20"/>
          <w:szCs w:val="20"/>
        </w:rPr>
        <w:t xml:space="preserve"> </w:t>
      </w:r>
      <w:r w:rsidR="001F532D">
        <w:rPr>
          <w:sz w:val="20"/>
          <w:szCs w:val="20"/>
        </w:rPr>
        <w:t>June</w:t>
      </w:r>
      <w:r>
        <w:rPr>
          <w:sz w:val="20"/>
          <w:szCs w:val="20"/>
        </w:rPr>
        <w:t>)</w:t>
      </w:r>
    </w:p>
    <w:p w14:paraId="0270DC9A" w14:textId="77777777" w:rsidR="00425C41" w:rsidRDefault="00CC61C5" w:rsidP="00CC61C5">
      <w:pPr>
        <w:spacing w:after="0"/>
        <w:rPr>
          <w:sz w:val="20"/>
          <w:szCs w:val="20"/>
        </w:rPr>
      </w:pPr>
      <w:proofErr w:type="gramStart"/>
      <w:r w:rsidRPr="006438B0">
        <w:rPr>
          <w:sz w:val="20"/>
          <w:szCs w:val="20"/>
        </w:rPr>
        <w:t>Prescriptions by date of supply.</w:t>
      </w:r>
      <w:proofErr w:type="gramEnd"/>
      <w:r w:rsidRPr="006438B0">
        <w:rPr>
          <w:sz w:val="20"/>
          <w:szCs w:val="20"/>
        </w:rPr>
        <w:t xml:space="preserve"> Includes under </w:t>
      </w:r>
      <w:r w:rsidR="00425C41">
        <w:rPr>
          <w:sz w:val="20"/>
          <w:szCs w:val="20"/>
        </w:rPr>
        <w:t xml:space="preserve">co-payment estimate and actual. </w:t>
      </w:r>
    </w:p>
    <w:p w14:paraId="72A44D63" w14:textId="3ECBAE2D" w:rsidR="00CC61C5" w:rsidRDefault="00CC61C5" w:rsidP="00CC61C5">
      <w:pPr>
        <w:spacing w:after="0"/>
        <w:rPr>
          <w:sz w:val="20"/>
          <w:szCs w:val="20"/>
        </w:rPr>
      </w:pPr>
      <w:r w:rsidRPr="006438B0">
        <w:rPr>
          <w:sz w:val="20"/>
          <w:szCs w:val="20"/>
        </w:rPr>
        <w:t>Source: DUSC database</w:t>
      </w:r>
      <w:r>
        <w:rPr>
          <w:sz w:val="20"/>
          <w:szCs w:val="20"/>
        </w:rPr>
        <w:t xml:space="preserve"> accessed</w:t>
      </w:r>
      <w:r w:rsidRPr="006438B0">
        <w:rPr>
          <w:sz w:val="20"/>
          <w:szCs w:val="20"/>
        </w:rPr>
        <w:t xml:space="preserve"> </w:t>
      </w:r>
      <w:r w:rsidR="001F532D">
        <w:rPr>
          <w:sz w:val="20"/>
          <w:szCs w:val="20"/>
        </w:rPr>
        <w:t>August</w:t>
      </w:r>
      <w:r w:rsidRPr="006438B0">
        <w:rPr>
          <w:sz w:val="20"/>
          <w:szCs w:val="20"/>
        </w:rPr>
        <w:t xml:space="preserve"> 2016</w:t>
      </w:r>
    </w:p>
    <w:p w14:paraId="79BB8794" w14:textId="77777777" w:rsidR="00CC61C5" w:rsidRDefault="00CC61C5" w:rsidP="00CC61C5">
      <w:pPr>
        <w:pStyle w:val="Figurecaption"/>
        <w:spacing w:before="0" w:after="0"/>
        <w:rPr>
          <w:sz w:val="24"/>
          <w:szCs w:val="24"/>
        </w:rPr>
      </w:pPr>
    </w:p>
    <w:p w14:paraId="24F0B0BF" w14:textId="70BA3965" w:rsidR="00CC61C5" w:rsidRDefault="00CC61C5" w:rsidP="00CC61C5">
      <w:pPr>
        <w:pStyle w:val="Figurecaption"/>
        <w:spacing w:before="0" w:after="0"/>
        <w:rPr>
          <w:sz w:val="24"/>
          <w:szCs w:val="24"/>
        </w:rPr>
      </w:pPr>
      <w:r>
        <w:rPr>
          <w:sz w:val="24"/>
          <w:szCs w:val="24"/>
        </w:rPr>
        <w:t xml:space="preserve">In 2015, the total number of </w:t>
      </w:r>
      <w:r w:rsidR="00B05717">
        <w:rPr>
          <w:sz w:val="24"/>
          <w:szCs w:val="24"/>
        </w:rPr>
        <w:t>R/</w:t>
      </w:r>
      <w:r>
        <w:rPr>
          <w:sz w:val="24"/>
          <w:szCs w:val="24"/>
        </w:rPr>
        <w:t xml:space="preserve">PBS subsidised prescriptions supplied was </w:t>
      </w:r>
      <w:r w:rsidR="00956500">
        <w:rPr>
          <w:sz w:val="24"/>
          <w:szCs w:val="24"/>
        </w:rPr>
        <w:t>17.6%</w:t>
      </w:r>
      <w:r w:rsidR="004F689E">
        <w:rPr>
          <w:sz w:val="24"/>
          <w:szCs w:val="24"/>
        </w:rPr>
        <w:t xml:space="preserve"> less than the year before</w:t>
      </w:r>
      <w:r>
        <w:rPr>
          <w:sz w:val="24"/>
          <w:szCs w:val="24"/>
        </w:rPr>
        <w:t>.</w:t>
      </w:r>
    </w:p>
    <w:p w14:paraId="68F23802" w14:textId="77777777" w:rsidR="00F704C4" w:rsidRDefault="00F704C4" w:rsidP="00F704C4">
      <w:pPr>
        <w:pStyle w:val="Heading3"/>
      </w:pPr>
      <w:r w:rsidRPr="005E22C2">
        <w:t xml:space="preserve">Analysis of </w:t>
      </w:r>
      <w:r>
        <w:t>e</w:t>
      </w:r>
      <w:r w:rsidRPr="005E22C2">
        <w:t>xpenditure</w:t>
      </w:r>
    </w:p>
    <w:p w14:paraId="46D81C2B" w14:textId="5CC6676E" w:rsidR="00F704C4" w:rsidRPr="00F739A6" w:rsidRDefault="00F704C4" w:rsidP="00F704C4">
      <w:r w:rsidRPr="00F739A6">
        <w:t xml:space="preserve">Table </w:t>
      </w:r>
      <w:r w:rsidR="00F739A6" w:rsidRPr="00F739A6">
        <w:t>4</w:t>
      </w:r>
      <w:r w:rsidRPr="00F739A6">
        <w:t xml:space="preserve"> contain</w:t>
      </w:r>
      <w:r w:rsidR="00805CC3">
        <w:t>s</w:t>
      </w:r>
      <w:r w:rsidRPr="00F739A6">
        <w:t xml:space="preserve"> the R/PBS benefits and the growth rates in R/PBS prescriptions and benefits for testosterone. </w:t>
      </w:r>
    </w:p>
    <w:p w14:paraId="2F5B97E5" w14:textId="313D73BB" w:rsidR="00F704C4" w:rsidRPr="00B50030" w:rsidRDefault="00F704C4" w:rsidP="00F704C4">
      <w:pPr>
        <w:spacing w:after="0"/>
        <w:rPr>
          <w:b/>
        </w:rPr>
      </w:pPr>
      <w:r w:rsidRPr="00F739A6">
        <w:rPr>
          <w:b/>
        </w:rPr>
        <w:t xml:space="preserve">Table </w:t>
      </w:r>
      <w:r w:rsidR="00F739A6" w:rsidRPr="00F739A6">
        <w:rPr>
          <w:b/>
        </w:rPr>
        <w:t>4</w:t>
      </w:r>
      <w:r w:rsidRPr="00F739A6">
        <w:rPr>
          <w:b/>
        </w:rPr>
        <w:t>: R</w:t>
      </w:r>
      <w:r>
        <w:rPr>
          <w:b/>
        </w:rPr>
        <w:t xml:space="preserve">/PBS benefits for testosterone </w:t>
      </w:r>
    </w:p>
    <w:tbl>
      <w:tblPr>
        <w:tblStyle w:val="TableGrid"/>
        <w:tblW w:w="0" w:type="auto"/>
        <w:tblLook w:val="04A0" w:firstRow="1" w:lastRow="0" w:firstColumn="1" w:lastColumn="0" w:noHBand="0" w:noVBand="1"/>
        <w:tblCaption w:val="R/PBS benefits for testosterone "/>
        <w:tblDescription w:val="For each year from 2012 to 2016, the total benefits for testosterone and the associated annual growth have been shown "/>
      </w:tblPr>
      <w:tblGrid>
        <w:gridCol w:w="2235"/>
        <w:gridCol w:w="2268"/>
        <w:gridCol w:w="2268"/>
      </w:tblGrid>
      <w:tr w:rsidR="004908BB" w14:paraId="361CE0F8" w14:textId="42FA751C" w:rsidTr="00E12E3C">
        <w:trPr>
          <w:tblHeader/>
        </w:trPr>
        <w:tc>
          <w:tcPr>
            <w:tcW w:w="2235" w:type="dxa"/>
            <w:shd w:val="clear" w:color="auto" w:fill="BFBFBF" w:themeFill="background1" w:themeFillShade="BF"/>
          </w:tcPr>
          <w:p w14:paraId="67DEE6A2" w14:textId="77777777" w:rsidR="004908BB" w:rsidRPr="00156053" w:rsidRDefault="004908BB" w:rsidP="00681FFA">
            <w:pPr>
              <w:pStyle w:val="Heading3"/>
              <w:spacing w:before="0"/>
              <w:jc w:val="center"/>
              <w:outlineLvl w:val="2"/>
              <w:rPr>
                <w:sz w:val="20"/>
                <w:szCs w:val="20"/>
              </w:rPr>
            </w:pPr>
            <w:r w:rsidRPr="00156053">
              <w:rPr>
                <w:sz w:val="20"/>
                <w:szCs w:val="20"/>
              </w:rPr>
              <w:t>Year</w:t>
            </w:r>
          </w:p>
        </w:tc>
        <w:tc>
          <w:tcPr>
            <w:tcW w:w="2268" w:type="dxa"/>
            <w:shd w:val="clear" w:color="auto" w:fill="BFBFBF" w:themeFill="background1" w:themeFillShade="BF"/>
          </w:tcPr>
          <w:p w14:paraId="6D42C8C3" w14:textId="77777777" w:rsidR="004908BB" w:rsidRPr="00156053" w:rsidRDefault="004908BB" w:rsidP="00681FFA">
            <w:pPr>
              <w:pStyle w:val="Heading3"/>
              <w:spacing w:before="0"/>
              <w:jc w:val="center"/>
              <w:outlineLvl w:val="2"/>
              <w:rPr>
                <w:sz w:val="20"/>
                <w:szCs w:val="20"/>
              </w:rPr>
            </w:pPr>
            <w:r w:rsidRPr="00156053">
              <w:rPr>
                <w:sz w:val="20"/>
                <w:szCs w:val="20"/>
              </w:rPr>
              <w:t>Total</w:t>
            </w:r>
          </w:p>
        </w:tc>
        <w:tc>
          <w:tcPr>
            <w:tcW w:w="2268" w:type="dxa"/>
            <w:shd w:val="clear" w:color="auto" w:fill="BFBFBF" w:themeFill="background1" w:themeFillShade="BF"/>
          </w:tcPr>
          <w:p w14:paraId="1D6B9900" w14:textId="3338D68C" w:rsidR="004908BB" w:rsidRPr="00156053" w:rsidRDefault="00B05717" w:rsidP="00681FFA">
            <w:pPr>
              <w:pStyle w:val="Heading3"/>
              <w:spacing w:before="0"/>
              <w:jc w:val="center"/>
              <w:outlineLvl w:val="2"/>
              <w:rPr>
                <w:sz w:val="20"/>
                <w:szCs w:val="20"/>
              </w:rPr>
            </w:pPr>
            <w:r>
              <w:rPr>
                <w:sz w:val="20"/>
                <w:szCs w:val="20"/>
              </w:rPr>
              <w:t xml:space="preserve">Annual </w:t>
            </w:r>
            <w:r w:rsidR="004908BB">
              <w:rPr>
                <w:sz w:val="20"/>
                <w:szCs w:val="20"/>
              </w:rPr>
              <w:t>Growth</w:t>
            </w:r>
          </w:p>
        </w:tc>
      </w:tr>
      <w:tr w:rsidR="00B05717" w14:paraId="338F3CBC" w14:textId="77777777" w:rsidTr="002625D2">
        <w:tc>
          <w:tcPr>
            <w:tcW w:w="2235" w:type="dxa"/>
          </w:tcPr>
          <w:p w14:paraId="22B3EDBD" w14:textId="1919C134" w:rsidR="00B05717" w:rsidRPr="00B50030" w:rsidRDefault="00B05717" w:rsidP="00681FFA">
            <w:pPr>
              <w:pStyle w:val="Heading3"/>
              <w:spacing w:before="0"/>
              <w:outlineLvl w:val="2"/>
              <w:rPr>
                <w:b w:val="0"/>
                <w:sz w:val="20"/>
                <w:szCs w:val="20"/>
              </w:rPr>
            </w:pPr>
            <w:r>
              <w:rPr>
                <w:b w:val="0"/>
                <w:sz w:val="20"/>
                <w:szCs w:val="20"/>
              </w:rPr>
              <w:t>2012</w:t>
            </w:r>
          </w:p>
        </w:tc>
        <w:tc>
          <w:tcPr>
            <w:tcW w:w="2268" w:type="dxa"/>
          </w:tcPr>
          <w:p w14:paraId="6BB425BA" w14:textId="45D6D0E1" w:rsidR="00B05717" w:rsidRPr="00B50030" w:rsidRDefault="00B05717" w:rsidP="00681FFA">
            <w:pPr>
              <w:pStyle w:val="Heading3"/>
              <w:spacing w:before="0"/>
              <w:jc w:val="right"/>
              <w:outlineLvl w:val="2"/>
              <w:rPr>
                <w:b w:val="0"/>
                <w:sz w:val="20"/>
                <w:szCs w:val="20"/>
              </w:rPr>
            </w:pPr>
            <w:r>
              <w:rPr>
                <w:b w:val="0"/>
                <w:sz w:val="20"/>
                <w:szCs w:val="20"/>
              </w:rPr>
              <w:t>$17,016,211</w:t>
            </w:r>
          </w:p>
        </w:tc>
        <w:tc>
          <w:tcPr>
            <w:tcW w:w="2268" w:type="dxa"/>
          </w:tcPr>
          <w:p w14:paraId="79184801" w14:textId="0C15B79E" w:rsidR="00B05717" w:rsidRDefault="00B05717" w:rsidP="00681FFA">
            <w:pPr>
              <w:pStyle w:val="Heading3"/>
              <w:spacing w:before="0"/>
              <w:jc w:val="right"/>
              <w:outlineLvl w:val="2"/>
              <w:rPr>
                <w:b w:val="0"/>
                <w:sz w:val="20"/>
                <w:szCs w:val="20"/>
              </w:rPr>
            </w:pPr>
            <w:r>
              <w:rPr>
                <w:b w:val="0"/>
                <w:sz w:val="20"/>
                <w:szCs w:val="20"/>
              </w:rPr>
              <w:t>N/A</w:t>
            </w:r>
          </w:p>
        </w:tc>
      </w:tr>
      <w:tr w:rsidR="004908BB" w14:paraId="7152E89C" w14:textId="43D96912" w:rsidTr="002625D2">
        <w:tc>
          <w:tcPr>
            <w:tcW w:w="2235" w:type="dxa"/>
          </w:tcPr>
          <w:p w14:paraId="0CEF54CD" w14:textId="77777777" w:rsidR="004908BB" w:rsidRPr="00B50030" w:rsidRDefault="004908BB" w:rsidP="00681FFA">
            <w:pPr>
              <w:pStyle w:val="Heading3"/>
              <w:spacing w:before="0"/>
              <w:outlineLvl w:val="2"/>
              <w:rPr>
                <w:b w:val="0"/>
                <w:sz w:val="20"/>
                <w:szCs w:val="20"/>
              </w:rPr>
            </w:pPr>
            <w:r w:rsidRPr="00B50030">
              <w:rPr>
                <w:b w:val="0"/>
                <w:sz w:val="20"/>
                <w:szCs w:val="20"/>
              </w:rPr>
              <w:t>2013</w:t>
            </w:r>
          </w:p>
        </w:tc>
        <w:tc>
          <w:tcPr>
            <w:tcW w:w="2268" w:type="dxa"/>
          </w:tcPr>
          <w:p w14:paraId="5494F39E" w14:textId="77777777" w:rsidR="004908BB" w:rsidRPr="00B50030" w:rsidRDefault="004908BB" w:rsidP="00681FFA">
            <w:pPr>
              <w:pStyle w:val="Heading3"/>
              <w:spacing w:before="0"/>
              <w:jc w:val="right"/>
              <w:outlineLvl w:val="2"/>
              <w:rPr>
                <w:b w:val="0"/>
                <w:sz w:val="20"/>
                <w:szCs w:val="20"/>
              </w:rPr>
            </w:pPr>
            <w:r w:rsidRPr="00B50030">
              <w:rPr>
                <w:b w:val="0"/>
                <w:sz w:val="20"/>
                <w:szCs w:val="20"/>
              </w:rPr>
              <w:t>$18,784,084</w:t>
            </w:r>
          </w:p>
        </w:tc>
        <w:tc>
          <w:tcPr>
            <w:tcW w:w="2268" w:type="dxa"/>
          </w:tcPr>
          <w:p w14:paraId="06A0A9BD" w14:textId="2D04CF99" w:rsidR="004908BB" w:rsidRPr="00B50030" w:rsidRDefault="00D02AB8" w:rsidP="00681FFA">
            <w:pPr>
              <w:pStyle w:val="Heading3"/>
              <w:spacing w:before="0"/>
              <w:jc w:val="right"/>
              <w:outlineLvl w:val="2"/>
              <w:rPr>
                <w:b w:val="0"/>
                <w:sz w:val="20"/>
                <w:szCs w:val="20"/>
              </w:rPr>
            </w:pPr>
            <w:r>
              <w:rPr>
                <w:b w:val="0"/>
                <w:sz w:val="20"/>
                <w:szCs w:val="20"/>
              </w:rPr>
              <w:t>10.4%</w:t>
            </w:r>
          </w:p>
        </w:tc>
      </w:tr>
      <w:tr w:rsidR="004908BB" w14:paraId="1F20322B" w14:textId="5C9C751A" w:rsidTr="002625D2">
        <w:tc>
          <w:tcPr>
            <w:tcW w:w="2235" w:type="dxa"/>
          </w:tcPr>
          <w:p w14:paraId="14B29E50" w14:textId="77777777" w:rsidR="004908BB" w:rsidRPr="00B50030" w:rsidRDefault="004908BB" w:rsidP="00681FFA">
            <w:pPr>
              <w:pStyle w:val="Heading3"/>
              <w:spacing w:before="0"/>
              <w:outlineLvl w:val="2"/>
              <w:rPr>
                <w:b w:val="0"/>
                <w:sz w:val="20"/>
                <w:szCs w:val="20"/>
              </w:rPr>
            </w:pPr>
            <w:r w:rsidRPr="00B50030">
              <w:rPr>
                <w:b w:val="0"/>
                <w:sz w:val="20"/>
                <w:szCs w:val="20"/>
              </w:rPr>
              <w:t>2014</w:t>
            </w:r>
          </w:p>
        </w:tc>
        <w:tc>
          <w:tcPr>
            <w:tcW w:w="2268" w:type="dxa"/>
          </w:tcPr>
          <w:p w14:paraId="23701D49" w14:textId="77777777" w:rsidR="004908BB" w:rsidRPr="00B50030" w:rsidRDefault="004908BB" w:rsidP="00681FFA">
            <w:pPr>
              <w:pStyle w:val="Heading3"/>
              <w:spacing w:before="0"/>
              <w:jc w:val="right"/>
              <w:outlineLvl w:val="2"/>
              <w:rPr>
                <w:b w:val="0"/>
                <w:sz w:val="20"/>
                <w:szCs w:val="20"/>
              </w:rPr>
            </w:pPr>
            <w:r w:rsidRPr="00B50030">
              <w:rPr>
                <w:b w:val="0"/>
                <w:sz w:val="20"/>
                <w:szCs w:val="20"/>
              </w:rPr>
              <w:t>$20,205,906</w:t>
            </w:r>
          </w:p>
        </w:tc>
        <w:tc>
          <w:tcPr>
            <w:tcW w:w="2268" w:type="dxa"/>
          </w:tcPr>
          <w:p w14:paraId="79453E2F" w14:textId="2C9CE24C" w:rsidR="004908BB" w:rsidRPr="00B50030" w:rsidRDefault="00D02AB8" w:rsidP="00681FFA">
            <w:pPr>
              <w:pStyle w:val="Heading3"/>
              <w:spacing w:before="0"/>
              <w:jc w:val="right"/>
              <w:outlineLvl w:val="2"/>
              <w:rPr>
                <w:b w:val="0"/>
                <w:sz w:val="20"/>
                <w:szCs w:val="20"/>
              </w:rPr>
            </w:pPr>
            <w:r>
              <w:rPr>
                <w:b w:val="0"/>
                <w:sz w:val="20"/>
                <w:szCs w:val="20"/>
              </w:rPr>
              <w:t>7.6%</w:t>
            </w:r>
          </w:p>
        </w:tc>
      </w:tr>
      <w:tr w:rsidR="004908BB" w14:paraId="02B3F293" w14:textId="706F85CF" w:rsidTr="002625D2">
        <w:tc>
          <w:tcPr>
            <w:tcW w:w="2235" w:type="dxa"/>
          </w:tcPr>
          <w:p w14:paraId="31315B63" w14:textId="77777777" w:rsidR="004908BB" w:rsidRPr="00B50030" w:rsidRDefault="004908BB" w:rsidP="00681FFA">
            <w:pPr>
              <w:pStyle w:val="Heading3"/>
              <w:spacing w:before="0"/>
              <w:outlineLvl w:val="2"/>
              <w:rPr>
                <w:b w:val="0"/>
                <w:sz w:val="20"/>
                <w:szCs w:val="20"/>
              </w:rPr>
            </w:pPr>
            <w:r w:rsidRPr="00B50030">
              <w:rPr>
                <w:b w:val="0"/>
                <w:sz w:val="20"/>
                <w:szCs w:val="20"/>
              </w:rPr>
              <w:t>2015</w:t>
            </w:r>
          </w:p>
        </w:tc>
        <w:tc>
          <w:tcPr>
            <w:tcW w:w="2268" w:type="dxa"/>
          </w:tcPr>
          <w:p w14:paraId="4D8BAE8B" w14:textId="77777777" w:rsidR="004908BB" w:rsidRPr="00B50030" w:rsidRDefault="004908BB" w:rsidP="00681FFA">
            <w:pPr>
              <w:pStyle w:val="Heading3"/>
              <w:spacing w:before="0"/>
              <w:jc w:val="right"/>
              <w:outlineLvl w:val="2"/>
              <w:rPr>
                <w:b w:val="0"/>
                <w:sz w:val="20"/>
                <w:szCs w:val="20"/>
              </w:rPr>
            </w:pPr>
            <w:r w:rsidRPr="00B50030">
              <w:rPr>
                <w:b w:val="0"/>
                <w:sz w:val="20"/>
                <w:szCs w:val="20"/>
              </w:rPr>
              <w:t>$16,226,386</w:t>
            </w:r>
          </w:p>
        </w:tc>
        <w:tc>
          <w:tcPr>
            <w:tcW w:w="2268" w:type="dxa"/>
          </w:tcPr>
          <w:p w14:paraId="016D5641" w14:textId="7FF9B6E0" w:rsidR="004908BB" w:rsidRPr="00B50030" w:rsidRDefault="00D02AB8" w:rsidP="00681FFA">
            <w:pPr>
              <w:pStyle w:val="Heading3"/>
              <w:spacing w:before="0"/>
              <w:jc w:val="right"/>
              <w:outlineLvl w:val="2"/>
              <w:rPr>
                <w:b w:val="0"/>
                <w:sz w:val="20"/>
                <w:szCs w:val="20"/>
              </w:rPr>
            </w:pPr>
            <w:r>
              <w:rPr>
                <w:b w:val="0"/>
                <w:sz w:val="20"/>
                <w:szCs w:val="20"/>
              </w:rPr>
              <w:t>-20%</w:t>
            </w:r>
          </w:p>
        </w:tc>
      </w:tr>
      <w:tr w:rsidR="004908BB" w14:paraId="1B997ED0" w14:textId="5A92BF6C" w:rsidTr="002625D2">
        <w:tc>
          <w:tcPr>
            <w:tcW w:w="2235" w:type="dxa"/>
          </w:tcPr>
          <w:p w14:paraId="4C6DB057" w14:textId="77777777" w:rsidR="004908BB" w:rsidRPr="00B50030" w:rsidRDefault="004908BB" w:rsidP="00681FFA">
            <w:pPr>
              <w:pStyle w:val="Heading3"/>
              <w:spacing w:before="0"/>
              <w:outlineLvl w:val="2"/>
              <w:rPr>
                <w:b w:val="0"/>
                <w:sz w:val="20"/>
                <w:szCs w:val="20"/>
              </w:rPr>
            </w:pPr>
            <w:r w:rsidRPr="00B50030">
              <w:rPr>
                <w:b w:val="0"/>
                <w:sz w:val="20"/>
                <w:szCs w:val="20"/>
              </w:rPr>
              <w:t>2016</w:t>
            </w:r>
            <w:r w:rsidRPr="00B50030">
              <w:rPr>
                <w:b w:val="0"/>
                <w:sz w:val="20"/>
                <w:szCs w:val="20"/>
                <w:vertAlign w:val="superscript"/>
              </w:rPr>
              <w:t>a</w:t>
            </w:r>
          </w:p>
        </w:tc>
        <w:tc>
          <w:tcPr>
            <w:tcW w:w="2268" w:type="dxa"/>
          </w:tcPr>
          <w:p w14:paraId="2712E9A1" w14:textId="3D2E6327" w:rsidR="004908BB" w:rsidRPr="00BF7CB7" w:rsidRDefault="00BF7CB7" w:rsidP="00BF7CB7">
            <w:pPr>
              <w:jc w:val="right"/>
              <w:rPr>
                <w:rFonts w:ascii="Calibri" w:hAnsi="Calibri"/>
                <w:bCs/>
                <w:color w:val="000000"/>
                <w:sz w:val="22"/>
                <w:szCs w:val="22"/>
              </w:rPr>
            </w:pPr>
            <w:r>
              <w:rPr>
                <w:sz w:val="20"/>
                <w:szCs w:val="20"/>
              </w:rPr>
              <w:t>$</w:t>
            </w:r>
            <w:r w:rsidRPr="00BF7CB7">
              <w:rPr>
                <w:sz w:val="20"/>
                <w:szCs w:val="20"/>
              </w:rPr>
              <w:t>6,289,683</w:t>
            </w:r>
          </w:p>
        </w:tc>
        <w:tc>
          <w:tcPr>
            <w:tcW w:w="2268" w:type="dxa"/>
          </w:tcPr>
          <w:p w14:paraId="4AC67AD6" w14:textId="50C48E83" w:rsidR="004908BB" w:rsidRPr="00B50030" w:rsidRDefault="00B05717" w:rsidP="00681FFA">
            <w:pPr>
              <w:pStyle w:val="Heading3"/>
              <w:spacing w:before="0"/>
              <w:jc w:val="right"/>
              <w:outlineLvl w:val="2"/>
              <w:rPr>
                <w:b w:val="0"/>
                <w:sz w:val="20"/>
                <w:szCs w:val="20"/>
              </w:rPr>
            </w:pPr>
            <w:r>
              <w:rPr>
                <w:b w:val="0"/>
                <w:sz w:val="20"/>
                <w:szCs w:val="20"/>
              </w:rPr>
              <w:t>N/A</w:t>
            </w:r>
          </w:p>
        </w:tc>
      </w:tr>
    </w:tbl>
    <w:p w14:paraId="6AA2A350" w14:textId="25D8CF04" w:rsidR="00F704C4" w:rsidRPr="00BF7CB7" w:rsidRDefault="00F704C4" w:rsidP="00F704C4">
      <w:pPr>
        <w:pStyle w:val="Heading3"/>
        <w:spacing w:before="0" w:after="0"/>
        <w:rPr>
          <w:b w:val="0"/>
          <w:sz w:val="20"/>
          <w:szCs w:val="20"/>
        </w:rPr>
      </w:pPr>
      <w:proofErr w:type="gramStart"/>
      <w:r w:rsidRPr="00BF7CB7">
        <w:rPr>
          <w:b w:val="0"/>
          <w:sz w:val="20"/>
          <w:szCs w:val="20"/>
          <w:vertAlign w:val="superscript"/>
        </w:rPr>
        <w:t>a</w:t>
      </w:r>
      <w:proofErr w:type="gramEnd"/>
      <w:r w:rsidRPr="00BF7CB7">
        <w:rPr>
          <w:b w:val="0"/>
          <w:sz w:val="20"/>
          <w:szCs w:val="20"/>
          <w:vertAlign w:val="superscript"/>
        </w:rPr>
        <w:t xml:space="preserve"> </w:t>
      </w:r>
      <w:r w:rsidR="00BF7CB7" w:rsidRPr="00BF7CB7">
        <w:rPr>
          <w:b w:val="0"/>
          <w:sz w:val="20"/>
          <w:szCs w:val="20"/>
        </w:rPr>
        <w:t>Part year (1 January to 30 June)</w:t>
      </w:r>
    </w:p>
    <w:p w14:paraId="7C602547" w14:textId="1AB63DEA" w:rsidR="00F704C4" w:rsidRDefault="00F704C4" w:rsidP="00F704C4">
      <w:pPr>
        <w:pStyle w:val="Heading3"/>
        <w:spacing w:before="0" w:after="0"/>
        <w:rPr>
          <w:b w:val="0"/>
          <w:sz w:val="20"/>
          <w:szCs w:val="20"/>
        </w:rPr>
      </w:pPr>
      <w:r>
        <w:rPr>
          <w:b w:val="0"/>
          <w:sz w:val="20"/>
          <w:szCs w:val="20"/>
        </w:rPr>
        <w:t>Source: DUSC database u</w:t>
      </w:r>
      <w:r w:rsidRPr="00B50030">
        <w:rPr>
          <w:b w:val="0"/>
          <w:sz w:val="20"/>
          <w:szCs w:val="20"/>
        </w:rPr>
        <w:t xml:space="preserve">sing date of supply, which may be slightly different to publicly available Medicare Australia date of processing data, accessed </w:t>
      </w:r>
      <w:r w:rsidR="00BF7CB7">
        <w:rPr>
          <w:b w:val="0"/>
          <w:sz w:val="20"/>
          <w:szCs w:val="20"/>
        </w:rPr>
        <w:t>August</w:t>
      </w:r>
      <w:r>
        <w:rPr>
          <w:b w:val="0"/>
          <w:sz w:val="20"/>
          <w:szCs w:val="20"/>
        </w:rPr>
        <w:t xml:space="preserve"> </w:t>
      </w:r>
      <w:r w:rsidRPr="00B50030">
        <w:rPr>
          <w:b w:val="0"/>
          <w:sz w:val="20"/>
          <w:szCs w:val="20"/>
        </w:rPr>
        <w:t>2015.</w:t>
      </w:r>
    </w:p>
    <w:p w14:paraId="0F83003E" w14:textId="77777777" w:rsidR="00F704C4" w:rsidRPr="007A0A1A" w:rsidRDefault="00F704C4" w:rsidP="00F704C4">
      <w:pPr>
        <w:spacing w:after="0"/>
      </w:pPr>
    </w:p>
    <w:p w14:paraId="6F4F0DFA" w14:textId="77777777" w:rsidR="00F704C4" w:rsidRPr="005D3E15" w:rsidRDefault="00F704C4" w:rsidP="00F704C4">
      <w:pPr>
        <w:spacing w:after="0"/>
      </w:pPr>
      <w:r>
        <w:t xml:space="preserve">The reduction in benefits paid in 2015, compared with 2014, is consistent with the reduction in prescription numbers. </w:t>
      </w:r>
    </w:p>
    <w:p w14:paraId="2BFD9BA6" w14:textId="5D1822A0" w:rsidR="009F2E02" w:rsidRDefault="009F2E02" w:rsidP="009F2E02">
      <w:pPr>
        <w:pStyle w:val="Heading2"/>
        <w:rPr>
          <w:b w:val="0"/>
          <w:i w:val="0"/>
        </w:rPr>
      </w:pPr>
      <w:r w:rsidRPr="007C647F">
        <w:rPr>
          <w:b w:val="0"/>
          <w:i w:val="0"/>
        </w:rPr>
        <w:t xml:space="preserve">Figure </w:t>
      </w:r>
      <w:r>
        <w:rPr>
          <w:b w:val="0"/>
          <w:i w:val="0"/>
        </w:rPr>
        <w:t>2</w:t>
      </w:r>
      <w:r w:rsidRPr="007C647F">
        <w:rPr>
          <w:b w:val="0"/>
          <w:i w:val="0"/>
        </w:rPr>
        <w:t xml:space="preserve"> shows the number of testosterone prescriptions supplied on the </w:t>
      </w:r>
      <w:r w:rsidR="00B05717">
        <w:rPr>
          <w:b w:val="0"/>
          <w:i w:val="0"/>
        </w:rPr>
        <w:t>R/</w:t>
      </w:r>
      <w:r w:rsidRPr="007C647F">
        <w:rPr>
          <w:b w:val="0"/>
          <w:i w:val="0"/>
        </w:rPr>
        <w:t xml:space="preserve">PBS from October 2012 to 31 March 2016 by individual testosterone items. </w:t>
      </w:r>
    </w:p>
    <w:p w14:paraId="29D4EF6F" w14:textId="77777777" w:rsidR="00F704C4" w:rsidRDefault="00F704C4" w:rsidP="004F689E">
      <w:pPr>
        <w:sectPr w:rsidR="00F704C4" w:rsidSect="004F689E">
          <w:headerReference w:type="even" r:id="rId19"/>
          <w:headerReference w:type="default" r:id="rId20"/>
          <w:footerReference w:type="even" r:id="rId21"/>
          <w:footerReference w:type="default" r:id="rId22"/>
          <w:headerReference w:type="first" r:id="rId23"/>
          <w:footerReference w:type="first" r:id="rId24"/>
          <w:pgSz w:w="11906" w:h="16838"/>
          <w:pgMar w:top="1644" w:right="1361" w:bottom="1644" w:left="1588" w:header="709" w:footer="709" w:gutter="0"/>
          <w:cols w:space="708"/>
          <w:docGrid w:linePitch="360"/>
        </w:sectPr>
      </w:pPr>
    </w:p>
    <w:p w14:paraId="572896FD" w14:textId="69A555E4" w:rsidR="00371CC0" w:rsidRDefault="00537C74" w:rsidP="00371CC0">
      <w:pPr>
        <w:pStyle w:val="Heading2"/>
        <w:spacing w:after="0"/>
      </w:pPr>
      <w:r w:rsidRPr="002D1714">
        <w:rPr>
          <w:noProof/>
          <w:highlight w:val="yellow"/>
        </w:rPr>
        <w:lastRenderedPageBreak/>
        <mc:AlternateContent>
          <mc:Choice Requires="wps">
            <w:drawing>
              <wp:anchor distT="0" distB="0" distL="114300" distR="114300" simplePos="0" relativeHeight="251665408" behindDoc="0" locked="0" layoutInCell="1" allowOverlap="1" wp14:anchorId="014C1192" wp14:editId="246E9E5C">
                <wp:simplePos x="0" y="0"/>
                <wp:positionH relativeFrom="column">
                  <wp:posOffset>5091046</wp:posOffset>
                </wp:positionH>
                <wp:positionV relativeFrom="paragraph">
                  <wp:posOffset>278161</wp:posOffset>
                </wp:positionV>
                <wp:extent cx="1605516" cy="312552"/>
                <wp:effectExtent l="0" t="0" r="13970" b="11430"/>
                <wp:wrapNone/>
                <wp:docPr id="23" name="Text Box 2" title="Restriction change 1 Apri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516" cy="312552"/>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31BCEB67" w14:textId="77777777" w:rsidR="00355884" w:rsidRPr="00A02068" w:rsidRDefault="00355884" w:rsidP="00537C74">
                            <w:pPr>
                              <w:jc w:val="center"/>
                              <w:rPr>
                                <w:b/>
                                <w:sz w:val="18"/>
                                <w:szCs w:val="18"/>
                              </w:rPr>
                            </w:pPr>
                            <w:r w:rsidRPr="00A02068">
                              <w:rPr>
                                <w:b/>
                                <w:sz w:val="18"/>
                                <w:szCs w:val="18"/>
                              </w:rPr>
                              <w:t>Restriction change 1 April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alt="Title: Restriction change 1 April" style="position:absolute;margin-left:400.85pt;margin-top:21.9pt;width:126.4pt;height:2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" fillcolor="white [3201]" strokecolor="black [3200]" strokeweight="1pt">
                <v:textbox>
                  <w:txbxContent>
                    <w:p w14:paraId="31BCEB67" w14:textId="77777777" w:rsidR="00355884" w:rsidRPr="00A02068" w:rsidRDefault="00355884" w:rsidP="00537C74">
                      <w:pPr>
                        <w:jc w:val="center"/>
                        <w:rPr>
                          <w:b/>
                          <w:sz w:val="18"/>
                          <w:szCs w:val="18"/>
                        </w:rPr>
                      </w:pPr>
                      <w:r w:rsidRPr="00A02068">
                        <w:rPr>
                          <w:b/>
                          <w:sz w:val="18"/>
                          <w:szCs w:val="18"/>
                        </w:rPr>
                        <w:t>Restriction change 1 April</w:t>
                      </w:r>
                    </w:p>
                  </w:txbxContent>
                </v:textbox>
              </v:shape>
            </w:pict>
          </mc:Fallback>
        </mc:AlternateContent>
      </w:r>
      <w:r w:rsidR="00371CC0">
        <w:rPr>
          <w:noProof/>
        </w:rPr>
        <w:drawing>
          <wp:inline distT="0" distB="0" distL="0" distR="0" wp14:anchorId="1DBA5B23" wp14:editId="1BDF7241">
            <wp:extent cx="7334250" cy="4743450"/>
            <wp:effectExtent l="0" t="0" r="19050" b="19050"/>
            <wp:docPr id="22" name="Chart 22" descr="The graph indicates a number of items and the restriction change that occured 1 April" title="R/PBS supplied testosterone prescriptions by formulation and date of supply "/>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371CC0">
        <w:t xml:space="preserve"> </w:t>
      </w:r>
    </w:p>
    <w:p w14:paraId="26584329" w14:textId="55DD2C02" w:rsidR="00E24943" w:rsidRPr="00E24943" w:rsidRDefault="00537C74" w:rsidP="00E24943">
      <w:pPr>
        <w:pStyle w:val="Figurecaption"/>
        <w:spacing w:before="0" w:after="0"/>
        <w:rPr>
          <w:sz w:val="24"/>
          <w:szCs w:val="24"/>
        </w:rPr>
      </w:pPr>
      <w:r w:rsidRPr="00E24943">
        <w:rPr>
          <w:b/>
          <w:sz w:val="24"/>
          <w:szCs w:val="24"/>
        </w:rPr>
        <w:t xml:space="preserve">Figure </w:t>
      </w:r>
      <w:r w:rsidR="0019226C" w:rsidRPr="00E24943">
        <w:rPr>
          <w:b/>
          <w:sz w:val="24"/>
          <w:szCs w:val="24"/>
        </w:rPr>
        <w:t>2</w:t>
      </w:r>
      <w:r w:rsidRPr="00E24943">
        <w:rPr>
          <w:b/>
          <w:sz w:val="24"/>
          <w:szCs w:val="24"/>
        </w:rPr>
        <w:t xml:space="preserve">: </w:t>
      </w:r>
      <w:r w:rsidR="00FD26B0">
        <w:rPr>
          <w:b/>
          <w:sz w:val="24"/>
          <w:szCs w:val="24"/>
        </w:rPr>
        <w:t>R/</w:t>
      </w:r>
      <w:r w:rsidR="0043329A" w:rsidRPr="00E24943">
        <w:rPr>
          <w:b/>
          <w:sz w:val="24"/>
          <w:szCs w:val="24"/>
        </w:rPr>
        <w:t>PBS</w:t>
      </w:r>
      <w:r w:rsidR="00FD26B0">
        <w:rPr>
          <w:b/>
          <w:sz w:val="24"/>
          <w:szCs w:val="24"/>
        </w:rPr>
        <w:t xml:space="preserve"> supplied</w:t>
      </w:r>
      <w:r w:rsidR="0043329A" w:rsidRPr="00E24943">
        <w:rPr>
          <w:b/>
          <w:sz w:val="24"/>
          <w:szCs w:val="24"/>
        </w:rPr>
        <w:t xml:space="preserve"> </w:t>
      </w:r>
      <w:r w:rsidR="005B29A1" w:rsidRPr="00E24943">
        <w:rPr>
          <w:b/>
          <w:sz w:val="24"/>
          <w:szCs w:val="24"/>
        </w:rPr>
        <w:t>t</w:t>
      </w:r>
      <w:r w:rsidRPr="00E24943">
        <w:rPr>
          <w:b/>
          <w:sz w:val="24"/>
          <w:szCs w:val="24"/>
        </w:rPr>
        <w:t xml:space="preserve">estosterone </w:t>
      </w:r>
      <w:r w:rsidR="00FD26B0">
        <w:rPr>
          <w:b/>
          <w:sz w:val="24"/>
          <w:szCs w:val="24"/>
        </w:rPr>
        <w:t xml:space="preserve">prescriptions </w:t>
      </w:r>
      <w:r w:rsidR="005B29A1" w:rsidRPr="00E24943">
        <w:rPr>
          <w:b/>
          <w:sz w:val="24"/>
          <w:szCs w:val="24"/>
        </w:rPr>
        <w:t>by</w:t>
      </w:r>
      <w:r w:rsidRPr="00E24943">
        <w:rPr>
          <w:b/>
          <w:sz w:val="24"/>
          <w:szCs w:val="24"/>
        </w:rPr>
        <w:t xml:space="preserve"> </w:t>
      </w:r>
      <w:r w:rsidR="00FD26B0">
        <w:rPr>
          <w:b/>
          <w:sz w:val="24"/>
          <w:szCs w:val="24"/>
        </w:rPr>
        <w:t>formulation</w:t>
      </w:r>
      <w:r w:rsidR="005B29A1" w:rsidRPr="00E24943">
        <w:rPr>
          <w:b/>
          <w:sz w:val="24"/>
          <w:szCs w:val="24"/>
        </w:rPr>
        <w:t xml:space="preserve"> </w:t>
      </w:r>
      <w:r w:rsidR="0043329A" w:rsidRPr="00E24943">
        <w:rPr>
          <w:b/>
          <w:sz w:val="24"/>
          <w:szCs w:val="24"/>
        </w:rPr>
        <w:t>and date of supply</w:t>
      </w:r>
      <w:r w:rsidR="007C647F" w:rsidRPr="00E24943">
        <w:rPr>
          <w:sz w:val="24"/>
          <w:szCs w:val="24"/>
        </w:rPr>
        <w:t xml:space="preserve"> </w:t>
      </w:r>
    </w:p>
    <w:p w14:paraId="24247990" w14:textId="00149230" w:rsidR="00E24943" w:rsidRDefault="00E24943" w:rsidP="00E24943">
      <w:pPr>
        <w:pStyle w:val="Figurecaption"/>
        <w:spacing w:before="0" w:after="0"/>
      </w:pPr>
      <w:proofErr w:type="gramStart"/>
      <w:r>
        <w:t>Prescriptions by date of supply.</w:t>
      </w:r>
      <w:proofErr w:type="gramEnd"/>
      <w:r>
        <w:t xml:space="preserve"> Source: DUSC database accessed July 2016.</w:t>
      </w:r>
    </w:p>
    <w:p w14:paraId="37A84679" w14:textId="77777777" w:rsidR="0019226C" w:rsidRDefault="0019226C" w:rsidP="007C647F">
      <w:pPr>
        <w:sectPr w:rsidR="0019226C" w:rsidSect="004F689E">
          <w:pgSz w:w="16838" w:h="11906" w:orient="landscape"/>
          <w:pgMar w:top="1588" w:right="1644" w:bottom="1361" w:left="1644" w:header="709" w:footer="709" w:gutter="0"/>
          <w:cols w:space="708"/>
          <w:docGrid w:linePitch="360"/>
        </w:sectPr>
      </w:pPr>
    </w:p>
    <w:p w14:paraId="710AE671" w14:textId="4F6D4C86" w:rsidR="0019226C" w:rsidRDefault="0019226C" w:rsidP="0019226C">
      <w:pPr>
        <w:spacing w:after="0"/>
      </w:pPr>
      <w:r>
        <w:lastRenderedPageBreak/>
        <w:t xml:space="preserve">Figure 2 illustrates that the intramuscular undecanoate and transdermal gel were the two most frequently supplied testosterone forms. </w:t>
      </w:r>
    </w:p>
    <w:p w14:paraId="6D6D59DB" w14:textId="77777777" w:rsidR="00FD26B0" w:rsidRDefault="00FD26B0" w:rsidP="00FD26B0">
      <w:pPr>
        <w:pStyle w:val="Heading2"/>
      </w:pPr>
      <w:r>
        <w:t xml:space="preserve">Patients initiating and prevalent to therapy </w:t>
      </w:r>
    </w:p>
    <w:p w14:paraId="171D11EF" w14:textId="6F9629AC" w:rsidR="00FD26B0" w:rsidRPr="00B61FD4" w:rsidRDefault="00FD26B0" w:rsidP="00FD26B0">
      <w:r w:rsidRPr="00F739A6">
        <w:t xml:space="preserve">Figure </w:t>
      </w:r>
      <w:r w:rsidR="00F739A6" w:rsidRPr="00F739A6">
        <w:t>3</w:t>
      </w:r>
      <w:r>
        <w:t xml:space="preserve"> depicts the number of patients supplied their first testosterone prescription and prevalent patients supplied a prescription by years surrounding the restriction change on 1</w:t>
      </w:r>
      <w:r w:rsidR="00B05717">
        <w:t> </w:t>
      </w:r>
      <w:r>
        <w:t xml:space="preserve">April 2015. </w:t>
      </w:r>
    </w:p>
    <w:p w14:paraId="5145BC8A" w14:textId="77777777" w:rsidR="00FD26B0" w:rsidRDefault="00FD26B0" w:rsidP="00FD26B0">
      <w:pPr>
        <w:spacing w:after="0"/>
      </w:pPr>
      <w:r>
        <w:rPr>
          <w:noProof/>
        </w:rPr>
        <w:drawing>
          <wp:inline distT="0" distB="0" distL="0" distR="0" wp14:anchorId="1B6C7EEE" wp14:editId="01303EE5">
            <wp:extent cx="5687695" cy="3703686"/>
            <wp:effectExtent l="0" t="0" r="27305" b="11430"/>
            <wp:docPr id="5" name="Chart 5" descr="Two lines. One for prevalent patients and the other for initiating. It shows the number of patients over four listing years" title="Number of patients initiating and prevalent to testosterone therapy in the years before and after the restriction change"/>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B5ED53E" w14:textId="70E218E4" w:rsidR="00FD26B0" w:rsidRPr="00F90B9E" w:rsidRDefault="00FD26B0" w:rsidP="00FD26B0">
      <w:pPr>
        <w:spacing w:after="0"/>
        <w:rPr>
          <w:b/>
        </w:rPr>
      </w:pPr>
      <w:r w:rsidRPr="00F739A6">
        <w:rPr>
          <w:b/>
        </w:rPr>
        <w:t xml:space="preserve">Figure </w:t>
      </w:r>
      <w:r w:rsidR="00F739A6" w:rsidRPr="00F739A6">
        <w:rPr>
          <w:b/>
        </w:rPr>
        <w:t>3</w:t>
      </w:r>
      <w:r w:rsidRPr="00F739A6">
        <w:rPr>
          <w:b/>
        </w:rPr>
        <w:t>: Number of patients initiating and prevalent to testosterone therapy in the years before and after the</w:t>
      </w:r>
      <w:r w:rsidRPr="00F90B9E">
        <w:rPr>
          <w:b/>
        </w:rPr>
        <w:t xml:space="preserve"> restriction change</w:t>
      </w:r>
    </w:p>
    <w:p w14:paraId="0027A6EF" w14:textId="77777777" w:rsidR="00FD26B0" w:rsidRDefault="00FD26B0" w:rsidP="00FD26B0">
      <w:pPr>
        <w:spacing w:after="0"/>
        <w:rPr>
          <w:sz w:val="20"/>
          <w:szCs w:val="20"/>
        </w:rPr>
      </w:pPr>
      <w:r>
        <w:rPr>
          <w:sz w:val="20"/>
          <w:szCs w:val="20"/>
        </w:rPr>
        <w:t>Change to restriction occurred 1 April 2015.</w:t>
      </w:r>
      <w:r w:rsidRPr="00B61FD4">
        <w:rPr>
          <w:sz w:val="20"/>
          <w:szCs w:val="20"/>
        </w:rPr>
        <w:t xml:space="preserve"> </w:t>
      </w:r>
      <w:r>
        <w:rPr>
          <w:sz w:val="20"/>
          <w:szCs w:val="20"/>
        </w:rPr>
        <w:t xml:space="preserve">Source: DHS supplied prescription database accessed July 2016. </w:t>
      </w:r>
    </w:p>
    <w:p w14:paraId="0C3BD899" w14:textId="77777777" w:rsidR="00FD26B0" w:rsidRDefault="00FD26B0" w:rsidP="00FD26B0">
      <w:pPr>
        <w:spacing w:after="0"/>
        <w:rPr>
          <w:sz w:val="20"/>
          <w:szCs w:val="20"/>
        </w:rPr>
      </w:pPr>
    </w:p>
    <w:p w14:paraId="24FDDC02" w14:textId="6BD0AF16" w:rsidR="00B05717" w:rsidRPr="00F739A6" w:rsidRDefault="00B05717" w:rsidP="00FD26B0">
      <w:pPr>
        <w:spacing w:after="0"/>
      </w:pPr>
      <w:r>
        <w:t xml:space="preserve">The number of initiating and prevalent patients in the year before and the year after the restriction change is presented </w:t>
      </w:r>
      <w:r w:rsidRPr="00F739A6">
        <w:t xml:space="preserve">in Table </w:t>
      </w:r>
      <w:r w:rsidR="00F739A6" w:rsidRPr="00F739A6">
        <w:t>5</w:t>
      </w:r>
      <w:r w:rsidRPr="00F739A6">
        <w:t xml:space="preserve">. </w:t>
      </w:r>
    </w:p>
    <w:p w14:paraId="39EE0E4C" w14:textId="77777777" w:rsidR="00B05717" w:rsidRPr="00F739A6" w:rsidRDefault="00B05717" w:rsidP="00FD26B0">
      <w:pPr>
        <w:spacing w:after="0"/>
        <w:rPr>
          <w:b/>
        </w:rPr>
      </w:pPr>
    </w:p>
    <w:p w14:paraId="6EF11AC8" w14:textId="23BED9A3" w:rsidR="00FD26B0" w:rsidRDefault="00FD26B0" w:rsidP="00FD26B0">
      <w:pPr>
        <w:spacing w:after="0"/>
        <w:rPr>
          <w:sz w:val="20"/>
          <w:szCs w:val="20"/>
        </w:rPr>
      </w:pPr>
      <w:r w:rsidRPr="00F739A6">
        <w:rPr>
          <w:b/>
        </w:rPr>
        <w:t xml:space="preserve">Table </w:t>
      </w:r>
      <w:r w:rsidR="00F739A6" w:rsidRPr="00F739A6">
        <w:rPr>
          <w:b/>
        </w:rPr>
        <w:t>5</w:t>
      </w:r>
      <w:r w:rsidRPr="00F739A6">
        <w:rPr>
          <w:b/>
        </w:rPr>
        <w:t>: Number of initiating and</w:t>
      </w:r>
      <w:r>
        <w:rPr>
          <w:b/>
        </w:rPr>
        <w:t xml:space="preserve"> prevalent patients in the year before and after the restriction change</w:t>
      </w:r>
      <w:r w:rsidRPr="00E44B4F">
        <w:rPr>
          <w:b/>
        </w:rPr>
        <w:t xml:space="preserve"> </w:t>
      </w:r>
      <w:r>
        <w:rPr>
          <w:b/>
        </w:rPr>
        <w:t>with associated percentage change</w:t>
      </w:r>
    </w:p>
    <w:tbl>
      <w:tblPr>
        <w:tblStyle w:val="TableGrid"/>
        <w:tblW w:w="0" w:type="auto"/>
        <w:tblLook w:val="04A0" w:firstRow="1" w:lastRow="0" w:firstColumn="1" w:lastColumn="0" w:noHBand="0" w:noVBand="1"/>
        <w:tblCaption w:val="Number of initiating and prevalent patients in the year before and after the restriction change with associated percentage change"/>
        <w:tblDescription w:val="Number of initiating and prevalent patients in the year before and after the restriction change with associated percentage change"/>
      </w:tblPr>
      <w:tblGrid>
        <w:gridCol w:w="1779"/>
        <w:gridCol w:w="1448"/>
        <w:gridCol w:w="1701"/>
      </w:tblGrid>
      <w:tr w:rsidR="00FD26B0" w14:paraId="4BD0C585" w14:textId="77777777" w:rsidTr="00E12E3C">
        <w:trPr>
          <w:tblHeader/>
        </w:trPr>
        <w:tc>
          <w:tcPr>
            <w:tcW w:w="1779" w:type="dxa"/>
            <w:shd w:val="clear" w:color="auto" w:fill="BFBFBF" w:themeFill="background1" w:themeFillShade="BF"/>
          </w:tcPr>
          <w:p w14:paraId="329D5186" w14:textId="77777777" w:rsidR="00FD26B0" w:rsidRPr="00842ECC" w:rsidRDefault="00FD26B0" w:rsidP="00681FFA">
            <w:pPr>
              <w:rPr>
                <w:sz w:val="20"/>
                <w:szCs w:val="20"/>
              </w:rPr>
            </w:pPr>
          </w:p>
        </w:tc>
        <w:tc>
          <w:tcPr>
            <w:tcW w:w="1448" w:type="dxa"/>
            <w:shd w:val="clear" w:color="auto" w:fill="BFBFBF" w:themeFill="background1" w:themeFillShade="BF"/>
          </w:tcPr>
          <w:p w14:paraId="584D5B5E" w14:textId="77777777" w:rsidR="00FD26B0" w:rsidRPr="00842ECC" w:rsidRDefault="00FD26B0" w:rsidP="00681FFA">
            <w:pPr>
              <w:jc w:val="center"/>
              <w:rPr>
                <w:b/>
                <w:sz w:val="20"/>
                <w:szCs w:val="20"/>
              </w:rPr>
            </w:pPr>
            <w:r w:rsidRPr="00842ECC">
              <w:rPr>
                <w:b/>
                <w:sz w:val="20"/>
                <w:szCs w:val="20"/>
              </w:rPr>
              <w:t>April 2014 to March 2015</w:t>
            </w:r>
          </w:p>
        </w:tc>
        <w:tc>
          <w:tcPr>
            <w:tcW w:w="1701" w:type="dxa"/>
            <w:shd w:val="clear" w:color="auto" w:fill="BFBFBF" w:themeFill="background1" w:themeFillShade="BF"/>
          </w:tcPr>
          <w:p w14:paraId="2AB70F40" w14:textId="77777777" w:rsidR="00FD26B0" w:rsidRPr="00842ECC" w:rsidRDefault="00FD26B0" w:rsidP="00681FFA">
            <w:pPr>
              <w:jc w:val="center"/>
              <w:rPr>
                <w:b/>
                <w:sz w:val="20"/>
                <w:szCs w:val="20"/>
              </w:rPr>
            </w:pPr>
            <w:r w:rsidRPr="00842ECC">
              <w:rPr>
                <w:b/>
                <w:sz w:val="20"/>
                <w:szCs w:val="20"/>
              </w:rPr>
              <w:t>April 2015 to March 2016</w:t>
            </w:r>
            <w:r>
              <w:rPr>
                <w:b/>
                <w:sz w:val="20"/>
                <w:szCs w:val="20"/>
              </w:rPr>
              <w:t xml:space="preserve"> (% change)</w:t>
            </w:r>
          </w:p>
        </w:tc>
      </w:tr>
      <w:tr w:rsidR="00FD26B0" w14:paraId="37AC87ED" w14:textId="77777777" w:rsidTr="00681FFA">
        <w:tc>
          <w:tcPr>
            <w:tcW w:w="1779" w:type="dxa"/>
          </w:tcPr>
          <w:p w14:paraId="23364CCB" w14:textId="77777777" w:rsidR="00FD26B0" w:rsidRPr="00842ECC" w:rsidRDefault="00FD26B0" w:rsidP="00681FFA">
            <w:pPr>
              <w:rPr>
                <w:sz w:val="20"/>
                <w:szCs w:val="20"/>
              </w:rPr>
            </w:pPr>
            <w:r w:rsidRPr="00842ECC">
              <w:rPr>
                <w:sz w:val="20"/>
                <w:szCs w:val="20"/>
              </w:rPr>
              <w:t>Initiating patients</w:t>
            </w:r>
          </w:p>
        </w:tc>
        <w:tc>
          <w:tcPr>
            <w:tcW w:w="1448" w:type="dxa"/>
            <w:vAlign w:val="bottom"/>
          </w:tcPr>
          <w:p w14:paraId="752CDA8A" w14:textId="77777777" w:rsidR="00FD26B0" w:rsidRPr="00842ECC" w:rsidRDefault="00FD26B0" w:rsidP="00681FFA">
            <w:pPr>
              <w:jc w:val="right"/>
              <w:rPr>
                <w:sz w:val="20"/>
                <w:szCs w:val="20"/>
              </w:rPr>
            </w:pPr>
            <w:r w:rsidRPr="00842ECC">
              <w:rPr>
                <w:sz w:val="20"/>
                <w:szCs w:val="20"/>
              </w:rPr>
              <w:t>9,</w:t>
            </w:r>
            <w:r>
              <w:rPr>
                <w:sz w:val="20"/>
                <w:szCs w:val="20"/>
              </w:rPr>
              <w:t xml:space="preserve">781 </w:t>
            </w:r>
          </w:p>
        </w:tc>
        <w:tc>
          <w:tcPr>
            <w:tcW w:w="1701" w:type="dxa"/>
            <w:vAlign w:val="bottom"/>
          </w:tcPr>
          <w:p w14:paraId="54C8D552" w14:textId="77777777" w:rsidR="00FD26B0" w:rsidRPr="00842ECC" w:rsidRDefault="00FD26B0" w:rsidP="00681FFA">
            <w:pPr>
              <w:jc w:val="right"/>
              <w:rPr>
                <w:sz w:val="20"/>
                <w:szCs w:val="20"/>
              </w:rPr>
            </w:pPr>
            <w:r>
              <w:rPr>
                <w:sz w:val="20"/>
                <w:szCs w:val="20"/>
              </w:rPr>
              <w:t>3,940 (-60%)</w:t>
            </w:r>
          </w:p>
        </w:tc>
      </w:tr>
      <w:tr w:rsidR="00FD26B0" w14:paraId="1DD14153" w14:textId="77777777" w:rsidTr="00681FFA">
        <w:tc>
          <w:tcPr>
            <w:tcW w:w="1779" w:type="dxa"/>
          </w:tcPr>
          <w:p w14:paraId="70E76078" w14:textId="77777777" w:rsidR="00FD26B0" w:rsidRPr="00842ECC" w:rsidRDefault="00FD26B0" w:rsidP="00681FFA">
            <w:pPr>
              <w:rPr>
                <w:sz w:val="20"/>
                <w:szCs w:val="20"/>
              </w:rPr>
            </w:pPr>
            <w:r w:rsidRPr="00842ECC">
              <w:rPr>
                <w:sz w:val="20"/>
                <w:szCs w:val="20"/>
              </w:rPr>
              <w:t>Prevalent patients</w:t>
            </w:r>
          </w:p>
        </w:tc>
        <w:tc>
          <w:tcPr>
            <w:tcW w:w="1448" w:type="dxa"/>
          </w:tcPr>
          <w:p w14:paraId="776CBF78" w14:textId="77777777" w:rsidR="00FD26B0" w:rsidRPr="00842ECC" w:rsidRDefault="00FD26B0" w:rsidP="00681FFA">
            <w:pPr>
              <w:jc w:val="right"/>
              <w:rPr>
                <w:sz w:val="20"/>
                <w:szCs w:val="20"/>
              </w:rPr>
            </w:pPr>
            <w:r>
              <w:rPr>
                <w:sz w:val="20"/>
                <w:szCs w:val="20"/>
              </w:rPr>
              <w:t>47,995</w:t>
            </w:r>
          </w:p>
        </w:tc>
        <w:tc>
          <w:tcPr>
            <w:tcW w:w="1701" w:type="dxa"/>
          </w:tcPr>
          <w:p w14:paraId="21FA63BE" w14:textId="77777777" w:rsidR="00FD26B0" w:rsidRPr="00842ECC" w:rsidRDefault="00FD26B0" w:rsidP="00681FFA">
            <w:pPr>
              <w:jc w:val="right"/>
              <w:rPr>
                <w:sz w:val="20"/>
                <w:szCs w:val="20"/>
              </w:rPr>
            </w:pPr>
            <w:r>
              <w:rPr>
                <w:sz w:val="20"/>
                <w:szCs w:val="20"/>
              </w:rPr>
              <w:t>38,364 (-20%)</w:t>
            </w:r>
          </w:p>
        </w:tc>
      </w:tr>
    </w:tbl>
    <w:p w14:paraId="26E5D0F7" w14:textId="77777777" w:rsidR="00425C41" w:rsidRDefault="00FD26B0" w:rsidP="00FD26B0">
      <w:pPr>
        <w:spacing w:after="0"/>
        <w:rPr>
          <w:sz w:val="20"/>
          <w:szCs w:val="20"/>
        </w:rPr>
      </w:pPr>
      <w:r>
        <w:rPr>
          <w:sz w:val="20"/>
          <w:szCs w:val="20"/>
        </w:rPr>
        <w:t xml:space="preserve">Change to restriction occurred 1 April 2015. </w:t>
      </w:r>
    </w:p>
    <w:p w14:paraId="7FC3C3B2" w14:textId="598E4B53" w:rsidR="00FD26B0" w:rsidRDefault="00FD26B0" w:rsidP="00FD26B0">
      <w:pPr>
        <w:spacing w:after="0"/>
        <w:rPr>
          <w:sz w:val="20"/>
          <w:szCs w:val="20"/>
        </w:rPr>
      </w:pPr>
      <w:r>
        <w:rPr>
          <w:sz w:val="20"/>
          <w:szCs w:val="20"/>
        </w:rPr>
        <w:t>Source: DHS supplied prescription database accessed July 2016.</w:t>
      </w:r>
    </w:p>
    <w:p w14:paraId="14378CDC" w14:textId="77777777" w:rsidR="00FD26B0" w:rsidRDefault="00FD26B0" w:rsidP="00FD26B0">
      <w:pPr>
        <w:spacing w:after="0"/>
        <w:rPr>
          <w:sz w:val="20"/>
          <w:szCs w:val="20"/>
        </w:rPr>
      </w:pPr>
    </w:p>
    <w:p w14:paraId="32239DE1" w14:textId="0CDEDFAE" w:rsidR="00FD26B0" w:rsidRPr="00C55281" w:rsidRDefault="00B05717" w:rsidP="00FD26B0">
      <w:pPr>
        <w:spacing w:after="0"/>
        <w:rPr>
          <w:color w:val="FF0000"/>
        </w:rPr>
      </w:pPr>
      <w:r>
        <w:t>The</w:t>
      </w:r>
      <w:r w:rsidR="00FD26B0">
        <w:t xml:space="preserve"> number of patients supplied an initial prescription for testosterone increased by 12% over the three years</w:t>
      </w:r>
      <w:r>
        <w:t xml:space="preserve"> from 1 April 2012 to 31 March 15</w:t>
      </w:r>
      <w:r w:rsidR="00FD26B0">
        <w:t xml:space="preserve">. </w:t>
      </w:r>
      <w:r w:rsidR="00761DEF">
        <w:t xml:space="preserve">The number of initiating patients </w:t>
      </w:r>
      <w:r w:rsidR="00FD26B0">
        <w:lastRenderedPageBreak/>
        <w:t>was 60% lower in the year after the restriction change</w:t>
      </w:r>
      <w:r w:rsidR="00761DEF">
        <w:t xml:space="preserve"> compared to the year before</w:t>
      </w:r>
      <w:r w:rsidR="00FD26B0">
        <w:t xml:space="preserve">. The number of prevalent patients was 20% lower </w:t>
      </w:r>
      <w:r w:rsidR="00761DEF">
        <w:t>in the year after the change compared to the</w:t>
      </w:r>
      <w:r w:rsidR="00FD26B0">
        <w:t xml:space="preserve"> year</w:t>
      </w:r>
      <w:r w:rsidR="00761DEF">
        <w:t xml:space="preserve"> before</w:t>
      </w:r>
      <w:r w:rsidR="00FD26B0">
        <w:t xml:space="preserve">. </w:t>
      </w:r>
    </w:p>
    <w:p w14:paraId="6E69D716" w14:textId="77777777" w:rsidR="00FD26B0" w:rsidRDefault="00FD26B0" w:rsidP="0019226C">
      <w:pPr>
        <w:spacing w:after="0"/>
      </w:pPr>
    </w:p>
    <w:p w14:paraId="080F8F11" w14:textId="34051727" w:rsidR="00FF150E" w:rsidRDefault="00FF150E" w:rsidP="00371CC0">
      <w:pPr>
        <w:spacing w:after="0"/>
        <w:rPr>
          <w:b/>
          <w:i/>
        </w:rPr>
      </w:pPr>
      <w:r>
        <w:rPr>
          <w:b/>
          <w:i/>
        </w:rPr>
        <w:t xml:space="preserve">Patients initiating therapy by restriction </w:t>
      </w:r>
    </w:p>
    <w:p w14:paraId="7CA5226A" w14:textId="77777777" w:rsidR="0019295E" w:rsidRDefault="0019295E" w:rsidP="00371CC0">
      <w:pPr>
        <w:spacing w:after="0"/>
        <w:rPr>
          <w:b/>
          <w:i/>
        </w:rPr>
      </w:pPr>
    </w:p>
    <w:p w14:paraId="662637B0" w14:textId="511D667B" w:rsidR="0019295E" w:rsidRPr="0019295E" w:rsidRDefault="0019295E" w:rsidP="00371CC0">
      <w:pPr>
        <w:spacing w:after="0"/>
      </w:pPr>
      <w:r w:rsidRPr="00F739A6">
        <w:t>Figure</w:t>
      </w:r>
      <w:r w:rsidR="00B05717" w:rsidRPr="00F739A6">
        <w:t xml:space="preserve"> </w:t>
      </w:r>
      <w:r w:rsidR="00F739A6" w:rsidRPr="00F739A6">
        <w:t>4</w:t>
      </w:r>
      <w:r w:rsidRPr="00F739A6">
        <w:t xml:space="preserve"> show</w:t>
      </w:r>
      <w:r w:rsidR="00B05717" w:rsidRPr="00F739A6">
        <w:t>s</w:t>
      </w:r>
      <w:r>
        <w:t xml:space="preserve"> the number of initiating patients in </w:t>
      </w:r>
      <w:r w:rsidR="00761DEF">
        <w:t>the</w:t>
      </w:r>
      <w:r>
        <w:t xml:space="preserve"> year</w:t>
      </w:r>
      <w:r w:rsidR="00761DEF">
        <w:t>s surrounding the change</w:t>
      </w:r>
      <w:r>
        <w:t xml:space="preserve"> by the restriction assigned to their first testosterone prescription.</w:t>
      </w:r>
    </w:p>
    <w:p w14:paraId="57F02D42" w14:textId="77777777" w:rsidR="00FF150E" w:rsidRDefault="00FF150E" w:rsidP="00371CC0">
      <w:pPr>
        <w:spacing w:after="0"/>
        <w:rPr>
          <w:b/>
          <w:i/>
        </w:rPr>
      </w:pPr>
    </w:p>
    <w:p w14:paraId="31A506C0" w14:textId="2177F564" w:rsidR="00E376EB" w:rsidRDefault="00B05717" w:rsidP="00371CC0">
      <w:pPr>
        <w:spacing w:after="0"/>
        <w:rPr>
          <w:noProof/>
        </w:rPr>
      </w:pPr>
      <w:r>
        <w:rPr>
          <w:noProof/>
        </w:rPr>
        <w:drawing>
          <wp:inline distT="0" distB="0" distL="0" distR="0" wp14:anchorId="120DCABB" wp14:editId="4B265E09">
            <wp:extent cx="5687695" cy="3704294"/>
            <wp:effectExtent l="0" t="0" r="27305" b="10795"/>
            <wp:docPr id="8" name="Chart 8" descr="Three lines. One for each of: classical androgen deficiency, established androgen deficiency and non-established androgen deficiency." title="Initiating patients by all restrictions in the years surrounding the restriction change"/>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BF65F82" w14:textId="480EC4A8" w:rsidR="0019295E" w:rsidRDefault="0019295E" w:rsidP="00371CC0">
      <w:pPr>
        <w:spacing w:after="0"/>
        <w:rPr>
          <w:b/>
          <w:noProof/>
        </w:rPr>
      </w:pPr>
      <w:r>
        <w:rPr>
          <w:b/>
          <w:noProof/>
        </w:rPr>
        <w:t xml:space="preserve">Figure </w:t>
      </w:r>
      <w:r w:rsidR="00F739A6">
        <w:rPr>
          <w:b/>
          <w:noProof/>
        </w:rPr>
        <w:t>4</w:t>
      </w:r>
      <w:r>
        <w:rPr>
          <w:b/>
          <w:noProof/>
        </w:rPr>
        <w:t xml:space="preserve">: Initiating patients by all restrictions </w:t>
      </w:r>
      <w:r w:rsidR="00761DEF">
        <w:rPr>
          <w:b/>
          <w:noProof/>
        </w:rPr>
        <w:t>in the</w:t>
      </w:r>
      <w:r>
        <w:rPr>
          <w:b/>
          <w:noProof/>
        </w:rPr>
        <w:t xml:space="preserve"> years</w:t>
      </w:r>
      <w:r w:rsidR="00761DEF">
        <w:rPr>
          <w:b/>
          <w:noProof/>
        </w:rPr>
        <w:t xml:space="preserve"> surrounding the restriction change</w:t>
      </w:r>
    </w:p>
    <w:p w14:paraId="05F3A86B" w14:textId="6F90BCED" w:rsidR="00761DEF" w:rsidRPr="0019295E" w:rsidRDefault="0019295E" w:rsidP="00761DEF">
      <w:pPr>
        <w:spacing w:after="0"/>
        <w:rPr>
          <w:b/>
          <w:noProof/>
        </w:rPr>
      </w:pPr>
      <w:r>
        <w:rPr>
          <w:sz w:val="20"/>
          <w:szCs w:val="20"/>
        </w:rPr>
        <w:t xml:space="preserve">Change to restriction occurred 1 April 2015. </w:t>
      </w:r>
      <w:r w:rsidR="00761DEF">
        <w:rPr>
          <w:sz w:val="20"/>
          <w:szCs w:val="20"/>
        </w:rPr>
        <w:t xml:space="preserve">Classical androgen deficiencies defined as delay of growth/puberty, micropenis or pubertal induction. </w:t>
      </w:r>
      <w:r w:rsidRPr="0019295E">
        <w:rPr>
          <w:noProof/>
          <w:sz w:val="20"/>
          <w:szCs w:val="20"/>
        </w:rPr>
        <w:t>From April 2012 to March 2016, there were 1,220 initiating patients with an unknown or invalid restriction</w:t>
      </w:r>
      <w:r>
        <w:rPr>
          <w:noProof/>
          <w:sz w:val="20"/>
          <w:szCs w:val="20"/>
        </w:rPr>
        <w:t xml:space="preserve"> (not shown). </w:t>
      </w:r>
      <w:r>
        <w:rPr>
          <w:sz w:val="20"/>
          <w:szCs w:val="20"/>
        </w:rPr>
        <w:t xml:space="preserve">Source: DHS supplied prescription database accessed July </w:t>
      </w:r>
      <w:r w:rsidR="00761DEF">
        <w:rPr>
          <w:sz w:val="20"/>
          <w:szCs w:val="20"/>
        </w:rPr>
        <w:t>2016.</w:t>
      </w:r>
    </w:p>
    <w:p w14:paraId="7102044E" w14:textId="77777777" w:rsidR="00761DEF" w:rsidRDefault="00761DEF" w:rsidP="00761DEF">
      <w:pPr>
        <w:spacing w:after="0"/>
        <w:rPr>
          <w:sz w:val="20"/>
          <w:szCs w:val="20"/>
        </w:rPr>
      </w:pPr>
    </w:p>
    <w:p w14:paraId="5A5E5C26" w14:textId="65F7A328" w:rsidR="00761DEF" w:rsidRDefault="00264756" w:rsidP="00761DEF">
      <w:pPr>
        <w:spacing w:after="0"/>
        <w:rPr>
          <w:noProof/>
        </w:rPr>
      </w:pPr>
      <w:r>
        <w:rPr>
          <w:noProof/>
        </w:rPr>
        <w:t>There was a</w:t>
      </w:r>
      <w:r w:rsidR="00761DEF">
        <w:rPr>
          <w:noProof/>
        </w:rPr>
        <w:t xml:space="preserve"> drop in initiating patients with </w:t>
      </w:r>
      <w:r>
        <w:rPr>
          <w:noProof/>
        </w:rPr>
        <w:t xml:space="preserve">non-established </w:t>
      </w:r>
      <w:r w:rsidR="00761DEF">
        <w:rPr>
          <w:noProof/>
        </w:rPr>
        <w:t>androgen deficiency in the year after the restriction change</w:t>
      </w:r>
      <w:r w:rsidR="00805CC3">
        <w:rPr>
          <w:noProof/>
        </w:rPr>
        <w:t xml:space="preserve"> (</w:t>
      </w:r>
      <w:r w:rsidR="003F7FD2" w:rsidRPr="003F7FD2">
        <w:rPr>
          <w:noProof/>
        </w:rPr>
        <w:t>86</w:t>
      </w:r>
      <w:r w:rsidR="00805CC3" w:rsidRPr="003F7FD2">
        <w:rPr>
          <w:noProof/>
        </w:rPr>
        <w:t>%</w:t>
      </w:r>
      <w:r w:rsidR="00805CC3">
        <w:rPr>
          <w:noProof/>
        </w:rPr>
        <w:t>)</w:t>
      </w:r>
      <w:r w:rsidR="00761DEF">
        <w:rPr>
          <w:noProof/>
        </w:rPr>
        <w:t xml:space="preserve">. </w:t>
      </w:r>
      <w:r>
        <w:rPr>
          <w:noProof/>
        </w:rPr>
        <w:t>In the same time period, the number of patients initiating testosterone treatment for classical androgen deficie</w:t>
      </w:r>
      <w:r w:rsidR="00805CC3">
        <w:rPr>
          <w:noProof/>
        </w:rPr>
        <w:t>n</w:t>
      </w:r>
      <w:r>
        <w:rPr>
          <w:noProof/>
        </w:rPr>
        <w:t xml:space="preserve">cy did not decline. </w:t>
      </w:r>
    </w:p>
    <w:p w14:paraId="58417522" w14:textId="77777777" w:rsidR="00761DEF" w:rsidRDefault="00761DEF" w:rsidP="00761DEF">
      <w:pPr>
        <w:spacing w:after="0"/>
        <w:rPr>
          <w:noProof/>
        </w:rPr>
      </w:pPr>
    </w:p>
    <w:p w14:paraId="05D5369F" w14:textId="77777777" w:rsidR="00E11537" w:rsidRDefault="00E11537">
      <w:pPr>
        <w:spacing w:line="276" w:lineRule="auto"/>
        <w:rPr>
          <w:noProof/>
        </w:rPr>
      </w:pPr>
      <w:r>
        <w:rPr>
          <w:noProof/>
        </w:rPr>
        <w:br w:type="page"/>
      </w:r>
    </w:p>
    <w:p w14:paraId="07D187DE" w14:textId="0A053BD6" w:rsidR="00761DEF" w:rsidRDefault="00B4010D" w:rsidP="00761DEF">
      <w:pPr>
        <w:spacing w:after="0"/>
        <w:rPr>
          <w:noProof/>
        </w:rPr>
      </w:pPr>
      <w:r>
        <w:rPr>
          <w:noProof/>
        </w:rPr>
        <w:lastRenderedPageBreak/>
        <w:t>Figure 5</w:t>
      </w:r>
      <w:r w:rsidR="00761DEF">
        <w:rPr>
          <w:noProof/>
        </w:rPr>
        <w:t xml:space="preserve"> depicts the proportions of initiating patients with the restriction codes for just the classical androgen deficiencies. </w:t>
      </w:r>
    </w:p>
    <w:p w14:paraId="5F9D15E0" w14:textId="77777777" w:rsidR="00E11537" w:rsidRDefault="00E11537" w:rsidP="00761DEF">
      <w:pPr>
        <w:spacing w:after="0"/>
        <w:rPr>
          <w:noProof/>
        </w:rPr>
      </w:pPr>
    </w:p>
    <w:p w14:paraId="5C23F445" w14:textId="1441116B" w:rsidR="00FF150E" w:rsidRPr="0019295E" w:rsidRDefault="00B05717" w:rsidP="00371CC0">
      <w:pPr>
        <w:spacing w:after="0"/>
      </w:pPr>
      <w:r>
        <w:rPr>
          <w:noProof/>
        </w:rPr>
        <w:drawing>
          <wp:inline distT="0" distB="0" distL="0" distR="0" wp14:anchorId="1F45F99C" wp14:editId="469D7563">
            <wp:extent cx="5181600" cy="3371850"/>
            <wp:effectExtent l="0" t="0" r="0" b="0"/>
            <wp:docPr id="6" name="Picture 6" descr="Four columns. One for each of the listing years. Four restrictions: delay of growth/puberty, micropenis, pubertal induction and all classical androgen deficiencies" title="Initiating patients by classical androgen deficiency restrictions and year of supp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181600" cy="3371850"/>
                    </a:xfrm>
                    <a:prstGeom prst="rect">
                      <a:avLst/>
                    </a:prstGeom>
                  </pic:spPr>
                </pic:pic>
              </a:graphicData>
            </a:graphic>
          </wp:inline>
        </w:drawing>
      </w:r>
    </w:p>
    <w:p w14:paraId="4D989532" w14:textId="1726F4A6" w:rsidR="0019295E" w:rsidRDefault="0019295E" w:rsidP="0019295E">
      <w:pPr>
        <w:spacing w:after="0"/>
        <w:rPr>
          <w:b/>
          <w:noProof/>
        </w:rPr>
      </w:pPr>
      <w:r w:rsidRPr="00F739A6">
        <w:rPr>
          <w:b/>
          <w:noProof/>
        </w:rPr>
        <w:t xml:space="preserve">Figure </w:t>
      </w:r>
      <w:r w:rsidR="00F739A6" w:rsidRPr="00F739A6">
        <w:rPr>
          <w:b/>
          <w:noProof/>
        </w:rPr>
        <w:t>5</w:t>
      </w:r>
      <w:r w:rsidRPr="00F739A6">
        <w:rPr>
          <w:b/>
          <w:noProof/>
        </w:rPr>
        <w:t>:</w:t>
      </w:r>
      <w:r>
        <w:rPr>
          <w:b/>
          <w:noProof/>
        </w:rPr>
        <w:t xml:space="preserve"> Initiating patients by </w:t>
      </w:r>
      <w:r w:rsidR="00CF71D9">
        <w:rPr>
          <w:b/>
          <w:noProof/>
        </w:rPr>
        <w:t xml:space="preserve">classical </w:t>
      </w:r>
      <w:r>
        <w:rPr>
          <w:b/>
          <w:noProof/>
        </w:rPr>
        <w:t>androgen defi</w:t>
      </w:r>
      <w:r w:rsidR="00761DEF">
        <w:rPr>
          <w:b/>
          <w:noProof/>
        </w:rPr>
        <w:t>ciency restrictions and year of supply</w:t>
      </w:r>
    </w:p>
    <w:p w14:paraId="71A09001" w14:textId="76FA2B31" w:rsidR="0019295E" w:rsidRPr="0019295E" w:rsidRDefault="0019295E" w:rsidP="0019295E">
      <w:pPr>
        <w:spacing w:after="0"/>
        <w:rPr>
          <w:b/>
          <w:noProof/>
        </w:rPr>
      </w:pPr>
      <w:r>
        <w:rPr>
          <w:sz w:val="20"/>
          <w:szCs w:val="20"/>
        </w:rPr>
        <w:t>Change to restriction occurred 1 April 2015</w:t>
      </w:r>
      <w:r w:rsidR="00CF71D9">
        <w:rPr>
          <w:sz w:val="20"/>
          <w:szCs w:val="20"/>
        </w:rPr>
        <w:t xml:space="preserve">. </w:t>
      </w:r>
      <w:r w:rsidR="00761DEF">
        <w:rPr>
          <w:sz w:val="20"/>
          <w:szCs w:val="20"/>
        </w:rPr>
        <w:t xml:space="preserve">Classical androgen deficiencies defined as delay of growth/puberty, micropenis or pubertal induction. </w:t>
      </w:r>
      <w:r w:rsidRPr="0019295E">
        <w:rPr>
          <w:noProof/>
          <w:sz w:val="20"/>
          <w:szCs w:val="20"/>
        </w:rPr>
        <w:t>From April 2012 to March 2016, there were 1,220 initiating patients with an unknown or invalid restriction</w:t>
      </w:r>
      <w:r>
        <w:rPr>
          <w:noProof/>
          <w:sz w:val="20"/>
          <w:szCs w:val="20"/>
        </w:rPr>
        <w:t xml:space="preserve"> (not shown). </w:t>
      </w:r>
      <w:r>
        <w:rPr>
          <w:sz w:val="20"/>
          <w:szCs w:val="20"/>
        </w:rPr>
        <w:t>Source: DHS supplied prescription database accessed July 2016.</w:t>
      </w:r>
    </w:p>
    <w:p w14:paraId="6A5EE8E9" w14:textId="5BC0ED6C" w:rsidR="00FF150E" w:rsidRPr="00FF150E" w:rsidRDefault="00FF150E" w:rsidP="00371CC0">
      <w:pPr>
        <w:spacing w:after="0"/>
        <w:rPr>
          <w:b/>
        </w:rPr>
      </w:pPr>
    </w:p>
    <w:p w14:paraId="0C80BBD0" w14:textId="683B1716" w:rsidR="005732E3" w:rsidRPr="0019295E" w:rsidRDefault="00017EAA" w:rsidP="00371CC0">
      <w:pPr>
        <w:spacing w:after="0"/>
      </w:pPr>
      <w:r>
        <w:rPr>
          <w:noProof/>
        </w:rPr>
        <w:t xml:space="preserve">The individual restrictions for </w:t>
      </w:r>
      <w:r w:rsidR="00F15499">
        <w:rPr>
          <w:noProof/>
        </w:rPr>
        <w:t>each of the classical androgen deficiencies came</w:t>
      </w:r>
      <w:r>
        <w:rPr>
          <w:noProof/>
        </w:rPr>
        <w:t xml:space="preserve"> into effect on 1 March 2015. </w:t>
      </w:r>
      <w:r w:rsidR="009351E5">
        <w:rPr>
          <w:noProof/>
        </w:rPr>
        <w:t>Prior to this, there was only one restriction that covered all three conditions</w:t>
      </w:r>
      <w:r w:rsidR="008A6DC3">
        <w:rPr>
          <w:noProof/>
        </w:rPr>
        <w:t>, therefore prescribers did not need to specify a patient’s exact condition when obtaining the authority from DHS</w:t>
      </w:r>
      <w:r w:rsidR="009351E5">
        <w:rPr>
          <w:noProof/>
        </w:rPr>
        <w:t>.</w:t>
      </w:r>
      <w:r w:rsidR="008A6DC3">
        <w:rPr>
          <w:noProof/>
        </w:rPr>
        <w:t xml:space="preserve"> </w:t>
      </w:r>
      <w:r w:rsidR="005D7990">
        <w:rPr>
          <w:noProof/>
        </w:rPr>
        <w:t>In the year after the restriction change, there were two patients who were supplied a prescription with the non-specified classical androgen deficie</w:t>
      </w:r>
      <w:r w:rsidR="00805CC3">
        <w:rPr>
          <w:noProof/>
        </w:rPr>
        <w:t>n</w:t>
      </w:r>
      <w:r w:rsidR="005D7990">
        <w:rPr>
          <w:noProof/>
        </w:rPr>
        <w:t>cy code. As the data is based on date of supply, these patients may have received a prescription with the code when it was still valid but had it dispensed after the code was no longer in effect.</w:t>
      </w:r>
    </w:p>
    <w:p w14:paraId="091CEDDC" w14:textId="77777777" w:rsidR="00FC061C" w:rsidRDefault="00FC061C" w:rsidP="00BC2034">
      <w:pPr>
        <w:spacing w:after="0"/>
        <w:rPr>
          <w:b/>
          <w:i/>
        </w:rPr>
      </w:pPr>
    </w:p>
    <w:p w14:paraId="17D5072F" w14:textId="77777777" w:rsidR="00E11537" w:rsidRDefault="00E11537">
      <w:pPr>
        <w:spacing w:line="276" w:lineRule="auto"/>
        <w:rPr>
          <w:b/>
          <w:i/>
        </w:rPr>
      </w:pPr>
      <w:r>
        <w:rPr>
          <w:b/>
          <w:i/>
        </w:rPr>
        <w:br w:type="page"/>
      </w:r>
    </w:p>
    <w:p w14:paraId="2B0B8A9E" w14:textId="285D2158" w:rsidR="003F5BAC" w:rsidRDefault="0000360C" w:rsidP="00BC2034">
      <w:pPr>
        <w:spacing w:after="0"/>
        <w:rPr>
          <w:b/>
          <w:i/>
        </w:rPr>
      </w:pPr>
      <w:r>
        <w:rPr>
          <w:b/>
          <w:i/>
        </w:rPr>
        <w:lastRenderedPageBreak/>
        <w:t>Analysis by age</w:t>
      </w:r>
    </w:p>
    <w:p w14:paraId="7882B916" w14:textId="77777777" w:rsidR="00B24952" w:rsidRDefault="00B24952" w:rsidP="00BC2034">
      <w:pPr>
        <w:spacing w:after="0"/>
        <w:rPr>
          <w:b/>
          <w:i/>
        </w:rPr>
      </w:pPr>
    </w:p>
    <w:p w14:paraId="4A038611" w14:textId="21FD0D92" w:rsidR="00B24952" w:rsidRPr="00B24952" w:rsidRDefault="00B24952" w:rsidP="00BC2034">
      <w:pPr>
        <w:spacing w:after="0"/>
      </w:pPr>
      <w:r w:rsidRPr="000A09AC">
        <w:t xml:space="preserve">Figure </w:t>
      </w:r>
      <w:r w:rsidR="000A09AC" w:rsidRPr="000A09AC">
        <w:t>6</w:t>
      </w:r>
      <w:r w:rsidR="00117189" w:rsidRPr="000A09AC">
        <w:t xml:space="preserve"> </w:t>
      </w:r>
      <w:r w:rsidRPr="000A09AC">
        <w:t>show</w:t>
      </w:r>
      <w:r w:rsidR="00221967" w:rsidRPr="000A09AC">
        <w:t>s</w:t>
      </w:r>
      <w:r w:rsidRPr="000A09AC">
        <w:t xml:space="preserve"> the</w:t>
      </w:r>
      <w:r>
        <w:t xml:space="preserve"> </w:t>
      </w:r>
      <w:r w:rsidR="00C97D1E">
        <w:t xml:space="preserve">age </w:t>
      </w:r>
      <w:r w:rsidR="00F842A5">
        <w:t xml:space="preserve">distribution of patients at </w:t>
      </w:r>
      <w:r>
        <w:t xml:space="preserve">their </w:t>
      </w:r>
      <w:r w:rsidR="00C97D1E">
        <w:t xml:space="preserve">first testosterone </w:t>
      </w:r>
      <w:r w:rsidR="00F842A5">
        <w:t>supply in the years before and after the restriction change</w:t>
      </w:r>
      <w:r w:rsidR="00C97D1E">
        <w:t xml:space="preserve">. </w:t>
      </w:r>
    </w:p>
    <w:p w14:paraId="538AFCBD" w14:textId="77777777" w:rsidR="003F5BAC" w:rsidRPr="003F5BAC" w:rsidRDefault="003F5BAC" w:rsidP="00BC2034">
      <w:pPr>
        <w:spacing w:after="0"/>
        <w:rPr>
          <w:b/>
          <w:i/>
        </w:rPr>
      </w:pPr>
    </w:p>
    <w:p w14:paraId="2D70B529" w14:textId="3990BC0F" w:rsidR="006C0DDE" w:rsidRDefault="007E3595" w:rsidP="00BC2034">
      <w:pPr>
        <w:spacing w:after="0"/>
        <w:rPr>
          <w:sz w:val="20"/>
          <w:szCs w:val="20"/>
        </w:rPr>
      </w:pPr>
      <w:r>
        <w:rPr>
          <w:noProof/>
        </w:rPr>
        <w:drawing>
          <wp:inline distT="0" distB="0" distL="0" distR="0" wp14:anchorId="008B58B4" wp14:editId="0A778E86">
            <wp:extent cx="5687695" cy="3726169"/>
            <wp:effectExtent l="0" t="0" r="27305" b="27305"/>
            <wp:docPr id="1" name="Chart 1" descr="Four lines, one for each listing year" title="Patient age (standardised per 100,000 males) at initiation to testosterone therapy in the years before and after the restriction change"/>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9E962C2" w14:textId="1E889F68" w:rsidR="006C0DDE" w:rsidRDefault="006C0DDE" w:rsidP="00BC2034">
      <w:pPr>
        <w:spacing w:after="0"/>
        <w:rPr>
          <w:b/>
        </w:rPr>
      </w:pPr>
      <w:r w:rsidRPr="000A09AC">
        <w:rPr>
          <w:b/>
        </w:rPr>
        <w:t xml:space="preserve">Figure </w:t>
      </w:r>
      <w:r w:rsidR="000A09AC" w:rsidRPr="000A09AC">
        <w:rPr>
          <w:b/>
        </w:rPr>
        <w:t>6</w:t>
      </w:r>
      <w:r w:rsidRPr="000A09AC">
        <w:rPr>
          <w:b/>
        </w:rPr>
        <w:t>: Patient</w:t>
      </w:r>
      <w:r>
        <w:rPr>
          <w:b/>
        </w:rPr>
        <w:t xml:space="preserve"> age </w:t>
      </w:r>
      <w:r w:rsidR="00C97D1E">
        <w:rPr>
          <w:b/>
        </w:rPr>
        <w:t>(standardised per 100,000</w:t>
      </w:r>
      <w:r w:rsidR="005156F0">
        <w:rPr>
          <w:b/>
        </w:rPr>
        <w:t xml:space="preserve"> males</w:t>
      </w:r>
      <w:r w:rsidR="00C97D1E">
        <w:rPr>
          <w:b/>
        </w:rPr>
        <w:t xml:space="preserve">) </w:t>
      </w:r>
      <w:r>
        <w:rPr>
          <w:b/>
        </w:rPr>
        <w:t>at initia</w:t>
      </w:r>
      <w:r w:rsidR="00221967">
        <w:rPr>
          <w:b/>
        </w:rPr>
        <w:t>tion to testosterone therapy in the years before and after the restriction change</w:t>
      </w:r>
    </w:p>
    <w:p w14:paraId="635295F4" w14:textId="5F08035E" w:rsidR="006C0DDE" w:rsidRDefault="003F5BAC" w:rsidP="006C0DDE">
      <w:pPr>
        <w:spacing w:after="0"/>
        <w:rPr>
          <w:sz w:val="20"/>
          <w:szCs w:val="20"/>
        </w:rPr>
      </w:pPr>
      <w:r>
        <w:rPr>
          <w:sz w:val="20"/>
          <w:szCs w:val="20"/>
        </w:rPr>
        <w:t>Change to restriction occurred 1 April 201</w:t>
      </w:r>
      <w:r w:rsidR="00BC26C9">
        <w:rPr>
          <w:sz w:val="20"/>
          <w:szCs w:val="20"/>
        </w:rPr>
        <w:t>5</w:t>
      </w:r>
      <w:r>
        <w:rPr>
          <w:sz w:val="20"/>
          <w:szCs w:val="20"/>
        </w:rPr>
        <w:t>.</w:t>
      </w:r>
      <w:r w:rsidR="00B52C53">
        <w:rPr>
          <w:sz w:val="20"/>
          <w:szCs w:val="20"/>
        </w:rPr>
        <w:t xml:space="preserve"> </w:t>
      </w:r>
      <w:r w:rsidR="006C0DDE">
        <w:rPr>
          <w:sz w:val="20"/>
          <w:szCs w:val="20"/>
        </w:rPr>
        <w:t>Source: DHS supplied prescription database</w:t>
      </w:r>
      <w:r w:rsidR="00C97D1E">
        <w:rPr>
          <w:sz w:val="20"/>
          <w:szCs w:val="20"/>
        </w:rPr>
        <w:t xml:space="preserve"> </w:t>
      </w:r>
      <w:r w:rsidR="00C97D1E" w:rsidRPr="00802776">
        <w:rPr>
          <w:sz w:val="20"/>
          <w:szCs w:val="20"/>
        </w:rPr>
        <w:t xml:space="preserve">and ABS Quarterly Population Estimates (ERP), by State/Territory, Sex and Age database; accessed </w:t>
      </w:r>
      <w:r w:rsidR="006C0DDE">
        <w:rPr>
          <w:sz w:val="20"/>
          <w:szCs w:val="20"/>
        </w:rPr>
        <w:t xml:space="preserve">July </w:t>
      </w:r>
      <w:r w:rsidR="00C97D1E">
        <w:rPr>
          <w:sz w:val="20"/>
          <w:szCs w:val="20"/>
        </w:rPr>
        <w:t xml:space="preserve">and August </w:t>
      </w:r>
      <w:r w:rsidR="006C0DDE">
        <w:rPr>
          <w:sz w:val="20"/>
          <w:szCs w:val="20"/>
        </w:rPr>
        <w:t xml:space="preserve">2016. </w:t>
      </w:r>
    </w:p>
    <w:p w14:paraId="20219180" w14:textId="77777777" w:rsidR="006C0DDE" w:rsidRDefault="006C0DDE" w:rsidP="00BC2034">
      <w:pPr>
        <w:spacing w:after="0"/>
        <w:rPr>
          <w:b/>
        </w:rPr>
      </w:pPr>
    </w:p>
    <w:p w14:paraId="0057C4E1" w14:textId="0BF4983F" w:rsidR="00442FA2" w:rsidRDefault="0008344A" w:rsidP="00442FA2">
      <w:pPr>
        <w:spacing w:after="0"/>
      </w:pPr>
      <w:r>
        <w:t>T</w:t>
      </w:r>
      <w:r w:rsidR="005A7C46">
        <w:t>he age</w:t>
      </w:r>
      <w:r w:rsidR="00C97D1E">
        <w:t xml:space="preserve"> distribution </w:t>
      </w:r>
      <w:r w:rsidR="005156F0">
        <w:t xml:space="preserve">of </w:t>
      </w:r>
      <w:r w:rsidR="00C97D1E">
        <w:t xml:space="preserve">initiating </w:t>
      </w:r>
      <w:r w:rsidR="005A7C46">
        <w:t>patients</w:t>
      </w:r>
      <w:r>
        <w:t xml:space="preserve"> </w:t>
      </w:r>
      <w:r w:rsidR="008603C4">
        <w:t>was</w:t>
      </w:r>
      <w:r w:rsidR="005A7C46">
        <w:t xml:space="preserve"> similar</w:t>
      </w:r>
      <w:r w:rsidRPr="0008344A">
        <w:t xml:space="preserve"> </w:t>
      </w:r>
      <w:r>
        <w:t>in the three years prior to the change in restriction</w:t>
      </w:r>
      <w:r w:rsidR="005A7C46">
        <w:t xml:space="preserve">. In </w:t>
      </w:r>
      <w:r w:rsidR="008603C4">
        <w:t>all years, the peak use is at the same age bracket (65-69 years</w:t>
      </w:r>
      <w:r w:rsidR="00805CC3">
        <w:t>)</w:t>
      </w:r>
      <w:r w:rsidR="00B4010D">
        <w:t xml:space="preserve">. For age brackets 40 years and over, there was a decline in the rate of people starting subsidised testosterone therapy of 60-73% in the year after the restriction change compared to the year before. The greatest percentage decline was in the 60-64 year group. </w:t>
      </w:r>
    </w:p>
    <w:p w14:paraId="3914CF76" w14:textId="75CF17FF" w:rsidR="008603C4" w:rsidRDefault="008603C4" w:rsidP="00BC2034">
      <w:pPr>
        <w:spacing w:after="0"/>
      </w:pPr>
    </w:p>
    <w:p w14:paraId="4970687D" w14:textId="735A93B6" w:rsidR="00AA0910" w:rsidRDefault="008603C4" w:rsidP="00BC2034">
      <w:pPr>
        <w:spacing w:after="0"/>
      </w:pPr>
      <w:r>
        <w:t xml:space="preserve">In the year after the change, </w:t>
      </w:r>
      <w:r w:rsidR="00B4010D">
        <w:t>there was little change in the rate of people commencing testosterone in the younger age groups</w:t>
      </w:r>
      <w:r w:rsidR="00AA0910">
        <w:t xml:space="preserve">. </w:t>
      </w:r>
    </w:p>
    <w:p w14:paraId="22922040" w14:textId="77777777" w:rsidR="00BC26C9" w:rsidRDefault="00BC26C9" w:rsidP="00BC2034">
      <w:pPr>
        <w:spacing w:after="0"/>
      </w:pPr>
    </w:p>
    <w:p w14:paraId="18EEC9DB" w14:textId="77777777" w:rsidR="00E11537" w:rsidRDefault="00E11537">
      <w:pPr>
        <w:spacing w:line="276" w:lineRule="auto"/>
        <w:rPr>
          <w:b/>
          <w:i/>
        </w:rPr>
      </w:pPr>
      <w:r>
        <w:rPr>
          <w:b/>
          <w:i/>
        </w:rPr>
        <w:br w:type="page"/>
      </w:r>
    </w:p>
    <w:p w14:paraId="06E0F2F2" w14:textId="62816439" w:rsidR="00C55281" w:rsidRDefault="0000360C" w:rsidP="00C55281">
      <w:pPr>
        <w:spacing w:after="0"/>
      </w:pPr>
      <w:r>
        <w:rPr>
          <w:b/>
          <w:i/>
        </w:rPr>
        <w:lastRenderedPageBreak/>
        <w:t>Analysis by prescriber type</w:t>
      </w:r>
      <w:r w:rsidR="00C55281" w:rsidRPr="00C55281">
        <w:t xml:space="preserve"> </w:t>
      </w:r>
    </w:p>
    <w:p w14:paraId="4969F8E5" w14:textId="77777777" w:rsidR="00C55281" w:rsidRDefault="00C55281" w:rsidP="00C55281">
      <w:pPr>
        <w:spacing w:after="0"/>
      </w:pPr>
    </w:p>
    <w:p w14:paraId="4C65ED48" w14:textId="4B7B0135" w:rsidR="00C55281" w:rsidRPr="00117189" w:rsidRDefault="00C55281" w:rsidP="00C55281">
      <w:pPr>
        <w:spacing w:after="0"/>
      </w:pPr>
      <w:r w:rsidRPr="000A09AC">
        <w:t xml:space="preserve">Figure </w:t>
      </w:r>
      <w:r w:rsidR="000A09AC" w:rsidRPr="000A09AC">
        <w:t>7</w:t>
      </w:r>
      <w:r w:rsidRPr="000A09AC">
        <w:t xml:space="preserve"> </w:t>
      </w:r>
      <w:proofErr w:type="gramStart"/>
      <w:r w:rsidRPr="000A09AC">
        <w:t>shows</w:t>
      </w:r>
      <w:proofErr w:type="gramEnd"/>
      <w:r>
        <w:t xml:space="preserve"> the </w:t>
      </w:r>
      <w:r w:rsidR="00F842A5">
        <w:t>number</w:t>
      </w:r>
      <w:r>
        <w:t xml:space="preserve"> of patients supplied their first testosterone prescription by prescriber type in each year surrounding the restriction change on 1 April 2015. </w:t>
      </w:r>
    </w:p>
    <w:p w14:paraId="3308797F" w14:textId="77777777" w:rsidR="00FD5DE4" w:rsidRDefault="00FD5DE4" w:rsidP="009D4FFD">
      <w:pPr>
        <w:spacing w:after="0"/>
        <w:rPr>
          <w:sz w:val="20"/>
          <w:szCs w:val="20"/>
        </w:rPr>
      </w:pPr>
    </w:p>
    <w:p w14:paraId="6729D507" w14:textId="65778067" w:rsidR="00FD5DE4" w:rsidRDefault="008C0E6A" w:rsidP="009D4FFD">
      <w:pPr>
        <w:spacing w:after="0"/>
        <w:rPr>
          <w:sz w:val="20"/>
          <w:szCs w:val="20"/>
        </w:rPr>
      </w:pPr>
      <w:r>
        <w:rPr>
          <w:noProof/>
        </w:rPr>
        <w:drawing>
          <wp:inline distT="0" distB="0" distL="0" distR="0" wp14:anchorId="3485D0CA" wp14:editId="2F4C19CD">
            <wp:extent cx="5687695" cy="3703686"/>
            <wp:effectExtent l="0" t="0" r="27305" b="11430"/>
            <wp:docPr id="11" name="Chart 11" descr="Four columns, one for each listing year, indicating how many patients were initiated by a GP, endocrinologist or by another specialist  " title="Patients supplied their first testosterone prescription by prescriber type and year  "/>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4AC677F" w14:textId="4E0D5155" w:rsidR="008C0E6A" w:rsidRDefault="008C0E6A" w:rsidP="008C0E6A">
      <w:pPr>
        <w:spacing w:after="0"/>
        <w:rPr>
          <w:b/>
        </w:rPr>
      </w:pPr>
      <w:r>
        <w:rPr>
          <w:b/>
        </w:rPr>
        <w:t xml:space="preserve">Figure </w:t>
      </w:r>
      <w:r w:rsidR="000A09AC">
        <w:rPr>
          <w:b/>
        </w:rPr>
        <w:t>7</w:t>
      </w:r>
      <w:r>
        <w:rPr>
          <w:b/>
        </w:rPr>
        <w:t xml:space="preserve">: Patients supplied their first testosterone prescription by prescriber type and </w:t>
      </w:r>
      <w:r w:rsidR="00F842A5">
        <w:rPr>
          <w:b/>
        </w:rPr>
        <w:t>year</w:t>
      </w:r>
      <w:r w:rsidR="001E7F1F">
        <w:rPr>
          <w:b/>
        </w:rPr>
        <w:t xml:space="preserve"> </w:t>
      </w:r>
      <w:r>
        <w:rPr>
          <w:b/>
        </w:rPr>
        <w:t xml:space="preserve"> </w:t>
      </w:r>
    </w:p>
    <w:p w14:paraId="2BD7588A" w14:textId="517604E4" w:rsidR="008C0E6A" w:rsidRDefault="008C0E6A" w:rsidP="008C0E6A">
      <w:pPr>
        <w:spacing w:after="0"/>
        <w:rPr>
          <w:sz w:val="20"/>
          <w:szCs w:val="20"/>
        </w:rPr>
      </w:pPr>
      <w:r>
        <w:rPr>
          <w:sz w:val="20"/>
          <w:szCs w:val="20"/>
        </w:rPr>
        <w:t>Change to restriction occurred 1 April 2015. Prescriber fields that were blank or unknown have been excluded (n=26).</w:t>
      </w:r>
      <w:r w:rsidRPr="00B61FD4">
        <w:rPr>
          <w:sz w:val="20"/>
          <w:szCs w:val="20"/>
        </w:rPr>
        <w:t xml:space="preserve"> </w:t>
      </w:r>
      <w:r>
        <w:rPr>
          <w:sz w:val="20"/>
          <w:szCs w:val="20"/>
        </w:rPr>
        <w:t xml:space="preserve">Source: DHS supplied prescription database accessed July 2016. </w:t>
      </w:r>
    </w:p>
    <w:p w14:paraId="5756CF03" w14:textId="77777777" w:rsidR="009D4FFD" w:rsidRDefault="009D4FFD" w:rsidP="00BC2034">
      <w:pPr>
        <w:spacing w:after="0"/>
        <w:rPr>
          <w:b/>
        </w:rPr>
      </w:pPr>
    </w:p>
    <w:p w14:paraId="2FFD3D2E" w14:textId="73E4ABE5" w:rsidR="00B30AE8" w:rsidRDefault="00701819" w:rsidP="00BC2034">
      <w:pPr>
        <w:spacing w:after="0"/>
      </w:pPr>
      <w:r>
        <w:t xml:space="preserve">In the year after the restriction change (April 2015 to March 2016), the number of patients who had their initial testosterone prescription written by a GP was </w:t>
      </w:r>
      <w:r w:rsidR="005729D1">
        <w:t xml:space="preserve">80% </w:t>
      </w:r>
      <w:r>
        <w:t xml:space="preserve">lower than the </w:t>
      </w:r>
      <w:r w:rsidR="005729D1">
        <w:t>previous year</w:t>
      </w:r>
      <w:r>
        <w:t xml:space="preserve">. </w:t>
      </w:r>
      <w:r w:rsidR="00B30AE8">
        <w:t xml:space="preserve">In the year before the change, GPs prescribed 77% of the total initiating prescriptions compared to 38% in the year after the change. </w:t>
      </w:r>
      <w:r w:rsidR="008C0A8E">
        <w:t xml:space="preserve">GPs </w:t>
      </w:r>
      <w:r w:rsidR="0086384F">
        <w:t>can</w:t>
      </w:r>
      <w:r w:rsidR="008C0A8E">
        <w:t xml:space="preserve"> write </w:t>
      </w:r>
      <w:r w:rsidR="0086384F">
        <w:t xml:space="preserve">a PBS </w:t>
      </w:r>
      <w:r w:rsidR="008C0A8E">
        <w:t>prescription in consultation with a specialist or in the intervening period while patient</w:t>
      </w:r>
      <w:r w:rsidR="0086384F">
        <w:t>s</w:t>
      </w:r>
      <w:r w:rsidR="008C0A8E">
        <w:t xml:space="preserve"> wait for an appointment </w:t>
      </w:r>
      <w:r w:rsidR="00352173">
        <w:t xml:space="preserve">to be assessed by </w:t>
      </w:r>
      <w:r w:rsidR="008C0A8E">
        <w:t>a specialist</w:t>
      </w:r>
      <w:r w:rsidR="0086384F">
        <w:t>,</w:t>
      </w:r>
      <w:r w:rsidR="00E60BA9">
        <w:t xml:space="preserve"> but the patient still needs to qualify according to the androgen deficiency definition in the restriction</w:t>
      </w:r>
      <w:r w:rsidR="008C0A8E">
        <w:t xml:space="preserve">. </w:t>
      </w:r>
    </w:p>
    <w:p w14:paraId="043516DC" w14:textId="77777777" w:rsidR="00B30AE8" w:rsidRDefault="00B30AE8" w:rsidP="00BC2034">
      <w:pPr>
        <w:spacing w:after="0"/>
      </w:pPr>
    </w:p>
    <w:p w14:paraId="4AC2715A" w14:textId="3EF8F642" w:rsidR="006E5530" w:rsidRDefault="005C6B74" w:rsidP="00BC2034">
      <w:pPr>
        <w:spacing w:after="0"/>
      </w:pPr>
      <w:r>
        <w:t>T</w:t>
      </w:r>
      <w:r w:rsidR="00701819">
        <w:t xml:space="preserve">he number of </w:t>
      </w:r>
      <w:r w:rsidR="005977EE">
        <w:t xml:space="preserve">patients </w:t>
      </w:r>
      <w:r w:rsidR="00237A15">
        <w:t>initiated to</w:t>
      </w:r>
      <w:r w:rsidR="00701819">
        <w:t xml:space="preserve"> testosterone by endocrinolo</w:t>
      </w:r>
      <w:r>
        <w:t>gists and other specialists was</w:t>
      </w:r>
      <w:r w:rsidR="00701819">
        <w:t xml:space="preserve"> similar </w:t>
      </w:r>
      <w:r>
        <w:t>in</w:t>
      </w:r>
      <w:r w:rsidR="00701819">
        <w:t xml:space="preserve"> the years before the restriction change</w:t>
      </w:r>
      <w:r>
        <w:t xml:space="preserve"> and the year after</w:t>
      </w:r>
      <w:r w:rsidR="00701819">
        <w:t>.</w:t>
      </w:r>
    </w:p>
    <w:p w14:paraId="1C980E80" w14:textId="77777777" w:rsidR="00701819" w:rsidRDefault="00701819" w:rsidP="00BC2034">
      <w:pPr>
        <w:spacing w:after="0"/>
      </w:pPr>
    </w:p>
    <w:p w14:paraId="376D66BE" w14:textId="7EF71A32" w:rsidR="003C1160" w:rsidRDefault="00B4010D" w:rsidP="000102C1">
      <w:pPr>
        <w:spacing w:after="0"/>
        <w:rPr>
          <w:b/>
          <w:i/>
        </w:rPr>
      </w:pPr>
      <w:r>
        <w:rPr>
          <w:b/>
          <w:i/>
        </w:rPr>
        <w:t>O</w:t>
      </w:r>
      <w:r w:rsidR="00460411">
        <w:rPr>
          <w:b/>
          <w:i/>
        </w:rPr>
        <w:t>riginal prescriptions</w:t>
      </w:r>
      <w:r>
        <w:rPr>
          <w:b/>
          <w:i/>
        </w:rPr>
        <w:t xml:space="preserve"> analysis</w:t>
      </w:r>
    </w:p>
    <w:p w14:paraId="52F43F76" w14:textId="77777777" w:rsidR="00D324B9" w:rsidRDefault="00D324B9" w:rsidP="000102C1">
      <w:pPr>
        <w:spacing w:after="0"/>
        <w:rPr>
          <w:b/>
          <w:i/>
        </w:rPr>
      </w:pPr>
    </w:p>
    <w:p w14:paraId="36363EC5" w14:textId="4D90D1E9" w:rsidR="005646F1" w:rsidRDefault="00580B27" w:rsidP="000102C1">
      <w:pPr>
        <w:spacing w:after="0"/>
        <w:rPr>
          <w:iCs/>
        </w:rPr>
      </w:pPr>
      <w:r>
        <w:rPr>
          <w:iCs/>
        </w:rPr>
        <w:t>T</w:t>
      </w:r>
      <w:r w:rsidRPr="00580B27">
        <w:rPr>
          <w:iCs/>
        </w:rPr>
        <w:t xml:space="preserve">o assess whether a higher proportion of patients discontinued testosterone after the change in the restriction </w:t>
      </w:r>
      <w:r>
        <w:rPr>
          <w:iCs/>
        </w:rPr>
        <w:t>a</w:t>
      </w:r>
      <w:r w:rsidR="00B4010D">
        <w:rPr>
          <w:iCs/>
        </w:rPr>
        <w:t>n analysis of original prescriptions was conducted</w:t>
      </w:r>
      <w:r w:rsidR="005646F1">
        <w:rPr>
          <w:iCs/>
        </w:rPr>
        <w:t xml:space="preserve">. </w:t>
      </w:r>
      <w:r>
        <w:rPr>
          <w:iCs/>
        </w:rPr>
        <w:t>O</w:t>
      </w:r>
      <w:r w:rsidR="005646F1">
        <w:rPr>
          <w:iCs/>
        </w:rPr>
        <w:t>riginal PBS prescription</w:t>
      </w:r>
      <w:r>
        <w:rPr>
          <w:iCs/>
        </w:rPr>
        <w:t>s</w:t>
      </w:r>
      <w:r w:rsidR="005646F1">
        <w:rPr>
          <w:iCs/>
        </w:rPr>
        <w:t xml:space="preserve"> usually provide</w:t>
      </w:r>
      <w:r>
        <w:rPr>
          <w:iCs/>
        </w:rPr>
        <w:t xml:space="preserve"> a</w:t>
      </w:r>
      <w:r w:rsidR="005646F1">
        <w:rPr>
          <w:iCs/>
        </w:rPr>
        <w:t xml:space="preserve"> sufficient </w:t>
      </w:r>
      <w:r>
        <w:rPr>
          <w:iCs/>
        </w:rPr>
        <w:t>quantity</w:t>
      </w:r>
      <w:r w:rsidR="005646F1">
        <w:rPr>
          <w:iCs/>
        </w:rPr>
        <w:t xml:space="preserve"> and repeats for 6 months treatment, and </w:t>
      </w:r>
      <w:r w:rsidR="005646F1">
        <w:rPr>
          <w:iCs/>
        </w:rPr>
        <w:lastRenderedPageBreak/>
        <w:t>scripts remain valid for 12 months</w:t>
      </w:r>
      <w:r>
        <w:rPr>
          <w:iCs/>
        </w:rPr>
        <w:t>. Therefore</w:t>
      </w:r>
      <w:r w:rsidR="005646F1">
        <w:rPr>
          <w:iCs/>
        </w:rPr>
        <w:t xml:space="preserve"> it is expected that patients continuing on treatment would have at least one original prescription in a year. </w:t>
      </w:r>
    </w:p>
    <w:p w14:paraId="100C8C10" w14:textId="77777777" w:rsidR="00580B27" w:rsidRDefault="00580B27" w:rsidP="000102C1">
      <w:pPr>
        <w:spacing w:after="0"/>
        <w:rPr>
          <w:iCs/>
        </w:rPr>
      </w:pPr>
    </w:p>
    <w:p w14:paraId="73AF054D" w14:textId="5F33BE2C" w:rsidR="00D324B9" w:rsidRDefault="005646F1" w:rsidP="000102C1">
      <w:pPr>
        <w:spacing w:after="0"/>
      </w:pPr>
      <w:r>
        <w:rPr>
          <w:iCs/>
        </w:rPr>
        <w:t>Of the 86,605</w:t>
      </w:r>
      <w:r w:rsidR="00580B27">
        <w:rPr>
          <w:iCs/>
        </w:rPr>
        <w:t xml:space="preserve"> </w:t>
      </w:r>
      <w:r>
        <w:rPr>
          <w:iCs/>
        </w:rPr>
        <w:t>p</w:t>
      </w:r>
      <w:r w:rsidRPr="005646F1">
        <w:rPr>
          <w:iCs/>
        </w:rPr>
        <w:t xml:space="preserve">atients supplied an original testosterone prescription </w:t>
      </w:r>
      <w:r w:rsidR="00580B27">
        <w:rPr>
          <w:iCs/>
        </w:rPr>
        <w:t>between</w:t>
      </w:r>
      <w:r w:rsidRPr="005646F1">
        <w:rPr>
          <w:iCs/>
        </w:rPr>
        <w:t xml:space="preserve"> April 2013 </w:t>
      </w:r>
      <w:r w:rsidR="00580B27">
        <w:rPr>
          <w:iCs/>
        </w:rPr>
        <w:t xml:space="preserve">and </w:t>
      </w:r>
      <w:r w:rsidRPr="005646F1">
        <w:rPr>
          <w:iCs/>
        </w:rPr>
        <w:t>March</w:t>
      </w:r>
      <w:r>
        <w:rPr>
          <w:iCs/>
        </w:rPr>
        <w:t> </w:t>
      </w:r>
      <w:r w:rsidRPr="005646F1">
        <w:rPr>
          <w:iCs/>
        </w:rPr>
        <w:t>2014</w:t>
      </w:r>
      <w:r>
        <w:rPr>
          <w:iCs/>
        </w:rPr>
        <w:t>, 15% did not receive an original supply in the following 12 months (April 2014 to March 2015)</w:t>
      </w:r>
      <w:r w:rsidR="00580B27">
        <w:rPr>
          <w:iCs/>
        </w:rPr>
        <w:t>. Of</w:t>
      </w:r>
      <w:r>
        <w:rPr>
          <w:iCs/>
        </w:rPr>
        <w:t xml:space="preserve"> the 92,729 patients supplied an </w:t>
      </w:r>
      <w:r w:rsidRPr="005646F1">
        <w:rPr>
          <w:iCs/>
        </w:rPr>
        <w:t>original testosterone prescription the year before the restriction change</w:t>
      </w:r>
      <w:r>
        <w:rPr>
          <w:iCs/>
        </w:rPr>
        <w:t xml:space="preserve">, 38% were not </w:t>
      </w:r>
      <w:r w:rsidRPr="005646F1">
        <w:rPr>
          <w:iCs/>
        </w:rPr>
        <w:t>supplied a subsequent original testosterone prescription</w:t>
      </w:r>
      <w:r w:rsidR="006038DC">
        <w:rPr>
          <w:iCs/>
        </w:rPr>
        <w:t xml:space="preserve"> in the year after the restriction change</w:t>
      </w:r>
      <w:r w:rsidR="005729D1">
        <w:rPr>
          <w:iCs/>
        </w:rPr>
        <w:t>,</w:t>
      </w:r>
      <w:r w:rsidR="006038DC">
        <w:rPr>
          <w:iCs/>
        </w:rPr>
        <w:t xml:space="preserve"> </w:t>
      </w:r>
      <w:r w:rsidR="00580B27">
        <w:rPr>
          <w:iCs/>
        </w:rPr>
        <w:t>indicat</w:t>
      </w:r>
      <w:r w:rsidR="006038DC">
        <w:rPr>
          <w:iCs/>
        </w:rPr>
        <w:t>ing</w:t>
      </w:r>
      <w:r w:rsidR="00580B27">
        <w:rPr>
          <w:iCs/>
        </w:rPr>
        <w:t xml:space="preserve"> a higher rate of discontinuation</w:t>
      </w:r>
      <w:r>
        <w:rPr>
          <w:iCs/>
        </w:rPr>
        <w:t>.</w:t>
      </w:r>
    </w:p>
    <w:p w14:paraId="3C2237BC" w14:textId="77777777" w:rsidR="00580B27" w:rsidRDefault="00580B27" w:rsidP="000102C1">
      <w:pPr>
        <w:spacing w:after="0"/>
        <w:rPr>
          <w:b/>
          <w:i/>
        </w:rPr>
      </w:pPr>
    </w:p>
    <w:p w14:paraId="7EFB57C4" w14:textId="2EBF21B4" w:rsidR="00A50CD7" w:rsidRDefault="00A50CD7" w:rsidP="000102C1">
      <w:pPr>
        <w:spacing w:after="0"/>
        <w:rPr>
          <w:b/>
          <w:i/>
        </w:rPr>
      </w:pPr>
      <w:r>
        <w:rPr>
          <w:b/>
          <w:i/>
        </w:rPr>
        <w:t>Authority prescriptions</w:t>
      </w:r>
    </w:p>
    <w:p w14:paraId="6CC33541" w14:textId="77777777" w:rsidR="00A50CD7" w:rsidRDefault="00A50CD7" w:rsidP="000102C1">
      <w:pPr>
        <w:spacing w:after="0"/>
        <w:rPr>
          <w:b/>
          <w:i/>
        </w:rPr>
      </w:pPr>
    </w:p>
    <w:p w14:paraId="4D6B028E" w14:textId="0E6A48A0" w:rsidR="00A50CD7" w:rsidRDefault="00A50CD7" w:rsidP="000102C1">
      <w:pPr>
        <w:spacing w:after="0"/>
      </w:pPr>
      <w:r>
        <w:t>There was a change in the proportion of Authority prescriptions that were approved or rejected by the Department of Human Services before and after the restriction change. In the three months prior to April 2015, less than 5% of Authority prescriptions were rejected each month. In April, approximately one third were rejected. This decreased to approximately 25% rejected in May, down to 15% in August and fewer than 10% in December 2015</w:t>
      </w:r>
      <w:r w:rsidR="0022504E">
        <w:t xml:space="preserve"> (DHS personal communication)</w:t>
      </w:r>
      <w:r>
        <w:t xml:space="preserve">. </w:t>
      </w:r>
    </w:p>
    <w:p w14:paraId="09798D03" w14:textId="77777777" w:rsidR="00E53799" w:rsidRDefault="00E53799" w:rsidP="000102C1">
      <w:pPr>
        <w:spacing w:after="0"/>
      </w:pPr>
    </w:p>
    <w:p w14:paraId="172371ED" w14:textId="49BAF9EF" w:rsidR="00E53799" w:rsidRDefault="00E53799" w:rsidP="000102C1">
      <w:pPr>
        <w:spacing w:after="0"/>
        <w:rPr>
          <w:b/>
          <w:i/>
        </w:rPr>
      </w:pPr>
      <w:r w:rsidRPr="008A6DC3">
        <w:rPr>
          <w:b/>
          <w:i/>
        </w:rPr>
        <w:t>Private prescriptions</w:t>
      </w:r>
    </w:p>
    <w:p w14:paraId="45D64FAA" w14:textId="77777777" w:rsidR="00E53799" w:rsidRDefault="00E53799" w:rsidP="000102C1">
      <w:pPr>
        <w:spacing w:after="0"/>
        <w:rPr>
          <w:b/>
          <w:i/>
        </w:rPr>
      </w:pPr>
    </w:p>
    <w:p w14:paraId="2513231D" w14:textId="4883EF5E" w:rsidR="00E53799" w:rsidRDefault="00E53799" w:rsidP="000102C1">
      <w:pPr>
        <w:spacing w:after="0"/>
      </w:pPr>
      <w:r>
        <w:t xml:space="preserve">There was a shift in the proportion of private to PBS-subsidised testosterone prescriptions </w:t>
      </w:r>
      <w:r w:rsidR="0022504E">
        <w:t xml:space="preserve">written </w:t>
      </w:r>
      <w:r>
        <w:t xml:space="preserve">in the year after the restriction change, according to MedicineInsight data. Prior to 1 April 2015, </w:t>
      </w:r>
      <w:r w:rsidR="008A6DC3">
        <w:t>an average of 2</w:t>
      </w:r>
      <w:r w:rsidR="00404725">
        <w:t>1</w:t>
      </w:r>
      <w:r w:rsidR="008A6DC3">
        <w:t>% of prescriptions was</w:t>
      </w:r>
      <w:r>
        <w:t xml:space="preserve"> private. This number increased to </w:t>
      </w:r>
      <w:r w:rsidR="008A6DC3">
        <w:t>an average of</w:t>
      </w:r>
      <w:r>
        <w:t xml:space="preserve"> 4</w:t>
      </w:r>
      <w:r w:rsidR="00404725">
        <w:t>3</w:t>
      </w:r>
      <w:r>
        <w:t xml:space="preserve">% after the change. </w:t>
      </w:r>
    </w:p>
    <w:p w14:paraId="420ABCA5" w14:textId="77777777" w:rsidR="001D6E28" w:rsidRPr="00E53799" w:rsidRDefault="001D6E28" w:rsidP="000102C1">
      <w:pPr>
        <w:spacing w:after="0"/>
        <w:rPr>
          <w:color w:val="FF0000"/>
        </w:rPr>
      </w:pPr>
    </w:p>
    <w:p w14:paraId="3555DFBA" w14:textId="60E8E761" w:rsidR="00591512" w:rsidRDefault="00AB3733" w:rsidP="00B30D85">
      <w:pPr>
        <w:pStyle w:val="Heading4"/>
      </w:pPr>
      <w:r>
        <w:t>D</w:t>
      </w:r>
      <w:r w:rsidR="007346C7" w:rsidRPr="005E22C2">
        <w:t>iscussion</w:t>
      </w:r>
    </w:p>
    <w:p w14:paraId="2550EF54" w14:textId="756C3DD0" w:rsidR="00CA603A" w:rsidRPr="00CA603A" w:rsidRDefault="007D28A7" w:rsidP="00CA603A">
      <w:pPr>
        <w:pStyle w:val="Heading4"/>
        <w:rPr>
          <w:b w:val="0"/>
          <w:sz w:val="24"/>
          <w:szCs w:val="24"/>
        </w:rPr>
      </w:pPr>
      <w:r>
        <w:rPr>
          <w:b w:val="0"/>
          <w:sz w:val="24"/>
          <w:szCs w:val="24"/>
        </w:rPr>
        <w:t xml:space="preserve">After the restriction change to R/PBS-subsidised testosterone for androgen deficiency that occurred on 1 April 2015, there was a </w:t>
      </w:r>
      <w:r w:rsidR="00460411">
        <w:rPr>
          <w:b w:val="0"/>
          <w:sz w:val="24"/>
          <w:szCs w:val="24"/>
        </w:rPr>
        <w:t>decrease</w:t>
      </w:r>
      <w:r>
        <w:rPr>
          <w:b w:val="0"/>
          <w:sz w:val="24"/>
          <w:szCs w:val="24"/>
        </w:rPr>
        <w:t xml:space="preserve"> in the number of prescriptions </w:t>
      </w:r>
      <w:r w:rsidR="00681FFA">
        <w:rPr>
          <w:b w:val="0"/>
          <w:sz w:val="24"/>
          <w:szCs w:val="24"/>
        </w:rPr>
        <w:t>supplied</w:t>
      </w:r>
      <w:r w:rsidR="005D3E15">
        <w:rPr>
          <w:b w:val="0"/>
          <w:sz w:val="24"/>
          <w:szCs w:val="24"/>
        </w:rPr>
        <w:t xml:space="preserve"> (Figure 1)</w:t>
      </w:r>
      <w:r w:rsidR="00CA603A" w:rsidRPr="00CA603A">
        <w:rPr>
          <w:b w:val="0"/>
          <w:sz w:val="24"/>
          <w:szCs w:val="24"/>
        </w:rPr>
        <w:t xml:space="preserve">. The supply of all individual testosterone items declined after the restriction </w:t>
      </w:r>
      <w:r w:rsidR="00CA603A" w:rsidRPr="000A09AC">
        <w:rPr>
          <w:b w:val="0"/>
          <w:sz w:val="24"/>
          <w:szCs w:val="24"/>
        </w:rPr>
        <w:t xml:space="preserve">change (Figure </w:t>
      </w:r>
      <w:r w:rsidR="000A09AC" w:rsidRPr="000A09AC">
        <w:rPr>
          <w:b w:val="0"/>
          <w:sz w:val="24"/>
          <w:szCs w:val="24"/>
        </w:rPr>
        <w:t>2</w:t>
      </w:r>
      <w:r w:rsidR="00CA603A" w:rsidRPr="000A09AC">
        <w:rPr>
          <w:b w:val="0"/>
          <w:sz w:val="24"/>
          <w:szCs w:val="24"/>
        </w:rPr>
        <w:t xml:space="preserve">). </w:t>
      </w:r>
      <w:r w:rsidR="00CA603A" w:rsidRPr="00CA603A">
        <w:rPr>
          <w:b w:val="0"/>
          <w:sz w:val="24"/>
          <w:szCs w:val="24"/>
        </w:rPr>
        <w:t xml:space="preserve">The intramuscular testosterone undecanoate injection and the transdermal gel were the two most commonly supplied testosterone items </w:t>
      </w:r>
      <w:r w:rsidR="00847BD1">
        <w:rPr>
          <w:b w:val="0"/>
          <w:sz w:val="24"/>
          <w:szCs w:val="24"/>
        </w:rPr>
        <w:t>from October</w:t>
      </w:r>
      <w:r w:rsidR="002516C6">
        <w:rPr>
          <w:b w:val="0"/>
          <w:sz w:val="24"/>
          <w:szCs w:val="24"/>
        </w:rPr>
        <w:t> </w:t>
      </w:r>
      <w:r w:rsidR="00847BD1">
        <w:rPr>
          <w:b w:val="0"/>
          <w:sz w:val="24"/>
          <w:szCs w:val="24"/>
        </w:rPr>
        <w:t>2014 to March 2016</w:t>
      </w:r>
      <w:r w:rsidR="00CA603A" w:rsidRPr="00CA603A">
        <w:rPr>
          <w:b w:val="0"/>
          <w:sz w:val="24"/>
          <w:szCs w:val="24"/>
        </w:rPr>
        <w:t xml:space="preserve">. </w:t>
      </w:r>
    </w:p>
    <w:p w14:paraId="2D526094" w14:textId="61928AF5" w:rsidR="0059730C" w:rsidRDefault="005D3E15" w:rsidP="00CA603A">
      <w:pPr>
        <w:pStyle w:val="Heading4"/>
        <w:rPr>
          <w:b w:val="0"/>
          <w:sz w:val="24"/>
          <w:szCs w:val="24"/>
        </w:rPr>
      </w:pPr>
      <w:r>
        <w:rPr>
          <w:b w:val="0"/>
          <w:sz w:val="24"/>
          <w:szCs w:val="24"/>
        </w:rPr>
        <w:t xml:space="preserve">The drop in the number of patients supplied </w:t>
      </w:r>
      <w:r w:rsidR="00A21F34">
        <w:rPr>
          <w:b w:val="0"/>
          <w:sz w:val="24"/>
          <w:szCs w:val="24"/>
        </w:rPr>
        <w:t>R/PBS-</w:t>
      </w:r>
      <w:r>
        <w:rPr>
          <w:b w:val="0"/>
          <w:sz w:val="24"/>
          <w:szCs w:val="24"/>
        </w:rPr>
        <w:t xml:space="preserve">subsidised testosterone therapy after the restriction change was </w:t>
      </w:r>
      <w:r w:rsidR="00927861">
        <w:rPr>
          <w:b w:val="0"/>
          <w:sz w:val="24"/>
          <w:szCs w:val="24"/>
        </w:rPr>
        <w:t>driven more by a reduced number of new patients starting therapy than by existing patients stopping therapy</w:t>
      </w:r>
      <w:r w:rsidR="00A5785C">
        <w:rPr>
          <w:b w:val="0"/>
          <w:sz w:val="24"/>
          <w:szCs w:val="24"/>
        </w:rPr>
        <w:t xml:space="preserve"> </w:t>
      </w:r>
      <w:r w:rsidR="00CA603A" w:rsidRPr="00CA603A">
        <w:rPr>
          <w:b w:val="0"/>
          <w:sz w:val="24"/>
          <w:szCs w:val="24"/>
        </w:rPr>
        <w:t>(</w:t>
      </w:r>
      <w:r w:rsidR="00CA603A" w:rsidRPr="000A09AC">
        <w:rPr>
          <w:b w:val="0"/>
          <w:sz w:val="24"/>
          <w:szCs w:val="24"/>
        </w:rPr>
        <w:t xml:space="preserve">Figure </w:t>
      </w:r>
      <w:r w:rsidR="000A09AC" w:rsidRPr="000A09AC">
        <w:rPr>
          <w:b w:val="0"/>
          <w:sz w:val="24"/>
          <w:szCs w:val="24"/>
        </w:rPr>
        <w:t>3 and Table</w:t>
      </w:r>
      <w:r w:rsidR="000A09AC">
        <w:rPr>
          <w:b w:val="0"/>
          <w:sz w:val="24"/>
          <w:szCs w:val="24"/>
        </w:rPr>
        <w:t xml:space="preserve"> 5</w:t>
      </w:r>
      <w:r w:rsidR="00CA603A" w:rsidRPr="00CA603A">
        <w:rPr>
          <w:b w:val="0"/>
          <w:sz w:val="24"/>
          <w:szCs w:val="24"/>
        </w:rPr>
        <w:t xml:space="preserve">). </w:t>
      </w:r>
      <w:r w:rsidR="00A5785C">
        <w:rPr>
          <w:b w:val="0"/>
          <w:sz w:val="24"/>
          <w:szCs w:val="24"/>
        </w:rPr>
        <w:t xml:space="preserve">This may have been due to fewer patients meeting the new PBS restriction criteria. </w:t>
      </w:r>
      <w:r w:rsidR="0059730C">
        <w:rPr>
          <w:b w:val="0"/>
          <w:sz w:val="24"/>
          <w:szCs w:val="24"/>
        </w:rPr>
        <w:t xml:space="preserve">Further, </w:t>
      </w:r>
      <w:r w:rsidR="00927861">
        <w:rPr>
          <w:b w:val="0"/>
          <w:sz w:val="24"/>
          <w:szCs w:val="24"/>
        </w:rPr>
        <w:t xml:space="preserve">fewer patients received a subsequent original prescription in the year after the restriction change, which indicates some existing patients ceased R/PBS-subsidised therapy. </w:t>
      </w:r>
      <w:r w:rsidR="00460411">
        <w:rPr>
          <w:b w:val="0"/>
          <w:sz w:val="24"/>
          <w:szCs w:val="24"/>
        </w:rPr>
        <w:t xml:space="preserve">The reasons for patients not receiving subsequent original prescriptions cannot be determined and may </w:t>
      </w:r>
      <w:r w:rsidR="00927861">
        <w:rPr>
          <w:b w:val="0"/>
          <w:sz w:val="24"/>
          <w:szCs w:val="24"/>
        </w:rPr>
        <w:t>not be due to</w:t>
      </w:r>
      <w:r w:rsidR="00460411">
        <w:rPr>
          <w:b w:val="0"/>
          <w:sz w:val="24"/>
          <w:szCs w:val="24"/>
        </w:rPr>
        <w:t xml:space="preserve"> the restriction change. </w:t>
      </w:r>
      <w:r w:rsidR="00CF0F65">
        <w:rPr>
          <w:b w:val="0"/>
          <w:sz w:val="24"/>
          <w:szCs w:val="24"/>
        </w:rPr>
        <w:t>The fewer patients initiating and the increase in patients stopping R/PBS-subsidised testosterone therapy</w:t>
      </w:r>
      <w:r w:rsidR="00A5785C">
        <w:rPr>
          <w:b w:val="0"/>
          <w:sz w:val="24"/>
          <w:szCs w:val="24"/>
        </w:rPr>
        <w:t xml:space="preserve"> may have been </w:t>
      </w:r>
      <w:r w:rsidR="00CF0F65">
        <w:rPr>
          <w:b w:val="0"/>
          <w:sz w:val="24"/>
          <w:szCs w:val="24"/>
        </w:rPr>
        <w:t xml:space="preserve">due to these patients </w:t>
      </w:r>
      <w:r w:rsidR="00CF0F65">
        <w:rPr>
          <w:b w:val="0"/>
          <w:sz w:val="24"/>
          <w:szCs w:val="24"/>
        </w:rPr>
        <w:lastRenderedPageBreak/>
        <w:t xml:space="preserve">being </w:t>
      </w:r>
      <w:r w:rsidR="00A5785C">
        <w:rPr>
          <w:b w:val="0"/>
          <w:sz w:val="24"/>
          <w:szCs w:val="24"/>
        </w:rPr>
        <w:t>supplied testosterone on private prescriptions. Prescribers may have also chosen alternative treatment pathways for patients</w:t>
      </w:r>
      <w:r w:rsidR="006E1FDF">
        <w:rPr>
          <w:b w:val="0"/>
          <w:sz w:val="24"/>
          <w:szCs w:val="24"/>
        </w:rPr>
        <w:t>, such as lifestyle changes</w:t>
      </w:r>
      <w:r w:rsidR="00A5785C">
        <w:rPr>
          <w:b w:val="0"/>
          <w:sz w:val="24"/>
          <w:szCs w:val="24"/>
        </w:rPr>
        <w:t xml:space="preserve">. </w:t>
      </w:r>
    </w:p>
    <w:p w14:paraId="53918243" w14:textId="6D8A1297" w:rsidR="002E4456" w:rsidRPr="00F547DF" w:rsidRDefault="00927861" w:rsidP="006E1FDF">
      <w:r>
        <w:t xml:space="preserve">The decrease in new patients </w:t>
      </w:r>
      <w:r w:rsidR="0025409A">
        <w:t>was</w:t>
      </w:r>
      <w:r>
        <w:t xml:space="preserve"> attributable to fewer older patients starting R/PBS-subsidised testosterone therapy. </w:t>
      </w:r>
      <w:r w:rsidR="00F547DF">
        <w:t xml:space="preserve">There was a large decrease in the </w:t>
      </w:r>
      <w:r>
        <w:t>number</w:t>
      </w:r>
      <w:r w:rsidR="00F547DF">
        <w:t xml:space="preserve"> of </w:t>
      </w:r>
      <w:r>
        <w:t>patients</w:t>
      </w:r>
      <w:r w:rsidR="00F547DF">
        <w:t xml:space="preserve"> over the age of 40 years who were supplied their first testosterone item in the year after the</w:t>
      </w:r>
      <w:r>
        <w:t xml:space="preserve"> restriction</w:t>
      </w:r>
      <w:r w:rsidR="00F547DF">
        <w:t xml:space="preserve"> change compared to the yea</w:t>
      </w:r>
      <w:r w:rsidR="00F547DF" w:rsidRPr="000A09AC">
        <w:t xml:space="preserve">r before (Figure </w:t>
      </w:r>
      <w:r w:rsidR="000A09AC" w:rsidRPr="000A09AC">
        <w:t>6</w:t>
      </w:r>
      <w:r w:rsidR="00F547DF" w:rsidRPr="000A09AC">
        <w:t>). The higher</w:t>
      </w:r>
      <w:r w:rsidR="00F547DF">
        <w:t xml:space="preserve"> use in the older age groups in the years prior to the restriction change was noted</w:t>
      </w:r>
      <w:r w:rsidR="00114957" w:rsidRPr="006E1FDF">
        <w:t xml:space="preserve"> by the PBAC</w:t>
      </w:r>
      <w:r w:rsidR="00F547DF">
        <w:t xml:space="preserve"> at the August</w:t>
      </w:r>
      <w:r w:rsidR="0025409A">
        <w:t> </w:t>
      </w:r>
      <w:r w:rsidR="00F547DF">
        <w:t>2013 meeting</w:t>
      </w:r>
      <w:r>
        <w:t>.</w:t>
      </w:r>
      <w:r w:rsidR="00F547DF" w:rsidRPr="006E1FDF">
        <w:rPr>
          <w:rStyle w:val="FootnoteReference"/>
        </w:rPr>
        <w:footnoteReference w:id="6"/>
      </w:r>
      <w:r w:rsidR="00F547DF">
        <w:t xml:space="preserve"> Concerns were raised</w:t>
      </w:r>
      <w:r w:rsidR="00114957" w:rsidRPr="006E1FDF">
        <w:t xml:space="preserve"> </w:t>
      </w:r>
      <w:r w:rsidR="00F547DF">
        <w:t xml:space="preserve">at the time </w:t>
      </w:r>
      <w:r w:rsidR="00114957" w:rsidRPr="006E1FDF">
        <w:t>over potentially unnecessary use in older patients where clinical evidence and safety data are varied</w:t>
      </w:r>
      <w:r w:rsidR="00804588" w:rsidRPr="006E1FDF">
        <w:t xml:space="preserve">. </w:t>
      </w:r>
      <w:r>
        <w:t xml:space="preserve">The </w:t>
      </w:r>
      <w:r w:rsidR="0025409A">
        <w:t xml:space="preserve">recent </w:t>
      </w:r>
      <w:r>
        <w:t>Endocrine Soc</w:t>
      </w:r>
      <w:r w:rsidR="00404725">
        <w:t xml:space="preserve">iety of Australia </w:t>
      </w:r>
      <w:r w:rsidR="0025409A">
        <w:t xml:space="preserve">position statement </w:t>
      </w:r>
      <w:r w:rsidR="00404725">
        <w:t>discusses testosterone treatment in older men.</w:t>
      </w:r>
      <w:bookmarkStart w:id="3" w:name="_Ref460429127"/>
      <w:r w:rsidR="00751A89">
        <w:rPr>
          <w:rStyle w:val="FootnoteReference"/>
        </w:rPr>
        <w:footnoteReference w:id="7"/>
      </w:r>
      <w:bookmarkEnd w:id="3"/>
      <w:r w:rsidR="00404725">
        <w:t xml:space="preserve"> </w:t>
      </w:r>
      <w:r w:rsidR="0025409A">
        <w:t>While h</w:t>
      </w:r>
      <w:r w:rsidR="00404725">
        <w:t>ealthy</w:t>
      </w:r>
      <w:r w:rsidR="002E4456" w:rsidRPr="002E4456">
        <w:t xml:space="preserve"> older men </w:t>
      </w:r>
      <w:r w:rsidR="0025409A">
        <w:t>have</w:t>
      </w:r>
      <w:r w:rsidR="002E4456" w:rsidRPr="002E4456">
        <w:t xml:space="preserve"> lower testosterone co</w:t>
      </w:r>
      <w:r w:rsidR="00F547DF">
        <w:t xml:space="preserve">ncentrations on average than </w:t>
      </w:r>
      <w:r w:rsidR="002E4456" w:rsidRPr="002E4456">
        <w:t>healthy, reproductively normal younger men</w:t>
      </w:r>
      <w:r w:rsidR="0025409A">
        <w:t>,</w:t>
      </w:r>
      <w:r w:rsidR="002E4456" w:rsidRPr="002E4456">
        <w:rPr>
          <w:vertAlign w:val="superscript"/>
        </w:rPr>
        <w:footnoteReference w:id="8"/>
      </w:r>
      <w:r w:rsidR="002E4456" w:rsidRPr="002E4456">
        <w:rPr>
          <w:vertAlign w:val="superscript"/>
        </w:rPr>
        <w:t>,</w:t>
      </w:r>
      <w:r w:rsidR="002E4456" w:rsidRPr="002E4456">
        <w:rPr>
          <w:vertAlign w:val="superscript"/>
        </w:rPr>
        <w:footnoteReference w:id="9"/>
      </w:r>
      <w:r w:rsidR="002E4456" w:rsidRPr="002E4456">
        <w:t xml:space="preserve"> </w:t>
      </w:r>
      <w:r w:rsidR="0025409A">
        <w:t>t</w:t>
      </w:r>
      <w:r w:rsidR="00F547DF" w:rsidRPr="00F547DF">
        <w:t xml:space="preserve">he long-term risks and benefits of testosterone treatment in </w:t>
      </w:r>
      <w:r w:rsidR="008A5E21">
        <w:t>these patients</w:t>
      </w:r>
      <w:r w:rsidR="00F547DF" w:rsidRPr="00F547DF">
        <w:t xml:space="preserve"> are unknown because large-scale, adequately powered and designed randomised controlled studies have not been performed.</w:t>
      </w:r>
      <w:r w:rsidR="00751A89" w:rsidRPr="00751A89">
        <w:rPr>
          <w:vertAlign w:val="superscript"/>
        </w:rPr>
        <w:fldChar w:fldCharType="begin"/>
      </w:r>
      <w:r w:rsidR="00751A89" w:rsidRPr="00751A89">
        <w:rPr>
          <w:vertAlign w:val="superscript"/>
        </w:rPr>
        <w:instrText xml:space="preserve"> NOTEREF _Ref460429127 \h  \* MERGEFORMAT </w:instrText>
      </w:r>
      <w:r w:rsidR="00751A89" w:rsidRPr="00751A89">
        <w:rPr>
          <w:vertAlign w:val="superscript"/>
        </w:rPr>
      </w:r>
      <w:r w:rsidR="00751A89" w:rsidRPr="00751A89">
        <w:rPr>
          <w:vertAlign w:val="superscript"/>
        </w:rPr>
        <w:fldChar w:fldCharType="separate"/>
      </w:r>
      <w:r w:rsidR="00E63CD2">
        <w:rPr>
          <w:vertAlign w:val="superscript"/>
        </w:rPr>
        <w:t>7</w:t>
      </w:r>
      <w:r w:rsidR="00751A89" w:rsidRPr="00751A89">
        <w:rPr>
          <w:vertAlign w:val="superscript"/>
        </w:rPr>
        <w:fldChar w:fldCharType="end"/>
      </w:r>
      <w:r w:rsidR="00F547DF" w:rsidRPr="00F547DF">
        <w:rPr>
          <w:vertAlign w:val="superscript"/>
        </w:rPr>
        <w:t>,</w:t>
      </w:r>
      <w:bookmarkStart w:id="4" w:name="_Ref460417157"/>
      <w:r w:rsidR="00F547DF" w:rsidRPr="00F547DF">
        <w:rPr>
          <w:vertAlign w:val="superscript"/>
        </w:rPr>
        <w:footnoteReference w:id="10"/>
      </w:r>
      <w:bookmarkEnd w:id="4"/>
      <w:r w:rsidR="00F547DF">
        <w:rPr>
          <w:vertAlign w:val="superscript"/>
        </w:rPr>
        <w:t xml:space="preserve"> </w:t>
      </w:r>
    </w:p>
    <w:p w14:paraId="32B3403E" w14:textId="77777777" w:rsidR="00BF1970" w:rsidRDefault="00136AEF" w:rsidP="00BF1970">
      <w:pPr>
        <w:spacing w:after="0"/>
      </w:pPr>
      <w:r w:rsidRPr="00136AEF">
        <w:t xml:space="preserve">Due to the range of factors that can contribute to androgen deficiency, GPs are often the first point of contact for symptomatic patients. Under the new </w:t>
      </w:r>
      <w:r>
        <w:t xml:space="preserve">testosterone </w:t>
      </w:r>
      <w:r w:rsidRPr="00136AEF">
        <w:t>restriction, patients must have been seen by or have an appointment booked with a specialist to be eligible for R/PBS-subsidised testosterone</w:t>
      </w:r>
      <w:r w:rsidRPr="000A09AC">
        <w:t xml:space="preserve">. </w:t>
      </w:r>
      <w:r w:rsidR="000A09AC" w:rsidRPr="000A09AC">
        <w:t>Figure 7</w:t>
      </w:r>
      <w:r w:rsidRPr="00136AEF">
        <w:t xml:space="preserve"> shows that the number of initiations by GPs in the year after the change was far lower than in the three years before. This suggests that the change in restrictions had an impact on GP prescribing. The number of initiations by endocrinologists and other specialists did not differ greatly over the years of the analysis. </w:t>
      </w:r>
    </w:p>
    <w:p w14:paraId="1D0B7D08" w14:textId="77777777" w:rsidR="00BF1970" w:rsidRDefault="00BF1970" w:rsidP="00BF1970">
      <w:pPr>
        <w:spacing w:after="0"/>
      </w:pPr>
    </w:p>
    <w:p w14:paraId="6BF87112" w14:textId="21B44D70" w:rsidR="009E3518" w:rsidRDefault="009E3518" w:rsidP="00BF1970">
      <w:pPr>
        <w:spacing w:after="0"/>
        <w:rPr>
          <w:b/>
          <w:sz w:val="28"/>
          <w:szCs w:val="28"/>
        </w:rPr>
      </w:pPr>
      <w:r w:rsidRPr="00F61241">
        <w:rPr>
          <w:b/>
          <w:sz w:val="28"/>
          <w:szCs w:val="28"/>
        </w:rPr>
        <w:t>DUSC Consideration</w:t>
      </w:r>
    </w:p>
    <w:p w14:paraId="5CC87059" w14:textId="77777777" w:rsidR="00BF1970" w:rsidRPr="00BF1970" w:rsidRDefault="00BF1970" w:rsidP="00BF1970">
      <w:pPr>
        <w:spacing w:after="0"/>
      </w:pPr>
    </w:p>
    <w:p w14:paraId="492B0CD9" w14:textId="77777777" w:rsidR="005A2012" w:rsidRPr="005A2012" w:rsidRDefault="005A2012" w:rsidP="005A2012">
      <w:pPr>
        <w:spacing w:after="0"/>
        <w:rPr>
          <w:rFonts w:ascii="Calibri" w:eastAsia="Times New Roman" w:hAnsi="Calibri" w:cs="Calibri"/>
          <w:lang w:eastAsia="en-US"/>
        </w:rPr>
      </w:pPr>
      <w:r w:rsidRPr="005A2012">
        <w:rPr>
          <w:rFonts w:ascii="Calibri" w:eastAsia="Times New Roman" w:hAnsi="Calibri" w:cs="Calibri"/>
          <w:lang w:eastAsia="en-US"/>
        </w:rPr>
        <w:t>DUSC discussed the issue raised by one of the sponsors that there may be people who have a therapeutic need for testosterone therapy who no longer qualify for PBS-subsidised supply. DUSC considered analyses provided by MedicineInsight showing that</w:t>
      </w:r>
      <w:r w:rsidRPr="005A2012">
        <w:rPr>
          <w:rFonts w:ascii="Arial" w:eastAsia="Times New Roman" w:hAnsi="Arial" w:cs="Arial"/>
          <w:color w:val="000000"/>
        </w:rPr>
        <w:t xml:space="preserve"> </w:t>
      </w:r>
      <w:r w:rsidRPr="005A2012">
        <w:rPr>
          <w:rFonts w:ascii="Calibri" w:eastAsia="Times New Roman" w:hAnsi="Calibri" w:cs="Calibri"/>
          <w:lang w:eastAsia="en-US"/>
        </w:rPr>
        <w:t>in the three months following 1 April 2015, the ratio of R/PBS to private prescriptions changed from 79%:21% in the previous quarter to 58%:42%. This suggests that there has been a shift to the private market. Overall, DUSC noted that, considering both the PBS/RPBS and private markets, the net result of the change in restriction was a reduction in the number of patients supplied testosterone.</w:t>
      </w:r>
    </w:p>
    <w:p w14:paraId="172F6DBB" w14:textId="77777777" w:rsidR="005A2012" w:rsidRDefault="005A2012" w:rsidP="005A2012">
      <w:pPr>
        <w:spacing w:after="0"/>
      </w:pPr>
    </w:p>
    <w:p w14:paraId="181111E7" w14:textId="6407B81F" w:rsidR="005A2012" w:rsidRDefault="005A2012" w:rsidP="005A2012">
      <w:pPr>
        <w:spacing w:after="0"/>
      </w:pPr>
      <w:r w:rsidRPr="001C0A74">
        <w:lastRenderedPageBreak/>
        <w:t xml:space="preserve">There was a large decrease in the number of patients over the age of 40 years who were supplied their first testosterone item in the year after the restriction change compared to the year before. </w:t>
      </w:r>
      <w:r w:rsidRPr="005A2012">
        <w:t>DUSC noted that this effect was consistent with the more extensive restriction changes being for patients 40 years or older.</w:t>
      </w:r>
    </w:p>
    <w:p w14:paraId="72681419" w14:textId="77777777" w:rsidR="002516C6" w:rsidRDefault="002516C6" w:rsidP="005A2012">
      <w:pPr>
        <w:spacing w:after="0"/>
      </w:pPr>
    </w:p>
    <w:p w14:paraId="1DDECC1A" w14:textId="0B295538" w:rsidR="005A2012" w:rsidRPr="001C0A74" w:rsidRDefault="005A2012" w:rsidP="005A2012">
      <w:pPr>
        <w:rPr>
          <w:i/>
        </w:rPr>
      </w:pPr>
      <w:r>
        <w:t>DUSC noted the T4DM trial</w:t>
      </w:r>
      <w:r w:rsidRPr="005A2012">
        <w:rPr>
          <w:vertAlign w:val="superscript"/>
        </w:rPr>
        <w:fldChar w:fldCharType="begin"/>
      </w:r>
      <w:r w:rsidRPr="005A2012">
        <w:rPr>
          <w:vertAlign w:val="superscript"/>
        </w:rPr>
        <w:instrText xml:space="preserve"> NOTEREF _Ref465166325 \h </w:instrText>
      </w:r>
      <w:r>
        <w:rPr>
          <w:vertAlign w:val="superscript"/>
        </w:rPr>
        <w:instrText xml:space="preserve"> \* MERGEFORMAT </w:instrText>
      </w:r>
      <w:r w:rsidRPr="005A2012">
        <w:rPr>
          <w:vertAlign w:val="superscript"/>
        </w:rPr>
      </w:r>
      <w:r w:rsidRPr="005A2012">
        <w:rPr>
          <w:vertAlign w:val="superscript"/>
        </w:rPr>
        <w:fldChar w:fldCharType="separate"/>
      </w:r>
      <w:r w:rsidRPr="005A2012">
        <w:rPr>
          <w:vertAlign w:val="superscript"/>
        </w:rPr>
        <w:t>2</w:t>
      </w:r>
      <w:r w:rsidRPr="005A2012">
        <w:rPr>
          <w:vertAlign w:val="superscript"/>
        </w:rPr>
        <w:fldChar w:fldCharType="end"/>
      </w:r>
      <w:r>
        <w:t xml:space="preserve"> </w:t>
      </w:r>
      <w:r w:rsidRPr="005A2012">
        <w:t>and that there might be a number of patients recruited into the trial who would have otherwise received PBS-subsidised testosterone. DUSC also noted that the outcomes of the trial might be informative with regards to using testosterone in overweight men.</w:t>
      </w:r>
      <w:r w:rsidRPr="001C0A74">
        <w:rPr>
          <w:i/>
        </w:rPr>
        <w:t xml:space="preserve">  </w:t>
      </w:r>
    </w:p>
    <w:p w14:paraId="09E063EC" w14:textId="5D44D7AC" w:rsidR="005A2012" w:rsidRPr="005A2012" w:rsidRDefault="005A2012" w:rsidP="005A2012">
      <w:r w:rsidRPr="005A2012">
        <w:t>DUSC noted that the sponsor response and a number of clinical groups raised concerns regarding potential issues with accessing specialist prescribers, particularly in regional and remote areas. Under the revised testosterone restriction, patients must have been seen by, be in consultation with, or have an appointment booked with a specialist to be eligible for R/PBS-subsidised testosterone. DUSC noted that specialist prescribing has remained fairly constant but that GP prescribing has declined. The higher levels of GP prescribing before 1 April 2015 may have been due to a number of factors such as spon</w:t>
      </w:r>
      <w:r w:rsidR="004A1F45">
        <w:t xml:space="preserve">sor promotion of new products. </w:t>
      </w:r>
      <w:r w:rsidRPr="005A2012">
        <w:t xml:space="preserve">DUSC noted some clinical groups’ comments that the wording of the restriction with regards to specialist consultation was too restrictive. Some responses suggested that an auditing process for patient attendance to specialist appointments should be in place. DUSC considered that the restriction wording, which permits prescribing ‘in consultation with’ one of the listed specialists, addresses the access concerns and that no further action is required. </w:t>
      </w:r>
    </w:p>
    <w:p w14:paraId="63700725" w14:textId="6A2EFA8E" w:rsidR="005A2012" w:rsidRPr="005A2012" w:rsidRDefault="005A2012" w:rsidP="005A2012">
      <w:r w:rsidRPr="005A2012">
        <w:t xml:space="preserve">In their response, one clinical group requested a change in the restriction for patients under 18 years old to remove the requirement for specialist involvement or to include general paediatricians in the list of specialists. DUSC referred this request to the PBAC for consideration. </w:t>
      </w:r>
    </w:p>
    <w:p w14:paraId="550B31BB" w14:textId="77777777" w:rsidR="00BF1970" w:rsidRDefault="005A2012" w:rsidP="00BF1970">
      <w:r w:rsidRPr="005A2012">
        <w:t>A number of groups responded to the report debating the evidence of testosterone use in adult patients with and without established androgen deficiency. These concerns related to various clinical criteria in the restriction. DUSC noted the concerns raised and acknowledged that there are various and conflicting views surrounding appropriate testosterone therapy. There were several groups that suggested rewording of the current restriction regarding prescribers, gender and accessibility. Whilst DUSC acknowledged that there are many perspectives, DUSC did not consider there was a strong case to refer these suggested restriction wording changes to the PBAC. DUSC suggested that the effects of the restriction change to remove the word ‘male’ that occurred 1 October 2015 be monitored and considered for review at a lat</w:t>
      </w:r>
      <w:r w:rsidR="00BF1970">
        <w:t xml:space="preserve">er date. </w:t>
      </w:r>
    </w:p>
    <w:p w14:paraId="434B3ED7" w14:textId="297FB611" w:rsidR="009E3518" w:rsidRPr="00BF1970" w:rsidRDefault="009E3518" w:rsidP="00BF1970">
      <w:pPr>
        <w:rPr>
          <w:b/>
        </w:rPr>
      </w:pPr>
      <w:r w:rsidRPr="00BF1970">
        <w:rPr>
          <w:b/>
          <w:sz w:val="28"/>
        </w:rPr>
        <w:t>DUSC Actions</w:t>
      </w:r>
    </w:p>
    <w:p w14:paraId="51F27970" w14:textId="5D9B0FA2" w:rsidR="009E3518" w:rsidRDefault="009E3518" w:rsidP="009E3518">
      <w:pPr>
        <w:spacing w:after="0"/>
      </w:pPr>
      <w:r w:rsidRPr="007B6A72">
        <w:t>DUSC requested that the report, stakeholder response</w:t>
      </w:r>
      <w:r>
        <w:t>s, MedicineInsight report</w:t>
      </w:r>
      <w:r w:rsidRPr="007B6A72">
        <w:t xml:space="preserve"> and DUSC minutes be provided to the PBAC.</w:t>
      </w:r>
    </w:p>
    <w:p w14:paraId="6A8C3760" w14:textId="77777777" w:rsidR="009E3518" w:rsidRDefault="009E3518" w:rsidP="009E3518">
      <w:pPr>
        <w:spacing w:after="0"/>
      </w:pPr>
    </w:p>
    <w:p w14:paraId="5E298E4F" w14:textId="183F4D66" w:rsidR="001A7869" w:rsidRDefault="001A7869">
      <w:pPr>
        <w:spacing w:line="276" w:lineRule="auto"/>
      </w:pPr>
      <w:r>
        <w:br w:type="page"/>
      </w:r>
    </w:p>
    <w:p w14:paraId="7B45579E" w14:textId="77777777" w:rsidR="009E3518" w:rsidRDefault="009E3518" w:rsidP="009E3518">
      <w:pPr>
        <w:spacing w:after="0"/>
        <w:rPr>
          <w:b/>
          <w:sz w:val="28"/>
          <w:szCs w:val="28"/>
        </w:rPr>
      </w:pPr>
      <w:r w:rsidRPr="007B6A72">
        <w:rPr>
          <w:b/>
          <w:sz w:val="28"/>
          <w:szCs w:val="28"/>
        </w:rPr>
        <w:lastRenderedPageBreak/>
        <w:t>Context for Analysis</w:t>
      </w:r>
    </w:p>
    <w:p w14:paraId="2E3F5052" w14:textId="77777777" w:rsidR="009E3518" w:rsidRDefault="009E3518" w:rsidP="009E3518">
      <w:pPr>
        <w:spacing w:after="0"/>
      </w:pPr>
    </w:p>
    <w:p w14:paraId="4DF9204C" w14:textId="77777777" w:rsidR="009E3518" w:rsidRDefault="009E3518" w:rsidP="009E3518">
      <w:pPr>
        <w:spacing w:after="0"/>
      </w:pPr>
      <w:r w:rsidRPr="007B6A72">
        <w:t xml:space="preserve">The DUSC is a Sub Committee of the Pharmaceutical Benefits Advisory Committee (PBAC). The DUSC assesses estimates on projected usage and financial cost of medicines. 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14:paraId="6958DA86" w14:textId="77777777" w:rsidR="009E3518" w:rsidRDefault="009E3518" w:rsidP="009E3518">
      <w:pPr>
        <w:spacing w:after="0"/>
      </w:pPr>
    </w:p>
    <w:p w14:paraId="10C43B7F" w14:textId="77777777" w:rsidR="009E3518" w:rsidRDefault="009E3518" w:rsidP="009E3518">
      <w:pPr>
        <w:spacing w:after="0"/>
      </w:pPr>
      <w:r w:rsidRPr="007B6A72">
        <w:t>The DUSC operates in accor</w:t>
      </w:r>
      <w:bookmarkStart w:id="5" w:name="_GoBack"/>
      <w:bookmarkEnd w:id="5"/>
      <w:r w:rsidRPr="007B6A72">
        <w:t xml:space="preserve">dance with the quality use of medicines objective of the National Medicines Policy and considers that the DUSC utilisation analyses will assist consumers and health professionals to better understand the costs, benefits and risks of medicines. The utilisation analysis report was provided to the pharmaceutical sponsors of each drug and comments on the report were provided to DUSC prior to its consideration of the analysis. </w:t>
      </w:r>
    </w:p>
    <w:p w14:paraId="532B316E" w14:textId="77777777" w:rsidR="009E3518" w:rsidRDefault="009E3518" w:rsidP="009E3518">
      <w:pPr>
        <w:spacing w:after="0"/>
      </w:pPr>
    </w:p>
    <w:p w14:paraId="3B142EF0" w14:textId="77777777" w:rsidR="009E3518" w:rsidRDefault="009E3518" w:rsidP="009E3518">
      <w:pPr>
        <w:spacing w:after="0"/>
        <w:rPr>
          <w:b/>
          <w:sz w:val="28"/>
          <w:szCs w:val="28"/>
        </w:rPr>
      </w:pPr>
      <w:r w:rsidRPr="00905CA0">
        <w:rPr>
          <w:b/>
          <w:sz w:val="28"/>
          <w:szCs w:val="28"/>
        </w:rPr>
        <w:t>Sponsors’ comments</w:t>
      </w:r>
    </w:p>
    <w:p w14:paraId="684CE8BF" w14:textId="77777777" w:rsidR="00905CA0" w:rsidRDefault="00905CA0" w:rsidP="009E3518">
      <w:pPr>
        <w:spacing w:after="0"/>
        <w:rPr>
          <w:b/>
          <w:sz w:val="28"/>
          <w:szCs w:val="28"/>
        </w:rPr>
      </w:pPr>
    </w:p>
    <w:p w14:paraId="6989E544" w14:textId="6DEB6BDA" w:rsidR="00905CA0" w:rsidRPr="00905CA0" w:rsidRDefault="000C51A5" w:rsidP="009E3518">
      <w:pPr>
        <w:spacing w:after="0"/>
      </w:pPr>
      <w:r>
        <w:t>Various sponsors: n</w:t>
      </w:r>
      <w:r w:rsidR="00905CA0" w:rsidRPr="00905CA0">
        <w:t>o comment</w:t>
      </w:r>
      <w:r w:rsidR="00BF6A44">
        <w:t>s</w:t>
      </w:r>
      <w:r>
        <w:t xml:space="preserve"> received</w:t>
      </w:r>
      <w:r w:rsidR="00905CA0" w:rsidRPr="00905CA0">
        <w:t>.</w:t>
      </w:r>
    </w:p>
    <w:p w14:paraId="10598F32" w14:textId="77777777" w:rsidR="009E3518" w:rsidRDefault="009E3518" w:rsidP="009E3518">
      <w:pPr>
        <w:spacing w:after="0"/>
        <w:rPr>
          <w:sz w:val="28"/>
          <w:szCs w:val="28"/>
        </w:rPr>
      </w:pPr>
    </w:p>
    <w:p w14:paraId="56D73B1E" w14:textId="77777777" w:rsidR="009E3518" w:rsidRDefault="009E3518" w:rsidP="009E3518">
      <w:pPr>
        <w:spacing w:after="0"/>
        <w:rPr>
          <w:b/>
          <w:sz w:val="28"/>
          <w:szCs w:val="28"/>
        </w:rPr>
      </w:pPr>
      <w:r w:rsidRPr="007B6A72">
        <w:rPr>
          <w:b/>
          <w:sz w:val="28"/>
          <w:szCs w:val="28"/>
        </w:rPr>
        <w:t xml:space="preserve">Disclaimer </w:t>
      </w:r>
    </w:p>
    <w:p w14:paraId="19599A20" w14:textId="1A03D274" w:rsidR="009E3518" w:rsidRPr="009E3518" w:rsidRDefault="009E3518" w:rsidP="009E3518">
      <w:pPr>
        <w:pStyle w:val="Heading4"/>
        <w:rPr>
          <w:b w:val="0"/>
          <w:sz w:val="24"/>
          <w:szCs w:val="24"/>
        </w:rPr>
      </w:pPr>
      <w:r w:rsidRPr="009E3518">
        <w:rPr>
          <w:b w:val="0"/>
          <w:sz w:val="24"/>
          <w:szCs w:val="24"/>
        </w:rPr>
        <w:t>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 The Department of Health (</w:t>
      </w:r>
      <w:proofErr w:type="spellStart"/>
      <w:r w:rsidRPr="009E3518">
        <w:rPr>
          <w:b w:val="0"/>
          <w:sz w:val="24"/>
          <w:szCs w:val="24"/>
        </w:rPr>
        <w:t>DoH</w:t>
      </w:r>
      <w:proofErr w:type="spellEnd"/>
      <w:r w:rsidRPr="009E3518">
        <w:rPr>
          <w:b w:val="0"/>
          <w:sz w:val="24"/>
          <w:szCs w:val="24"/>
        </w:rPr>
        <w:t xml:space="preserve">)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 To the extent provided by law, </w:t>
      </w:r>
      <w:proofErr w:type="spellStart"/>
      <w:r w:rsidRPr="009E3518">
        <w:rPr>
          <w:b w:val="0"/>
          <w:sz w:val="24"/>
          <w:szCs w:val="24"/>
        </w:rPr>
        <w:t>DoH</w:t>
      </w:r>
      <w:proofErr w:type="spellEnd"/>
      <w:r w:rsidRPr="009E3518">
        <w:rPr>
          <w:b w:val="0"/>
          <w:sz w:val="24"/>
          <w:szCs w:val="24"/>
        </w:rPr>
        <w:t xml:space="preserve"> makes no warranties or representations as to accuracy or completeness of information contained in this report. To the fullest extent permitted by law, neither the </w:t>
      </w:r>
      <w:proofErr w:type="spellStart"/>
      <w:r w:rsidRPr="009E3518">
        <w:rPr>
          <w:b w:val="0"/>
          <w:sz w:val="24"/>
          <w:szCs w:val="24"/>
        </w:rPr>
        <w:t>DoH</w:t>
      </w:r>
      <w:proofErr w:type="spellEnd"/>
      <w:r w:rsidRPr="009E3518">
        <w:rPr>
          <w:b w:val="0"/>
          <w:sz w:val="24"/>
          <w:szCs w:val="24"/>
        </w:rPr>
        <w:t xml:space="preserve"> nor any </w:t>
      </w:r>
      <w:proofErr w:type="spellStart"/>
      <w:r w:rsidRPr="009E3518">
        <w:rPr>
          <w:b w:val="0"/>
          <w:sz w:val="24"/>
          <w:szCs w:val="24"/>
        </w:rPr>
        <w:t>DoH</w:t>
      </w:r>
      <w:proofErr w:type="spellEnd"/>
      <w:r w:rsidRPr="009E3518">
        <w:rPr>
          <w:b w:val="0"/>
          <w:sz w:val="24"/>
          <w:szCs w:val="24"/>
        </w:rPr>
        <w:t xml:space="preserve">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14:paraId="71482B5A" w14:textId="77777777" w:rsidR="00BF1970" w:rsidRDefault="00BF1970">
      <w:pPr>
        <w:spacing w:line="276" w:lineRule="auto"/>
        <w:rPr>
          <w:b/>
          <w:sz w:val="32"/>
          <w:szCs w:val="32"/>
        </w:rPr>
      </w:pPr>
      <w:r>
        <w:rPr>
          <w:b/>
          <w:sz w:val="32"/>
          <w:szCs w:val="32"/>
        </w:rPr>
        <w:br w:type="page"/>
      </w:r>
    </w:p>
    <w:p w14:paraId="5C8ACEEC" w14:textId="44EDC916" w:rsidR="00562F2F" w:rsidRPr="00F739A6" w:rsidRDefault="00562F2F" w:rsidP="00562F2F">
      <w:pPr>
        <w:spacing w:line="276" w:lineRule="auto"/>
        <w:rPr>
          <w:b/>
          <w:sz w:val="32"/>
          <w:szCs w:val="32"/>
        </w:rPr>
      </w:pPr>
      <w:r w:rsidRPr="00F739A6">
        <w:rPr>
          <w:b/>
          <w:sz w:val="32"/>
          <w:szCs w:val="32"/>
        </w:rPr>
        <w:lastRenderedPageBreak/>
        <w:t>Appendix A</w:t>
      </w:r>
    </w:p>
    <w:p w14:paraId="54311EF5" w14:textId="4B13029E" w:rsidR="00562F2F" w:rsidRPr="00562F2F" w:rsidRDefault="00562F2F" w:rsidP="00562F2F">
      <w:pPr>
        <w:spacing w:after="0" w:line="276" w:lineRule="auto"/>
        <w:rPr>
          <w:b/>
        </w:rPr>
      </w:pPr>
      <w:r w:rsidRPr="00562F2F">
        <w:rPr>
          <w:b/>
        </w:rPr>
        <w:t xml:space="preserve">Table </w:t>
      </w:r>
      <w:r>
        <w:rPr>
          <w:b/>
        </w:rPr>
        <w:t>A.1</w:t>
      </w:r>
      <w:r w:rsidRPr="00562F2F">
        <w:rPr>
          <w:b/>
        </w:rPr>
        <w:t xml:space="preserve">: R/PBS restriction codes for classical androgen deficiencies </w:t>
      </w:r>
    </w:p>
    <w:tbl>
      <w:tblPr>
        <w:tblStyle w:val="TableGrid"/>
        <w:tblW w:w="0" w:type="auto"/>
        <w:tblLook w:val="04A0" w:firstRow="1" w:lastRow="0" w:firstColumn="1" w:lastColumn="0" w:noHBand="0" w:noVBand="1"/>
        <w:tblCaption w:val="R/PBS restriction codes for classical androgen deficiencies"/>
        <w:tblDescription w:val="R/PBS restriction codes for classical androgen deficiencies"/>
      </w:tblPr>
      <w:tblGrid>
        <w:gridCol w:w="1526"/>
        <w:gridCol w:w="4252"/>
        <w:gridCol w:w="1701"/>
        <w:gridCol w:w="1694"/>
      </w:tblGrid>
      <w:tr w:rsidR="00562F2F" w:rsidRPr="00562F2F" w14:paraId="6C9A8647" w14:textId="77777777" w:rsidTr="00E12E3C">
        <w:trPr>
          <w:tblHeader/>
        </w:trPr>
        <w:tc>
          <w:tcPr>
            <w:tcW w:w="1526" w:type="dxa"/>
            <w:shd w:val="clear" w:color="auto" w:fill="BFBFBF" w:themeFill="background1" w:themeFillShade="BF"/>
          </w:tcPr>
          <w:p w14:paraId="7B7D7411" w14:textId="77777777" w:rsidR="00562F2F" w:rsidRPr="00562F2F" w:rsidRDefault="00562F2F" w:rsidP="00562F2F">
            <w:pPr>
              <w:spacing w:line="276" w:lineRule="auto"/>
              <w:rPr>
                <w:b/>
                <w:sz w:val="20"/>
                <w:szCs w:val="20"/>
              </w:rPr>
            </w:pPr>
            <w:r w:rsidRPr="00562F2F">
              <w:rPr>
                <w:b/>
                <w:sz w:val="20"/>
                <w:szCs w:val="20"/>
              </w:rPr>
              <w:t>Restriction code</w:t>
            </w:r>
          </w:p>
        </w:tc>
        <w:tc>
          <w:tcPr>
            <w:tcW w:w="4252" w:type="dxa"/>
            <w:shd w:val="clear" w:color="auto" w:fill="BFBFBF" w:themeFill="background1" w:themeFillShade="BF"/>
          </w:tcPr>
          <w:p w14:paraId="16DAB2EE" w14:textId="77777777" w:rsidR="00562F2F" w:rsidRPr="00562F2F" w:rsidRDefault="00562F2F" w:rsidP="00562F2F">
            <w:pPr>
              <w:spacing w:line="276" w:lineRule="auto"/>
              <w:rPr>
                <w:b/>
                <w:sz w:val="20"/>
                <w:szCs w:val="20"/>
              </w:rPr>
            </w:pPr>
            <w:r w:rsidRPr="00562F2F">
              <w:rPr>
                <w:b/>
                <w:sz w:val="20"/>
                <w:szCs w:val="20"/>
              </w:rPr>
              <w:t xml:space="preserve">Restriction </w:t>
            </w:r>
          </w:p>
        </w:tc>
        <w:tc>
          <w:tcPr>
            <w:tcW w:w="1701" w:type="dxa"/>
            <w:shd w:val="clear" w:color="auto" w:fill="BFBFBF" w:themeFill="background1" w:themeFillShade="BF"/>
            <w:vAlign w:val="center"/>
          </w:tcPr>
          <w:p w14:paraId="5F0F0696" w14:textId="77777777" w:rsidR="00562F2F" w:rsidRPr="00562F2F" w:rsidRDefault="00562F2F" w:rsidP="00562F2F">
            <w:pPr>
              <w:spacing w:line="276" w:lineRule="auto"/>
              <w:rPr>
                <w:b/>
                <w:sz w:val="20"/>
                <w:szCs w:val="20"/>
              </w:rPr>
            </w:pPr>
            <w:r w:rsidRPr="00562F2F">
              <w:rPr>
                <w:b/>
                <w:sz w:val="20"/>
                <w:szCs w:val="20"/>
              </w:rPr>
              <w:t>Date onto PBS</w:t>
            </w:r>
          </w:p>
        </w:tc>
        <w:tc>
          <w:tcPr>
            <w:tcW w:w="1694" w:type="dxa"/>
            <w:shd w:val="clear" w:color="auto" w:fill="BFBFBF" w:themeFill="background1" w:themeFillShade="BF"/>
            <w:vAlign w:val="center"/>
          </w:tcPr>
          <w:p w14:paraId="5E7C9630" w14:textId="77777777" w:rsidR="00562F2F" w:rsidRPr="00562F2F" w:rsidRDefault="00562F2F" w:rsidP="00562F2F">
            <w:pPr>
              <w:spacing w:line="276" w:lineRule="auto"/>
              <w:rPr>
                <w:b/>
                <w:sz w:val="20"/>
                <w:szCs w:val="20"/>
              </w:rPr>
            </w:pPr>
            <w:r w:rsidRPr="00562F2F">
              <w:rPr>
                <w:b/>
                <w:sz w:val="20"/>
                <w:szCs w:val="20"/>
              </w:rPr>
              <w:t>Date off PBS</w:t>
            </w:r>
          </w:p>
        </w:tc>
      </w:tr>
      <w:tr w:rsidR="00562F2F" w:rsidRPr="00562F2F" w14:paraId="58CB255E" w14:textId="77777777" w:rsidTr="00B4010D">
        <w:tc>
          <w:tcPr>
            <w:tcW w:w="1526" w:type="dxa"/>
          </w:tcPr>
          <w:p w14:paraId="7F1E3FA2" w14:textId="77777777" w:rsidR="00562F2F" w:rsidRPr="00562F2F" w:rsidRDefault="00562F2F" w:rsidP="00562F2F">
            <w:pPr>
              <w:spacing w:line="276" w:lineRule="auto"/>
              <w:rPr>
                <w:sz w:val="20"/>
                <w:szCs w:val="20"/>
              </w:rPr>
            </w:pPr>
            <w:r w:rsidRPr="00562F2F">
              <w:rPr>
                <w:sz w:val="20"/>
                <w:szCs w:val="20"/>
              </w:rPr>
              <w:t>1226</w:t>
            </w:r>
          </w:p>
        </w:tc>
        <w:tc>
          <w:tcPr>
            <w:tcW w:w="4252" w:type="dxa"/>
          </w:tcPr>
          <w:p w14:paraId="467C34FE" w14:textId="77777777" w:rsidR="00562F2F" w:rsidRPr="00562F2F" w:rsidRDefault="00562F2F" w:rsidP="00562F2F">
            <w:pPr>
              <w:spacing w:line="276" w:lineRule="auto"/>
              <w:rPr>
                <w:sz w:val="20"/>
                <w:szCs w:val="20"/>
              </w:rPr>
            </w:pPr>
            <w:r w:rsidRPr="00562F2F">
              <w:rPr>
                <w:sz w:val="20"/>
                <w:szCs w:val="20"/>
              </w:rPr>
              <w:t>Micropenis, pubertal induction, or constitutional delay of growth or puberty, in males under 18 years of age</w:t>
            </w:r>
          </w:p>
        </w:tc>
        <w:tc>
          <w:tcPr>
            <w:tcW w:w="1701" w:type="dxa"/>
            <w:vAlign w:val="center"/>
          </w:tcPr>
          <w:p w14:paraId="2609D9F4" w14:textId="77777777" w:rsidR="00562F2F" w:rsidRPr="00562F2F" w:rsidRDefault="00562F2F" w:rsidP="00562F2F">
            <w:pPr>
              <w:spacing w:line="276" w:lineRule="auto"/>
              <w:rPr>
                <w:sz w:val="20"/>
                <w:szCs w:val="20"/>
              </w:rPr>
            </w:pPr>
            <w:r w:rsidRPr="00562F2F">
              <w:rPr>
                <w:sz w:val="20"/>
                <w:szCs w:val="20"/>
              </w:rPr>
              <w:t>1 May 2000</w:t>
            </w:r>
          </w:p>
        </w:tc>
        <w:tc>
          <w:tcPr>
            <w:tcW w:w="1694" w:type="dxa"/>
            <w:vAlign w:val="center"/>
          </w:tcPr>
          <w:p w14:paraId="62FB2BC6" w14:textId="77777777" w:rsidR="00562F2F" w:rsidRPr="00562F2F" w:rsidRDefault="00562F2F" w:rsidP="00562F2F">
            <w:pPr>
              <w:spacing w:line="276" w:lineRule="auto"/>
              <w:rPr>
                <w:sz w:val="20"/>
                <w:szCs w:val="20"/>
              </w:rPr>
            </w:pPr>
            <w:r w:rsidRPr="00562F2F">
              <w:rPr>
                <w:sz w:val="20"/>
                <w:szCs w:val="20"/>
              </w:rPr>
              <w:t>28 February 2015</w:t>
            </w:r>
          </w:p>
        </w:tc>
      </w:tr>
      <w:tr w:rsidR="00562F2F" w:rsidRPr="00562F2F" w14:paraId="0685C2B7" w14:textId="77777777" w:rsidTr="00B4010D">
        <w:tc>
          <w:tcPr>
            <w:tcW w:w="1526" w:type="dxa"/>
          </w:tcPr>
          <w:p w14:paraId="04656A35" w14:textId="77777777" w:rsidR="00562F2F" w:rsidRPr="00562F2F" w:rsidRDefault="00562F2F" w:rsidP="00562F2F">
            <w:pPr>
              <w:spacing w:line="276" w:lineRule="auto"/>
              <w:rPr>
                <w:sz w:val="20"/>
                <w:szCs w:val="20"/>
              </w:rPr>
            </w:pPr>
            <w:r w:rsidRPr="00562F2F">
              <w:rPr>
                <w:sz w:val="20"/>
                <w:szCs w:val="20"/>
              </w:rPr>
              <w:t>4816</w:t>
            </w:r>
          </w:p>
        </w:tc>
        <w:tc>
          <w:tcPr>
            <w:tcW w:w="4252" w:type="dxa"/>
          </w:tcPr>
          <w:p w14:paraId="41A82BAD" w14:textId="77777777" w:rsidR="00562F2F" w:rsidRPr="00562F2F" w:rsidRDefault="00562F2F" w:rsidP="00562F2F">
            <w:pPr>
              <w:spacing w:line="276" w:lineRule="auto"/>
              <w:rPr>
                <w:sz w:val="20"/>
                <w:szCs w:val="20"/>
              </w:rPr>
            </w:pPr>
            <w:r w:rsidRPr="00562F2F">
              <w:rPr>
                <w:sz w:val="20"/>
                <w:szCs w:val="20"/>
              </w:rPr>
              <w:t xml:space="preserve">Constitutional delay of growth or </w:t>
            </w:r>
            <w:proofErr w:type="gramStart"/>
            <w:r w:rsidRPr="00562F2F">
              <w:rPr>
                <w:sz w:val="20"/>
                <w:szCs w:val="20"/>
              </w:rPr>
              <w:t>puberty  Population</w:t>
            </w:r>
            <w:proofErr w:type="gramEnd"/>
            <w:r w:rsidRPr="00562F2F">
              <w:rPr>
                <w:sz w:val="20"/>
                <w:szCs w:val="20"/>
              </w:rPr>
              <w:t xml:space="preserve"> criteria:  * Patient must be male,  AND  * Patient must be under 18 years of age.</w:t>
            </w:r>
          </w:p>
        </w:tc>
        <w:tc>
          <w:tcPr>
            <w:tcW w:w="1701" w:type="dxa"/>
            <w:vMerge w:val="restart"/>
            <w:vAlign w:val="center"/>
          </w:tcPr>
          <w:p w14:paraId="6BA05D11" w14:textId="77777777" w:rsidR="00562F2F" w:rsidRPr="00562F2F" w:rsidRDefault="00562F2F" w:rsidP="00562F2F">
            <w:pPr>
              <w:spacing w:line="276" w:lineRule="auto"/>
              <w:rPr>
                <w:sz w:val="20"/>
                <w:szCs w:val="20"/>
              </w:rPr>
            </w:pPr>
            <w:r w:rsidRPr="00562F2F">
              <w:rPr>
                <w:sz w:val="20"/>
                <w:szCs w:val="20"/>
              </w:rPr>
              <w:t>1 March 2015</w:t>
            </w:r>
          </w:p>
        </w:tc>
        <w:tc>
          <w:tcPr>
            <w:tcW w:w="1694" w:type="dxa"/>
            <w:vMerge w:val="restart"/>
            <w:vAlign w:val="center"/>
          </w:tcPr>
          <w:p w14:paraId="021F517C" w14:textId="77777777" w:rsidR="00562F2F" w:rsidRPr="00562F2F" w:rsidRDefault="00562F2F" w:rsidP="00562F2F">
            <w:pPr>
              <w:spacing w:line="276" w:lineRule="auto"/>
              <w:rPr>
                <w:sz w:val="20"/>
                <w:szCs w:val="20"/>
              </w:rPr>
            </w:pPr>
            <w:r w:rsidRPr="00562F2F">
              <w:rPr>
                <w:sz w:val="20"/>
                <w:szCs w:val="20"/>
              </w:rPr>
              <w:t>31 March 2015</w:t>
            </w:r>
          </w:p>
        </w:tc>
      </w:tr>
      <w:tr w:rsidR="00562F2F" w:rsidRPr="00562F2F" w14:paraId="3D779EFA" w14:textId="77777777" w:rsidTr="00B4010D">
        <w:tc>
          <w:tcPr>
            <w:tcW w:w="1526" w:type="dxa"/>
          </w:tcPr>
          <w:p w14:paraId="548B9097" w14:textId="77777777" w:rsidR="00562F2F" w:rsidRPr="00562F2F" w:rsidRDefault="00562F2F" w:rsidP="00562F2F">
            <w:pPr>
              <w:spacing w:line="276" w:lineRule="auto"/>
              <w:rPr>
                <w:sz w:val="20"/>
                <w:szCs w:val="20"/>
              </w:rPr>
            </w:pPr>
            <w:r w:rsidRPr="00562F2F">
              <w:rPr>
                <w:sz w:val="20"/>
                <w:szCs w:val="20"/>
              </w:rPr>
              <w:t>4818</w:t>
            </w:r>
          </w:p>
        </w:tc>
        <w:tc>
          <w:tcPr>
            <w:tcW w:w="4252" w:type="dxa"/>
          </w:tcPr>
          <w:p w14:paraId="0936E4D8" w14:textId="77777777" w:rsidR="00562F2F" w:rsidRPr="00562F2F" w:rsidRDefault="00562F2F" w:rsidP="00562F2F">
            <w:pPr>
              <w:spacing w:line="276" w:lineRule="auto"/>
              <w:rPr>
                <w:sz w:val="20"/>
                <w:szCs w:val="20"/>
              </w:rPr>
            </w:pPr>
            <w:proofErr w:type="gramStart"/>
            <w:r w:rsidRPr="00562F2F">
              <w:rPr>
                <w:sz w:val="20"/>
                <w:szCs w:val="20"/>
              </w:rPr>
              <w:t>Micropenis  Population</w:t>
            </w:r>
            <w:proofErr w:type="gramEnd"/>
            <w:r w:rsidRPr="00562F2F">
              <w:rPr>
                <w:sz w:val="20"/>
                <w:szCs w:val="20"/>
              </w:rPr>
              <w:t xml:space="preserve"> criteria:  * Patient must be male,  AND  * Patient must be under 18 years of age.</w:t>
            </w:r>
          </w:p>
        </w:tc>
        <w:tc>
          <w:tcPr>
            <w:tcW w:w="1701" w:type="dxa"/>
            <w:vMerge/>
            <w:vAlign w:val="center"/>
          </w:tcPr>
          <w:p w14:paraId="19F5E533" w14:textId="77777777" w:rsidR="00562F2F" w:rsidRPr="00562F2F" w:rsidRDefault="00562F2F" w:rsidP="00562F2F">
            <w:pPr>
              <w:spacing w:line="276" w:lineRule="auto"/>
              <w:rPr>
                <w:sz w:val="20"/>
                <w:szCs w:val="20"/>
              </w:rPr>
            </w:pPr>
          </w:p>
        </w:tc>
        <w:tc>
          <w:tcPr>
            <w:tcW w:w="1694" w:type="dxa"/>
            <w:vMerge/>
            <w:vAlign w:val="center"/>
          </w:tcPr>
          <w:p w14:paraId="096687E2" w14:textId="77777777" w:rsidR="00562F2F" w:rsidRPr="00562F2F" w:rsidRDefault="00562F2F" w:rsidP="00562F2F">
            <w:pPr>
              <w:spacing w:line="276" w:lineRule="auto"/>
              <w:rPr>
                <w:sz w:val="20"/>
                <w:szCs w:val="20"/>
              </w:rPr>
            </w:pPr>
          </w:p>
        </w:tc>
      </w:tr>
      <w:tr w:rsidR="00562F2F" w:rsidRPr="00562F2F" w14:paraId="2974F707" w14:textId="77777777" w:rsidTr="00B4010D">
        <w:tc>
          <w:tcPr>
            <w:tcW w:w="1526" w:type="dxa"/>
          </w:tcPr>
          <w:p w14:paraId="311AA74D" w14:textId="77777777" w:rsidR="00562F2F" w:rsidRPr="00562F2F" w:rsidRDefault="00562F2F" w:rsidP="00562F2F">
            <w:pPr>
              <w:spacing w:line="276" w:lineRule="auto"/>
              <w:rPr>
                <w:sz w:val="20"/>
                <w:szCs w:val="20"/>
              </w:rPr>
            </w:pPr>
            <w:r w:rsidRPr="00562F2F">
              <w:rPr>
                <w:sz w:val="20"/>
                <w:szCs w:val="20"/>
              </w:rPr>
              <w:t>4819</w:t>
            </w:r>
          </w:p>
        </w:tc>
        <w:tc>
          <w:tcPr>
            <w:tcW w:w="4252" w:type="dxa"/>
          </w:tcPr>
          <w:p w14:paraId="6690FD93" w14:textId="77777777" w:rsidR="00562F2F" w:rsidRPr="00562F2F" w:rsidRDefault="00562F2F" w:rsidP="00562F2F">
            <w:pPr>
              <w:spacing w:line="276" w:lineRule="auto"/>
              <w:rPr>
                <w:sz w:val="20"/>
                <w:szCs w:val="20"/>
              </w:rPr>
            </w:pPr>
            <w:r w:rsidRPr="00562F2F">
              <w:rPr>
                <w:sz w:val="20"/>
                <w:szCs w:val="20"/>
              </w:rPr>
              <w:t xml:space="preserve">Pubertal </w:t>
            </w:r>
            <w:proofErr w:type="gramStart"/>
            <w:r w:rsidRPr="00562F2F">
              <w:rPr>
                <w:sz w:val="20"/>
                <w:szCs w:val="20"/>
              </w:rPr>
              <w:t>induction  Population</w:t>
            </w:r>
            <w:proofErr w:type="gramEnd"/>
            <w:r w:rsidRPr="00562F2F">
              <w:rPr>
                <w:sz w:val="20"/>
                <w:szCs w:val="20"/>
              </w:rPr>
              <w:t xml:space="preserve"> criteria:  * Patient must be male,  AND  * Patient must be under 18 years of age.</w:t>
            </w:r>
          </w:p>
        </w:tc>
        <w:tc>
          <w:tcPr>
            <w:tcW w:w="1701" w:type="dxa"/>
            <w:vMerge/>
            <w:vAlign w:val="center"/>
          </w:tcPr>
          <w:p w14:paraId="635CF0FA" w14:textId="77777777" w:rsidR="00562F2F" w:rsidRPr="00562F2F" w:rsidRDefault="00562F2F" w:rsidP="00562F2F">
            <w:pPr>
              <w:spacing w:line="276" w:lineRule="auto"/>
              <w:rPr>
                <w:sz w:val="20"/>
                <w:szCs w:val="20"/>
              </w:rPr>
            </w:pPr>
          </w:p>
        </w:tc>
        <w:tc>
          <w:tcPr>
            <w:tcW w:w="1694" w:type="dxa"/>
            <w:vMerge/>
            <w:vAlign w:val="center"/>
          </w:tcPr>
          <w:p w14:paraId="7F959B55" w14:textId="77777777" w:rsidR="00562F2F" w:rsidRPr="00562F2F" w:rsidRDefault="00562F2F" w:rsidP="00562F2F">
            <w:pPr>
              <w:spacing w:line="276" w:lineRule="auto"/>
              <w:rPr>
                <w:sz w:val="20"/>
                <w:szCs w:val="20"/>
              </w:rPr>
            </w:pPr>
          </w:p>
        </w:tc>
      </w:tr>
      <w:tr w:rsidR="00562F2F" w:rsidRPr="00562F2F" w14:paraId="469E1FBC" w14:textId="77777777" w:rsidTr="00B4010D">
        <w:tc>
          <w:tcPr>
            <w:tcW w:w="1526" w:type="dxa"/>
          </w:tcPr>
          <w:p w14:paraId="073597A5" w14:textId="77777777" w:rsidR="00562F2F" w:rsidRPr="00562F2F" w:rsidRDefault="00562F2F" w:rsidP="00562F2F">
            <w:pPr>
              <w:spacing w:line="276" w:lineRule="auto"/>
              <w:rPr>
                <w:sz w:val="20"/>
                <w:szCs w:val="20"/>
              </w:rPr>
            </w:pPr>
            <w:r w:rsidRPr="00562F2F">
              <w:rPr>
                <w:sz w:val="20"/>
                <w:szCs w:val="20"/>
              </w:rPr>
              <w:t>4867</w:t>
            </w:r>
          </w:p>
        </w:tc>
        <w:tc>
          <w:tcPr>
            <w:tcW w:w="4252" w:type="dxa"/>
          </w:tcPr>
          <w:p w14:paraId="2E074F16" w14:textId="77777777" w:rsidR="00562F2F" w:rsidRPr="00562F2F" w:rsidRDefault="00562F2F" w:rsidP="00562F2F">
            <w:pPr>
              <w:spacing w:line="276" w:lineRule="auto"/>
              <w:rPr>
                <w:sz w:val="20"/>
                <w:szCs w:val="20"/>
              </w:rPr>
            </w:pPr>
            <w:proofErr w:type="gramStart"/>
            <w:r w:rsidRPr="00562F2F">
              <w:rPr>
                <w:sz w:val="20"/>
                <w:szCs w:val="20"/>
              </w:rPr>
              <w:t>Micropenis  Population</w:t>
            </w:r>
            <w:proofErr w:type="gramEnd"/>
            <w:r w:rsidRPr="00562F2F">
              <w:rPr>
                <w:sz w:val="20"/>
                <w:szCs w:val="20"/>
              </w:rPr>
              <w:t xml:space="preserve"> criteria:  * Patient must be male,  AND  * Patient must be under 18 years of age.  Treatment criteria:  * Must be treated by a specialist paediatric endocrinologist, specialist urologist, specialist endocrinologist or a registered member of the Australasian Chapter of Sexual Health Medicine; or in consultation with one of these specialists; or have an appointment to be assessed by one of these specialists. The name of the specialist must be included in the authority application.</w:t>
            </w:r>
          </w:p>
        </w:tc>
        <w:tc>
          <w:tcPr>
            <w:tcW w:w="1701" w:type="dxa"/>
            <w:vMerge w:val="restart"/>
            <w:vAlign w:val="center"/>
          </w:tcPr>
          <w:p w14:paraId="6971D708" w14:textId="77777777" w:rsidR="00562F2F" w:rsidRPr="00562F2F" w:rsidRDefault="00562F2F" w:rsidP="00562F2F">
            <w:pPr>
              <w:spacing w:line="276" w:lineRule="auto"/>
              <w:rPr>
                <w:sz w:val="20"/>
                <w:szCs w:val="20"/>
              </w:rPr>
            </w:pPr>
            <w:r w:rsidRPr="00562F2F">
              <w:rPr>
                <w:sz w:val="20"/>
                <w:szCs w:val="20"/>
              </w:rPr>
              <w:t>1 April 2015</w:t>
            </w:r>
          </w:p>
        </w:tc>
        <w:tc>
          <w:tcPr>
            <w:tcW w:w="1694" w:type="dxa"/>
            <w:vMerge w:val="restart"/>
            <w:vAlign w:val="center"/>
          </w:tcPr>
          <w:p w14:paraId="4F533827" w14:textId="77777777" w:rsidR="00562F2F" w:rsidRPr="00562F2F" w:rsidRDefault="00562F2F" w:rsidP="00562F2F">
            <w:pPr>
              <w:spacing w:line="276" w:lineRule="auto"/>
              <w:rPr>
                <w:sz w:val="20"/>
                <w:szCs w:val="20"/>
              </w:rPr>
            </w:pPr>
            <w:r w:rsidRPr="00562F2F">
              <w:rPr>
                <w:sz w:val="20"/>
                <w:szCs w:val="20"/>
              </w:rPr>
              <w:t>31 July 2015</w:t>
            </w:r>
          </w:p>
        </w:tc>
      </w:tr>
      <w:tr w:rsidR="00562F2F" w:rsidRPr="00562F2F" w14:paraId="20387BBA" w14:textId="77777777" w:rsidTr="00B4010D">
        <w:tc>
          <w:tcPr>
            <w:tcW w:w="1526" w:type="dxa"/>
          </w:tcPr>
          <w:p w14:paraId="3B345AE5" w14:textId="77777777" w:rsidR="00562F2F" w:rsidRPr="00562F2F" w:rsidRDefault="00562F2F" w:rsidP="00562F2F">
            <w:pPr>
              <w:spacing w:line="276" w:lineRule="auto"/>
              <w:rPr>
                <w:sz w:val="20"/>
                <w:szCs w:val="20"/>
              </w:rPr>
            </w:pPr>
            <w:r w:rsidRPr="00562F2F">
              <w:rPr>
                <w:sz w:val="20"/>
                <w:szCs w:val="20"/>
              </w:rPr>
              <w:t>4869</w:t>
            </w:r>
          </w:p>
        </w:tc>
        <w:tc>
          <w:tcPr>
            <w:tcW w:w="4252" w:type="dxa"/>
          </w:tcPr>
          <w:p w14:paraId="628FD6BC" w14:textId="77777777" w:rsidR="00562F2F" w:rsidRPr="00562F2F" w:rsidRDefault="00562F2F" w:rsidP="00562F2F">
            <w:pPr>
              <w:spacing w:line="276" w:lineRule="auto"/>
              <w:rPr>
                <w:sz w:val="20"/>
                <w:szCs w:val="20"/>
              </w:rPr>
            </w:pPr>
            <w:r w:rsidRPr="00562F2F">
              <w:rPr>
                <w:sz w:val="20"/>
                <w:szCs w:val="20"/>
              </w:rPr>
              <w:t xml:space="preserve">Pubertal </w:t>
            </w:r>
            <w:proofErr w:type="gramStart"/>
            <w:r w:rsidRPr="00562F2F">
              <w:rPr>
                <w:sz w:val="20"/>
                <w:szCs w:val="20"/>
              </w:rPr>
              <w:t>induction  Population</w:t>
            </w:r>
            <w:proofErr w:type="gramEnd"/>
            <w:r w:rsidRPr="00562F2F">
              <w:rPr>
                <w:sz w:val="20"/>
                <w:szCs w:val="20"/>
              </w:rPr>
              <w:t xml:space="preserve"> criteria:  * Patient must be male,  AND  * Patient must be under 18 years of age.  Treatment criteria:  * Must be treated by a specialist paediatric endocrinologist, specialist urologist, specialist endocrinologist or a registered member of the Australasian Chapter of Sexual Health Medicine; or in consultation with one of these specialists; or have an appointment to be assessed by one of these specialists. The name of the specialist must be included in the authority application.</w:t>
            </w:r>
          </w:p>
        </w:tc>
        <w:tc>
          <w:tcPr>
            <w:tcW w:w="1701" w:type="dxa"/>
            <w:vMerge/>
            <w:vAlign w:val="center"/>
          </w:tcPr>
          <w:p w14:paraId="432DD871" w14:textId="77777777" w:rsidR="00562F2F" w:rsidRPr="00562F2F" w:rsidRDefault="00562F2F" w:rsidP="00562F2F">
            <w:pPr>
              <w:spacing w:line="276" w:lineRule="auto"/>
              <w:rPr>
                <w:sz w:val="20"/>
                <w:szCs w:val="20"/>
              </w:rPr>
            </w:pPr>
          </w:p>
        </w:tc>
        <w:tc>
          <w:tcPr>
            <w:tcW w:w="1694" w:type="dxa"/>
            <w:vMerge/>
            <w:vAlign w:val="center"/>
          </w:tcPr>
          <w:p w14:paraId="50D54157" w14:textId="77777777" w:rsidR="00562F2F" w:rsidRPr="00562F2F" w:rsidRDefault="00562F2F" w:rsidP="00562F2F">
            <w:pPr>
              <w:spacing w:line="276" w:lineRule="auto"/>
              <w:rPr>
                <w:sz w:val="20"/>
                <w:szCs w:val="20"/>
              </w:rPr>
            </w:pPr>
          </w:p>
        </w:tc>
      </w:tr>
      <w:tr w:rsidR="00562F2F" w:rsidRPr="00562F2F" w14:paraId="1E501F71" w14:textId="77777777" w:rsidTr="00B4010D">
        <w:tc>
          <w:tcPr>
            <w:tcW w:w="1526" w:type="dxa"/>
          </w:tcPr>
          <w:p w14:paraId="31EF4F3C" w14:textId="77777777" w:rsidR="00562F2F" w:rsidRPr="00562F2F" w:rsidRDefault="00562F2F" w:rsidP="00562F2F">
            <w:pPr>
              <w:spacing w:line="276" w:lineRule="auto"/>
              <w:rPr>
                <w:sz w:val="20"/>
                <w:szCs w:val="20"/>
              </w:rPr>
            </w:pPr>
            <w:r w:rsidRPr="00562F2F">
              <w:rPr>
                <w:sz w:val="20"/>
                <w:szCs w:val="20"/>
              </w:rPr>
              <w:t>4870</w:t>
            </w:r>
          </w:p>
        </w:tc>
        <w:tc>
          <w:tcPr>
            <w:tcW w:w="4252" w:type="dxa"/>
          </w:tcPr>
          <w:p w14:paraId="44BF8145" w14:textId="77777777" w:rsidR="00562F2F" w:rsidRPr="00562F2F" w:rsidRDefault="00562F2F" w:rsidP="00562F2F">
            <w:pPr>
              <w:spacing w:line="276" w:lineRule="auto"/>
              <w:rPr>
                <w:sz w:val="20"/>
                <w:szCs w:val="20"/>
              </w:rPr>
            </w:pPr>
            <w:r w:rsidRPr="00562F2F">
              <w:rPr>
                <w:sz w:val="20"/>
                <w:szCs w:val="20"/>
              </w:rPr>
              <w:t xml:space="preserve">Constitutional delay of growth or </w:t>
            </w:r>
            <w:proofErr w:type="gramStart"/>
            <w:r w:rsidRPr="00562F2F">
              <w:rPr>
                <w:sz w:val="20"/>
                <w:szCs w:val="20"/>
              </w:rPr>
              <w:t>puberty  Population</w:t>
            </w:r>
            <w:proofErr w:type="gramEnd"/>
            <w:r w:rsidRPr="00562F2F">
              <w:rPr>
                <w:sz w:val="20"/>
                <w:szCs w:val="20"/>
              </w:rPr>
              <w:t xml:space="preserve"> criteria:  * Patient must be male,  AND  * Patient must be under 18 years of age.  Treatment criteria:  * Must be treated by a specialist paediatric endocrinologist, specialist urologist, specialist endocrinologist or a registered member of the Australasian Chapter of Sexual Health Medicine; or in consultation </w:t>
            </w:r>
            <w:r w:rsidRPr="00562F2F">
              <w:rPr>
                <w:sz w:val="20"/>
                <w:szCs w:val="20"/>
              </w:rPr>
              <w:lastRenderedPageBreak/>
              <w:t>with one of these specialists; or have an appointment to be assessed by one of these specialists. The name of the specialist must be included in the authority application.</w:t>
            </w:r>
          </w:p>
        </w:tc>
        <w:tc>
          <w:tcPr>
            <w:tcW w:w="1701" w:type="dxa"/>
            <w:vMerge/>
            <w:vAlign w:val="center"/>
          </w:tcPr>
          <w:p w14:paraId="01CF110E" w14:textId="77777777" w:rsidR="00562F2F" w:rsidRPr="00562F2F" w:rsidRDefault="00562F2F" w:rsidP="00562F2F">
            <w:pPr>
              <w:spacing w:line="276" w:lineRule="auto"/>
              <w:rPr>
                <w:sz w:val="20"/>
                <w:szCs w:val="20"/>
              </w:rPr>
            </w:pPr>
          </w:p>
        </w:tc>
        <w:tc>
          <w:tcPr>
            <w:tcW w:w="1694" w:type="dxa"/>
            <w:vMerge/>
            <w:vAlign w:val="center"/>
          </w:tcPr>
          <w:p w14:paraId="7FCE0985" w14:textId="77777777" w:rsidR="00562F2F" w:rsidRPr="00562F2F" w:rsidRDefault="00562F2F" w:rsidP="00562F2F">
            <w:pPr>
              <w:spacing w:line="276" w:lineRule="auto"/>
              <w:rPr>
                <w:sz w:val="20"/>
                <w:szCs w:val="20"/>
              </w:rPr>
            </w:pPr>
          </w:p>
        </w:tc>
      </w:tr>
      <w:tr w:rsidR="00562F2F" w:rsidRPr="00562F2F" w14:paraId="481E06C9" w14:textId="77777777" w:rsidTr="00B4010D">
        <w:tc>
          <w:tcPr>
            <w:tcW w:w="1526" w:type="dxa"/>
          </w:tcPr>
          <w:p w14:paraId="02D300A8" w14:textId="77777777" w:rsidR="00562F2F" w:rsidRPr="00562F2F" w:rsidRDefault="00562F2F" w:rsidP="00562F2F">
            <w:pPr>
              <w:spacing w:line="276" w:lineRule="auto"/>
              <w:rPr>
                <w:sz w:val="20"/>
                <w:szCs w:val="20"/>
              </w:rPr>
            </w:pPr>
            <w:r w:rsidRPr="00562F2F">
              <w:rPr>
                <w:sz w:val="20"/>
                <w:szCs w:val="20"/>
              </w:rPr>
              <w:lastRenderedPageBreak/>
              <w:t>5449</w:t>
            </w:r>
          </w:p>
        </w:tc>
        <w:tc>
          <w:tcPr>
            <w:tcW w:w="4252" w:type="dxa"/>
          </w:tcPr>
          <w:p w14:paraId="73CCCEE5" w14:textId="77777777" w:rsidR="00562F2F" w:rsidRPr="00562F2F" w:rsidRDefault="00562F2F" w:rsidP="00562F2F">
            <w:pPr>
              <w:spacing w:line="276" w:lineRule="auto"/>
              <w:rPr>
                <w:sz w:val="20"/>
                <w:szCs w:val="20"/>
              </w:rPr>
            </w:pPr>
            <w:proofErr w:type="gramStart"/>
            <w:r w:rsidRPr="00562F2F">
              <w:rPr>
                <w:sz w:val="20"/>
                <w:szCs w:val="20"/>
              </w:rPr>
              <w:t>Micropenis  Population</w:t>
            </w:r>
            <w:proofErr w:type="gramEnd"/>
            <w:r w:rsidRPr="00562F2F">
              <w:rPr>
                <w:sz w:val="20"/>
                <w:szCs w:val="20"/>
              </w:rPr>
              <w:t xml:space="preserve"> criteria:  * Patient must be under 18 years of age.  Treatment criteria:  * Must be treated by a specialist paediatric endocrinologist, specialist urologist, specialist endocrinologist or a registered member of the Australasian Chapter of Sexual Health Medicine; or in consultation with one of these specialists; or have an appointment to be assessed by one of these specialists. The name of the specialist must be included in the authority application.</w:t>
            </w:r>
          </w:p>
        </w:tc>
        <w:tc>
          <w:tcPr>
            <w:tcW w:w="1701" w:type="dxa"/>
            <w:vMerge w:val="restart"/>
            <w:vAlign w:val="center"/>
          </w:tcPr>
          <w:p w14:paraId="132A2B4C" w14:textId="77777777" w:rsidR="00562F2F" w:rsidRPr="00562F2F" w:rsidRDefault="00562F2F" w:rsidP="00562F2F">
            <w:pPr>
              <w:spacing w:line="276" w:lineRule="auto"/>
              <w:rPr>
                <w:sz w:val="20"/>
                <w:szCs w:val="20"/>
              </w:rPr>
            </w:pPr>
            <w:r w:rsidRPr="00562F2F">
              <w:rPr>
                <w:sz w:val="20"/>
                <w:szCs w:val="20"/>
              </w:rPr>
              <w:t>1 October 2015</w:t>
            </w:r>
          </w:p>
        </w:tc>
        <w:tc>
          <w:tcPr>
            <w:tcW w:w="1694" w:type="dxa"/>
            <w:vMerge w:val="restart"/>
            <w:vAlign w:val="center"/>
          </w:tcPr>
          <w:p w14:paraId="53CBAFA4" w14:textId="77777777" w:rsidR="00562F2F" w:rsidRPr="00562F2F" w:rsidRDefault="00562F2F" w:rsidP="00562F2F">
            <w:pPr>
              <w:spacing w:line="276" w:lineRule="auto"/>
              <w:rPr>
                <w:sz w:val="20"/>
                <w:szCs w:val="20"/>
              </w:rPr>
            </w:pPr>
            <w:r w:rsidRPr="00562F2F">
              <w:rPr>
                <w:sz w:val="20"/>
                <w:szCs w:val="20"/>
              </w:rPr>
              <w:t>-</w:t>
            </w:r>
          </w:p>
        </w:tc>
      </w:tr>
      <w:tr w:rsidR="00562F2F" w:rsidRPr="00562F2F" w14:paraId="271F231D" w14:textId="77777777" w:rsidTr="00B4010D">
        <w:tc>
          <w:tcPr>
            <w:tcW w:w="1526" w:type="dxa"/>
          </w:tcPr>
          <w:p w14:paraId="42F72F8D" w14:textId="77777777" w:rsidR="00562F2F" w:rsidRPr="00562F2F" w:rsidRDefault="00562F2F" w:rsidP="00562F2F">
            <w:pPr>
              <w:spacing w:line="276" w:lineRule="auto"/>
              <w:rPr>
                <w:sz w:val="20"/>
                <w:szCs w:val="20"/>
              </w:rPr>
            </w:pPr>
            <w:r w:rsidRPr="00562F2F">
              <w:rPr>
                <w:sz w:val="20"/>
                <w:szCs w:val="20"/>
              </w:rPr>
              <w:t>5460</w:t>
            </w:r>
          </w:p>
        </w:tc>
        <w:tc>
          <w:tcPr>
            <w:tcW w:w="4252" w:type="dxa"/>
          </w:tcPr>
          <w:p w14:paraId="1FE80898" w14:textId="77777777" w:rsidR="00562F2F" w:rsidRPr="00562F2F" w:rsidRDefault="00562F2F" w:rsidP="00562F2F">
            <w:pPr>
              <w:spacing w:line="276" w:lineRule="auto"/>
              <w:rPr>
                <w:sz w:val="20"/>
                <w:szCs w:val="20"/>
              </w:rPr>
            </w:pPr>
            <w:r w:rsidRPr="00562F2F">
              <w:rPr>
                <w:sz w:val="20"/>
                <w:szCs w:val="20"/>
              </w:rPr>
              <w:t xml:space="preserve">Pubertal </w:t>
            </w:r>
            <w:proofErr w:type="gramStart"/>
            <w:r w:rsidRPr="00562F2F">
              <w:rPr>
                <w:sz w:val="20"/>
                <w:szCs w:val="20"/>
              </w:rPr>
              <w:t>induction  Population</w:t>
            </w:r>
            <w:proofErr w:type="gramEnd"/>
            <w:r w:rsidRPr="00562F2F">
              <w:rPr>
                <w:sz w:val="20"/>
                <w:szCs w:val="20"/>
              </w:rPr>
              <w:t xml:space="preserve"> criteria:  * Patient must be under 18 years of age.  Treatment criteria:  * Must be treated by a specialist paediatric endocrinologist, specialist urologist, specialist endocrinologist or a registered member of the Australasian Chapter of Sexual Health Medicine; or in consultation with one of these specialists; or have an appointment to be assessed by one of these specialists. The name of the specialist must be included in the authority application.</w:t>
            </w:r>
          </w:p>
        </w:tc>
        <w:tc>
          <w:tcPr>
            <w:tcW w:w="1701" w:type="dxa"/>
            <w:vMerge/>
            <w:vAlign w:val="center"/>
          </w:tcPr>
          <w:p w14:paraId="239E76ED" w14:textId="77777777" w:rsidR="00562F2F" w:rsidRPr="00562F2F" w:rsidRDefault="00562F2F" w:rsidP="00562F2F">
            <w:pPr>
              <w:spacing w:line="276" w:lineRule="auto"/>
              <w:rPr>
                <w:sz w:val="20"/>
                <w:szCs w:val="20"/>
              </w:rPr>
            </w:pPr>
          </w:p>
        </w:tc>
        <w:tc>
          <w:tcPr>
            <w:tcW w:w="1694" w:type="dxa"/>
            <w:vMerge/>
            <w:vAlign w:val="center"/>
          </w:tcPr>
          <w:p w14:paraId="1145356C" w14:textId="77777777" w:rsidR="00562F2F" w:rsidRPr="00562F2F" w:rsidRDefault="00562F2F" w:rsidP="00562F2F">
            <w:pPr>
              <w:spacing w:line="276" w:lineRule="auto"/>
              <w:rPr>
                <w:sz w:val="20"/>
                <w:szCs w:val="20"/>
              </w:rPr>
            </w:pPr>
          </w:p>
        </w:tc>
      </w:tr>
      <w:tr w:rsidR="00562F2F" w:rsidRPr="00562F2F" w14:paraId="1A31FF23" w14:textId="77777777" w:rsidTr="00B4010D">
        <w:tc>
          <w:tcPr>
            <w:tcW w:w="1526" w:type="dxa"/>
          </w:tcPr>
          <w:p w14:paraId="7092CFD2" w14:textId="77777777" w:rsidR="00562F2F" w:rsidRPr="00562F2F" w:rsidRDefault="00562F2F" w:rsidP="00562F2F">
            <w:pPr>
              <w:spacing w:line="276" w:lineRule="auto"/>
              <w:rPr>
                <w:sz w:val="20"/>
                <w:szCs w:val="20"/>
              </w:rPr>
            </w:pPr>
            <w:r w:rsidRPr="00562F2F">
              <w:rPr>
                <w:sz w:val="20"/>
                <w:szCs w:val="20"/>
              </w:rPr>
              <w:t>5471</w:t>
            </w:r>
          </w:p>
        </w:tc>
        <w:tc>
          <w:tcPr>
            <w:tcW w:w="4252" w:type="dxa"/>
          </w:tcPr>
          <w:p w14:paraId="4B3BA5A6" w14:textId="77777777" w:rsidR="00562F2F" w:rsidRPr="00562F2F" w:rsidRDefault="00562F2F" w:rsidP="00562F2F">
            <w:pPr>
              <w:spacing w:line="276" w:lineRule="auto"/>
              <w:rPr>
                <w:sz w:val="20"/>
                <w:szCs w:val="20"/>
              </w:rPr>
            </w:pPr>
            <w:r w:rsidRPr="00562F2F">
              <w:rPr>
                <w:sz w:val="20"/>
                <w:szCs w:val="20"/>
              </w:rPr>
              <w:t xml:space="preserve">Constitutional delay of growth or </w:t>
            </w:r>
            <w:proofErr w:type="gramStart"/>
            <w:r w:rsidRPr="00562F2F">
              <w:rPr>
                <w:sz w:val="20"/>
                <w:szCs w:val="20"/>
              </w:rPr>
              <w:t>puberty  Population</w:t>
            </w:r>
            <w:proofErr w:type="gramEnd"/>
            <w:r w:rsidRPr="00562F2F">
              <w:rPr>
                <w:sz w:val="20"/>
                <w:szCs w:val="20"/>
              </w:rPr>
              <w:t xml:space="preserve"> criteria:  * Patient must be under 18 years of age.  Treatment criteria:  * Must be treated by a specialist paediatric endocrinologist, specialist urologist, specialist endocrinologist or a registered member of the Australasian Chapter of Sexual Health Medicine; or in consultation with one of these specialists; or have an appointment to be assessed by one of these specialists. The name of the specialist must be included in the authority application.</w:t>
            </w:r>
          </w:p>
        </w:tc>
        <w:tc>
          <w:tcPr>
            <w:tcW w:w="1701" w:type="dxa"/>
            <w:vMerge/>
            <w:vAlign w:val="center"/>
          </w:tcPr>
          <w:p w14:paraId="4A4E9C9B" w14:textId="77777777" w:rsidR="00562F2F" w:rsidRPr="00562F2F" w:rsidRDefault="00562F2F" w:rsidP="00562F2F">
            <w:pPr>
              <w:spacing w:line="276" w:lineRule="auto"/>
              <w:rPr>
                <w:sz w:val="20"/>
                <w:szCs w:val="20"/>
              </w:rPr>
            </w:pPr>
          </w:p>
        </w:tc>
        <w:tc>
          <w:tcPr>
            <w:tcW w:w="1694" w:type="dxa"/>
            <w:vMerge/>
            <w:vAlign w:val="center"/>
          </w:tcPr>
          <w:p w14:paraId="44DAD534" w14:textId="77777777" w:rsidR="00562F2F" w:rsidRPr="00562F2F" w:rsidRDefault="00562F2F" w:rsidP="00562F2F">
            <w:pPr>
              <w:spacing w:line="276" w:lineRule="auto"/>
              <w:rPr>
                <w:sz w:val="20"/>
                <w:szCs w:val="20"/>
              </w:rPr>
            </w:pPr>
          </w:p>
        </w:tc>
      </w:tr>
    </w:tbl>
    <w:p w14:paraId="648FE587" w14:textId="77777777" w:rsidR="00562F2F" w:rsidRPr="00F739A6" w:rsidRDefault="00562F2F" w:rsidP="006A7F65">
      <w:pPr>
        <w:spacing w:line="276" w:lineRule="auto"/>
        <w:rPr>
          <w:sz w:val="20"/>
          <w:szCs w:val="20"/>
        </w:rPr>
      </w:pPr>
    </w:p>
    <w:p w14:paraId="6CF44CBA" w14:textId="77777777" w:rsidR="00562F2F" w:rsidRDefault="00562F2F">
      <w:pPr>
        <w:spacing w:line="276" w:lineRule="auto"/>
        <w:rPr>
          <w:b/>
          <w:sz w:val="32"/>
          <w:szCs w:val="32"/>
        </w:rPr>
      </w:pPr>
      <w:r>
        <w:rPr>
          <w:b/>
          <w:sz w:val="32"/>
          <w:szCs w:val="32"/>
        </w:rPr>
        <w:br w:type="page"/>
      </w:r>
    </w:p>
    <w:p w14:paraId="1861742C" w14:textId="77777777" w:rsidR="00F739A6" w:rsidRDefault="00F739A6" w:rsidP="00F739A6">
      <w:pPr>
        <w:spacing w:after="0"/>
        <w:rPr>
          <w:rFonts w:ascii="Calibri" w:eastAsia="Times New Roman" w:hAnsi="Calibri" w:cs="Times New Roman"/>
          <w:b/>
          <w:sz w:val="28"/>
          <w:szCs w:val="28"/>
          <w:lang w:eastAsia="en-US"/>
        </w:rPr>
        <w:sectPr w:rsidR="00F739A6" w:rsidSect="00F04A20">
          <w:pgSz w:w="11906" w:h="16838"/>
          <w:pgMar w:top="1644" w:right="1361" w:bottom="1644" w:left="1588" w:header="709" w:footer="709" w:gutter="0"/>
          <w:cols w:space="708"/>
          <w:docGrid w:linePitch="360"/>
        </w:sectPr>
      </w:pPr>
    </w:p>
    <w:p w14:paraId="75737E47" w14:textId="78380695" w:rsidR="00F739A6" w:rsidRPr="00F739A6" w:rsidRDefault="00F739A6" w:rsidP="00F739A6">
      <w:pPr>
        <w:spacing w:after="0"/>
        <w:rPr>
          <w:rFonts w:ascii="Calibri" w:eastAsia="Times New Roman" w:hAnsi="Calibri" w:cs="Times New Roman"/>
          <w:b/>
          <w:sz w:val="32"/>
          <w:szCs w:val="32"/>
          <w:lang w:eastAsia="en-US"/>
        </w:rPr>
      </w:pPr>
      <w:r w:rsidRPr="00F739A6">
        <w:rPr>
          <w:rFonts w:ascii="Calibri" w:eastAsia="Times New Roman" w:hAnsi="Calibri" w:cs="Times New Roman"/>
          <w:b/>
          <w:sz w:val="32"/>
          <w:szCs w:val="32"/>
          <w:lang w:eastAsia="en-US"/>
        </w:rPr>
        <w:lastRenderedPageBreak/>
        <w:t>Appendix B</w:t>
      </w:r>
    </w:p>
    <w:p w14:paraId="6AC057A3" w14:textId="77777777" w:rsidR="00F739A6" w:rsidRDefault="00F739A6" w:rsidP="00F739A6">
      <w:pPr>
        <w:spacing w:after="0"/>
        <w:rPr>
          <w:rFonts w:ascii="Calibri" w:eastAsia="Times New Roman" w:hAnsi="Calibri" w:cs="Times New Roman"/>
          <w:b/>
          <w:lang w:eastAsia="en-US"/>
        </w:rPr>
      </w:pPr>
    </w:p>
    <w:p w14:paraId="3A8B928A" w14:textId="33B66B1D" w:rsidR="00F739A6" w:rsidRPr="00F739A6" w:rsidRDefault="00F739A6" w:rsidP="00F739A6">
      <w:pPr>
        <w:spacing w:after="0"/>
        <w:rPr>
          <w:rFonts w:ascii="Calibri" w:eastAsia="Times New Roman" w:hAnsi="Calibri" w:cs="Times New Roman"/>
          <w:b/>
          <w:lang w:eastAsia="en-US"/>
        </w:rPr>
      </w:pPr>
      <w:r>
        <w:rPr>
          <w:rFonts w:ascii="Calibri" w:eastAsia="Times New Roman" w:hAnsi="Calibri" w:cs="Times New Roman"/>
          <w:b/>
          <w:lang w:eastAsia="en-US"/>
        </w:rPr>
        <w:t xml:space="preserve">Table B.1: </w:t>
      </w:r>
      <w:r w:rsidRPr="00F739A6">
        <w:rPr>
          <w:rFonts w:ascii="Calibri" w:eastAsia="Times New Roman" w:hAnsi="Calibri" w:cs="Times New Roman"/>
          <w:b/>
          <w:lang w:eastAsia="en-US"/>
        </w:rPr>
        <w:t xml:space="preserve">Changes to </w:t>
      </w:r>
      <w:r>
        <w:rPr>
          <w:rFonts w:ascii="Calibri" w:eastAsia="Times New Roman" w:hAnsi="Calibri" w:cs="Times New Roman"/>
          <w:b/>
          <w:lang w:eastAsia="en-US"/>
        </w:rPr>
        <w:t>R/PBS testosterone r</w:t>
      </w:r>
      <w:r w:rsidRPr="00F739A6">
        <w:rPr>
          <w:rFonts w:ascii="Calibri" w:eastAsia="Times New Roman" w:hAnsi="Calibri" w:cs="Times New Roman"/>
          <w:b/>
          <w:lang w:eastAsia="en-US"/>
        </w:rPr>
        <w:t xml:space="preserve">estriction text for androgen deficiency with established pituitary or testicular disorders </w:t>
      </w:r>
    </w:p>
    <w:tbl>
      <w:tblPr>
        <w:tblStyle w:val="TableGrid1"/>
        <w:tblW w:w="12909" w:type="dxa"/>
        <w:tblLayout w:type="fixed"/>
        <w:tblLook w:val="04A0" w:firstRow="1" w:lastRow="0" w:firstColumn="1" w:lastColumn="0" w:noHBand="0" w:noVBand="1"/>
        <w:tblCaption w:val="Changes to R/PBS testosterone restriction text for androgen deficiency with established pituitary or testicular disorders "/>
        <w:tblDescription w:val="Changes to R/PBS testosterone restriction text for androgen deficiency with established pituitary or testicular disorders "/>
      </w:tblPr>
      <w:tblGrid>
        <w:gridCol w:w="1242"/>
        <w:gridCol w:w="1418"/>
        <w:gridCol w:w="7371"/>
        <w:gridCol w:w="1305"/>
        <w:gridCol w:w="1573"/>
      </w:tblGrid>
      <w:tr w:rsidR="00F739A6" w:rsidRPr="00F739A6" w14:paraId="71AF5C99" w14:textId="77777777" w:rsidTr="00E12E3C">
        <w:trPr>
          <w:tblHeader/>
        </w:trPr>
        <w:tc>
          <w:tcPr>
            <w:tcW w:w="1242" w:type="dxa"/>
            <w:shd w:val="clear" w:color="auto" w:fill="BFBFBF" w:themeFill="background1" w:themeFillShade="BF"/>
          </w:tcPr>
          <w:p w14:paraId="50A95DC9" w14:textId="77777777" w:rsidR="00F739A6" w:rsidRPr="00F739A6" w:rsidRDefault="00F739A6" w:rsidP="00F739A6">
            <w:pPr>
              <w:spacing w:line="276" w:lineRule="auto"/>
              <w:rPr>
                <w:rFonts w:ascii="Calibri" w:eastAsia="Times New Roman" w:hAnsi="Calibri" w:cs="Times New Roman"/>
                <w:b/>
                <w:sz w:val="20"/>
                <w:szCs w:val="20"/>
                <w:lang w:eastAsia="en-US"/>
              </w:rPr>
            </w:pPr>
            <w:r w:rsidRPr="00F739A6">
              <w:rPr>
                <w:rFonts w:ascii="Calibri" w:eastAsia="Times New Roman" w:hAnsi="Calibri" w:cs="Times New Roman"/>
                <w:b/>
                <w:sz w:val="20"/>
                <w:szCs w:val="20"/>
                <w:lang w:eastAsia="en-US"/>
              </w:rPr>
              <w:t>Restriction number</w:t>
            </w:r>
          </w:p>
        </w:tc>
        <w:tc>
          <w:tcPr>
            <w:tcW w:w="1418" w:type="dxa"/>
            <w:shd w:val="clear" w:color="auto" w:fill="BFBFBF" w:themeFill="background1" w:themeFillShade="BF"/>
          </w:tcPr>
          <w:p w14:paraId="0C7FC5FC" w14:textId="77777777" w:rsidR="00F739A6" w:rsidRPr="00F739A6" w:rsidRDefault="00F739A6" w:rsidP="00F739A6">
            <w:pPr>
              <w:spacing w:line="276" w:lineRule="auto"/>
              <w:rPr>
                <w:rFonts w:ascii="Calibri" w:eastAsia="Times New Roman" w:hAnsi="Calibri" w:cs="Times New Roman"/>
                <w:b/>
                <w:sz w:val="20"/>
                <w:szCs w:val="20"/>
                <w:lang w:eastAsia="en-US"/>
              </w:rPr>
            </w:pPr>
            <w:r w:rsidRPr="00F739A6">
              <w:rPr>
                <w:rFonts w:ascii="Calibri" w:eastAsia="Times New Roman" w:hAnsi="Calibri" w:cs="Times New Roman"/>
                <w:b/>
                <w:sz w:val="20"/>
                <w:szCs w:val="20"/>
                <w:lang w:eastAsia="en-US"/>
              </w:rPr>
              <w:t>Summary of change</w:t>
            </w:r>
          </w:p>
        </w:tc>
        <w:tc>
          <w:tcPr>
            <w:tcW w:w="7371" w:type="dxa"/>
            <w:shd w:val="clear" w:color="auto" w:fill="BFBFBF" w:themeFill="background1" w:themeFillShade="BF"/>
          </w:tcPr>
          <w:p w14:paraId="1CDAFF7C" w14:textId="77777777" w:rsidR="00F739A6" w:rsidRPr="00F739A6" w:rsidRDefault="00F739A6" w:rsidP="00F739A6">
            <w:pPr>
              <w:spacing w:line="276" w:lineRule="auto"/>
              <w:rPr>
                <w:rFonts w:ascii="Calibri" w:eastAsia="Times New Roman" w:hAnsi="Calibri" w:cs="Times New Roman"/>
                <w:b/>
                <w:sz w:val="20"/>
                <w:szCs w:val="20"/>
                <w:lang w:eastAsia="en-US"/>
              </w:rPr>
            </w:pPr>
            <w:r w:rsidRPr="00F739A6">
              <w:rPr>
                <w:rFonts w:ascii="Calibri" w:eastAsia="Times New Roman" w:hAnsi="Calibri" w:cs="Times New Roman"/>
                <w:b/>
                <w:sz w:val="20"/>
                <w:szCs w:val="20"/>
                <w:lang w:eastAsia="en-US"/>
              </w:rPr>
              <w:t>Restriction Text</w:t>
            </w:r>
          </w:p>
        </w:tc>
        <w:tc>
          <w:tcPr>
            <w:tcW w:w="1305" w:type="dxa"/>
            <w:shd w:val="clear" w:color="auto" w:fill="BFBFBF" w:themeFill="background1" w:themeFillShade="BF"/>
          </w:tcPr>
          <w:p w14:paraId="1887EE99" w14:textId="77777777" w:rsidR="00F739A6" w:rsidRPr="00F739A6" w:rsidRDefault="00F739A6" w:rsidP="00F739A6">
            <w:pPr>
              <w:spacing w:line="276" w:lineRule="auto"/>
              <w:rPr>
                <w:rFonts w:ascii="Calibri" w:eastAsia="Times New Roman" w:hAnsi="Calibri" w:cs="Times New Roman"/>
                <w:b/>
                <w:sz w:val="20"/>
                <w:szCs w:val="20"/>
                <w:lang w:eastAsia="en-US"/>
              </w:rPr>
            </w:pPr>
            <w:r w:rsidRPr="00F739A6">
              <w:rPr>
                <w:rFonts w:ascii="Calibri" w:eastAsia="Times New Roman" w:hAnsi="Calibri" w:cs="Times New Roman"/>
                <w:b/>
                <w:sz w:val="20"/>
                <w:szCs w:val="20"/>
                <w:lang w:eastAsia="en-US"/>
              </w:rPr>
              <w:t>Start date</w:t>
            </w:r>
          </w:p>
        </w:tc>
        <w:tc>
          <w:tcPr>
            <w:tcW w:w="1573" w:type="dxa"/>
            <w:shd w:val="clear" w:color="auto" w:fill="BFBFBF" w:themeFill="background1" w:themeFillShade="BF"/>
          </w:tcPr>
          <w:p w14:paraId="31D9200D" w14:textId="77777777" w:rsidR="00F739A6" w:rsidRPr="00F739A6" w:rsidRDefault="00F739A6" w:rsidP="00F739A6">
            <w:pPr>
              <w:spacing w:line="276" w:lineRule="auto"/>
              <w:rPr>
                <w:rFonts w:ascii="Calibri" w:eastAsia="Times New Roman" w:hAnsi="Calibri" w:cs="Times New Roman"/>
                <w:b/>
                <w:sz w:val="20"/>
                <w:szCs w:val="20"/>
                <w:lang w:eastAsia="en-US"/>
              </w:rPr>
            </w:pPr>
            <w:r w:rsidRPr="00F739A6">
              <w:rPr>
                <w:rFonts w:ascii="Calibri" w:eastAsia="Times New Roman" w:hAnsi="Calibri" w:cs="Times New Roman"/>
                <w:b/>
                <w:sz w:val="20"/>
                <w:szCs w:val="20"/>
                <w:lang w:eastAsia="en-US"/>
              </w:rPr>
              <w:t>End date</w:t>
            </w:r>
          </w:p>
        </w:tc>
      </w:tr>
      <w:tr w:rsidR="00F739A6" w:rsidRPr="00F739A6" w14:paraId="02D0BEE0" w14:textId="77777777" w:rsidTr="00425C41">
        <w:tc>
          <w:tcPr>
            <w:tcW w:w="1242" w:type="dxa"/>
          </w:tcPr>
          <w:p w14:paraId="6F805D87" w14:textId="77777777" w:rsidR="00F739A6" w:rsidRPr="00F739A6" w:rsidRDefault="00F739A6" w:rsidP="00F739A6">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1022</w:t>
            </w:r>
          </w:p>
        </w:tc>
        <w:tc>
          <w:tcPr>
            <w:tcW w:w="1418" w:type="dxa"/>
          </w:tcPr>
          <w:p w14:paraId="2A90FF4D" w14:textId="77777777" w:rsidR="00F739A6" w:rsidRPr="00F739A6" w:rsidRDefault="00F739A6" w:rsidP="00F739A6">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N/A</w:t>
            </w:r>
          </w:p>
        </w:tc>
        <w:tc>
          <w:tcPr>
            <w:tcW w:w="7371" w:type="dxa"/>
          </w:tcPr>
          <w:p w14:paraId="179EFF2C" w14:textId="77777777" w:rsidR="00F739A6" w:rsidRPr="00F739A6" w:rsidRDefault="00F739A6" w:rsidP="00F739A6">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Androgen deficiency in males with established pituitary or testicular disorders</w:t>
            </w:r>
          </w:p>
          <w:p w14:paraId="49AFF86D" w14:textId="77777777" w:rsidR="00F739A6" w:rsidRPr="00F739A6" w:rsidRDefault="00F739A6" w:rsidP="00F739A6">
            <w:pPr>
              <w:spacing w:line="276" w:lineRule="auto"/>
              <w:rPr>
                <w:rFonts w:ascii="Calibri" w:eastAsia="Times New Roman" w:hAnsi="Calibri" w:cs="Times New Roman"/>
                <w:sz w:val="20"/>
                <w:szCs w:val="20"/>
                <w:lang w:eastAsia="en-US"/>
              </w:rPr>
            </w:pPr>
          </w:p>
        </w:tc>
        <w:tc>
          <w:tcPr>
            <w:tcW w:w="1305" w:type="dxa"/>
          </w:tcPr>
          <w:p w14:paraId="7EDA4556" w14:textId="77777777" w:rsidR="00F739A6" w:rsidRPr="00F739A6" w:rsidRDefault="00F739A6" w:rsidP="00F739A6">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1 May 2000</w:t>
            </w:r>
          </w:p>
        </w:tc>
        <w:tc>
          <w:tcPr>
            <w:tcW w:w="1573" w:type="dxa"/>
          </w:tcPr>
          <w:p w14:paraId="16A2E8FC" w14:textId="77777777" w:rsidR="00F739A6" w:rsidRPr="00F739A6" w:rsidRDefault="00F739A6" w:rsidP="00F739A6">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28 February 2015</w:t>
            </w:r>
          </w:p>
        </w:tc>
      </w:tr>
      <w:tr w:rsidR="00F739A6" w:rsidRPr="00F739A6" w14:paraId="69CA525D" w14:textId="77777777" w:rsidTr="00425C41">
        <w:tc>
          <w:tcPr>
            <w:tcW w:w="1242" w:type="dxa"/>
          </w:tcPr>
          <w:p w14:paraId="1D375B1D" w14:textId="77777777" w:rsidR="00F739A6" w:rsidRPr="00F739A6" w:rsidRDefault="00F739A6" w:rsidP="00F739A6">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4817</w:t>
            </w:r>
          </w:p>
        </w:tc>
        <w:tc>
          <w:tcPr>
            <w:tcW w:w="1418" w:type="dxa"/>
          </w:tcPr>
          <w:p w14:paraId="6FAF22CE" w14:textId="77777777" w:rsidR="00F739A6" w:rsidRPr="00F739A6" w:rsidRDefault="00F739A6" w:rsidP="00F739A6">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Re-formatted</w:t>
            </w:r>
          </w:p>
        </w:tc>
        <w:tc>
          <w:tcPr>
            <w:tcW w:w="7371" w:type="dxa"/>
          </w:tcPr>
          <w:p w14:paraId="2CD71D51" w14:textId="77777777" w:rsidR="00F739A6" w:rsidRPr="00F739A6" w:rsidRDefault="00F739A6" w:rsidP="00F739A6">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 xml:space="preserve">Androgen deficiency  </w:t>
            </w:r>
          </w:p>
          <w:p w14:paraId="538C763B" w14:textId="77777777" w:rsidR="00F739A6" w:rsidRPr="00F739A6" w:rsidRDefault="00F739A6" w:rsidP="00F739A6">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 xml:space="preserve">Clinical criteria:  * Patient must have an established pituitary or testicular disorder.  </w:t>
            </w:r>
          </w:p>
          <w:p w14:paraId="4EA08C0D" w14:textId="77777777" w:rsidR="00F739A6" w:rsidRPr="00F739A6" w:rsidRDefault="00F739A6" w:rsidP="00F739A6">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Population criteria:  * Patient must be male.</w:t>
            </w:r>
          </w:p>
          <w:p w14:paraId="0029A7AB" w14:textId="77777777" w:rsidR="00F739A6" w:rsidRPr="00F739A6" w:rsidRDefault="00F739A6" w:rsidP="00F739A6">
            <w:pPr>
              <w:spacing w:line="276" w:lineRule="auto"/>
              <w:rPr>
                <w:rFonts w:ascii="Calibri" w:eastAsia="Times New Roman" w:hAnsi="Calibri" w:cs="Times New Roman"/>
                <w:sz w:val="20"/>
                <w:szCs w:val="20"/>
                <w:lang w:eastAsia="en-US"/>
              </w:rPr>
            </w:pPr>
          </w:p>
        </w:tc>
        <w:tc>
          <w:tcPr>
            <w:tcW w:w="1305" w:type="dxa"/>
          </w:tcPr>
          <w:p w14:paraId="5911EF89" w14:textId="77777777" w:rsidR="00F739A6" w:rsidRPr="00F739A6" w:rsidRDefault="00F739A6" w:rsidP="00F739A6">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1 March 2015</w:t>
            </w:r>
          </w:p>
        </w:tc>
        <w:tc>
          <w:tcPr>
            <w:tcW w:w="1573" w:type="dxa"/>
          </w:tcPr>
          <w:p w14:paraId="201F3F41" w14:textId="77777777" w:rsidR="00F739A6" w:rsidRPr="00F739A6" w:rsidRDefault="00F739A6" w:rsidP="00F739A6">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31 March 2015</w:t>
            </w:r>
          </w:p>
        </w:tc>
      </w:tr>
      <w:tr w:rsidR="00F739A6" w:rsidRPr="00F739A6" w14:paraId="72CB485E" w14:textId="77777777" w:rsidTr="00425C41">
        <w:tc>
          <w:tcPr>
            <w:tcW w:w="1242" w:type="dxa"/>
          </w:tcPr>
          <w:p w14:paraId="11C6AB01" w14:textId="77777777" w:rsidR="00F739A6" w:rsidRPr="00F739A6" w:rsidRDefault="00F739A6" w:rsidP="00F739A6">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4868</w:t>
            </w:r>
          </w:p>
        </w:tc>
        <w:tc>
          <w:tcPr>
            <w:tcW w:w="1418" w:type="dxa"/>
          </w:tcPr>
          <w:p w14:paraId="0D9B0A73" w14:textId="77777777" w:rsidR="00F739A6" w:rsidRPr="00F739A6" w:rsidRDefault="00F739A6" w:rsidP="00F739A6">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Added involvement of a specialist and requirement to provide specialist’s details.</w:t>
            </w:r>
          </w:p>
          <w:p w14:paraId="0FECA364" w14:textId="77777777" w:rsidR="00F739A6" w:rsidRPr="00F739A6" w:rsidRDefault="00F739A6" w:rsidP="00F739A6">
            <w:pPr>
              <w:spacing w:line="276" w:lineRule="auto"/>
              <w:rPr>
                <w:rFonts w:ascii="Calibri" w:eastAsia="Times New Roman" w:hAnsi="Calibri" w:cs="Times New Roman"/>
                <w:sz w:val="20"/>
                <w:szCs w:val="20"/>
                <w:lang w:eastAsia="en-US"/>
              </w:rPr>
            </w:pPr>
          </w:p>
        </w:tc>
        <w:tc>
          <w:tcPr>
            <w:tcW w:w="7371" w:type="dxa"/>
          </w:tcPr>
          <w:p w14:paraId="0444DCFE" w14:textId="77777777" w:rsidR="00F739A6" w:rsidRPr="00F739A6" w:rsidRDefault="00F739A6" w:rsidP="00F739A6">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 xml:space="preserve">Androgen deficiency  </w:t>
            </w:r>
          </w:p>
          <w:p w14:paraId="60DEAF73" w14:textId="77777777" w:rsidR="00F739A6" w:rsidRPr="00F739A6" w:rsidRDefault="00F739A6" w:rsidP="00F739A6">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 xml:space="preserve">Clinical criteria:  * Patient must have an established pituitary or testicular disorder.  </w:t>
            </w:r>
          </w:p>
          <w:p w14:paraId="59FDAAF0" w14:textId="77777777" w:rsidR="00F739A6" w:rsidRPr="00F739A6" w:rsidRDefault="00F739A6" w:rsidP="00F739A6">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 xml:space="preserve">Population criteria:  * Patient must be male.  </w:t>
            </w:r>
          </w:p>
          <w:p w14:paraId="7393A30F" w14:textId="77777777" w:rsidR="00F739A6" w:rsidRPr="00F739A6" w:rsidRDefault="00F739A6" w:rsidP="00F739A6">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Treatment criteria:  * Must be treated by a specialist paediatric endocrinologist, specialist urologist, specialist endocrinologist or a registered member of the Australasian Chapter of Sexual Health Medicine; or in consultation with one of these specialists; or have an appointment to be assessed by one of these specialists. The name of the specialist must be included in the authority application.</w:t>
            </w:r>
          </w:p>
          <w:p w14:paraId="01E3698B" w14:textId="77777777" w:rsidR="00F739A6" w:rsidRPr="00F739A6" w:rsidRDefault="00F739A6" w:rsidP="00F739A6">
            <w:pPr>
              <w:spacing w:line="276" w:lineRule="auto"/>
              <w:rPr>
                <w:rFonts w:ascii="Calibri" w:eastAsia="Times New Roman" w:hAnsi="Calibri" w:cs="Times New Roman"/>
                <w:sz w:val="20"/>
                <w:szCs w:val="20"/>
                <w:lang w:eastAsia="en-US"/>
              </w:rPr>
            </w:pPr>
          </w:p>
        </w:tc>
        <w:tc>
          <w:tcPr>
            <w:tcW w:w="1305" w:type="dxa"/>
          </w:tcPr>
          <w:p w14:paraId="0C54ACFA" w14:textId="77777777" w:rsidR="00F739A6" w:rsidRPr="00F739A6" w:rsidRDefault="00F739A6" w:rsidP="00F739A6">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1 April 2015</w:t>
            </w:r>
          </w:p>
        </w:tc>
        <w:tc>
          <w:tcPr>
            <w:tcW w:w="1573" w:type="dxa"/>
          </w:tcPr>
          <w:p w14:paraId="277C9E22" w14:textId="77777777" w:rsidR="00F739A6" w:rsidRPr="00F739A6" w:rsidRDefault="00F739A6" w:rsidP="00F739A6">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30 September 2015</w:t>
            </w:r>
          </w:p>
        </w:tc>
      </w:tr>
      <w:tr w:rsidR="00F739A6" w:rsidRPr="00F739A6" w14:paraId="39EFE47D" w14:textId="77777777" w:rsidTr="00425C41">
        <w:tc>
          <w:tcPr>
            <w:tcW w:w="1242" w:type="dxa"/>
          </w:tcPr>
          <w:p w14:paraId="7BA440C8" w14:textId="77777777" w:rsidR="00F739A6" w:rsidRPr="00F739A6" w:rsidRDefault="00F739A6" w:rsidP="00F739A6">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5511</w:t>
            </w:r>
          </w:p>
        </w:tc>
        <w:tc>
          <w:tcPr>
            <w:tcW w:w="1418" w:type="dxa"/>
          </w:tcPr>
          <w:p w14:paraId="67564033" w14:textId="77777777" w:rsidR="00F739A6" w:rsidRPr="00F739A6" w:rsidRDefault="00F739A6" w:rsidP="00F739A6">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Removed ‘patient must be male’</w:t>
            </w:r>
          </w:p>
          <w:p w14:paraId="72E9D4FE" w14:textId="77777777" w:rsidR="00F739A6" w:rsidRPr="00F739A6" w:rsidRDefault="00F739A6" w:rsidP="00F739A6">
            <w:pPr>
              <w:rPr>
                <w:rFonts w:ascii="Calibri" w:eastAsia="Times New Roman" w:hAnsi="Calibri" w:cs="Times New Roman"/>
                <w:sz w:val="20"/>
                <w:szCs w:val="20"/>
                <w:lang w:eastAsia="en-US"/>
              </w:rPr>
            </w:pPr>
          </w:p>
          <w:p w14:paraId="0F9D06C4" w14:textId="77777777" w:rsidR="00F739A6" w:rsidRPr="00F739A6" w:rsidRDefault="00F739A6" w:rsidP="00F739A6">
            <w:pPr>
              <w:jc w:val="center"/>
              <w:rPr>
                <w:rFonts w:ascii="Calibri" w:eastAsia="Times New Roman" w:hAnsi="Calibri" w:cs="Times New Roman"/>
                <w:sz w:val="20"/>
                <w:szCs w:val="20"/>
                <w:lang w:eastAsia="en-US"/>
              </w:rPr>
            </w:pPr>
          </w:p>
        </w:tc>
        <w:tc>
          <w:tcPr>
            <w:tcW w:w="7371" w:type="dxa"/>
          </w:tcPr>
          <w:p w14:paraId="161955A9" w14:textId="77777777" w:rsidR="00F739A6" w:rsidRPr="00F739A6" w:rsidRDefault="00F739A6" w:rsidP="00F739A6">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 xml:space="preserve">Androgen deficiency  </w:t>
            </w:r>
          </w:p>
          <w:p w14:paraId="64F800AB" w14:textId="77777777" w:rsidR="00F739A6" w:rsidRPr="00F739A6" w:rsidRDefault="00F739A6" w:rsidP="00F739A6">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 xml:space="preserve">Clinical criteria:  * Patient must have an established pituitary or testicular disorder. </w:t>
            </w:r>
          </w:p>
          <w:p w14:paraId="193E9CE1" w14:textId="77777777" w:rsidR="00F739A6" w:rsidRPr="00F739A6" w:rsidRDefault="00F739A6" w:rsidP="00F739A6">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Treatment criteria:  * Must be treated by a specialist paediatric endocrinologist, specialist urologist, specialist endocrinologist or a registered member of the Australasian Chapter of Sexual Health Medicine; or in consultation with one of these specialists; or have an appointment to be assessed by one of these specialists. The name of the specialist must be included in the authority application.</w:t>
            </w:r>
          </w:p>
          <w:p w14:paraId="121527C7" w14:textId="77777777" w:rsidR="00F739A6" w:rsidRPr="00F739A6" w:rsidRDefault="00F739A6" w:rsidP="00F739A6">
            <w:pPr>
              <w:spacing w:line="276" w:lineRule="auto"/>
              <w:rPr>
                <w:rFonts w:ascii="Calibri" w:eastAsia="Times New Roman" w:hAnsi="Calibri" w:cs="Times New Roman"/>
                <w:sz w:val="20"/>
                <w:szCs w:val="20"/>
                <w:lang w:eastAsia="en-US"/>
              </w:rPr>
            </w:pPr>
          </w:p>
        </w:tc>
        <w:tc>
          <w:tcPr>
            <w:tcW w:w="1305" w:type="dxa"/>
          </w:tcPr>
          <w:p w14:paraId="50A3AE12" w14:textId="77777777" w:rsidR="00F739A6" w:rsidRPr="00F739A6" w:rsidRDefault="00F739A6" w:rsidP="00F739A6">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1 October 2015</w:t>
            </w:r>
          </w:p>
        </w:tc>
        <w:tc>
          <w:tcPr>
            <w:tcW w:w="1573" w:type="dxa"/>
          </w:tcPr>
          <w:p w14:paraId="3259CBE5" w14:textId="77777777" w:rsidR="00F739A6" w:rsidRPr="00F739A6" w:rsidRDefault="00F739A6" w:rsidP="00F739A6">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w:t>
            </w:r>
          </w:p>
        </w:tc>
      </w:tr>
    </w:tbl>
    <w:p w14:paraId="431D5026" w14:textId="77777777" w:rsidR="00F739A6" w:rsidRPr="00F739A6" w:rsidRDefault="00F739A6" w:rsidP="00F739A6">
      <w:pPr>
        <w:spacing w:after="0"/>
        <w:rPr>
          <w:rFonts w:ascii="Calibri" w:eastAsia="Times New Roman" w:hAnsi="Calibri" w:cs="Times New Roman"/>
          <w:b/>
          <w:lang w:eastAsia="en-US"/>
        </w:rPr>
      </w:pPr>
    </w:p>
    <w:p w14:paraId="5698993F" w14:textId="77777777" w:rsidR="00F739A6" w:rsidRPr="00F739A6" w:rsidRDefault="00F739A6" w:rsidP="00F739A6">
      <w:pPr>
        <w:spacing w:after="0"/>
        <w:rPr>
          <w:rFonts w:ascii="Calibri" w:eastAsia="Times New Roman" w:hAnsi="Calibri" w:cs="Times New Roman"/>
          <w:b/>
          <w:lang w:eastAsia="en-US"/>
        </w:rPr>
      </w:pPr>
      <w:r w:rsidRPr="00F739A6">
        <w:rPr>
          <w:rFonts w:ascii="Calibri" w:eastAsia="Times New Roman" w:hAnsi="Calibri" w:cs="Times New Roman"/>
          <w:b/>
          <w:lang w:eastAsia="en-US"/>
        </w:rPr>
        <w:br w:type="page"/>
      </w:r>
    </w:p>
    <w:p w14:paraId="373BDEC1" w14:textId="495E3F1D" w:rsidR="00F739A6" w:rsidRPr="00F739A6" w:rsidRDefault="00F739A6" w:rsidP="00F739A6">
      <w:pPr>
        <w:spacing w:after="0"/>
        <w:rPr>
          <w:rFonts w:ascii="Calibri" w:eastAsia="Times New Roman" w:hAnsi="Calibri" w:cs="Times New Roman"/>
          <w:b/>
          <w:lang w:eastAsia="en-US"/>
        </w:rPr>
      </w:pPr>
      <w:r>
        <w:rPr>
          <w:rFonts w:ascii="Calibri" w:eastAsia="Times New Roman" w:hAnsi="Calibri" w:cs="Times New Roman"/>
          <w:b/>
          <w:lang w:eastAsia="en-US"/>
        </w:rPr>
        <w:lastRenderedPageBreak/>
        <w:t xml:space="preserve">Table B.2: </w:t>
      </w:r>
      <w:r w:rsidRPr="00F739A6">
        <w:rPr>
          <w:rFonts w:ascii="Calibri" w:eastAsia="Times New Roman" w:hAnsi="Calibri" w:cs="Times New Roman"/>
          <w:b/>
          <w:lang w:eastAsia="en-US"/>
        </w:rPr>
        <w:t xml:space="preserve">Changes to </w:t>
      </w:r>
      <w:r>
        <w:rPr>
          <w:rFonts w:ascii="Calibri" w:eastAsia="Times New Roman" w:hAnsi="Calibri" w:cs="Times New Roman"/>
          <w:b/>
          <w:lang w:eastAsia="en-US"/>
        </w:rPr>
        <w:t>R/PBS testosterone</w:t>
      </w:r>
      <w:r w:rsidRPr="00F739A6">
        <w:rPr>
          <w:rFonts w:ascii="Calibri" w:eastAsia="Times New Roman" w:hAnsi="Calibri" w:cs="Times New Roman"/>
          <w:b/>
          <w:lang w:eastAsia="en-US"/>
        </w:rPr>
        <w:t xml:space="preserve"> </w:t>
      </w:r>
      <w:r>
        <w:rPr>
          <w:rFonts w:ascii="Calibri" w:eastAsia="Times New Roman" w:hAnsi="Calibri" w:cs="Times New Roman"/>
          <w:b/>
          <w:lang w:eastAsia="en-US"/>
        </w:rPr>
        <w:t>r</w:t>
      </w:r>
      <w:r w:rsidRPr="00F739A6">
        <w:rPr>
          <w:rFonts w:ascii="Calibri" w:eastAsia="Times New Roman" w:hAnsi="Calibri" w:cs="Times New Roman"/>
          <w:b/>
          <w:lang w:eastAsia="en-US"/>
        </w:rPr>
        <w:t>estriction text for androgen deficiency without established pituitary or testicular disorders</w:t>
      </w:r>
    </w:p>
    <w:tbl>
      <w:tblPr>
        <w:tblStyle w:val="TableGrid1"/>
        <w:tblW w:w="12909" w:type="dxa"/>
        <w:tblLayout w:type="fixed"/>
        <w:tblLook w:val="04A0" w:firstRow="1" w:lastRow="0" w:firstColumn="1" w:lastColumn="0" w:noHBand="0" w:noVBand="1"/>
        <w:tblCaption w:val="Changes to R/PBS testosterone restriction text for androgen deficiency without established pituitary or testicular disorders"/>
        <w:tblDescription w:val="Changes to R/PBS testosterone restriction text for androgen deficiency without established pituitary or testicular disorders"/>
      </w:tblPr>
      <w:tblGrid>
        <w:gridCol w:w="1242"/>
        <w:gridCol w:w="1418"/>
        <w:gridCol w:w="7371"/>
        <w:gridCol w:w="1305"/>
        <w:gridCol w:w="1573"/>
      </w:tblGrid>
      <w:tr w:rsidR="00F739A6" w:rsidRPr="00F739A6" w14:paraId="6A073F66" w14:textId="77777777" w:rsidTr="00E12E3C">
        <w:trPr>
          <w:tblHeader/>
        </w:trPr>
        <w:tc>
          <w:tcPr>
            <w:tcW w:w="1242" w:type="dxa"/>
            <w:shd w:val="clear" w:color="auto" w:fill="BFBFBF" w:themeFill="background1" w:themeFillShade="BF"/>
          </w:tcPr>
          <w:p w14:paraId="0EDD55ED" w14:textId="77777777" w:rsidR="00F739A6" w:rsidRPr="00F739A6" w:rsidRDefault="00F739A6" w:rsidP="00F739A6">
            <w:pPr>
              <w:spacing w:line="276" w:lineRule="auto"/>
              <w:rPr>
                <w:rFonts w:ascii="Calibri" w:eastAsia="Times New Roman" w:hAnsi="Calibri" w:cs="Times New Roman"/>
                <w:b/>
                <w:sz w:val="20"/>
                <w:szCs w:val="20"/>
                <w:lang w:eastAsia="en-US"/>
              </w:rPr>
            </w:pPr>
            <w:r w:rsidRPr="00F739A6">
              <w:rPr>
                <w:rFonts w:ascii="Calibri" w:eastAsia="Times New Roman" w:hAnsi="Calibri" w:cs="Times New Roman"/>
                <w:b/>
                <w:sz w:val="20"/>
                <w:szCs w:val="20"/>
                <w:lang w:eastAsia="en-US"/>
              </w:rPr>
              <w:t>Restriction number</w:t>
            </w:r>
          </w:p>
        </w:tc>
        <w:tc>
          <w:tcPr>
            <w:tcW w:w="1418" w:type="dxa"/>
            <w:shd w:val="clear" w:color="auto" w:fill="BFBFBF" w:themeFill="background1" w:themeFillShade="BF"/>
          </w:tcPr>
          <w:p w14:paraId="5C362755" w14:textId="77777777" w:rsidR="00F739A6" w:rsidRPr="00F739A6" w:rsidRDefault="00F739A6" w:rsidP="00F739A6">
            <w:pPr>
              <w:spacing w:line="276" w:lineRule="auto"/>
              <w:rPr>
                <w:rFonts w:ascii="Calibri" w:eastAsia="Times New Roman" w:hAnsi="Calibri" w:cs="Times New Roman"/>
                <w:b/>
                <w:sz w:val="20"/>
                <w:szCs w:val="20"/>
                <w:lang w:eastAsia="en-US"/>
              </w:rPr>
            </w:pPr>
            <w:r w:rsidRPr="00F739A6">
              <w:rPr>
                <w:rFonts w:ascii="Calibri" w:eastAsia="Times New Roman" w:hAnsi="Calibri" w:cs="Times New Roman"/>
                <w:b/>
                <w:sz w:val="20"/>
                <w:szCs w:val="20"/>
                <w:lang w:eastAsia="en-US"/>
              </w:rPr>
              <w:t>Summary of change</w:t>
            </w:r>
          </w:p>
        </w:tc>
        <w:tc>
          <w:tcPr>
            <w:tcW w:w="7371" w:type="dxa"/>
            <w:shd w:val="clear" w:color="auto" w:fill="BFBFBF" w:themeFill="background1" w:themeFillShade="BF"/>
          </w:tcPr>
          <w:p w14:paraId="248FD799" w14:textId="77777777" w:rsidR="00F739A6" w:rsidRPr="00F739A6" w:rsidRDefault="00F739A6" w:rsidP="00F739A6">
            <w:pPr>
              <w:spacing w:line="276" w:lineRule="auto"/>
              <w:rPr>
                <w:rFonts w:ascii="Calibri" w:eastAsia="Times New Roman" w:hAnsi="Calibri" w:cs="Times New Roman"/>
                <w:b/>
                <w:sz w:val="20"/>
                <w:szCs w:val="20"/>
                <w:lang w:eastAsia="en-US"/>
              </w:rPr>
            </w:pPr>
            <w:r w:rsidRPr="00F739A6">
              <w:rPr>
                <w:rFonts w:ascii="Calibri" w:eastAsia="Times New Roman" w:hAnsi="Calibri" w:cs="Times New Roman"/>
                <w:b/>
                <w:sz w:val="20"/>
                <w:szCs w:val="20"/>
                <w:lang w:eastAsia="en-US"/>
              </w:rPr>
              <w:t>Restriction Text</w:t>
            </w:r>
          </w:p>
        </w:tc>
        <w:tc>
          <w:tcPr>
            <w:tcW w:w="1305" w:type="dxa"/>
            <w:shd w:val="clear" w:color="auto" w:fill="BFBFBF" w:themeFill="background1" w:themeFillShade="BF"/>
          </w:tcPr>
          <w:p w14:paraId="3D4EDBC1" w14:textId="77777777" w:rsidR="00F739A6" w:rsidRPr="00F739A6" w:rsidRDefault="00F739A6" w:rsidP="00F739A6">
            <w:pPr>
              <w:spacing w:line="276" w:lineRule="auto"/>
              <w:rPr>
                <w:rFonts w:ascii="Calibri" w:eastAsia="Times New Roman" w:hAnsi="Calibri" w:cs="Times New Roman"/>
                <w:b/>
                <w:sz w:val="20"/>
                <w:szCs w:val="20"/>
                <w:lang w:eastAsia="en-US"/>
              </w:rPr>
            </w:pPr>
            <w:r w:rsidRPr="00F739A6">
              <w:rPr>
                <w:rFonts w:ascii="Calibri" w:eastAsia="Times New Roman" w:hAnsi="Calibri" w:cs="Times New Roman"/>
                <w:b/>
                <w:sz w:val="20"/>
                <w:szCs w:val="20"/>
                <w:lang w:eastAsia="en-US"/>
              </w:rPr>
              <w:t>Start date</w:t>
            </w:r>
          </w:p>
        </w:tc>
        <w:tc>
          <w:tcPr>
            <w:tcW w:w="1573" w:type="dxa"/>
            <w:shd w:val="clear" w:color="auto" w:fill="BFBFBF" w:themeFill="background1" w:themeFillShade="BF"/>
          </w:tcPr>
          <w:p w14:paraId="1551466B" w14:textId="77777777" w:rsidR="00F739A6" w:rsidRPr="00F739A6" w:rsidRDefault="00F739A6" w:rsidP="00F739A6">
            <w:pPr>
              <w:spacing w:line="276" w:lineRule="auto"/>
              <w:rPr>
                <w:rFonts w:ascii="Calibri" w:eastAsia="Times New Roman" w:hAnsi="Calibri" w:cs="Times New Roman"/>
                <w:b/>
                <w:sz w:val="20"/>
                <w:szCs w:val="20"/>
                <w:lang w:eastAsia="en-US"/>
              </w:rPr>
            </w:pPr>
            <w:r w:rsidRPr="00F739A6">
              <w:rPr>
                <w:rFonts w:ascii="Calibri" w:eastAsia="Times New Roman" w:hAnsi="Calibri" w:cs="Times New Roman"/>
                <w:b/>
                <w:sz w:val="20"/>
                <w:szCs w:val="20"/>
                <w:lang w:eastAsia="en-US"/>
              </w:rPr>
              <w:t>End date</w:t>
            </w:r>
          </w:p>
        </w:tc>
      </w:tr>
      <w:tr w:rsidR="00F739A6" w:rsidRPr="00F739A6" w14:paraId="144CED1A" w14:textId="77777777" w:rsidTr="00425C41">
        <w:tc>
          <w:tcPr>
            <w:tcW w:w="1242" w:type="dxa"/>
          </w:tcPr>
          <w:p w14:paraId="331825AA" w14:textId="77777777" w:rsidR="00F739A6" w:rsidRPr="00F739A6" w:rsidRDefault="00F739A6" w:rsidP="00F739A6">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1021</w:t>
            </w:r>
          </w:p>
        </w:tc>
        <w:tc>
          <w:tcPr>
            <w:tcW w:w="1418" w:type="dxa"/>
          </w:tcPr>
          <w:p w14:paraId="4069BD08" w14:textId="77777777" w:rsidR="00F739A6" w:rsidRPr="00F739A6" w:rsidRDefault="00F739A6" w:rsidP="00F739A6">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N/A</w:t>
            </w:r>
          </w:p>
        </w:tc>
        <w:tc>
          <w:tcPr>
            <w:tcW w:w="7371" w:type="dxa"/>
          </w:tcPr>
          <w:p w14:paraId="3385A051" w14:textId="77777777" w:rsidR="00F739A6" w:rsidRPr="00F739A6" w:rsidRDefault="00F739A6" w:rsidP="00F739A6">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 xml:space="preserve">Androgen deficiency in males 40 years and older who do not have established pituitary or testicular disorders other than aging, confirmed by at least 2 morning blood samples taken on different mornings. Androgen deficiency is confirmed by testosterone less than 8 </w:t>
            </w:r>
            <w:proofErr w:type="spellStart"/>
            <w:r w:rsidRPr="00F739A6">
              <w:rPr>
                <w:rFonts w:ascii="Calibri" w:eastAsia="Times New Roman" w:hAnsi="Calibri" w:cs="Times New Roman"/>
                <w:sz w:val="20"/>
                <w:szCs w:val="20"/>
                <w:lang w:eastAsia="en-US"/>
              </w:rPr>
              <w:t>nmol</w:t>
            </w:r>
            <w:proofErr w:type="spellEnd"/>
            <w:r w:rsidRPr="00F739A6">
              <w:rPr>
                <w:rFonts w:ascii="Calibri" w:eastAsia="Times New Roman" w:hAnsi="Calibri" w:cs="Times New Roman"/>
                <w:sz w:val="20"/>
                <w:szCs w:val="20"/>
                <w:lang w:eastAsia="en-US"/>
              </w:rPr>
              <w:t xml:space="preserve"> per L, or 8-15 </w:t>
            </w:r>
            <w:proofErr w:type="spellStart"/>
            <w:r w:rsidRPr="00F739A6">
              <w:rPr>
                <w:rFonts w:ascii="Calibri" w:eastAsia="Times New Roman" w:hAnsi="Calibri" w:cs="Times New Roman"/>
                <w:sz w:val="20"/>
                <w:szCs w:val="20"/>
                <w:lang w:eastAsia="en-US"/>
              </w:rPr>
              <w:t>nmol</w:t>
            </w:r>
            <w:proofErr w:type="spellEnd"/>
            <w:r w:rsidRPr="00F739A6">
              <w:rPr>
                <w:rFonts w:ascii="Calibri" w:eastAsia="Times New Roman" w:hAnsi="Calibri" w:cs="Times New Roman"/>
                <w:sz w:val="20"/>
                <w:szCs w:val="20"/>
                <w:lang w:eastAsia="en-US"/>
              </w:rPr>
              <w:t xml:space="preserve"> per L with high LH (greater than 1.5 times the upper limit of the </w:t>
            </w:r>
            <w:proofErr w:type="spellStart"/>
            <w:r w:rsidRPr="00F739A6">
              <w:rPr>
                <w:rFonts w:ascii="Calibri" w:eastAsia="Times New Roman" w:hAnsi="Calibri" w:cs="Times New Roman"/>
                <w:sz w:val="20"/>
                <w:szCs w:val="20"/>
                <w:lang w:eastAsia="en-US"/>
              </w:rPr>
              <w:t>eugonadal</w:t>
            </w:r>
            <w:proofErr w:type="spellEnd"/>
            <w:r w:rsidRPr="00F739A6">
              <w:rPr>
                <w:rFonts w:ascii="Calibri" w:eastAsia="Times New Roman" w:hAnsi="Calibri" w:cs="Times New Roman"/>
                <w:sz w:val="20"/>
                <w:szCs w:val="20"/>
                <w:lang w:eastAsia="en-US"/>
              </w:rPr>
              <w:t xml:space="preserve"> reference range for young men)</w:t>
            </w:r>
          </w:p>
          <w:p w14:paraId="2864170C" w14:textId="77777777" w:rsidR="00F739A6" w:rsidRPr="00F739A6" w:rsidRDefault="00F739A6" w:rsidP="00F739A6">
            <w:pPr>
              <w:spacing w:line="276" w:lineRule="auto"/>
              <w:rPr>
                <w:rFonts w:ascii="Calibri" w:eastAsia="Times New Roman" w:hAnsi="Calibri" w:cs="Times New Roman"/>
                <w:sz w:val="20"/>
                <w:szCs w:val="20"/>
                <w:lang w:eastAsia="en-US"/>
              </w:rPr>
            </w:pPr>
          </w:p>
        </w:tc>
        <w:tc>
          <w:tcPr>
            <w:tcW w:w="1305" w:type="dxa"/>
          </w:tcPr>
          <w:p w14:paraId="22D4F61C" w14:textId="77777777" w:rsidR="00F739A6" w:rsidRPr="00F739A6" w:rsidRDefault="00F739A6" w:rsidP="00F739A6">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1 May 2000</w:t>
            </w:r>
          </w:p>
        </w:tc>
        <w:tc>
          <w:tcPr>
            <w:tcW w:w="1573" w:type="dxa"/>
          </w:tcPr>
          <w:p w14:paraId="5EF26656" w14:textId="77777777" w:rsidR="00F739A6" w:rsidRPr="00F739A6" w:rsidRDefault="00F739A6" w:rsidP="00F739A6">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28 February 2015</w:t>
            </w:r>
          </w:p>
        </w:tc>
      </w:tr>
      <w:tr w:rsidR="00F739A6" w:rsidRPr="00F739A6" w14:paraId="549B34A8" w14:textId="77777777" w:rsidTr="00425C41">
        <w:tc>
          <w:tcPr>
            <w:tcW w:w="1242" w:type="dxa"/>
          </w:tcPr>
          <w:p w14:paraId="6630BB96" w14:textId="77777777" w:rsidR="00F739A6" w:rsidRPr="00F739A6" w:rsidRDefault="00F739A6" w:rsidP="00F739A6">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4815</w:t>
            </w:r>
          </w:p>
        </w:tc>
        <w:tc>
          <w:tcPr>
            <w:tcW w:w="1418" w:type="dxa"/>
          </w:tcPr>
          <w:p w14:paraId="76994BB8" w14:textId="77777777" w:rsidR="00F739A6" w:rsidRPr="00F739A6" w:rsidRDefault="00F739A6" w:rsidP="00F739A6">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Re-formatted</w:t>
            </w:r>
          </w:p>
        </w:tc>
        <w:tc>
          <w:tcPr>
            <w:tcW w:w="7371" w:type="dxa"/>
          </w:tcPr>
          <w:p w14:paraId="71FAD710" w14:textId="77777777" w:rsidR="00F739A6" w:rsidRPr="00F739A6" w:rsidRDefault="00F739A6" w:rsidP="00F739A6">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 xml:space="preserve">Androgen deficiency  </w:t>
            </w:r>
          </w:p>
          <w:p w14:paraId="3F197F5E" w14:textId="77777777" w:rsidR="00F739A6" w:rsidRPr="00F739A6" w:rsidRDefault="00F739A6" w:rsidP="00F739A6">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 xml:space="preserve">Clinical criteria: </w:t>
            </w:r>
          </w:p>
          <w:p w14:paraId="50380B0B" w14:textId="77777777" w:rsidR="00F739A6" w:rsidRPr="00F739A6" w:rsidRDefault="00F739A6" w:rsidP="00F739A6">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 xml:space="preserve">* Patient must not have established pituitary or testicular disorders other than ageing.  </w:t>
            </w:r>
          </w:p>
          <w:p w14:paraId="110C934B" w14:textId="77777777" w:rsidR="00F739A6" w:rsidRPr="00F739A6" w:rsidRDefault="00F739A6" w:rsidP="00F739A6">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 xml:space="preserve">Population criteria:  </w:t>
            </w:r>
          </w:p>
          <w:p w14:paraId="2A7B661C" w14:textId="77777777" w:rsidR="00F739A6" w:rsidRPr="00F739A6" w:rsidRDefault="00F739A6" w:rsidP="00F739A6">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 xml:space="preserve">* Patient must be male,  AND  </w:t>
            </w:r>
          </w:p>
          <w:p w14:paraId="5B090D0C" w14:textId="77777777" w:rsidR="00F739A6" w:rsidRPr="00F739A6" w:rsidRDefault="00F739A6" w:rsidP="00F739A6">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 xml:space="preserve">* Patient must be aged 40 years or older. </w:t>
            </w:r>
          </w:p>
          <w:p w14:paraId="05466D24" w14:textId="77777777" w:rsidR="00F739A6" w:rsidRPr="00F739A6" w:rsidRDefault="00F739A6" w:rsidP="00F739A6">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Androgen deficiency is defined as:</w:t>
            </w:r>
          </w:p>
          <w:p w14:paraId="79D5A124" w14:textId="77777777" w:rsidR="00F739A6" w:rsidRPr="00F739A6" w:rsidRDefault="00F739A6" w:rsidP="00F739A6">
            <w:pPr>
              <w:numPr>
                <w:ilvl w:val="0"/>
                <w:numId w:val="12"/>
              </w:numPr>
              <w:spacing w:line="276" w:lineRule="auto"/>
              <w:contextualSpacing/>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 xml:space="preserve">testosterone level of less than 8 </w:t>
            </w:r>
            <w:proofErr w:type="spellStart"/>
            <w:r w:rsidRPr="00F739A6">
              <w:rPr>
                <w:rFonts w:ascii="Calibri" w:eastAsia="Times New Roman" w:hAnsi="Calibri" w:cs="Times New Roman"/>
                <w:sz w:val="20"/>
                <w:szCs w:val="20"/>
                <w:lang w:eastAsia="en-US"/>
              </w:rPr>
              <w:t>nmol</w:t>
            </w:r>
            <w:proofErr w:type="spellEnd"/>
            <w:r w:rsidRPr="00F739A6">
              <w:rPr>
                <w:rFonts w:ascii="Calibri" w:eastAsia="Times New Roman" w:hAnsi="Calibri" w:cs="Times New Roman"/>
                <w:sz w:val="20"/>
                <w:szCs w:val="20"/>
                <w:lang w:eastAsia="en-US"/>
              </w:rPr>
              <w:t xml:space="preserve"> per litre; OR</w:t>
            </w:r>
          </w:p>
          <w:p w14:paraId="1393E295" w14:textId="77777777" w:rsidR="00F739A6" w:rsidRPr="00F739A6" w:rsidRDefault="00F739A6" w:rsidP="00F739A6">
            <w:pPr>
              <w:numPr>
                <w:ilvl w:val="0"/>
                <w:numId w:val="12"/>
              </w:numPr>
              <w:spacing w:line="276" w:lineRule="auto"/>
              <w:contextualSpacing/>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 xml:space="preserve">testosterone level between 8 and 15 </w:t>
            </w:r>
            <w:proofErr w:type="spellStart"/>
            <w:r w:rsidRPr="00F739A6">
              <w:rPr>
                <w:rFonts w:ascii="Calibri" w:eastAsia="Times New Roman" w:hAnsi="Calibri" w:cs="Times New Roman"/>
                <w:sz w:val="20"/>
                <w:szCs w:val="20"/>
                <w:lang w:eastAsia="en-US"/>
              </w:rPr>
              <w:t>nmol</w:t>
            </w:r>
            <w:proofErr w:type="spellEnd"/>
            <w:r w:rsidRPr="00F739A6">
              <w:rPr>
                <w:rFonts w:ascii="Calibri" w:eastAsia="Times New Roman" w:hAnsi="Calibri" w:cs="Times New Roman"/>
                <w:sz w:val="20"/>
                <w:szCs w:val="20"/>
                <w:lang w:eastAsia="en-US"/>
              </w:rPr>
              <w:t xml:space="preserve"> per litre with high luteinising hormone (LH) (greater than 1.5 times the upper limit of the </w:t>
            </w:r>
            <w:proofErr w:type="spellStart"/>
            <w:r w:rsidRPr="00F739A6">
              <w:rPr>
                <w:rFonts w:ascii="Calibri" w:eastAsia="Times New Roman" w:hAnsi="Calibri" w:cs="Times New Roman"/>
                <w:sz w:val="20"/>
                <w:szCs w:val="20"/>
                <w:lang w:eastAsia="en-US"/>
              </w:rPr>
              <w:t>eugonodal</w:t>
            </w:r>
            <w:proofErr w:type="spellEnd"/>
            <w:r w:rsidRPr="00F739A6">
              <w:rPr>
                <w:rFonts w:ascii="Calibri" w:eastAsia="Times New Roman" w:hAnsi="Calibri" w:cs="Times New Roman"/>
                <w:sz w:val="20"/>
                <w:szCs w:val="20"/>
                <w:lang w:eastAsia="en-US"/>
              </w:rPr>
              <w:t xml:space="preserve"> reference range for young men)</w:t>
            </w:r>
          </w:p>
          <w:p w14:paraId="2B683563" w14:textId="77777777" w:rsidR="00F739A6" w:rsidRPr="00F739A6" w:rsidRDefault="00F739A6" w:rsidP="00F739A6">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Androgen deficiency must be confirmed by at least two morning blood samples taken on different mornings.</w:t>
            </w:r>
          </w:p>
          <w:p w14:paraId="57D4E6D6" w14:textId="77777777" w:rsidR="00F739A6" w:rsidRPr="00F739A6" w:rsidRDefault="00F739A6" w:rsidP="00F739A6">
            <w:pPr>
              <w:spacing w:line="276" w:lineRule="auto"/>
              <w:rPr>
                <w:rFonts w:ascii="Calibri" w:eastAsia="Times New Roman" w:hAnsi="Calibri" w:cs="Times New Roman"/>
                <w:sz w:val="20"/>
                <w:szCs w:val="20"/>
                <w:lang w:eastAsia="en-US"/>
              </w:rPr>
            </w:pPr>
          </w:p>
        </w:tc>
        <w:tc>
          <w:tcPr>
            <w:tcW w:w="1305" w:type="dxa"/>
          </w:tcPr>
          <w:p w14:paraId="1DA891B6" w14:textId="77777777" w:rsidR="00F739A6" w:rsidRPr="00F739A6" w:rsidRDefault="00F739A6" w:rsidP="00F739A6">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1 March 2015</w:t>
            </w:r>
          </w:p>
        </w:tc>
        <w:tc>
          <w:tcPr>
            <w:tcW w:w="1573" w:type="dxa"/>
          </w:tcPr>
          <w:p w14:paraId="66EAB128" w14:textId="77777777" w:rsidR="00F739A6" w:rsidRPr="00F739A6" w:rsidRDefault="00F739A6" w:rsidP="00F739A6">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31 March 2015</w:t>
            </w:r>
          </w:p>
        </w:tc>
      </w:tr>
      <w:tr w:rsidR="00F739A6" w:rsidRPr="00F739A6" w14:paraId="6D82C3C4" w14:textId="77777777" w:rsidTr="00425C41">
        <w:tc>
          <w:tcPr>
            <w:tcW w:w="1242" w:type="dxa"/>
          </w:tcPr>
          <w:p w14:paraId="613FE4CD" w14:textId="77777777" w:rsidR="00F739A6" w:rsidRPr="00F739A6" w:rsidRDefault="00F739A6" w:rsidP="00F739A6">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4866</w:t>
            </w:r>
          </w:p>
        </w:tc>
        <w:tc>
          <w:tcPr>
            <w:tcW w:w="1418" w:type="dxa"/>
          </w:tcPr>
          <w:p w14:paraId="6B396928" w14:textId="77777777" w:rsidR="00F739A6" w:rsidRPr="00F739A6" w:rsidRDefault="00F739A6" w:rsidP="00F739A6">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 xml:space="preserve">Added that the condition must not be due to age, obesity, cardiovascular diseases, infertility or </w:t>
            </w:r>
            <w:r w:rsidRPr="00F739A6">
              <w:rPr>
                <w:rFonts w:ascii="Calibri" w:eastAsia="Times New Roman" w:hAnsi="Calibri" w:cs="Times New Roman"/>
                <w:sz w:val="20"/>
                <w:szCs w:val="20"/>
                <w:lang w:eastAsia="en-US"/>
              </w:rPr>
              <w:lastRenderedPageBreak/>
              <w:t>drugs.</w:t>
            </w:r>
          </w:p>
          <w:p w14:paraId="148417D3" w14:textId="77777777" w:rsidR="00F739A6" w:rsidRPr="00F739A6" w:rsidRDefault="00F739A6" w:rsidP="00F739A6">
            <w:pPr>
              <w:spacing w:line="276" w:lineRule="auto"/>
              <w:rPr>
                <w:rFonts w:ascii="Calibri" w:eastAsia="Times New Roman" w:hAnsi="Calibri" w:cs="Times New Roman"/>
                <w:sz w:val="20"/>
                <w:szCs w:val="20"/>
                <w:lang w:eastAsia="en-US"/>
              </w:rPr>
            </w:pPr>
          </w:p>
          <w:p w14:paraId="2A92A988" w14:textId="77777777" w:rsidR="00F739A6" w:rsidRPr="00F739A6" w:rsidRDefault="00F739A6" w:rsidP="00F739A6">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Added involvement of a specialist.</w:t>
            </w:r>
          </w:p>
          <w:p w14:paraId="577EA2DE" w14:textId="77777777" w:rsidR="00F739A6" w:rsidRPr="00F739A6" w:rsidRDefault="00F739A6" w:rsidP="00F739A6">
            <w:pPr>
              <w:spacing w:line="276" w:lineRule="auto"/>
              <w:rPr>
                <w:rFonts w:ascii="Calibri" w:eastAsia="Times New Roman" w:hAnsi="Calibri" w:cs="Times New Roman"/>
                <w:sz w:val="20"/>
                <w:szCs w:val="20"/>
                <w:lang w:eastAsia="en-US"/>
              </w:rPr>
            </w:pPr>
          </w:p>
          <w:p w14:paraId="303AFE09" w14:textId="77777777" w:rsidR="00F739A6" w:rsidRPr="00F739A6" w:rsidRDefault="00F739A6" w:rsidP="00F739A6">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 xml:space="preserve">Changed the qualifying testosterone and LH levels. </w:t>
            </w:r>
          </w:p>
          <w:p w14:paraId="62305B83" w14:textId="77777777" w:rsidR="00F739A6" w:rsidRPr="00F739A6" w:rsidRDefault="00F739A6" w:rsidP="00F739A6">
            <w:pPr>
              <w:spacing w:line="276" w:lineRule="auto"/>
              <w:rPr>
                <w:rFonts w:ascii="Calibri" w:eastAsia="Times New Roman" w:hAnsi="Calibri" w:cs="Times New Roman"/>
                <w:sz w:val="20"/>
                <w:szCs w:val="20"/>
                <w:lang w:eastAsia="en-US"/>
              </w:rPr>
            </w:pPr>
          </w:p>
          <w:p w14:paraId="74338BED" w14:textId="77777777" w:rsidR="00F739A6" w:rsidRPr="00F739A6" w:rsidRDefault="00F739A6" w:rsidP="00F739A6">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Added requirement for test results and specialist details to be provided.</w:t>
            </w:r>
          </w:p>
        </w:tc>
        <w:tc>
          <w:tcPr>
            <w:tcW w:w="7371" w:type="dxa"/>
          </w:tcPr>
          <w:p w14:paraId="788BED0B" w14:textId="77777777" w:rsidR="00F739A6" w:rsidRPr="00F739A6" w:rsidRDefault="00F739A6" w:rsidP="00F739A6">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lastRenderedPageBreak/>
              <w:t xml:space="preserve">Androgen deficiency  </w:t>
            </w:r>
          </w:p>
          <w:p w14:paraId="2B11B90E" w14:textId="77777777" w:rsidR="00F739A6" w:rsidRPr="00F739A6" w:rsidRDefault="00F739A6" w:rsidP="00F739A6">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 xml:space="preserve">Clinical criteria:  </w:t>
            </w:r>
          </w:p>
          <w:p w14:paraId="61F523E1" w14:textId="77777777" w:rsidR="00F739A6" w:rsidRPr="00F739A6" w:rsidRDefault="00F739A6" w:rsidP="00F739A6">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 xml:space="preserve">* Patient must not have an established pituitary or testicular disorder,  AND  </w:t>
            </w:r>
          </w:p>
          <w:p w14:paraId="146E47C2" w14:textId="77777777" w:rsidR="00F739A6" w:rsidRPr="00F739A6" w:rsidRDefault="00F739A6" w:rsidP="00F739A6">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 xml:space="preserve">* The condition must not be due to age, obesity, cardiovascular diseases, infertility or drugs.  Population criteria:  </w:t>
            </w:r>
          </w:p>
          <w:p w14:paraId="65C388DC" w14:textId="77777777" w:rsidR="00F739A6" w:rsidRPr="00F739A6" w:rsidRDefault="00F739A6" w:rsidP="00F739A6">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 xml:space="preserve">* Patient must be male,  AND  </w:t>
            </w:r>
          </w:p>
          <w:p w14:paraId="19664048" w14:textId="77777777" w:rsidR="00F739A6" w:rsidRPr="00F739A6" w:rsidRDefault="00F739A6" w:rsidP="00F739A6">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 xml:space="preserve">* Patient must be aged 40 years or older.  </w:t>
            </w:r>
          </w:p>
          <w:p w14:paraId="02BCD444" w14:textId="77777777" w:rsidR="00F739A6" w:rsidRPr="00F739A6" w:rsidRDefault="00F739A6" w:rsidP="00F739A6">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 xml:space="preserve">Treatment criteria:  </w:t>
            </w:r>
          </w:p>
          <w:p w14:paraId="2127DA78" w14:textId="77777777" w:rsidR="00F739A6" w:rsidRPr="00F739A6" w:rsidRDefault="00F739A6" w:rsidP="00F739A6">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lastRenderedPageBreak/>
              <w:t xml:space="preserve">* Must be treated by a specialist urologist, specialist endocrinologist or a registered member of the Australasian Chapter of Sexual Health Medicine; or in consultation with one of these specialists; or have an appointment to be assessed by one of these specialists. </w:t>
            </w:r>
          </w:p>
          <w:p w14:paraId="10F4F60E" w14:textId="77777777" w:rsidR="00F739A6" w:rsidRPr="00F739A6" w:rsidRDefault="00F739A6" w:rsidP="00F739A6">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Androgen deficiency is defined as:</w:t>
            </w:r>
          </w:p>
          <w:p w14:paraId="20903401" w14:textId="77777777" w:rsidR="00F739A6" w:rsidRPr="00F739A6" w:rsidRDefault="00F739A6" w:rsidP="00F739A6">
            <w:pPr>
              <w:numPr>
                <w:ilvl w:val="0"/>
                <w:numId w:val="13"/>
              </w:numPr>
              <w:spacing w:line="276" w:lineRule="auto"/>
              <w:contextualSpacing/>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 xml:space="preserve">testosterone level of less than 6 </w:t>
            </w:r>
            <w:proofErr w:type="spellStart"/>
            <w:r w:rsidRPr="00F739A6">
              <w:rPr>
                <w:rFonts w:ascii="Calibri" w:eastAsia="Times New Roman" w:hAnsi="Calibri" w:cs="Times New Roman"/>
                <w:sz w:val="20"/>
                <w:szCs w:val="20"/>
                <w:lang w:eastAsia="en-US"/>
              </w:rPr>
              <w:t>nmol</w:t>
            </w:r>
            <w:proofErr w:type="spellEnd"/>
            <w:r w:rsidRPr="00F739A6">
              <w:rPr>
                <w:rFonts w:ascii="Calibri" w:eastAsia="Times New Roman" w:hAnsi="Calibri" w:cs="Times New Roman"/>
                <w:sz w:val="20"/>
                <w:szCs w:val="20"/>
                <w:lang w:eastAsia="en-US"/>
              </w:rPr>
              <w:t xml:space="preserve"> per litre; OR</w:t>
            </w:r>
          </w:p>
          <w:p w14:paraId="5727D7B0" w14:textId="77777777" w:rsidR="00F739A6" w:rsidRPr="00F739A6" w:rsidRDefault="00F739A6" w:rsidP="00F739A6">
            <w:pPr>
              <w:numPr>
                <w:ilvl w:val="0"/>
                <w:numId w:val="13"/>
              </w:numPr>
              <w:spacing w:line="276" w:lineRule="auto"/>
              <w:contextualSpacing/>
              <w:rPr>
                <w:rFonts w:ascii="Calibri" w:eastAsia="Times New Roman" w:hAnsi="Calibri" w:cs="Times New Roman"/>
                <w:sz w:val="20"/>
                <w:szCs w:val="20"/>
                <w:lang w:eastAsia="en-US"/>
              </w:rPr>
            </w:pPr>
            <w:proofErr w:type="gramStart"/>
            <w:r w:rsidRPr="00F739A6">
              <w:rPr>
                <w:rFonts w:ascii="Calibri" w:eastAsia="Times New Roman" w:hAnsi="Calibri" w:cs="Times New Roman"/>
                <w:sz w:val="20"/>
                <w:szCs w:val="20"/>
                <w:lang w:eastAsia="en-US"/>
              </w:rPr>
              <w:t>testosterone</w:t>
            </w:r>
            <w:proofErr w:type="gramEnd"/>
            <w:r w:rsidRPr="00F739A6">
              <w:rPr>
                <w:rFonts w:ascii="Calibri" w:eastAsia="Times New Roman" w:hAnsi="Calibri" w:cs="Times New Roman"/>
                <w:sz w:val="20"/>
                <w:szCs w:val="20"/>
                <w:lang w:eastAsia="en-US"/>
              </w:rPr>
              <w:t xml:space="preserve"> level between 6 and 15 </w:t>
            </w:r>
            <w:proofErr w:type="spellStart"/>
            <w:r w:rsidRPr="00F739A6">
              <w:rPr>
                <w:rFonts w:ascii="Calibri" w:eastAsia="Times New Roman" w:hAnsi="Calibri" w:cs="Times New Roman"/>
                <w:sz w:val="20"/>
                <w:szCs w:val="20"/>
                <w:lang w:eastAsia="en-US"/>
              </w:rPr>
              <w:t>nmol</w:t>
            </w:r>
            <w:proofErr w:type="spellEnd"/>
            <w:r w:rsidRPr="00F739A6">
              <w:rPr>
                <w:rFonts w:ascii="Calibri" w:eastAsia="Times New Roman" w:hAnsi="Calibri" w:cs="Times New Roman"/>
                <w:sz w:val="20"/>
                <w:szCs w:val="20"/>
                <w:lang w:eastAsia="en-US"/>
              </w:rPr>
              <w:t xml:space="preserve"> per litre with high luteinising hormone (LH) (greater than 1.5 times the upper limit of the </w:t>
            </w:r>
            <w:proofErr w:type="spellStart"/>
            <w:r w:rsidRPr="00F739A6">
              <w:rPr>
                <w:rFonts w:ascii="Calibri" w:eastAsia="Times New Roman" w:hAnsi="Calibri" w:cs="Times New Roman"/>
                <w:sz w:val="20"/>
                <w:szCs w:val="20"/>
                <w:lang w:eastAsia="en-US"/>
              </w:rPr>
              <w:t>eugonodal</w:t>
            </w:r>
            <w:proofErr w:type="spellEnd"/>
            <w:r w:rsidRPr="00F739A6">
              <w:rPr>
                <w:rFonts w:ascii="Calibri" w:eastAsia="Times New Roman" w:hAnsi="Calibri" w:cs="Times New Roman"/>
                <w:sz w:val="20"/>
                <w:szCs w:val="20"/>
                <w:lang w:eastAsia="en-US"/>
              </w:rPr>
              <w:t xml:space="preserve"> reference range for young men, or greater than 14 IU per litre, whichever is higher).</w:t>
            </w:r>
          </w:p>
          <w:p w14:paraId="2E8A6629" w14:textId="77777777" w:rsidR="00F739A6" w:rsidRPr="00F739A6" w:rsidRDefault="00F739A6" w:rsidP="00F739A6">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Androgen deficiency must be confirmed by at least two morning blood samples taken on different mornings. The dates and levels of the qualifying testosterone and LH measurements must be, or must have been provided in the authority application when treatment with this drug is or was initiated. The name of the specialist must be included in the authority application.</w:t>
            </w:r>
          </w:p>
          <w:p w14:paraId="0E7E09F7" w14:textId="77777777" w:rsidR="00F739A6" w:rsidRPr="00F739A6" w:rsidRDefault="00F739A6" w:rsidP="00F739A6">
            <w:pPr>
              <w:spacing w:line="276" w:lineRule="auto"/>
              <w:rPr>
                <w:rFonts w:ascii="Calibri" w:eastAsia="Times New Roman" w:hAnsi="Calibri" w:cs="Times New Roman"/>
                <w:sz w:val="20"/>
                <w:szCs w:val="20"/>
                <w:lang w:eastAsia="en-US"/>
              </w:rPr>
            </w:pPr>
          </w:p>
        </w:tc>
        <w:tc>
          <w:tcPr>
            <w:tcW w:w="1305" w:type="dxa"/>
          </w:tcPr>
          <w:p w14:paraId="1450FEC2" w14:textId="77777777" w:rsidR="00F739A6" w:rsidRPr="00F739A6" w:rsidRDefault="00F739A6" w:rsidP="00F739A6">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lastRenderedPageBreak/>
              <w:t>1 April 2015</w:t>
            </w:r>
          </w:p>
        </w:tc>
        <w:tc>
          <w:tcPr>
            <w:tcW w:w="1573" w:type="dxa"/>
          </w:tcPr>
          <w:p w14:paraId="024A0A88" w14:textId="77777777" w:rsidR="00F739A6" w:rsidRPr="00F739A6" w:rsidRDefault="00F739A6" w:rsidP="00F739A6">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30 September 2015</w:t>
            </w:r>
          </w:p>
        </w:tc>
      </w:tr>
      <w:tr w:rsidR="00F739A6" w:rsidRPr="00F739A6" w14:paraId="1C39EE31" w14:textId="77777777" w:rsidTr="00425C41">
        <w:tc>
          <w:tcPr>
            <w:tcW w:w="1242" w:type="dxa"/>
          </w:tcPr>
          <w:p w14:paraId="4C9D3788" w14:textId="77777777" w:rsidR="00F739A6" w:rsidRPr="00F739A6" w:rsidRDefault="00F739A6" w:rsidP="00F739A6">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lastRenderedPageBreak/>
              <w:t>5474</w:t>
            </w:r>
          </w:p>
        </w:tc>
        <w:tc>
          <w:tcPr>
            <w:tcW w:w="1418" w:type="dxa"/>
          </w:tcPr>
          <w:p w14:paraId="46683A71" w14:textId="77777777" w:rsidR="00F739A6" w:rsidRPr="00F739A6" w:rsidRDefault="00F739A6" w:rsidP="00F739A6">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Removed ‘patient must be male’</w:t>
            </w:r>
          </w:p>
        </w:tc>
        <w:tc>
          <w:tcPr>
            <w:tcW w:w="7371" w:type="dxa"/>
          </w:tcPr>
          <w:p w14:paraId="2796D951" w14:textId="77777777" w:rsidR="00F739A6" w:rsidRPr="00F739A6" w:rsidRDefault="00F739A6" w:rsidP="00F739A6">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 xml:space="preserve">Androgen deficiency  </w:t>
            </w:r>
          </w:p>
          <w:p w14:paraId="611BD137" w14:textId="77777777" w:rsidR="00F739A6" w:rsidRPr="00F739A6" w:rsidRDefault="00F739A6" w:rsidP="00F739A6">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 xml:space="preserve">Clinical criteria: </w:t>
            </w:r>
          </w:p>
          <w:p w14:paraId="03360E31" w14:textId="77777777" w:rsidR="00F739A6" w:rsidRPr="00F739A6" w:rsidRDefault="00F739A6" w:rsidP="00F739A6">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 xml:space="preserve">* Patient must not have an established pituitary or testicular disorder,  AND  </w:t>
            </w:r>
          </w:p>
          <w:p w14:paraId="4BCB0DCB" w14:textId="77777777" w:rsidR="00F739A6" w:rsidRPr="00F739A6" w:rsidRDefault="00F739A6" w:rsidP="00F739A6">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 xml:space="preserve">* The condition must not be due to age, obesity, cardiovascular diseases, infertility or drugs.  Population criteria:  * Patient must be aged 40 years or older.  </w:t>
            </w:r>
          </w:p>
          <w:p w14:paraId="47DD1417" w14:textId="77777777" w:rsidR="00F739A6" w:rsidRPr="00F739A6" w:rsidRDefault="00F739A6" w:rsidP="00F739A6">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 xml:space="preserve">Treatment criteria:  </w:t>
            </w:r>
          </w:p>
          <w:p w14:paraId="0758A40E" w14:textId="77777777" w:rsidR="00F739A6" w:rsidRPr="00F739A6" w:rsidRDefault="00F739A6" w:rsidP="00F739A6">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 xml:space="preserve">* Must be treated by a specialist urologist, specialist endocrinologist or a registered member of the Australasian Chapter of Sexual Health Medicine; or in consultation with one of these specialists; or have an appointment to be assessed by one of these specialists. </w:t>
            </w:r>
          </w:p>
          <w:p w14:paraId="6E9A5D90" w14:textId="77777777" w:rsidR="00F739A6" w:rsidRPr="00F739A6" w:rsidRDefault="00F739A6" w:rsidP="00F739A6">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Androgen deficiency is defined as:</w:t>
            </w:r>
          </w:p>
          <w:p w14:paraId="33044B29" w14:textId="77777777" w:rsidR="00F739A6" w:rsidRPr="00F739A6" w:rsidRDefault="00F739A6" w:rsidP="00F739A6">
            <w:pPr>
              <w:numPr>
                <w:ilvl w:val="0"/>
                <w:numId w:val="14"/>
              </w:numPr>
              <w:spacing w:line="276" w:lineRule="auto"/>
              <w:contextualSpacing/>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 xml:space="preserve">testosterone level of less than 6 </w:t>
            </w:r>
            <w:proofErr w:type="spellStart"/>
            <w:r w:rsidRPr="00F739A6">
              <w:rPr>
                <w:rFonts w:ascii="Calibri" w:eastAsia="Times New Roman" w:hAnsi="Calibri" w:cs="Times New Roman"/>
                <w:sz w:val="20"/>
                <w:szCs w:val="20"/>
                <w:lang w:eastAsia="en-US"/>
              </w:rPr>
              <w:t>nmol</w:t>
            </w:r>
            <w:proofErr w:type="spellEnd"/>
            <w:r w:rsidRPr="00F739A6">
              <w:rPr>
                <w:rFonts w:ascii="Calibri" w:eastAsia="Times New Roman" w:hAnsi="Calibri" w:cs="Times New Roman"/>
                <w:sz w:val="20"/>
                <w:szCs w:val="20"/>
                <w:lang w:eastAsia="en-US"/>
              </w:rPr>
              <w:t xml:space="preserve"> per litre; OR</w:t>
            </w:r>
          </w:p>
          <w:p w14:paraId="46C4224F" w14:textId="77777777" w:rsidR="00F739A6" w:rsidRPr="00F739A6" w:rsidRDefault="00F739A6" w:rsidP="00F739A6">
            <w:pPr>
              <w:numPr>
                <w:ilvl w:val="0"/>
                <w:numId w:val="14"/>
              </w:numPr>
              <w:spacing w:line="276" w:lineRule="auto"/>
              <w:contextualSpacing/>
              <w:rPr>
                <w:rFonts w:ascii="Calibri" w:eastAsia="Times New Roman" w:hAnsi="Calibri" w:cs="Times New Roman"/>
                <w:sz w:val="20"/>
                <w:szCs w:val="20"/>
                <w:lang w:eastAsia="en-US"/>
              </w:rPr>
            </w:pPr>
            <w:proofErr w:type="gramStart"/>
            <w:r w:rsidRPr="00F739A6">
              <w:rPr>
                <w:rFonts w:ascii="Calibri" w:eastAsia="Times New Roman" w:hAnsi="Calibri" w:cs="Times New Roman"/>
                <w:sz w:val="20"/>
                <w:szCs w:val="20"/>
                <w:lang w:eastAsia="en-US"/>
              </w:rPr>
              <w:lastRenderedPageBreak/>
              <w:t>testosterone</w:t>
            </w:r>
            <w:proofErr w:type="gramEnd"/>
            <w:r w:rsidRPr="00F739A6">
              <w:rPr>
                <w:rFonts w:ascii="Calibri" w:eastAsia="Times New Roman" w:hAnsi="Calibri" w:cs="Times New Roman"/>
                <w:sz w:val="20"/>
                <w:szCs w:val="20"/>
                <w:lang w:eastAsia="en-US"/>
              </w:rPr>
              <w:t xml:space="preserve"> level between 6 and 15 </w:t>
            </w:r>
            <w:proofErr w:type="spellStart"/>
            <w:r w:rsidRPr="00F739A6">
              <w:rPr>
                <w:rFonts w:ascii="Calibri" w:eastAsia="Times New Roman" w:hAnsi="Calibri" w:cs="Times New Roman"/>
                <w:sz w:val="20"/>
                <w:szCs w:val="20"/>
                <w:lang w:eastAsia="en-US"/>
              </w:rPr>
              <w:t>nmol</w:t>
            </w:r>
            <w:proofErr w:type="spellEnd"/>
            <w:r w:rsidRPr="00F739A6">
              <w:rPr>
                <w:rFonts w:ascii="Calibri" w:eastAsia="Times New Roman" w:hAnsi="Calibri" w:cs="Times New Roman"/>
                <w:sz w:val="20"/>
                <w:szCs w:val="20"/>
                <w:lang w:eastAsia="en-US"/>
              </w:rPr>
              <w:t xml:space="preserve"> per litre with high luteinising hormone (LH) (greater than 1.5 times the upper limit of the </w:t>
            </w:r>
            <w:proofErr w:type="spellStart"/>
            <w:r w:rsidRPr="00F739A6">
              <w:rPr>
                <w:rFonts w:ascii="Calibri" w:eastAsia="Times New Roman" w:hAnsi="Calibri" w:cs="Times New Roman"/>
                <w:sz w:val="20"/>
                <w:szCs w:val="20"/>
                <w:lang w:eastAsia="en-US"/>
              </w:rPr>
              <w:t>eugonodal</w:t>
            </w:r>
            <w:proofErr w:type="spellEnd"/>
            <w:r w:rsidRPr="00F739A6">
              <w:rPr>
                <w:rFonts w:ascii="Calibri" w:eastAsia="Times New Roman" w:hAnsi="Calibri" w:cs="Times New Roman"/>
                <w:sz w:val="20"/>
                <w:szCs w:val="20"/>
                <w:lang w:eastAsia="en-US"/>
              </w:rPr>
              <w:t xml:space="preserve"> reference range for young men, or greater than 14 IU per litre, whichever is higher).</w:t>
            </w:r>
          </w:p>
          <w:p w14:paraId="6D65164D" w14:textId="77777777" w:rsidR="00F739A6" w:rsidRPr="00F739A6" w:rsidRDefault="00F739A6" w:rsidP="00F739A6">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Androgen deficiency must be confirmed by at least two morning blood samples taken on different mornings. The dates and levels of the qualifying testosterone and LH measurements must be, or must have been provided in the authority application when treatment with this drug is or was initiated. The name of the specialist must be included in the authority application.</w:t>
            </w:r>
          </w:p>
          <w:p w14:paraId="5A156D80" w14:textId="77777777" w:rsidR="00F739A6" w:rsidRPr="00F739A6" w:rsidRDefault="00F739A6" w:rsidP="00F739A6">
            <w:pPr>
              <w:spacing w:line="276" w:lineRule="auto"/>
              <w:rPr>
                <w:rFonts w:ascii="Calibri" w:eastAsia="Times New Roman" w:hAnsi="Calibri" w:cs="Times New Roman"/>
                <w:sz w:val="20"/>
                <w:szCs w:val="20"/>
                <w:lang w:eastAsia="en-US"/>
              </w:rPr>
            </w:pPr>
          </w:p>
        </w:tc>
        <w:tc>
          <w:tcPr>
            <w:tcW w:w="1305" w:type="dxa"/>
          </w:tcPr>
          <w:p w14:paraId="0316A623" w14:textId="77777777" w:rsidR="00F739A6" w:rsidRPr="00F739A6" w:rsidRDefault="00F739A6" w:rsidP="00F739A6">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lastRenderedPageBreak/>
              <w:t>1 October 2015</w:t>
            </w:r>
          </w:p>
        </w:tc>
        <w:tc>
          <w:tcPr>
            <w:tcW w:w="1573" w:type="dxa"/>
          </w:tcPr>
          <w:p w14:paraId="16F05001" w14:textId="77777777" w:rsidR="00F739A6" w:rsidRPr="00F739A6" w:rsidRDefault="00F739A6" w:rsidP="00F739A6">
            <w:pPr>
              <w:spacing w:line="276" w:lineRule="auto"/>
              <w:rPr>
                <w:rFonts w:ascii="Calibri" w:eastAsia="Times New Roman" w:hAnsi="Calibri" w:cs="Times New Roman"/>
                <w:sz w:val="20"/>
                <w:szCs w:val="20"/>
                <w:lang w:eastAsia="en-US"/>
              </w:rPr>
            </w:pPr>
            <w:r w:rsidRPr="00F739A6">
              <w:rPr>
                <w:rFonts w:ascii="Calibri" w:eastAsia="Times New Roman" w:hAnsi="Calibri" w:cs="Times New Roman"/>
                <w:sz w:val="20"/>
                <w:szCs w:val="20"/>
                <w:lang w:eastAsia="en-US"/>
              </w:rPr>
              <w:t>-</w:t>
            </w:r>
          </w:p>
        </w:tc>
      </w:tr>
    </w:tbl>
    <w:p w14:paraId="3139F3AA" w14:textId="77777777" w:rsidR="00F739A6" w:rsidRDefault="00F739A6" w:rsidP="006A7F65">
      <w:pPr>
        <w:spacing w:line="276" w:lineRule="auto"/>
        <w:rPr>
          <w:b/>
          <w:sz w:val="32"/>
          <w:szCs w:val="32"/>
        </w:rPr>
      </w:pPr>
    </w:p>
    <w:p w14:paraId="6362BB99" w14:textId="77777777" w:rsidR="00F739A6" w:rsidRDefault="00F739A6">
      <w:pPr>
        <w:spacing w:line="276" w:lineRule="auto"/>
        <w:rPr>
          <w:b/>
          <w:sz w:val="32"/>
          <w:szCs w:val="32"/>
        </w:rPr>
      </w:pPr>
      <w:r>
        <w:rPr>
          <w:b/>
          <w:sz w:val="32"/>
          <w:szCs w:val="32"/>
        </w:rPr>
        <w:br w:type="page"/>
      </w:r>
    </w:p>
    <w:p w14:paraId="3B92B85E" w14:textId="77777777" w:rsidR="00F739A6" w:rsidRDefault="00F739A6" w:rsidP="006A7F65">
      <w:pPr>
        <w:spacing w:line="276" w:lineRule="auto"/>
        <w:rPr>
          <w:b/>
          <w:sz w:val="32"/>
          <w:szCs w:val="32"/>
        </w:rPr>
        <w:sectPr w:rsidR="00F739A6" w:rsidSect="00F739A6">
          <w:pgSz w:w="16838" w:h="11906" w:orient="landscape"/>
          <w:pgMar w:top="1588" w:right="1644" w:bottom="1361" w:left="1644" w:header="709" w:footer="709" w:gutter="0"/>
          <w:cols w:space="708"/>
          <w:docGrid w:linePitch="360"/>
        </w:sectPr>
      </w:pPr>
    </w:p>
    <w:p w14:paraId="18F9B86E" w14:textId="15F5091C" w:rsidR="00CF0F65" w:rsidRPr="006A7F65" w:rsidRDefault="00CF0F65" w:rsidP="006A7F65">
      <w:pPr>
        <w:spacing w:line="276" w:lineRule="auto"/>
        <w:rPr>
          <w:b/>
          <w:sz w:val="32"/>
          <w:szCs w:val="32"/>
        </w:rPr>
      </w:pPr>
      <w:r w:rsidRPr="006A7F65">
        <w:rPr>
          <w:b/>
          <w:sz w:val="32"/>
          <w:szCs w:val="32"/>
        </w:rPr>
        <w:lastRenderedPageBreak/>
        <w:t xml:space="preserve">Appendix </w:t>
      </w:r>
      <w:r w:rsidR="00F739A6">
        <w:rPr>
          <w:b/>
          <w:sz w:val="32"/>
          <w:szCs w:val="32"/>
        </w:rPr>
        <w:t>C</w:t>
      </w:r>
    </w:p>
    <w:p w14:paraId="3EE2C5FB" w14:textId="63BB1E19" w:rsidR="00F92C22" w:rsidRPr="00096DB5" w:rsidRDefault="00F92C22" w:rsidP="00F92C22">
      <w:pPr>
        <w:pStyle w:val="Tabletitle"/>
      </w:pPr>
      <w:r w:rsidRPr="00096DB5">
        <w:t xml:space="preserve">Table </w:t>
      </w:r>
      <w:r w:rsidR="00F739A6">
        <w:t>C.1</w:t>
      </w:r>
      <w:r w:rsidRPr="00096DB5">
        <w:t>: Dosage and administration of testosterone</w:t>
      </w:r>
      <w:r w:rsidR="00F739A6">
        <w:t xml:space="preserve"> products</w:t>
      </w:r>
    </w:p>
    <w:tbl>
      <w:tblPr>
        <w:tblStyle w:val="TableGrid"/>
        <w:tblW w:w="9180" w:type="dxa"/>
        <w:tblLook w:val="04A0" w:firstRow="1" w:lastRow="0" w:firstColumn="1" w:lastColumn="0" w:noHBand="0" w:noVBand="1"/>
        <w:tblCaption w:val="Dosage and administration of testosterone products"/>
        <w:tblDescription w:val="Dosage and administration of testosterone products"/>
      </w:tblPr>
      <w:tblGrid>
        <w:gridCol w:w="2660"/>
        <w:gridCol w:w="2268"/>
        <w:gridCol w:w="4252"/>
      </w:tblGrid>
      <w:tr w:rsidR="00F92C22" w:rsidRPr="00A35800" w14:paraId="449AB277" w14:textId="77777777" w:rsidTr="006021D5">
        <w:trPr>
          <w:trHeight w:val="140"/>
          <w:tblHeader/>
        </w:trPr>
        <w:tc>
          <w:tcPr>
            <w:tcW w:w="2660" w:type="dxa"/>
            <w:shd w:val="clear" w:color="auto" w:fill="BFBFBF" w:themeFill="background1" w:themeFillShade="BF"/>
          </w:tcPr>
          <w:p w14:paraId="1CD1FBBD" w14:textId="77777777" w:rsidR="00F92C22" w:rsidRPr="00A35800" w:rsidRDefault="00F92C22" w:rsidP="006021D5">
            <w:pPr>
              <w:pStyle w:val="Tableheading"/>
              <w:rPr>
                <w:sz w:val="20"/>
                <w:szCs w:val="20"/>
              </w:rPr>
            </w:pPr>
            <w:r w:rsidRPr="00A35800">
              <w:rPr>
                <w:sz w:val="20"/>
                <w:szCs w:val="20"/>
              </w:rPr>
              <w:t>Brand name and sponsor</w:t>
            </w:r>
          </w:p>
        </w:tc>
        <w:tc>
          <w:tcPr>
            <w:tcW w:w="2268" w:type="dxa"/>
            <w:shd w:val="clear" w:color="auto" w:fill="BFBFBF" w:themeFill="background1" w:themeFillShade="BF"/>
          </w:tcPr>
          <w:p w14:paraId="3EB33510" w14:textId="77777777" w:rsidR="00F92C22" w:rsidRPr="00A35800" w:rsidRDefault="00F92C22" w:rsidP="006021D5">
            <w:pPr>
              <w:pStyle w:val="Tableheading"/>
              <w:rPr>
                <w:sz w:val="20"/>
                <w:szCs w:val="20"/>
              </w:rPr>
            </w:pPr>
            <w:r w:rsidRPr="00A35800">
              <w:rPr>
                <w:sz w:val="20"/>
                <w:szCs w:val="20"/>
              </w:rPr>
              <w:t>Product</w:t>
            </w:r>
          </w:p>
        </w:tc>
        <w:tc>
          <w:tcPr>
            <w:tcW w:w="4252" w:type="dxa"/>
            <w:shd w:val="clear" w:color="auto" w:fill="BFBFBF" w:themeFill="background1" w:themeFillShade="BF"/>
          </w:tcPr>
          <w:p w14:paraId="7C077183" w14:textId="77777777" w:rsidR="00F92C22" w:rsidRPr="00A35800" w:rsidRDefault="00F92C22" w:rsidP="006021D5">
            <w:pPr>
              <w:pStyle w:val="Tableheading"/>
              <w:rPr>
                <w:sz w:val="20"/>
                <w:szCs w:val="20"/>
              </w:rPr>
            </w:pPr>
            <w:r w:rsidRPr="00A35800">
              <w:rPr>
                <w:sz w:val="20"/>
                <w:szCs w:val="20"/>
              </w:rPr>
              <w:t xml:space="preserve">Dose and frequency of administration </w:t>
            </w:r>
          </w:p>
        </w:tc>
      </w:tr>
      <w:tr w:rsidR="00F92C22" w:rsidRPr="00A35800" w14:paraId="6A99E882" w14:textId="77777777" w:rsidTr="006021D5">
        <w:trPr>
          <w:trHeight w:val="140"/>
        </w:trPr>
        <w:tc>
          <w:tcPr>
            <w:tcW w:w="2660" w:type="dxa"/>
          </w:tcPr>
          <w:p w14:paraId="7DBD4D14" w14:textId="77777777" w:rsidR="00F92C22" w:rsidRPr="00A35800" w:rsidRDefault="00F92C22" w:rsidP="006021D5">
            <w:pPr>
              <w:pStyle w:val="Tablewriting"/>
            </w:pPr>
            <w:proofErr w:type="spellStart"/>
            <w:r>
              <w:t>Primoteston</w:t>
            </w:r>
            <w:proofErr w:type="spellEnd"/>
            <w:r>
              <w:rPr>
                <w:rFonts w:ascii="Calibri" w:hAnsi="Calibri"/>
              </w:rPr>
              <w:t>®</w:t>
            </w:r>
            <w:r>
              <w:t xml:space="preserve"> Bayer Australia Ltd</w:t>
            </w:r>
          </w:p>
        </w:tc>
        <w:tc>
          <w:tcPr>
            <w:tcW w:w="2268" w:type="dxa"/>
          </w:tcPr>
          <w:p w14:paraId="6242EDE7" w14:textId="77777777" w:rsidR="00F92C22" w:rsidRPr="00A35800" w:rsidRDefault="00F92C22" w:rsidP="006021D5">
            <w:pPr>
              <w:pStyle w:val="Tablewriting"/>
            </w:pPr>
            <w:r>
              <w:t xml:space="preserve">Testosterone </w:t>
            </w:r>
            <w:proofErr w:type="spellStart"/>
            <w:r>
              <w:t>enanthate</w:t>
            </w:r>
            <w:proofErr w:type="spellEnd"/>
            <w:r>
              <w:t xml:space="preserve"> intramuscular injection</w:t>
            </w:r>
          </w:p>
        </w:tc>
        <w:tc>
          <w:tcPr>
            <w:tcW w:w="4252" w:type="dxa"/>
          </w:tcPr>
          <w:p w14:paraId="3CAD9780" w14:textId="77777777" w:rsidR="00F92C22" w:rsidRPr="00A35800" w:rsidRDefault="00F92C22" w:rsidP="006021D5">
            <w:pPr>
              <w:pStyle w:val="Tablewriting"/>
            </w:pPr>
            <w:r w:rsidRPr="00735593">
              <w:t xml:space="preserve">For the development and stimulation of still underdeveloped androgen-dependent target organs and for the initial treatment of deficiency symptoms: </w:t>
            </w:r>
            <w:r>
              <w:t>250 mg</w:t>
            </w:r>
            <w:r w:rsidRPr="00735593">
              <w:t xml:space="preserve"> </w:t>
            </w:r>
            <w:r>
              <w:t>IM</w:t>
            </w:r>
            <w:r w:rsidRPr="00735593">
              <w:t xml:space="preserve"> every 2-3 weeks. To maintain an adequate androgenic effect, </w:t>
            </w:r>
            <w:r>
              <w:t>250 mg</w:t>
            </w:r>
            <w:r w:rsidRPr="00735593">
              <w:t xml:space="preserve"> </w:t>
            </w:r>
            <w:r>
              <w:t>IM</w:t>
            </w:r>
            <w:r w:rsidRPr="00735593">
              <w:t xml:space="preserve"> every 3-4 weeks. Shorter </w:t>
            </w:r>
            <w:r>
              <w:t xml:space="preserve">or longer </w:t>
            </w:r>
            <w:r w:rsidRPr="00735593">
              <w:t>injection intervals may be necessary depending on the indi</w:t>
            </w:r>
            <w:r>
              <w:t xml:space="preserve">vidual requirement for hormone. </w:t>
            </w:r>
            <w:r w:rsidRPr="00735593">
              <w:t>Serum testosterone levels should be measured before start of treatment and periodically during the treatment as recommended by current treatment guidelines.</w:t>
            </w:r>
          </w:p>
        </w:tc>
      </w:tr>
      <w:tr w:rsidR="00F92C22" w:rsidRPr="00A35800" w14:paraId="1A28F630" w14:textId="77777777" w:rsidTr="006021D5">
        <w:trPr>
          <w:trHeight w:val="140"/>
        </w:trPr>
        <w:tc>
          <w:tcPr>
            <w:tcW w:w="2660" w:type="dxa"/>
          </w:tcPr>
          <w:p w14:paraId="2D79A95B" w14:textId="77777777" w:rsidR="00F92C22" w:rsidRDefault="00F92C22" w:rsidP="006021D5">
            <w:pPr>
              <w:pStyle w:val="Tablewriting"/>
            </w:pPr>
            <w:proofErr w:type="spellStart"/>
            <w:r>
              <w:t>Reandron</w:t>
            </w:r>
            <w:proofErr w:type="spellEnd"/>
            <w:r>
              <w:rPr>
                <w:rFonts w:ascii="Calibri" w:hAnsi="Calibri"/>
              </w:rPr>
              <w:t xml:space="preserve">® </w:t>
            </w:r>
            <w:r>
              <w:t>Bayer Australia Ltd</w:t>
            </w:r>
          </w:p>
        </w:tc>
        <w:tc>
          <w:tcPr>
            <w:tcW w:w="2268" w:type="dxa"/>
          </w:tcPr>
          <w:p w14:paraId="2F62D1A4" w14:textId="77777777" w:rsidR="00F92C22" w:rsidRDefault="00F92C22" w:rsidP="006021D5">
            <w:pPr>
              <w:pStyle w:val="Tablewriting"/>
            </w:pPr>
            <w:r>
              <w:t>Testosterone undecanoate intramuscular injection</w:t>
            </w:r>
          </w:p>
        </w:tc>
        <w:tc>
          <w:tcPr>
            <w:tcW w:w="4252" w:type="dxa"/>
          </w:tcPr>
          <w:p w14:paraId="7D114249" w14:textId="77777777" w:rsidR="00F92C22" w:rsidRPr="00735593" w:rsidRDefault="00F92C22" w:rsidP="006021D5">
            <w:pPr>
              <w:pStyle w:val="Tablewriting"/>
            </w:pPr>
            <w:r>
              <w:t xml:space="preserve">1 g every 10 to 14 weeks IM </w:t>
            </w:r>
            <w:r w:rsidRPr="00620C5B">
              <w:t>where testosterone deficiency has been confirmed by clinical features and biochemical tests.</w:t>
            </w:r>
          </w:p>
        </w:tc>
      </w:tr>
      <w:tr w:rsidR="00F92C22" w:rsidRPr="00A35800" w14:paraId="73ED1630" w14:textId="77777777" w:rsidTr="006021D5">
        <w:trPr>
          <w:trHeight w:val="140"/>
        </w:trPr>
        <w:tc>
          <w:tcPr>
            <w:tcW w:w="2660" w:type="dxa"/>
          </w:tcPr>
          <w:p w14:paraId="30795918" w14:textId="77777777" w:rsidR="00F92C22" w:rsidRDefault="00F92C22" w:rsidP="006021D5">
            <w:pPr>
              <w:pStyle w:val="Tablewriting"/>
            </w:pPr>
            <w:proofErr w:type="spellStart"/>
            <w:r>
              <w:t>Andriol</w:t>
            </w:r>
            <w:proofErr w:type="spellEnd"/>
            <w:r>
              <w:t xml:space="preserve"> </w:t>
            </w:r>
            <w:proofErr w:type="spellStart"/>
            <w:r>
              <w:t>Testocaps</w:t>
            </w:r>
            <w:proofErr w:type="spellEnd"/>
            <w:r>
              <w:rPr>
                <w:rFonts w:ascii="Calibri" w:hAnsi="Calibri"/>
              </w:rPr>
              <w:t>®</w:t>
            </w:r>
            <w:r>
              <w:t xml:space="preserve"> Merck Sharp &amp; </w:t>
            </w:r>
            <w:proofErr w:type="spellStart"/>
            <w:r>
              <w:t>Dohme</w:t>
            </w:r>
            <w:proofErr w:type="spellEnd"/>
            <w:r>
              <w:t xml:space="preserve"> Pty Ltd</w:t>
            </w:r>
          </w:p>
        </w:tc>
        <w:tc>
          <w:tcPr>
            <w:tcW w:w="2268" w:type="dxa"/>
          </w:tcPr>
          <w:p w14:paraId="3A5BB666" w14:textId="77777777" w:rsidR="00F92C22" w:rsidRDefault="00F92C22" w:rsidP="006021D5">
            <w:pPr>
              <w:pStyle w:val="Tablewriting"/>
            </w:pPr>
            <w:r>
              <w:t>Testosterone undecanoate oral capsules</w:t>
            </w:r>
          </w:p>
        </w:tc>
        <w:tc>
          <w:tcPr>
            <w:tcW w:w="4252" w:type="dxa"/>
          </w:tcPr>
          <w:p w14:paraId="6B71483C" w14:textId="77777777" w:rsidR="00F92C22" w:rsidRDefault="00F92C22" w:rsidP="006021D5">
            <w:pPr>
              <w:pStyle w:val="Tablewriting"/>
            </w:pPr>
            <w:r>
              <w:t xml:space="preserve">The initial dose is usually </w:t>
            </w:r>
            <w:r w:rsidRPr="00620C5B">
              <w:t>120-160</w:t>
            </w:r>
            <w:r>
              <w:t> </w:t>
            </w:r>
            <w:r w:rsidRPr="00620C5B">
              <w:t>mg/day for 2-3 weeks. Subsequent dosage (40-120</w:t>
            </w:r>
            <w:r>
              <w:t> </w:t>
            </w:r>
            <w:r w:rsidRPr="00620C5B">
              <w:t>mg/day) should be based on the clinical effect obtained in the first weeks of therapy.</w:t>
            </w:r>
            <w:r>
              <w:t xml:space="preserve"> M</w:t>
            </w:r>
            <w:r w:rsidRPr="00620C5B">
              <w:t>ust be taken orally with the morning and evening meal. If an uneven number of capsules are to be taken, the greater dose should be taken in the morning.</w:t>
            </w:r>
          </w:p>
        </w:tc>
      </w:tr>
      <w:tr w:rsidR="00F92C22" w:rsidRPr="00A35800" w14:paraId="66EF3BBA" w14:textId="77777777" w:rsidTr="006021D5">
        <w:trPr>
          <w:trHeight w:val="1687"/>
        </w:trPr>
        <w:tc>
          <w:tcPr>
            <w:tcW w:w="2660" w:type="dxa"/>
          </w:tcPr>
          <w:p w14:paraId="69791AF5" w14:textId="77777777" w:rsidR="00F92C22" w:rsidRDefault="00F92C22" w:rsidP="006021D5">
            <w:pPr>
              <w:pStyle w:val="Tablewriting"/>
            </w:pPr>
            <w:proofErr w:type="spellStart"/>
            <w:r>
              <w:t>Testogel</w:t>
            </w:r>
            <w:proofErr w:type="spellEnd"/>
            <w:r>
              <w:rPr>
                <w:rFonts w:ascii="Calibri" w:hAnsi="Calibri"/>
              </w:rPr>
              <w:t xml:space="preserve">® </w:t>
            </w:r>
            <w:proofErr w:type="spellStart"/>
            <w:r>
              <w:rPr>
                <w:rFonts w:ascii="Calibri" w:hAnsi="Calibri"/>
              </w:rPr>
              <w:t>Besins</w:t>
            </w:r>
            <w:proofErr w:type="spellEnd"/>
            <w:r>
              <w:rPr>
                <w:rFonts w:ascii="Calibri" w:hAnsi="Calibri"/>
              </w:rPr>
              <w:t xml:space="preserve"> Healthcare Australia Pty Ltd</w:t>
            </w:r>
          </w:p>
        </w:tc>
        <w:tc>
          <w:tcPr>
            <w:tcW w:w="2268" w:type="dxa"/>
          </w:tcPr>
          <w:p w14:paraId="660C1C04" w14:textId="77777777" w:rsidR="00F92C22" w:rsidRDefault="00F92C22" w:rsidP="006021D5">
            <w:pPr>
              <w:pStyle w:val="Tablewriting"/>
            </w:pPr>
            <w:r>
              <w:t>Testosterone topical gel in sachets</w:t>
            </w:r>
          </w:p>
        </w:tc>
        <w:tc>
          <w:tcPr>
            <w:tcW w:w="4252" w:type="dxa"/>
          </w:tcPr>
          <w:p w14:paraId="799BBEAF" w14:textId="77777777" w:rsidR="00F92C22" w:rsidRPr="00735593" w:rsidRDefault="00F92C22" w:rsidP="006021D5">
            <w:pPr>
              <w:pStyle w:val="Tablewriting"/>
            </w:pPr>
            <w:r w:rsidRPr="00735593">
              <w:t>5 g of gel (i.e. 50 mg of testosterone which equates to four pump actuations, two 25 mg sachets or one 50 mg sachet) applied once daily at about the same time, preferably in the morning. The daily dose should be adjusted by the doctor depending on the clinical or laboratory response in individual patients, not exceeding 10 g of gel per day. The adjustment of dosage should be achieved by 2.5 g of gel steps.</w:t>
            </w:r>
          </w:p>
        </w:tc>
      </w:tr>
      <w:tr w:rsidR="00F92C22" w:rsidRPr="00A35800" w14:paraId="0E0F6A72" w14:textId="77777777" w:rsidTr="006021D5">
        <w:trPr>
          <w:trHeight w:val="1261"/>
        </w:trPr>
        <w:tc>
          <w:tcPr>
            <w:tcW w:w="2660" w:type="dxa"/>
          </w:tcPr>
          <w:p w14:paraId="02D34E07" w14:textId="77777777" w:rsidR="00F92C22" w:rsidRDefault="00F92C22" w:rsidP="006021D5">
            <w:pPr>
              <w:pStyle w:val="Tablewriting"/>
            </w:pPr>
            <w:proofErr w:type="spellStart"/>
            <w:r>
              <w:t>Testogel</w:t>
            </w:r>
            <w:proofErr w:type="spellEnd"/>
            <w:r>
              <w:rPr>
                <w:rFonts w:ascii="Calibri" w:hAnsi="Calibri"/>
              </w:rPr>
              <w:t xml:space="preserve">® </w:t>
            </w:r>
            <w:proofErr w:type="spellStart"/>
            <w:r>
              <w:rPr>
                <w:rFonts w:ascii="Calibri" w:hAnsi="Calibri"/>
              </w:rPr>
              <w:t>Besins</w:t>
            </w:r>
            <w:proofErr w:type="spellEnd"/>
            <w:r>
              <w:rPr>
                <w:rFonts w:ascii="Calibri" w:hAnsi="Calibri"/>
              </w:rPr>
              <w:t xml:space="preserve"> Healthcare Australia Pty Ltd</w:t>
            </w:r>
          </w:p>
        </w:tc>
        <w:tc>
          <w:tcPr>
            <w:tcW w:w="2268" w:type="dxa"/>
          </w:tcPr>
          <w:p w14:paraId="7F6514E4" w14:textId="77777777" w:rsidR="00F92C22" w:rsidRDefault="00F92C22" w:rsidP="006021D5">
            <w:pPr>
              <w:pStyle w:val="Tablewriting"/>
            </w:pPr>
            <w:r>
              <w:t>Testosterone topical gel in pump pack</w:t>
            </w:r>
          </w:p>
        </w:tc>
        <w:tc>
          <w:tcPr>
            <w:tcW w:w="4252" w:type="dxa"/>
          </w:tcPr>
          <w:p w14:paraId="63DF716E" w14:textId="77777777" w:rsidR="00F92C22" w:rsidRPr="00735593" w:rsidRDefault="00F92C22" w:rsidP="006021D5">
            <w:pPr>
              <w:pStyle w:val="Tablewriting"/>
            </w:pPr>
            <w:r w:rsidRPr="00F44BA8">
              <w:t>Each pump actuation delivers 12.5 mg of testosterone in 1.25 g of gel and to obtain the equivalent of 50mg of testosterone, 4 pump actuations are needed.</w:t>
            </w:r>
            <w:r>
              <w:t xml:space="preserve"> Dose titration as above.</w:t>
            </w:r>
          </w:p>
        </w:tc>
      </w:tr>
      <w:tr w:rsidR="00F92C22" w:rsidRPr="00A35800" w14:paraId="67DA4E29" w14:textId="77777777" w:rsidTr="006021D5">
        <w:trPr>
          <w:trHeight w:val="1265"/>
        </w:trPr>
        <w:tc>
          <w:tcPr>
            <w:tcW w:w="2660" w:type="dxa"/>
          </w:tcPr>
          <w:p w14:paraId="007356F5" w14:textId="77777777" w:rsidR="00F92C22" w:rsidRDefault="00F92C22" w:rsidP="006021D5">
            <w:pPr>
              <w:pStyle w:val="Tablewriting"/>
            </w:pPr>
            <w:proofErr w:type="spellStart"/>
            <w:r>
              <w:t>Axiron</w:t>
            </w:r>
            <w:proofErr w:type="spellEnd"/>
            <w:r>
              <w:rPr>
                <w:rFonts w:ascii="Calibri" w:hAnsi="Calibri"/>
              </w:rPr>
              <w:t>®</w:t>
            </w:r>
            <w:r>
              <w:t xml:space="preserve"> Eli Lilly Australia Pty Ltd</w:t>
            </w:r>
          </w:p>
        </w:tc>
        <w:tc>
          <w:tcPr>
            <w:tcW w:w="2268" w:type="dxa"/>
          </w:tcPr>
          <w:p w14:paraId="63DBA9AD" w14:textId="77777777" w:rsidR="00F92C22" w:rsidRDefault="00F92C22" w:rsidP="006021D5">
            <w:pPr>
              <w:pStyle w:val="Tablewriting"/>
            </w:pPr>
            <w:r>
              <w:t xml:space="preserve">Testosterone topical liquid for axillary application </w:t>
            </w:r>
          </w:p>
        </w:tc>
        <w:tc>
          <w:tcPr>
            <w:tcW w:w="4252" w:type="dxa"/>
          </w:tcPr>
          <w:p w14:paraId="7D094649" w14:textId="77777777" w:rsidR="00F92C22" w:rsidRPr="00735593" w:rsidRDefault="00F92C22" w:rsidP="006021D5">
            <w:pPr>
              <w:pStyle w:val="Tablewriting"/>
            </w:pPr>
            <w:r w:rsidRPr="00620C5B">
              <w:t>60mg of testosterone (3 m</w:t>
            </w:r>
            <w:r>
              <w:t>L</w:t>
            </w:r>
            <w:r w:rsidRPr="00620C5B">
              <w:t xml:space="preserve"> or one pump actuation of 30mg testosterone applied to each underarm) once daily at approximately the same time each day. </w:t>
            </w:r>
          </w:p>
        </w:tc>
      </w:tr>
      <w:tr w:rsidR="00F92C22" w:rsidRPr="00A35800" w14:paraId="187E2630" w14:textId="77777777" w:rsidTr="006021D5">
        <w:trPr>
          <w:trHeight w:val="2981"/>
        </w:trPr>
        <w:tc>
          <w:tcPr>
            <w:tcW w:w="2660" w:type="dxa"/>
          </w:tcPr>
          <w:p w14:paraId="3CF56D76" w14:textId="77777777" w:rsidR="00F92C22" w:rsidRDefault="00F92C22" w:rsidP="006021D5">
            <w:pPr>
              <w:pStyle w:val="Tablewriting"/>
            </w:pPr>
            <w:proofErr w:type="spellStart"/>
            <w:r>
              <w:lastRenderedPageBreak/>
              <w:t>Androforte</w:t>
            </w:r>
            <w:proofErr w:type="spellEnd"/>
            <w:r>
              <w:rPr>
                <w:rFonts w:ascii="Calibri" w:hAnsi="Calibri"/>
              </w:rPr>
              <w:t>®</w:t>
            </w:r>
            <w:r>
              <w:t xml:space="preserve"> </w:t>
            </w:r>
            <w:proofErr w:type="spellStart"/>
            <w:r>
              <w:t>Lawley</w:t>
            </w:r>
            <w:proofErr w:type="spellEnd"/>
            <w:r>
              <w:t xml:space="preserve"> Pharmaceuticals Pty Ltd</w:t>
            </w:r>
          </w:p>
        </w:tc>
        <w:tc>
          <w:tcPr>
            <w:tcW w:w="2268" w:type="dxa"/>
          </w:tcPr>
          <w:p w14:paraId="2E75174B" w14:textId="77777777" w:rsidR="00F92C22" w:rsidRDefault="00F92C22" w:rsidP="006021D5">
            <w:pPr>
              <w:pStyle w:val="Tablewriting"/>
            </w:pPr>
            <w:r>
              <w:t>Testosterone cream</w:t>
            </w:r>
          </w:p>
        </w:tc>
        <w:tc>
          <w:tcPr>
            <w:tcW w:w="4252" w:type="dxa"/>
          </w:tcPr>
          <w:p w14:paraId="5D0B6067" w14:textId="77777777" w:rsidR="00F92C22" w:rsidRPr="00620C5B" w:rsidRDefault="00F92C22" w:rsidP="006021D5">
            <w:pPr>
              <w:pStyle w:val="Tablewriting"/>
            </w:pPr>
            <w:r w:rsidRPr="005E43CA">
              <w:t>The recommended dose is 2 mL of cream (i.e. 100 mg of testosterone) applied once daily at about the same time, preferably in the morning. The daily dose should be adjusted by the doctor depending on the clinical or laboratory response in individual patients, not exceeding 4 mL of cream per day. The adjustment of dosage should be achieved by 1 mL of cream steps.</w:t>
            </w:r>
          </w:p>
        </w:tc>
      </w:tr>
      <w:tr w:rsidR="00F92C22" w:rsidRPr="00A35800" w14:paraId="4B6B0D74" w14:textId="77777777" w:rsidTr="006021D5">
        <w:trPr>
          <w:trHeight w:val="455"/>
        </w:trPr>
        <w:tc>
          <w:tcPr>
            <w:tcW w:w="2660" w:type="dxa"/>
          </w:tcPr>
          <w:p w14:paraId="3A8BBFF4" w14:textId="77777777" w:rsidR="00F92C22" w:rsidRDefault="00F92C22" w:rsidP="006021D5">
            <w:pPr>
              <w:pStyle w:val="Tablewriting"/>
            </w:pPr>
            <w:proofErr w:type="spellStart"/>
            <w:r>
              <w:t>Androderm</w:t>
            </w:r>
            <w:proofErr w:type="spellEnd"/>
            <w:r>
              <w:t>® Allergan Australia Pty Ltd</w:t>
            </w:r>
          </w:p>
        </w:tc>
        <w:tc>
          <w:tcPr>
            <w:tcW w:w="2268" w:type="dxa"/>
          </w:tcPr>
          <w:p w14:paraId="1E4FB62E" w14:textId="77777777" w:rsidR="00F92C22" w:rsidRDefault="00F92C22" w:rsidP="006021D5">
            <w:pPr>
              <w:pStyle w:val="Tablewriting"/>
            </w:pPr>
            <w:r>
              <w:t>Testosterone transdermal patch</w:t>
            </w:r>
          </w:p>
        </w:tc>
        <w:tc>
          <w:tcPr>
            <w:tcW w:w="4252" w:type="dxa"/>
          </w:tcPr>
          <w:p w14:paraId="730CC193" w14:textId="77777777" w:rsidR="00F92C22" w:rsidRPr="00620C5B" w:rsidRDefault="00F92C22" w:rsidP="006021D5">
            <w:pPr>
              <w:pStyle w:val="Tablewriting"/>
            </w:pPr>
            <w:r w:rsidRPr="00620C5B">
              <w:t xml:space="preserve">5 mg/day </w:t>
            </w:r>
            <w:r>
              <w:t>t</w:t>
            </w:r>
            <w:r w:rsidRPr="00620C5B">
              <w:t xml:space="preserve">ransdermal </w:t>
            </w:r>
            <w:r>
              <w:t>p</w:t>
            </w:r>
            <w:r w:rsidRPr="00620C5B">
              <w:t xml:space="preserve">atch applied nightly (approximately 10.00pm) and worn for 24 hours, providing approximately 5 mg testosterone per day. The dose can be adjusted up to 7.5 mg/day (i.e., one 5 mg/day and one 2.5 mg/day patches or three 2.5 mg/day patches) nightly or down to 2.5 mg/day (i.e., one 2.5 mg/day patch) nightly depending on the serum testosterone measured in the morning after the application. Measurement of serum testosterone should be repeated taking care to ensure proper patch adhesion and correct time of application before the dose is adjusted. Treatment in non-virilised patients may be initiated with one </w:t>
            </w:r>
            <w:proofErr w:type="spellStart"/>
            <w:r w:rsidRPr="00620C5B">
              <w:t>Androderm</w:t>
            </w:r>
            <w:proofErr w:type="spellEnd"/>
            <w:r w:rsidRPr="00620C5B">
              <w:t xml:space="preserve">® 2.5 mg/day </w:t>
            </w:r>
            <w:r>
              <w:t>patch</w:t>
            </w:r>
            <w:r w:rsidRPr="00620C5B">
              <w:t xml:space="preserve"> applied nightly. The dose should be adjusted as appropriate. Three patches per day may be required for men with a higher body weight (&gt;130kg). The duration of treatment and frequency of testosterone measurements is determined by the physician.</w:t>
            </w:r>
          </w:p>
        </w:tc>
      </w:tr>
      <w:tr w:rsidR="003368ED" w:rsidRPr="00A35800" w14:paraId="4EFF6047" w14:textId="77777777" w:rsidTr="006021D5">
        <w:trPr>
          <w:trHeight w:val="455"/>
        </w:trPr>
        <w:tc>
          <w:tcPr>
            <w:tcW w:w="2660" w:type="dxa"/>
          </w:tcPr>
          <w:p w14:paraId="191719AF" w14:textId="57D4D4B1" w:rsidR="003368ED" w:rsidRDefault="003368ED" w:rsidP="006021D5">
            <w:pPr>
              <w:pStyle w:val="Tablewriting"/>
            </w:pPr>
            <w:proofErr w:type="spellStart"/>
            <w:r>
              <w:t>Sustanon</w:t>
            </w:r>
            <w:proofErr w:type="spellEnd"/>
            <w:r>
              <w:t xml:space="preserve"> 250® Aspen </w:t>
            </w:r>
            <w:proofErr w:type="spellStart"/>
            <w:r>
              <w:t>Pharmacare</w:t>
            </w:r>
            <w:proofErr w:type="spellEnd"/>
          </w:p>
        </w:tc>
        <w:tc>
          <w:tcPr>
            <w:tcW w:w="2268" w:type="dxa"/>
          </w:tcPr>
          <w:p w14:paraId="264113BC" w14:textId="3692BA0D" w:rsidR="003368ED" w:rsidRDefault="003368ED" w:rsidP="006021D5">
            <w:pPr>
              <w:pStyle w:val="Tablewriting"/>
            </w:pPr>
            <w:r>
              <w:t>T</w:t>
            </w:r>
            <w:r w:rsidRPr="003368ED">
              <w:t xml:space="preserve">estosterone propionate, testosterone </w:t>
            </w:r>
            <w:proofErr w:type="spellStart"/>
            <w:r w:rsidRPr="003368ED">
              <w:t>phenylpropionate</w:t>
            </w:r>
            <w:proofErr w:type="spellEnd"/>
            <w:r w:rsidRPr="003368ED">
              <w:t xml:space="preserve">, testosterone </w:t>
            </w:r>
            <w:proofErr w:type="spellStart"/>
            <w:r w:rsidRPr="003368ED">
              <w:t>isoc</w:t>
            </w:r>
            <w:r>
              <w:t>aproate</w:t>
            </w:r>
            <w:proofErr w:type="spellEnd"/>
            <w:r>
              <w:t xml:space="preserve">, testosterone </w:t>
            </w:r>
            <w:proofErr w:type="spellStart"/>
            <w:r>
              <w:t>decanoate</w:t>
            </w:r>
            <w:proofErr w:type="spellEnd"/>
            <w:r>
              <w:t xml:space="preserve"> (testosterone esters)</w:t>
            </w:r>
          </w:p>
        </w:tc>
        <w:tc>
          <w:tcPr>
            <w:tcW w:w="4252" w:type="dxa"/>
          </w:tcPr>
          <w:p w14:paraId="299EDFE0" w14:textId="609955BE" w:rsidR="003368ED" w:rsidRPr="00620C5B" w:rsidRDefault="003368ED" w:rsidP="006021D5">
            <w:pPr>
              <w:pStyle w:val="Tablewriting"/>
            </w:pPr>
            <w:r w:rsidRPr="003368ED">
              <w:t>In general, dosage should be adjusted according to the respon</w:t>
            </w:r>
            <w:r>
              <w:t xml:space="preserve">se of the individual patient. </w:t>
            </w:r>
            <w:r w:rsidRPr="003368ED">
              <w:t>Adults including elderly: Usually, one injection of 1mL per three weeks is adequate for</w:t>
            </w:r>
            <w:r>
              <w:t xml:space="preserve"> </w:t>
            </w:r>
            <w:proofErr w:type="spellStart"/>
            <w:r w:rsidRPr="003368ED">
              <w:t>Sustanon</w:t>
            </w:r>
            <w:proofErr w:type="spellEnd"/>
            <w:r w:rsidRPr="003368ED">
              <w:t xml:space="preserve"> '250'.  </w:t>
            </w:r>
            <w:proofErr w:type="spellStart"/>
            <w:r w:rsidRPr="003368ED">
              <w:t>Sustanon</w:t>
            </w:r>
            <w:proofErr w:type="spellEnd"/>
            <w:r w:rsidRPr="003368ED">
              <w:t xml:space="preserve"> should be administered by deep intramuscular injection.</w:t>
            </w:r>
          </w:p>
        </w:tc>
      </w:tr>
    </w:tbl>
    <w:p w14:paraId="7003CA0C" w14:textId="5A25CF96" w:rsidR="003368ED" w:rsidRDefault="00F92C22" w:rsidP="000314D6">
      <w:pPr>
        <w:pStyle w:val="Notes"/>
      </w:pPr>
      <w:r w:rsidRPr="008D2D46">
        <w:t>Source: Product Information accessed on TGA website</w:t>
      </w:r>
      <w:r w:rsidRPr="008D2D46">
        <w:rPr>
          <w:rStyle w:val="FootnoteReference"/>
        </w:rPr>
        <w:footnoteReference w:id="11"/>
      </w:r>
    </w:p>
    <w:p w14:paraId="5C6B1E73" w14:textId="77777777" w:rsidR="003368ED" w:rsidRDefault="003368ED" w:rsidP="00F01F26">
      <w:pPr>
        <w:pStyle w:val="Heading4"/>
      </w:pPr>
    </w:p>
    <w:sectPr w:rsidR="003368ED" w:rsidSect="00F739A6">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50FC2" w14:textId="77777777" w:rsidR="00355884" w:rsidRDefault="00355884" w:rsidP="00A35800">
      <w:r>
        <w:separator/>
      </w:r>
    </w:p>
  </w:endnote>
  <w:endnote w:type="continuationSeparator" w:id="0">
    <w:p w14:paraId="45A4A8C8" w14:textId="77777777" w:rsidR="00355884" w:rsidRDefault="00355884"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BerkeleyStd-Book">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9D5E5" w14:textId="77777777" w:rsidR="00355884" w:rsidRDefault="00355884"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D9F9A1E" w14:textId="77777777" w:rsidR="00355884" w:rsidRDefault="00355884" w:rsidP="00A358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910779"/>
      <w:docPartObj>
        <w:docPartGallery w:val="Page Numbers (Bottom of Page)"/>
        <w:docPartUnique/>
      </w:docPartObj>
    </w:sdtPr>
    <w:sdtEndPr/>
    <w:sdtContent>
      <w:sdt>
        <w:sdtPr>
          <w:id w:val="-705478969"/>
          <w:docPartObj>
            <w:docPartGallery w:val="Page Numbers (Top of Page)"/>
            <w:docPartUnique/>
          </w:docPartObj>
        </w:sdtPr>
        <w:sdtEndPr/>
        <w:sdtContent>
          <w:p w14:paraId="30682B98" w14:textId="4EB42EB8" w:rsidR="00355884" w:rsidRPr="000E72C6" w:rsidRDefault="00355884" w:rsidP="000E72C6">
            <w:pPr>
              <w:pStyle w:val="Footer"/>
              <w:jc w:val="center"/>
              <w:rPr>
                <w:i/>
                <w:sz w:val="20"/>
              </w:rPr>
            </w:pPr>
            <w:r>
              <w:rPr>
                <w:i/>
                <w:sz w:val="20"/>
              </w:rPr>
              <w:t>Public Release Document, September 2016 DUSC Meeting</w:t>
            </w:r>
          </w:p>
          <w:p w14:paraId="10292A9A" w14:textId="275D445E" w:rsidR="00355884" w:rsidRDefault="00355884" w:rsidP="000E72C6">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BF6A44">
              <w:rPr>
                <w:bCs/>
                <w:i/>
                <w:noProof/>
                <w:sz w:val="20"/>
              </w:rPr>
              <w:t>21</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BF6A44">
              <w:rPr>
                <w:bCs/>
                <w:i/>
                <w:noProof/>
                <w:sz w:val="20"/>
              </w:rPr>
              <w:t>29</w:t>
            </w:r>
            <w:r w:rsidRPr="00DD188C">
              <w:rPr>
                <w:bCs/>
                <w:i/>
                <w:sz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22E1F" w14:textId="77777777" w:rsidR="00355884" w:rsidRDefault="00355884" w:rsidP="007A5733">
    <w:pPr>
      <w:pStyle w:val="Footer"/>
      <w:jc w:val="center"/>
      <w:rPr>
        <w:rStyle w:val="PageNumber"/>
      </w:rPr>
    </w:pPr>
    <w:r>
      <w:rPr>
        <w:rStyle w:val="PageNumber"/>
      </w:rPr>
      <w:t>Committee-in-Confidence</w:t>
    </w:r>
  </w:p>
  <w:p w14:paraId="3CE6880B" w14:textId="77777777" w:rsidR="00355884" w:rsidRDefault="00355884" w:rsidP="007A5733">
    <w:pPr>
      <w:pStyle w:val="Footer"/>
      <w:jc w:val="cen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5EEDE" w14:textId="77777777" w:rsidR="00355884" w:rsidRDefault="00355884" w:rsidP="00A35800">
      <w:r>
        <w:separator/>
      </w:r>
    </w:p>
  </w:footnote>
  <w:footnote w:type="continuationSeparator" w:id="0">
    <w:p w14:paraId="7E2CA1E4" w14:textId="77777777" w:rsidR="00355884" w:rsidRDefault="00355884" w:rsidP="00A35800">
      <w:r>
        <w:continuationSeparator/>
      </w:r>
    </w:p>
  </w:footnote>
  <w:footnote w:id="1">
    <w:p w14:paraId="3AE62FED" w14:textId="6CFC965B" w:rsidR="00355884" w:rsidRDefault="00355884">
      <w:pPr>
        <w:pStyle w:val="FootnoteText"/>
      </w:pPr>
      <w:r>
        <w:rPr>
          <w:rStyle w:val="FootnoteReference"/>
        </w:rPr>
        <w:footnoteRef/>
      </w:r>
      <w:r>
        <w:t xml:space="preserve"> </w:t>
      </w:r>
      <w:proofErr w:type="spellStart"/>
      <w:r w:rsidRPr="00601ED6">
        <w:t>Yeap</w:t>
      </w:r>
      <w:proofErr w:type="spellEnd"/>
      <w:r w:rsidRPr="00601ED6">
        <w:t xml:space="preserve"> et al. Endocrine Society of Australia position statement on male hypogonadism (part 1): assessment and indications for testosterone therapy. Med J </w:t>
      </w:r>
      <w:proofErr w:type="spellStart"/>
      <w:r w:rsidRPr="00601ED6">
        <w:t>Aust</w:t>
      </w:r>
      <w:proofErr w:type="spellEnd"/>
      <w:r w:rsidRPr="00601ED6">
        <w:t xml:space="preserve"> 2016; 205(4): 173-179. DOI: 10.5694/mja16.00393.</w:t>
      </w:r>
    </w:p>
  </w:footnote>
  <w:footnote w:id="2">
    <w:p w14:paraId="54DA80B6" w14:textId="77777777" w:rsidR="00355884" w:rsidRDefault="00355884" w:rsidP="00601ED6">
      <w:pPr>
        <w:pStyle w:val="FootnoteText"/>
      </w:pPr>
      <w:r>
        <w:rPr>
          <w:rStyle w:val="FootnoteReference"/>
        </w:rPr>
        <w:footnoteRef/>
      </w:r>
      <w:r>
        <w:t xml:space="preserve"> </w:t>
      </w:r>
      <w:proofErr w:type="gramStart"/>
      <w:r>
        <w:t>T4DM Clinical Trial.</w:t>
      </w:r>
      <w:proofErr w:type="gramEnd"/>
      <w:r>
        <w:t xml:space="preserve"> Information available at: </w:t>
      </w:r>
      <w:hyperlink r:id="rId1" w:history="1">
        <w:r w:rsidRPr="00FF24B1">
          <w:rPr>
            <w:rStyle w:val="Hyperlink"/>
          </w:rPr>
          <w:t>http://www.t4dm.org.au/</w:t>
        </w:r>
      </w:hyperlink>
      <w:r>
        <w:t xml:space="preserve"> </w:t>
      </w:r>
    </w:p>
  </w:footnote>
  <w:footnote w:id="3">
    <w:p w14:paraId="4761044E" w14:textId="4448569F" w:rsidR="00355884" w:rsidRDefault="00355884">
      <w:pPr>
        <w:pStyle w:val="FootnoteText"/>
      </w:pPr>
      <w:r>
        <w:rPr>
          <w:rStyle w:val="FootnoteReference"/>
        </w:rPr>
        <w:footnoteRef/>
      </w:r>
      <w:r>
        <w:t xml:space="preserve"> </w:t>
      </w:r>
      <w:r w:rsidRPr="007A72E3">
        <w:rPr>
          <w:sz w:val="20"/>
          <w:lang w:eastAsia="en-US"/>
        </w:rPr>
        <w:t xml:space="preserve">Quarterly Population Estimates (ERP), by State/Territory, Sex and Age, extracted. The data was sourced from the ABS at </w:t>
      </w:r>
      <w:hyperlink r:id="rId2" w:history="1">
        <w:r w:rsidRPr="007A72E3">
          <w:rPr>
            <w:rStyle w:val="Hyperlink"/>
            <w:sz w:val="20"/>
            <w:lang w:eastAsia="en-US"/>
          </w:rPr>
          <w:t>http://stat.abs.gov.au/</w:t>
        </w:r>
      </w:hyperlink>
      <w:r w:rsidRPr="007A72E3">
        <w:rPr>
          <w:rStyle w:val="Hyperlink"/>
          <w:sz w:val="20"/>
          <w:lang w:eastAsia="en-US"/>
        </w:rPr>
        <w:t xml:space="preserve"> </w:t>
      </w:r>
    </w:p>
  </w:footnote>
  <w:footnote w:id="4">
    <w:p w14:paraId="3BCDAB3B" w14:textId="124B1BE7" w:rsidR="00355884" w:rsidRDefault="00355884">
      <w:pPr>
        <w:pStyle w:val="FootnoteText"/>
      </w:pPr>
      <w:r>
        <w:rPr>
          <w:rStyle w:val="FootnoteReference"/>
        </w:rPr>
        <w:footnoteRef/>
      </w:r>
      <w:r>
        <w:t xml:space="preserve"> </w:t>
      </w:r>
      <w:hyperlink r:id="rId3" w:history="1">
        <w:r>
          <w:rPr>
            <w:rStyle w:val="Hyperlink"/>
          </w:rPr>
          <w:t>Principles on the use of direct age-standardisation in administrative data collections</w:t>
        </w:r>
      </w:hyperlink>
      <w:r>
        <w:t>, September 2011, AIHW</w:t>
      </w:r>
    </w:p>
  </w:footnote>
  <w:footnote w:id="5">
    <w:p w14:paraId="0A4DD767" w14:textId="77777777" w:rsidR="00355884" w:rsidRPr="00BC5AE2" w:rsidRDefault="00355884" w:rsidP="00576B18">
      <w:pPr>
        <w:pStyle w:val="FootnoteText"/>
        <w:rPr>
          <w:sz w:val="20"/>
        </w:rPr>
      </w:pPr>
      <w:r w:rsidRPr="00BC5AE2">
        <w:rPr>
          <w:rStyle w:val="FootnoteReference"/>
          <w:sz w:val="20"/>
        </w:rPr>
        <w:footnoteRef/>
      </w:r>
      <w:r w:rsidRPr="00BC5AE2">
        <w:rPr>
          <w:sz w:val="20"/>
        </w:rPr>
        <w:t xml:space="preserve"> </w:t>
      </w:r>
      <w:proofErr w:type="gramStart"/>
      <w:r w:rsidRPr="00BC5AE2">
        <w:rPr>
          <w:sz w:val="20"/>
        </w:rPr>
        <w:t>PBS statistics</w:t>
      </w:r>
      <w:r>
        <w:rPr>
          <w:sz w:val="20"/>
        </w:rPr>
        <w:t>.</w:t>
      </w:r>
      <w:proofErr w:type="gramEnd"/>
      <w:r>
        <w:rPr>
          <w:sz w:val="20"/>
        </w:rPr>
        <w:t xml:space="preserve"> </w:t>
      </w:r>
      <w:proofErr w:type="gramStart"/>
      <w:r>
        <w:rPr>
          <w:sz w:val="20"/>
        </w:rPr>
        <w:t>Australian Government Department of Human Services Medicare.</w:t>
      </w:r>
      <w:proofErr w:type="gramEnd"/>
      <w:r>
        <w:rPr>
          <w:sz w:val="20"/>
        </w:rPr>
        <w:t xml:space="preserve"> Canberra. </w:t>
      </w:r>
      <w:proofErr w:type="gramStart"/>
      <w:r>
        <w:rPr>
          <w:sz w:val="20"/>
        </w:rPr>
        <w:t>Available from &lt;</w:t>
      </w:r>
      <w:hyperlink r:id="rId4" w:history="1">
        <w:r>
          <w:rPr>
            <w:rStyle w:val="Hyperlink"/>
            <w:sz w:val="20"/>
          </w:rPr>
          <w:t>http://www.medicareaustralia.gov.au/provider/pbs/stats.jsp</w:t>
        </w:r>
      </w:hyperlink>
      <w:r>
        <w:rPr>
          <w:sz w:val="20"/>
        </w:rPr>
        <w:t>&gt;.</w:t>
      </w:r>
      <w:proofErr w:type="gramEnd"/>
    </w:p>
  </w:footnote>
  <w:footnote w:id="6">
    <w:p w14:paraId="62131023" w14:textId="77777777" w:rsidR="00355884" w:rsidRDefault="00355884" w:rsidP="00F547DF">
      <w:pPr>
        <w:pStyle w:val="FootnoteText"/>
      </w:pPr>
      <w:r>
        <w:rPr>
          <w:rStyle w:val="FootnoteReference"/>
        </w:rPr>
        <w:footnoteRef/>
      </w:r>
      <w:r>
        <w:t xml:space="preserve"> </w:t>
      </w:r>
      <w:proofErr w:type="gramStart"/>
      <w:r>
        <w:t>Pharmaceutical Benefits Advisory Committee Public Summary Document 2013.</w:t>
      </w:r>
      <w:proofErr w:type="gramEnd"/>
      <w:r>
        <w:t xml:space="preserve"> Available at: </w:t>
      </w:r>
      <w:hyperlink r:id="rId5" w:history="1">
        <w:r w:rsidRPr="00804588">
          <w:rPr>
            <w:rStyle w:val="Hyperlink"/>
          </w:rPr>
          <w:t>http://www.pbs.gov.au/info/industry/listing/elements/pbac-meetings/psd/2013-08/testosterone</w:t>
        </w:r>
      </w:hyperlink>
      <w:r>
        <w:t xml:space="preserve"> </w:t>
      </w:r>
    </w:p>
  </w:footnote>
  <w:footnote w:id="7">
    <w:p w14:paraId="51FF1C28" w14:textId="0665E6A6" w:rsidR="00355884" w:rsidRDefault="00355884">
      <w:pPr>
        <w:pStyle w:val="FootnoteText"/>
      </w:pPr>
      <w:r>
        <w:rPr>
          <w:rStyle w:val="FootnoteReference"/>
        </w:rPr>
        <w:footnoteRef/>
      </w:r>
      <w:r>
        <w:t xml:space="preserve"> </w:t>
      </w:r>
      <w:proofErr w:type="spellStart"/>
      <w:r w:rsidRPr="00601ED6">
        <w:t>Yeap</w:t>
      </w:r>
      <w:proofErr w:type="spellEnd"/>
      <w:r w:rsidRPr="00601ED6">
        <w:t xml:space="preserve"> et al. Endocrine Society of Australia position statement on male hypogonadism (part 1): assessment and indications for testosterone therapy. Med J </w:t>
      </w:r>
      <w:proofErr w:type="spellStart"/>
      <w:r w:rsidRPr="00601ED6">
        <w:t>Aust</w:t>
      </w:r>
      <w:proofErr w:type="spellEnd"/>
      <w:r w:rsidRPr="00601ED6">
        <w:t xml:space="preserve"> 2016; 205(4): 173-179. DOI: 10.5694/mja16.00393.</w:t>
      </w:r>
    </w:p>
  </w:footnote>
  <w:footnote w:id="8">
    <w:p w14:paraId="7AFC5020" w14:textId="77777777" w:rsidR="00355884" w:rsidRDefault="00355884" w:rsidP="002E4456">
      <w:pPr>
        <w:pStyle w:val="FootnoteText"/>
      </w:pPr>
      <w:r>
        <w:rPr>
          <w:rStyle w:val="FootnoteReference"/>
        </w:rPr>
        <w:footnoteRef/>
      </w:r>
      <w:r>
        <w:t xml:space="preserve"> </w:t>
      </w:r>
      <w:proofErr w:type="spellStart"/>
      <w:r>
        <w:t>Piszczek</w:t>
      </w:r>
      <w:proofErr w:type="spellEnd"/>
      <w:r>
        <w:t xml:space="preserve"> J et al. </w:t>
      </w:r>
      <w:proofErr w:type="gramStart"/>
      <w:r>
        <w:t>The impact of drug reimbursement policy on rates of testosterone replacement therapy among older men.</w:t>
      </w:r>
      <w:proofErr w:type="gramEnd"/>
      <w:r>
        <w:t xml:space="preserve"> </w:t>
      </w:r>
      <w:proofErr w:type="spellStart"/>
      <w:r>
        <w:t>PLoS</w:t>
      </w:r>
      <w:proofErr w:type="spellEnd"/>
      <w:r>
        <w:t xml:space="preserve"> One 2014; 9(7): e98003. DOI: </w:t>
      </w:r>
      <w:hyperlink r:id="rId6" w:tgtFrame="pmc_ext" w:history="1">
        <w:r w:rsidRPr="001535B6">
          <w:rPr>
            <w:rStyle w:val="Hyperlink"/>
            <w:color w:val="auto"/>
            <w:u w:val="none"/>
          </w:rPr>
          <w:t>10.1371/journal.pone.0098003</w:t>
        </w:r>
      </w:hyperlink>
      <w:r>
        <w:t xml:space="preserve">. </w:t>
      </w:r>
    </w:p>
  </w:footnote>
  <w:footnote w:id="9">
    <w:p w14:paraId="3C9AD443" w14:textId="77777777" w:rsidR="00355884" w:rsidRDefault="00355884" w:rsidP="002E4456">
      <w:pPr>
        <w:pStyle w:val="FootnoteText"/>
      </w:pPr>
      <w:r>
        <w:rPr>
          <w:rStyle w:val="FootnoteReference"/>
        </w:rPr>
        <w:footnoteRef/>
      </w:r>
      <w:r>
        <w:t xml:space="preserve"> </w:t>
      </w:r>
      <w:proofErr w:type="gramStart"/>
      <w:r>
        <w:t>Wang et al. Investigation, treatment and monitoring of late-onset hypogonadism in males.</w:t>
      </w:r>
      <w:proofErr w:type="gramEnd"/>
      <w:r>
        <w:t xml:space="preserve"> </w:t>
      </w:r>
      <w:proofErr w:type="spellStart"/>
      <w:r>
        <w:t>Eu</w:t>
      </w:r>
      <w:proofErr w:type="spellEnd"/>
      <w:r>
        <w:t xml:space="preserve"> J </w:t>
      </w:r>
      <w:proofErr w:type="spellStart"/>
      <w:r>
        <w:t>Endocrinol</w:t>
      </w:r>
      <w:proofErr w:type="spellEnd"/>
      <w:r>
        <w:t xml:space="preserve"> 2008; 159(5): 507-514.</w:t>
      </w:r>
    </w:p>
  </w:footnote>
  <w:footnote w:id="10">
    <w:p w14:paraId="21D93A56" w14:textId="77777777" w:rsidR="00355884" w:rsidRDefault="00355884" w:rsidP="00F547DF">
      <w:pPr>
        <w:pStyle w:val="FootnoteText"/>
      </w:pPr>
      <w:r>
        <w:rPr>
          <w:rStyle w:val="FootnoteReference"/>
        </w:rPr>
        <w:footnoteRef/>
      </w:r>
      <w:r>
        <w:t xml:space="preserve"> Grossmann M. How to Treat: Low testosterone. Australian Doctor 26 June 2015; 23-30. Available at: </w:t>
      </w:r>
      <w:hyperlink r:id="rId7" w:history="1">
        <w:r w:rsidRPr="00476D85">
          <w:rPr>
            <w:rStyle w:val="Hyperlink"/>
          </w:rPr>
          <w:t>www.australiandoctor.com.au</w:t>
        </w:r>
      </w:hyperlink>
      <w:r>
        <w:t xml:space="preserve"> Accessed 11 July 2016. </w:t>
      </w:r>
    </w:p>
  </w:footnote>
  <w:footnote w:id="11">
    <w:p w14:paraId="0F829BA9" w14:textId="77777777" w:rsidR="00355884" w:rsidRDefault="00355884" w:rsidP="00F92C22">
      <w:pPr>
        <w:pStyle w:val="FootnoteText"/>
      </w:pPr>
      <w:r>
        <w:rPr>
          <w:rStyle w:val="FootnoteReference"/>
        </w:rPr>
        <w:footnoteRef/>
      </w:r>
      <w:r>
        <w:t xml:space="preserve"> </w:t>
      </w:r>
      <w:proofErr w:type="gramStart"/>
      <w:r>
        <w:t xml:space="preserve">Available from </w:t>
      </w:r>
      <w:hyperlink r:id="rId8" w:history="1">
        <w:r w:rsidRPr="00B63FD0">
          <w:rPr>
            <w:rStyle w:val="Hyperlink"/>
          </w:rPr>
          <w:t>https://www.ebs.tga.gov.au</w:t>
        </w:r>
      </w:hyperlink>
      <w:r>
        <w:t xml:space="preserve"> Accessed 6 July 2016.</w:t>
      </w:r>
      <w:proofErr w:type="gramEnd"/>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AB351" w14:textId="77777777" w:rsidR="00355884" w:rsidRDefault="003558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DD0B0" w14:textId="77777777" w:rsidR="00355884" w:rsidRDefault="003558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65606" w14:textId="77777777" w:rsidR="00355884" w:rsidRDefault="003558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2608E"/>
    <w:multiLevelType w:val="hybridMultilevel"/>
    <w:tmpl w:val="EAD8F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4E54322"/>
    <w:multiLevelType w:val="hybridMultilevel"/>
    <w:tmpl w:val="8DD0D3A8"/>
    <w:lvl w:ilvl="0" w:tplc="D384293E">
      <w:start w:val="1"/>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63E0498"/>
    <w:multiLevelType w:val="hybridMultilevel"/>
    <w:tmpl w:val="D72C7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3BE7999"/>
    <w:multiLevelType w:val="hybridMultilevel"/>
    <w:tmpl w:val="B35421F2"/>
    <w:lvl w:ilvl="0" w:tplc="A2A4FD9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0A2750F"/>
    <w:multiLevelType w:val="hybridMultilevel"/>
    <w:tmpl w:val="0C72B4E0"/>
    <w:lvl w:ilvl="0" w:tplc="6E5ACDF6">
      <w:start w:val="1"/>
      <w:numFmt w:val="lowerRoman"/>
      <w:lvlText w:val="(%1)"/>
      <w:lvlJc w:val="left"/>
      <w:pPr>
        <w:ind w:left="1288" w:hanging="72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6">
    <w:nsid w:val="456F6E84"/>
    <w:multiLevelType w:val="hybridMultilevel"/>
    <w:tmpl w:val="44CCD3DE"/>
    <w:lvl w:ilvl="0" w:tplc="58F66B8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CDE2E9D"/>
    <w:multiLevelType w:val="hybridMultilevel"/>
    <w:tmpl w:val="F314DB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5B773CCA"/>
    <w:multiLevelType w:val="hybridMultilevel"/>
    <w:tmpl w:val="800A75BE"/>
    <w:lvl w:ilvl="0" w:tplc="3326AEBA">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6C316922"/>
    <w:multiLevelType w:val="hybridMultilevel"/>
    <w:tmpl w:val="FD5C5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DD41E30"/>
    <w:multiLevelType w:val="hybridMultilevel"/>
    <w:tmpl w:val="A1083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2880EB7"/>
    <w:multiLevelType w:val="hybridMultilevel"/>
    <w:tmpl w:val="FD707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72964486"/>
    <w:multiLevelType w:val="hybridMultilevel"/>
    <w:tmpl w:val="885494FA"/>
    <w:lvl w:ilvl="0" w:tplc="4358134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7A282DEA"/>
    <w:multiLevelType w:val="hybridMultilevel"/>
    <w:tmpl w:val="B3288F6E"/>
    <w:lvl w:ilvl="0" w:tplc="97B80204">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2"/>
  </w:num>
  <w:num w:numId="2">
    <w:abstractNumId w:val="9"/>
  </w:num>
  <w:num w:numId="3">
    <w:abstractNumId w:val="4"/>
  </w:num>
  <w:num w:numId="4">
    <w:abstractNumId w:val="2"/>
  </w:num>
  <w:num w:numId="5">
    <w:abstractNumId w:val="11"/>
  </w:num>
  <w:num w:numId="6">
    <w:abstractNumId w:val="0"/>
  </w:num>
  <w:num w:numId="7">
    <w:abstractNumId w:val="1"/>
  </w:num>
  <w:num w:numId="8">
    <w:abstractNumId w:val="5"/>
  </w:num>
  <w:num w:numId="9">
    <w:abstractNumId w:val="14"/>
  </w:num>
  <w:num w:numId="10">
    <w:abstractNumId w:val="7"/>
  </w:num>
  <w:num w:numId="11">
    <w:abstractNumId w:val="8"/>
  </w:num>
  <w:num w:numId="12">
    <w:abstractNumId w:val="3"/>
  </w:num>
  <w:num w:numId="13">
    <w:abstractNumId w:val="6"/>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characterSpacingControl w:val="doNotCompress"/>
  <w:hdrShapeDefaults>
    <o:shapedefaults v:ext="edit" spidmax="1095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41"/>
    <w:rsid w:val="0000360C"/>
    <w:rsid w:val="00007AB9"/>
    <w:rsid w:val="00007E85"/>
    <w:rsid w:val="000102C1"/>
    <w:rsid w:val="00012448"/>
    <w:rsid w:val="00013465"/>
    <w:rsid w:val="00013CAF"/>
    <w:rsid w:val="00017EAA"/>
    <w:rsid w:val="000226B3"/>
    <w:rsid w:val="00024549"/>
    <w:rsid w:val="00031138"/>
    <w:rsid w:val="000314D6"/>
    <w:rsid w:val="0003260D"/>
    <w:rsid w:val="00034557"/>
    <w:rsid w:val="000449F3"/>
    <w:rsid w:val="00045D6A"/>
    <w:rsid w:val="000544B6"/>
    <w:rsid w:val="0005607A"/>
    <w:rsid w:val="000572A2"/>
    <w:rsid w:val="000604AF"/>
    <w:rsid w:val="00065505"/>
    <w:rsid w:val="0006685F"/>
    <w:rsid w:val="00074D98"/>
    <w:rsid w:val="0008344A"/>
    <w:rsid w:val="00086C11"/>
    <w:rsid w:val="00094DCF"/>
    <w:rsid w:val="00096DB5"/>
    <w:rsid w:val="000A09AC"/>
    <w:rsid w:val="000A6CFD"/>
    <w:rsid w:val="000B0982"/>
    <w:rsid w:val="000B58CD"/>
    <w:rsid w:val="000B796C"/>
    <w:rsid w:val="000C46BB"/>
    <w:rsid w:val="000C4D9D"/>
    <w:rsid w:val="000C51A5"/>
    <w:rsid w:val="000C7C4B"/>
    <w:rsid w:val="000C7D8B"/>
    <w:rsid w:val="000D0D6B"/>
    <w:rsid w:val="000D20BE"/>
    <w:rsid w:val="000D423C"/>
    <w:rsid w:val="000D518A"/>
    <w:rsid w:val="000D56BA"/>
    <w:rsid w:val="000D64C1"/>
    <w:rsid w:val="000E1CAE"/>
    <w:rsid w:val="000E485D"/>
    <w:rsid w:val="000E5C8A"/>
    <w:rsid w:val="000E72C6"/>
    <w:rsid w:val="000F0D41"/>
    <w:rsid w:val="000F129C"/>
    <w:rsid w:val="000F1893"/>
    <w:rsid w:val="000F2F51"/>
    <w:rsid w:val="000F448A"/>
    <w:rsid w:val="000F735E"/>
    <w:rsid w:val="000F77AA"/>
    <w:rsid w:val="001002AB"/>
    <w:rsid w:val="00101C7D"/>
    <w:rsid w:val="001104FF"/>
    <w:rsid w:val="00113CF8"/>
    <w:rsid w:val="00113D74"/>
    <w:rsid w:val="00114957"/>
    <w:rsid w:val="00116FAC"/>
    <w:rsid w:val="00117189"/>
    <w:rsid w:val="00117C5C"/>
    <w:rsid w:val="00122A81"/>
    <w:rsid w:val="001249FA"/>
    <w:rsid w:val="001310AE"/>
    <w:rsid w:val="00135727"/>
    <w:rsid w:val="00136AEF"/>
    <w:rsid w:val="00137447"/>
    <w:rsid w:val="001420B3"/>
    <w:rsid w:val="00142912"/>
    <w:rsid w:val="00145284"/>
    <w:rsid w:val="00146FD3"/>
    <w:rsid w:val="00147A8B"/>
    <w:rsid w:val="00151364"/>
    <w:rsid w:val="0015252D"/>
    <w:rsid w:val="0015289F"/>
    <w:rsid w:val="001535B6"/>
    <w:rsid w:val="00156053"/>
    <w:rsid w:val="0015691C"/>
    <w:rsid w:val="00156EEB"/>
    <w:rsid w:val="001621F7"/>
    <w:rsid w:val="001624D7"/>
    <w:rsid w:val="00177B86"/>
    <w:rsid w:val="00182585"/>
    <w:rsid w:val="00191182"/>
    <w:rsid w:val="0019226C"/>
    <w:rsid w:val="0019295E"/>
    <w:rsid w:val="00194688"/>
    <w:rsid w:val="001958AC"/>
    <w:rsid w:val="0019664D"/>
    <w:rsid w:val="001A6103"/>
    <w:rsid w:val="001A7869"/>
    <w:rsid w:val="001B0D6B"/>
    <w:rsid w:val="001B1ECB"/>
    <w:rsid w:val="001B5D37"/>
    <w:rsid w:val="001B7F6E"/>
    <w:rsid w:val="001C2940"/>
    <w:rsid w:val="001C4016"/>
    <w:rsid w:val="001C548D"/>
    <w:rsid w:val="001C57C9"/>
    <w:rsid w:val="001C6A5D"/>
    <w:rsid w:val="001D3C15"/>
    <w:rsid w:val="001D6E28"/>
    <w:rsid w:val="001E148F"/>
    <w:rsid w:val="001E316E"/>
    <w:rsid w:val="001E31A6"/>
    <w:rsid w:val="001E42C7"/>
    <w:rsid w:val="001E4CAB"/>
    <w:rsid w:val="001E7CFD"/>
    <w:rsid w:val="001E7F1F"/>
    <w:rsid w:val="001F2F3E"/>
    <w:rsid w:val="001F47A0"/>
    <w:rsid w:val="001F4906"/>
    <w:rsid w:val="001F532D"/>
    <w:rsid w:val="001F7C4A"/>
    <w:rsid w:val="0020578A"/>
    <w:rsid w:val="00207631"/>
    <w:rsid w:val="00213E78"/>
    <w:rsid w:val="00214013"/>
    <w:rsid w:val="002208A0"/>
    <w:rsid w:val="00220FC1"/>
    <w:rsid w:val="00221967"/>
    <w:rsid w:val="00221CB8"/>
    <w:rsid w:val="00222E9A"/>
    <w:rsid w:val="00224C96"/>
    <w:rsid w:val="0022504E"/>
    <w:rsid w:val="0023179D"/>
    <w:rsid w:val="002358EE"/>
    <w:rsid w:val="002367C1"/>
    <w:rsid w:val="00237A15"/>
    <w:rsid w:val="002401D1"/>
    <w:rsid w:val="00244807"/>
    <w:rsid w:val="002452B1"/>
    <w:rsid w:val="00250D0B"/>
    <w:rsid w:val="002516C6"/>
    <w:rsid w:val="0025389D"/>
    <w:rsid w:val="0025409A"/>
    <w:rsid w:val="002578FE"/>
    <w:rsid w:val="002625D2"/>
    <w:rsid w:val="0026265F"/>
    <w:rsid w:val="00264756"/>
    <w:rsid w:val="00286C3A"/>
    <w:rsid w:val="002930F5"/>
    <w:rsid w:val="00294204"/>
    <w:rsid w:val="00296772"/>
    <w:rsid w:val="002A06B7"/>
    <w:rsid w:val="002A78EC"/>
    <w:rsid w:val="002B52C9"/>
    <w:rsid w:val="002B70EA"/>
    <w:rsid w:val="002C2578"/>
    <w:rsid w:val="002C2822"/>
    <w:rsid w:val="002C3D63"/>
    <w:rsid w:val="002C5B6E"/>
    <w:rsid w:val="002C621D"/>
    <w:rsid w:val="002C6E0C"/>
    <w:rsid w:val="002D144A"/>
    <w:rsid w:val="002D1714"/>
    <w:rsid w:val="002D2934"/>
    <w:rsid w:val="002E19A3"/>
    <w:rsid w:val="002E212B"/>
    <w:rsid w:val="002E3337"/>
    <w:rsid w:val="002E4456"/>
    <w:rsid w:val="002E6D03"/>
    <w:rsid w:val="002F49A8"/>
    <w:rsid w:val="002F5E66"/>
    <w:rsid w:val="002F61CA"/>
    <w:rsid w:val="002F7883"/>
    <w:rsid w:val="002F7B53"/>
    <w:rsid w:val="0030010D"/>
    <w:rsid w:val="00300F71"/>
    <w:rsid w:val="00311421"/>
    <w:rsid w:val="00313C6F"/>
    <w:rsid w:val="00325AC2"/>
    <w:rsid w:val="00327E8E"/>
    <w:rsid w:val="00330F0E"/>
    <w:rsid w:val="0033504C"/>
    <w:rsid w:val="00335F9B"/>
    <w:rsid w:val="00336816"/>
    <w:rsid w:val="003368ED"/>
    <w:rsid w:val="003370D0"/>
    <w:rsid w:val="00337355"/>
    <w:rsid w:val="003402E4"/>
    <w:rsid w:val="00340F95"/>
    <w:rsid w:val="00341578"/>
    <w:rsid w:val="00345852"/>
    <w:rsid w:val="00345EDD"/>
    <w:rsid w:val="003503AB"/>
    <w:rsid w:val="00352173"/>
    <w:rsid w:val="003531ED"/>
    <w:rsid w:val="00354B7F"/>
    <w:rsid w:val="00355884"/>
    <w:rsid w:val="0035679D"/>
    <w:rsid w:val="00360B9A"/>
    <w:rsid w:val="00364BEB"/>
    <w:rsid w:val="00371CC0"/>
    <w:rsid w:val="00375E0C"/>
    <w:rsid w:val="0039017F"/>
    <w:rsid w:val="00394AEE"/>
    <w:rsid w:val="003A2A59"/>
    <w:rsid w:val="003A320B"/>
    <w:rsid w:val="003C1160"/>
    <w:rsid w:val="003C2D98"/>
    <w:rsid w:val="003C3B2A"/>
    <w:rsid w:val="003D3A96"/>
    <w:rsid w:val="003E101B"/>
    <w:rsid w:val="003E1CAC"/>
    <w:rsid w:val="003E1DE0"/>
    <w:rsid w:val="003E3D15"/>
    <w:rsid w:val="003E5DC0"/>
    <w:rsid w:val="003E7311"/>
    <w:rsid w:val="003F5BAC"/>
    <w:rsid w:val="003F7FD2"/>
    <w:rsid w:val="00400864"/>
    <w:rsid w:val="00402AC0"/>
    <w:rsid w:val="00404725"/>
    <w:rsid w:val="00404F03"/>
    <w:rsid w:val="00406C48"/>
    <w:rsid w:val="00412051"/>
    <w:rsid w:val="004150D5"/>
    <w:rsid w:val="00423B94"/>
    <w:rsid w:val="00425C41"/>
    <w:rsid w:val="00427CCB"/>
    <w:rsid w:val="0043329A"/>
    <w:rsid w:val="00440086"/>
    <w:rsid w:val="00442FA2"/>
    <w:rsid w:val="00445BF9"/>
    <w:rsid w:val="00454162"/>
    <w:rsid w:val="00457A6B"/>
    <w:rsid w:val="00460411"/>
    <w:rsid w:val="00463731"/>
    <w:rsid w:val="0046400A"/>
    <w:rsid w:val="004644A6"/>
    <w:rsid w:val="00467B25"/>
    <w:rsid w:val="00481108"/>
    <w:rsid w:val="00484998"/>
    <w:rsid w:val="0049042B"/>
    <w:rsid w:val="004908BB"/>
    <w:rsid w:val="00494F2D"/>
    <w:rsid w:val="004953F4"/>
    <w:rsid w:val="00495473"/>
    <w:rsid w:val="004968E3"/>
    <w:rsid w:val="00497A02"/>
    <w:rsid w:val="004A1F45"/>
    <w:rsid w:val="004A204F"/>
    <w:rsid w:val="004A458E"/>
    <w:rsid w:val="004A7B74"/>
    <w:rsid w:val="004B23E7"/>
    <w:rsid w:val="004B306F"/>
    <w:rsid w:val="004C3186"/>
    <w:rsid w:val="004C5042"/>
    <w:rsid w:val="004D112F"/>
    <w:rsid w:val="004D1FD0"/>
    <w:rsid w:val="004D2991"/>
    <w:rsid w:val="004D2C42"/>
    <w:rsid w:val="004D4BFB"/>
    <w:rsid w:val="004D5A7A"/>
    <w:rsid w:val="004E3B03"/>
    <w:rsid w:val="004E4422"/>
    <w:rsid w:val="004F2BE1"/>
    <w:rsid w:val="004F689E"/>
    <w:rsid w:val="00503998"/>
    <w:rsid w:val="0050623B"/>
    <w:rsid w:val="00506B92"/>
    <w:rsid w:val="00507602"/>
    <w:rsid w:val="005156F0"/>
    <w:rsid w:val="005163B2"/>
    <w:rsid w:val="00522263"/>
    <w:rsid w:val="00523181"/>
    <w:rsid w:val="00523B4E"/>
    <w:rsid w:val="00524D13"/>
    <w:rsid w:val="00527A19"/>
    <w:rsid w:val="005332C7"/>
    <w:rsid w:val="005339F6"/>
    <w:rsid w:val="00536D3F"/>
    <w:rsid w:val="00537C74"/>
    <w:rsid w:val="0054292E"/>
    <w:rsid w:val="0054319C"/>
    <w:rsid w:val="00552FF4"/>
    <w:rsid w:val="00555DC8"/>
    <w:rsid w:val="00562F2F"/>
    <w:rsid w:val="005646F1"/>
    <w:rsid w:val="00564C06"/>
    <w:rsid w:val="00564FAE"/>
    <w:rsid w:val="005652AA"/>
    <w:rsid w:val="0056685C"/>
    <w:rsid w:val="005729D1"/>
    <w:rsid w:val="005732E3"/>
    <w:rsid w:val="005737C6"/>
    <w:rsid w:val="005747F3"/>
    <w:rsid w:val="005761ED"/>
    <w:rsid w:val="00576B18"/>
    <w:rsid w:val="00580B27"/>
    <w:rsid w:val="00581FEA"/>
    <w:rsid w:val="00585E4C"/>
    <w:rsid w:val="00587724"/>
    <w:rsid w:val="00591512"/>
    <w:rsid w:val="0059730C"/>
    <w:rsid w:val="005977EE"/>
    <w:rsid w:val="005A2012"/>
    <w:rsid w:val="005A5BA8"/>
    <w:rsid w:val="005A7C46"/>
    <w:rsid w:val="005B29A1"/>
    <w:rsid w:val="005B48B4"/>
    <w:rsid w:val="005C6661"/>
    <w:rsid w:val="005C6B74"/>
    <w:rsid w:val="005C6E3B"/>
    <w:rsid w:val="005C7142"/>
    <w:rsid w:val="005D3E15"/>
    <w:rsid w:val="005D474B"/>
    <w:rsid w:val="005D7990"/>
    <w:rsid w:val="005E085C"/>
    <w:rsid w:val="005E147D"/>
    <w:rsid w:val="005E22C2"/>
    <w:rsid w:val="005E2EE7"/>
    <w:rsid w:val="005E43CA"/>
    <w:rsid w:val="005E57BB"/>
    <w:rsid w:val="005E5CD9"/>
    <w:rsid w:val="005F0017"/>
    <w:rsid w:val="005F2578"/>
    <w:rsid w:val="005F3017"/>
    <w:rsid w:val="006014F1"/>
    <w:rsid w:val="00601766"/>
    <w:rsid w:val="006018BD"/>
    <w:rsid w:val="00601ED6"/>
    <w:rsid w:val="006021D5"/>
    <w:rsid w:val="006038DC"/>
    <w:rsid w:val="00604302"/>
    <w:rsid w:val="0061357B"/>
    <w:rsid w:val="00614A7D"/>
    <w:rsid w:val="00614EC0"/>
    <w:rsid w:val="00620C5B"/>
    <w:rsid w:val="00627321"/>
    <w:rsid w:val="00633360"/>
    <w:rsid w:val="0063631C"/>
    <w:rsid w:val="006369A7"/>
    <w:rsid w:val="0063757B"/>
    <w:rsid w:val="006377CE"/>
    <w:rsid w:val="00641003"/>
    <w:rsid w:val="006438B0"/>
    <w:rsid w:val="00644E0C"/>
    <w:rsid w:val="006537D9"/>
    <w:rsid w:val="00656F02"/>
    <w:rsid w:val="00662B42"/>
    <w:rsid w:val="00664A48"/>
    <w:rsid w:val="00665DEF"/>
    <w:rsid w:val="00675BB1"/>
    <w:rsid w:val="0067724F"/>
    <w:rsid w:val="006775F1"/>
    <w:rsid w:val="00681FFA"/>
    <w:rsid w:val="006856FF"/>
    <w:rsid w:val="00687614"/>
    <w:rsid w:val="00687CD8"/>
    <w:rsid w:val="00692AA7"/>
    <w:rsid w:val="00695BD1"/>
    <w:rsid w:val="00697FEC"/>
    <w:rsid w:val="006A175F"/>
    <w:rsid w:val="006A2748"/>
    <w:rsid w:val="006A44F5"/>
    <w:rsid w:val="006A4BB0"/>
    <w:rsid w:val="006A7F65"/>
    <w:rsid w:val="006B4537"/>
    <w:rsid w:val="006B5F85"/>
    <w:rsid w:val="006B6929"/>
    <w:rsid w:val="006B709B"/>
    <w:rsid w:val="006C0DDE"/>
    <w:rsid w:val="006C4268"/>
    <w:rsid w:val="006C54AF"/>
    <w:rsid w:val="006D29D1"/>
    <w:rsid w:val="006E0181"/>
    <w:rsid w:val="006E1FDF"/>
    <w:rsid w:val="006E5530"/>
    <w:rsid w:val="006E5C3D"/>
    <w:rsid w:val="006F2223"/>
    <w:rsid w:val="00700C0E"/>
    <w:rsid w:val="00701819"/>
    <w:rsid w:val="00705DAD"/>
    <w:rsid w:val="007219A9"/>
    <w:rsid w:val="007243B5"/>
    <w:rsid w:val="007247B9"/>
    <w:rsid w:val="00727D85"/>
    <w:rsid w:val="007346C7"/>
    <w:rsid w:val="00735593"/>
    <w:rsid w:val="00736041"/>
    <w:rsid w:val="007408C7"/>
    <w:rsid w:val="007465DA"/>
    <w:rsid w:val="00751545"/>
    <w:rsid w:val="00751A89"/>
    <w:rsid w:val="00752C7F"/>
    <w:rsid w:val="00761DEF"/>
    <w:rsid w:val="00765E31"/>
    <w:rsid w:val="00773DBD"/>
    <w:rsid w:val="00776598"/>
    <w:rsid w:val="007773AB"/>
    <w:rsid w:val="0078178F"/>
    <w:rsid w:val="00790370"/>
    <w:rsid w:val="00792948"/>
    <w:rsid w:val="00796E84"/>
    <w:rsid w:val="007A0A1A"/>
    <w:rsid w:val="007A1F6D"/>
    <w:rsid w:val="007A3ADE"/>
    <w:rsid w:val="007A5733"/>
    <w:rsid w:val="007A5774"/>
    <w:rsid w:val="007A5D1A"/>
    <w:rsid w:val="007A6D73"/>
    <w:rsid w:val="007A72E3"/>
    <w:rsid w:val="007C2460"/>
    <w:rsid w:val="007C647F"/>
    <w:rsid w:val="007D28A7"/>
    <w:rsid w:val="007D3905"/>
    <w:rsid w:val="007E3595"/>
    <w:rsid w:val="007F4396"/>
    <w:rsid w:val="007F5335"/>
    <w:rsid w:val="00801E74"/>
    <w:rsid w:val="00804588"/>
    <w:rsid w:val="0080485E"/>
    <w:rsid w:val="00805CC3"/>
    <w:rsid w:val="00806EF4"/>
    <w:rsid w:val="008142B4"/>
    <w:rsid w:val="008209F2"/>
    <w:rsid w:val="00832324"/>
    <w:rsid w:val="00834305"/>
    <w:rsid w:val="00835337"/>
    <w:rsid w:val="00837FFA"/>
    <w:rsid w:val="00842ECC"/>
    <w:rsid w:val="00846DCD"/>
    <w:rsid w:val="0084770F"/>
    <w:rsid w:val="00847BD1"/>
    <w:rsid w:val="0085035E"/>
    <w:rsid w:val="00851096"/>
    <w:rsid w:val="00851D85"/>
    <w:rsid w:val="008603C4"/>
    <w:rsid w:val="00860CCB"/>
    <w:rsid w:val="00863623"/>
    <w:rsid w:val="0086384F"/>
    <w:rsid w:val="0086510C"/>
    <w:rsid w:val="008740A3"/>
    <w:rsid w:val="00876061"/>
    <w:rsid w:val="0089297B"/>
    <w:rsid w:val="008934F6"/>
    <w:rsid w:val="008A5E21"/>
    <w:rsid w:val="008A612D"/>
    <w:rsid w:val="008A6DC3"/>
    <w:rsid w:val="008B0228"/>
    <w:rsid w:val="008C0A8E"/>
    <w:rsid w:val="008C0E6A"/>
    <w:rsid w:val="008C1870"/>
    <w:rsid w:val="008C36CA"/>
    <w:rsid w:val="008C760B"/>
    <w:rsid w:val="008D2D46"/>
    <w:rsid w:val="008E3F8C"/>
    <w:rsid w:val="008E493F"/>
    <w:rsid w:val="00902FD0"/>
    <w:rsid w:val="009053D3"/>
    <w:rsid w:val="00905CA0"/>
    <w:rsid w:val="0090691F"/>
    <w:rsid w:val="0091524D"/>
    <w:rsid w:val="00925A52"/>
    <w:rsid w:val="00927861"/>
    <w:rsid w:val="0093111F"/>
    <w:rsid w:val="009351E5"/>
    <w:rsid w:val="00935689"/>
    <w:rsid w:val="009406E9"/>
    <w:rsid w:val="0095074E"/>
    <w:rsid w:val="0095303B"/>
    <w:rsid w:val="00954BBE"/>
    <w:rsid w:val="00956500"/>
    <w:rsid w:val="00963D63"/>
    <w:rsid w:val="00964E63"/>
    <w:rsid w:val="009663B6"/>
    <w:rsid w:val="00974A47"/>
    <w:rsid w:val="00980286"/>
    <w:rsid w:val="009835AE"/>
    <w:rsid w:val="009845D0"/>
    <w:rsid w:val="00990DCF"/>
    <w:rsid w:val="009916A1"/>
    <w:rsid w:val="009A4CD6"/>
    <w:rsid w:val="009A537C"/>
    <w:rsid w:val="009A68C1"/>
    <w:rsid w:val="009B1A37"/>
    <w:rsid w:val="009C0886"/>
    <w:rsid w:val="009C19EE"/>
    <w:rsid w:val="009C28D0"/>
    <w:rsid w:val="009C35F2"/>
    <w:rsid w:val="009C69A1"/>
    <w:rsid w:val="009C7782"/>
    <w:rsid w:val="009D1ED5"/>
    <w:rsid w:val="009D26FB"/>
    <w:rsid w:val="009D4C13"/>
    <w:rsid w:val="009D4FFD"/>
    <w:rsid w:val="009E1EA8"/>
    <w:rsid w:val="009E21A7"/>
    <w:rsid w:val="009E3518"/>
    <w:rsid w:val="009E36BD"/>
    <w:rsid w:val="009E4451"/>
    <w:rsid w:val="009E4AD6"/>
    <w:rsid w:val="009E4E59"/>
    <w:rsid w:val="009E75A2"/>
    <w:rsid w:val="009E77C7"/>
    <w:rsid w:val="009F2E02"/>
    <w:rsid w:val="009F64A3"/>
    <w:rsid w:val="00A01C83"/>
    <w:rsid w:val="00A02068"/>
    <w:rsid w:val="00A06C4A"/>
    <w:rsid w:val="00A103ED"/>
    <w:rsid w:val="00A11851"/>
    <w:rsid w:val="00A11C16"/>
    <w:rsid w:val="00A13C60"/>
    <w:rsid w:val="00A21F34"/>
    <w:rsid w:val="00A234B7"/>
    <w:rsid w:val="00A27BCB"/>
    <w:rsid w:val="00A306BB"/>
    <w:rsid w:val="00A341A3"/>
    <w:rsid w:val="00A35800"/>
    <w:rsid w:val="00A44D5A"/>
    <w:rsid w:val="00A50CD7"/>
    <w:rsid w:val="00A52918"/>
    <w:rsid w:val="00A5454C"/>
    <w:rsid w:val="00A547B3"/>
    <w:rsid w:val="00A5785C"/>
    <w:rsid w:val="00A63129"/>
    <w:rsid w:val="00A70E82"/>
    <w:rsid w:val="00A84CAD"/>
    <w:rsid w:val="00A85084"/>
    <w:rsid w:val="00A85E6D"/>
    <w:rsid w:val="00A90C63"/>
    <w:rsid w:val="00A90E50"/>
    <w:rsid w:val="00A93737"/>
    <w:rsid w:val="00A95FA5"/>
    <w:rsid w:val="00A96D92"/>
    <w:rsid w:val="00AA0910"/>
    <w:rsid w:val="00AA0FE5"/>
    <w:rsid w:val="00AA2B17"/>
    <w:rsid w:val="00AA33FB"/>
    <w:rsid w:val="00AA3DDF"/>
    <w:rsid w:val="00AB3733"/>
    <w:rsid w:val="00AB74A4"/>
    <w:rsid w:val="00AB7897"/>
    <w:rsid w:val="00AC5054"/>
    <w:rsid w:val="00AC58B8"/>
    <w:rsid w:val="00AD2253"/>
    <w:rsid w:val="00AD23C0"/>
    <w:rsid w:val="00AD5C32"/>
    <w:rsid w:val="00AE31D5"/>
    <w:rsid w:val="00AE4533"/>
    <w:rsid w:val="00AE4BAC"/>
    <w:rsid w:val="00AE6959"/>
    <w:rsid w:val="00AF193F"/>
    <w:rsid w:val="00AF23D2"/>
    <w:rsid w:val="00AF739C"/>
    <w:rsid w:val="00B0119D"/>
    <w:rsid w:val="00B034FC"/>
    <w:rsid w:val="00B05310"/>
    <w:rsid w:val="00B05717"/>
    <w:rsid w:val="00B10A0B"/>
    <w:rsid w:val="00B24952"/>
    <w:rsid w:val="00B308D6"/>
    <w:rsid w:val="00B30AE8"/>
    <w:rsid w:val="00B30D85"/>
    <w:rsid w:val="00B30FB2"/>
    <w:rsid w:val="00B35A4A"/>
    <w:rsid w:val="00B4010D"/>
    <w:rsid w:val="00B50030"/>
    <w:rsid w:val="00B51072"/>
    <w:rsid w:val="00B52C53"/>
    <w:rsid w:val="00B5330B"/>
    <w:rsid w:val="00B61FD4"/>
    <w:rsid w:val="00B63FD7"/>
    <w:rsid w:val="00B71F63"/>
    <w:rsid w:val="00B8117B"/>
    <w:rsid w:val="00B816D9"/>
    <w:rsid w:val="00B87BAA"/>
    <w:rsid w:val="00B9008A"/>
    <w:rsid w:val="00B9120F"/>
    <w:rsid w:val="00B9216C"/>
    <w:rsid w:val="00B924A4"/>
    <w:rsid w:val="00B97382"/>
    <w:rsid w:val="00BA4957"/>
    <w:rsid w:val="00BA4F63"/>
    <w:rsid w:val="00BA532D"/>
    <w:rsid w:val="00BB0D1A"/>
    <w:rsid w:val="00BB1D3B"/>
    <w:rsid w:val="00BC2034"/>
    <w:rsid w:val="00BC26C9"/>
    <w:rsid w:val="00BC35ED"/>
    <w:rsid w:val="00BD43F3"/>
    <w:rsid w:val="00BD6297"/>
    <w:rsid w:val="00BE205A"/>
    <w:rsid w:val="00BE3802"/>
    <w:rsid w:val="00BE41C5"/>
    <w:rsid w:val="00BE7FDB"/>
    <w:rsid w:val="00BF1970"/>
    <w:rsid w:val="00BF238E"/>
    <w:rsid w:val="00BF2F4A"/>
    <w:rsid w:val="00BF544D"/>
    <w:rsid w:val="00BF6463"/>
    <w:rsid w:val="00BF6A44"/>
    <w:rsid w:val="00BF71A2"/>
    <w:rsid w:val="00BF7CB7"/>
    <w:rsid w:val="00C0076F"/>
    <w:rsid w:val="00C0301C"/>
    <w:rsid w:val="00C050B6"/>
    <w:rsid w:val="00C10A52"/>
    <w:rsid w:val="00C10F12"/>
    <w:rsid w:val="00C23652"/>
    <w:rsid w:val="00C245EA"/>
    <w:rsid w:val="00C256F6"/>
    <w:rsid w:val="00C3097E"/>
    <w:rsid w:val="00C33BCC"/>
    <w:rsid w:val="00C35ECC"/>
    <w:rsid w:val="00C361A8"/>
    <w:rsid w:val="00C41246"/>
    <w:rsid w:val="00C41F0D"/>
    <w:rsid w:val="00C43B23"/>
    <w:rsid w:val="00C45270"/>
    <w:rsid w:val="00C45E5F"/>
    <w:rsid w:val="00C46291"/>
    <w:rsid w:val="00C471BE"/>
    <w:rsid w:val="00C55281"/>
    <w:rsid w:val="00C57A6B"/>
    <w:rsid w:val="00C6220D"/>
    <w:rsid w:val="00C62D36"/>
    <w:rsid w:val="00C63412"/>
    <w:rsid w:val="00C647B1"/>
    <w:rsid w:val="00C66230"/>
    <w:rsid w:val="00C66C7C"/>
    <w:rsid w:val="00C67BDA"/>
    <w:rsid w:val="00C714D0"/>
    <w:rsid w:val="00C761FF"/>
    <w:rsid w:val="00C84BB4"/>
    <w:rsid w:val="00C90EF4"/>
    <w:rsid w:val="00C97D1E"/>
    <w:rsid w:val="00CA015A"/>
    <w:rsid w:val="00CA603A"/>
    <w:rsid w:val="00CB108E"/>
    <w:rsid w:val="00CB1221"/>
    <w:rsid w:val="00CB2D44"/>
    <w:rsid w:val="00CC1AA3"/>
    <w:rsid w:val="00CC5A87"/>
    <w:rsid w:val="00CC61C5"/>
    <w:rsid w:val="00CD08A9"/>
    <w:rsid w:val="00CD4486"/>
    <w:rsid w:val="00CD4B04"/>
    <w:rsid w:val="00CD7EB9"/>
    <w:rsid w:val="00CE60FA"/>
    <w:rsid w:val="00CF0F65"/>
    <w:rsid w:val="00CF366A"/>
    <w:rsid w:val="00CF706E"/>
    <w:rsid w:val="00CF71D9"/>
    <w:rsid w:val="00D00B4E"/>
    <w:rsid w:val="00D02AB8"/>
    <w:rsid w:val="00D06A44"/>
    <w:rsid w:val="00D110BF"/>
    <w:rsid w:val="00D151EB"/>
    <w:rsid w:val="00D300E0"/>
    <w:rsid w:val="00D31092"/>
    <w:rsid w:val="00D324B9"/>
    <w:rsid w:val="00D3634B"/>
    <w:rsid w:val="00D374CD"/>
    <w:rsid w:val="00D50E7D"/>
    <w:rsid w:val="00D5236B"/>
    <w:rsid w:val="00D62BFB"/>
    <w:rsid w:val="00D650CE"/>
    <w:rsid w:val="00D71719"/>
    <w:rsid w:val="00D776DA"/>
    <w:rsid w:val="00D81124"/>
    <w:rsid w:val="00D81809"/>
    <w:rsid w:val="00D85C3A"/>
    <w:rsid w:val="00D8758B"/>
    <w:rsid w:val="00D92FFD"/>
    <w:rsid w:val="00D93CE1"/>
    <w:rsid w:val="00D942B3"/>
    <w:rsid w:val="00D94863"/>
    <w:rsid w:val="00DA5821"/>
    <w:rsid w:val="00DA5AAE"/>
    <w:rsid w:val="00DA7D09"/>
    <w:rsid w:val="00DB58F3"/>
    <w:rsid w:val="00DC2630"/>
    <w:rsid w:val="00DC49E9"/>
    <w:rsid w:val="00DC55E4"/>
    <w:rsid w:val="00DC7D71"/>
    <w:rsid w:val="00DD188C"/>
    <w:rsid w:val="00DD29A3"/>
    <w:rsid w:val="00DD3D47"/>
    <w:rsid w:val="00DD48EE"/>
    <w:rsid w:val="00DE0B96"/>
    <w:rsid w:val="00DE10B9"/>
    <w:rsid w:val="00DE7012"/>
    <w:rsid w:val="00DF0B13"/>
    <w:rsid w:val="00DF1890"/>
    <w:rsid w:val="00DF2EB8"/>
    <w:rsid w:val="00DF3A60"/>
    <w:rsid w:val="00DF406A"/>
    <w:rsid w:val="00DF43A7"/>
    <w:rsid w:val="00DF4A94"/>
    <w:rsid w:val="00DF6003"/>
    <w:rsid w:val="00DF63E1"/>
    <w:rsid w:val="00DF6504"/>
    <w:rsid w:val="00E00095"/>
    <w:rsid w:val="00E01D1B"/>
    <w:rsid w:val="00E0382F"/>
    <w:rsid w:val="00E066C3"/>
    <w:rsid w:val="00E0694B"/>
    <w:rsid w:val="00E10D8C"/>
    <w:rsid w:val="00E11537"/>
    <w:rsid w:val="00E12E3C"/>
    <w:rsid w:val="00E1353A"/>
    <w:rsid w:val="00E13F95"/>
    <w:rsid w:val="00E1564B"/>
    <w:rsid w:val="00E208A0"/>
    <w:rsid w:val="00E24943"/>
    <w:rsid w:val="00E25B49"/>
    <w:rsid w:val="00E32492"/>
    <w:rsid w:val="00E33ECD"/>
    <w:rsid w:val="00E35743"/>
    <w:rsid w:val="00E371EA"/>
    <w:rsid w:val="00E376EB"/>
    <w:rsid w:val="00E44B4F"/>
    <w:rsid w:val="00E44CF1"/>
    <w:rsid w:val="00E51D41"/>
    <w:rsid w:val="00E53799"/>
    <w:rsid w:val="00E537EE"/>
    <w:rsid w:val="00E60BA9"/>
    <w:rsid w:val="00E60E59"/>
    <w:rsid w:val="00E62297"/>
    <w:rsid w:val="00E632BD"/>
    <w:rsid w:val="00E63CD2"/>
    <w:rsid w:val="00E63EE8"/>
    <w:rsid w:val="00E64429"/>
    <w:rsid w:val="00E677DD"/>
    <w:rsid w:val="00E7594B"/>
    <w:rsid w:val="00E80C3A"/>
    <w:rsid w:val="00E8168D"/>
    <w:rsid w:val="00E849C8"/>
    <w:rsid w:val="00E9293F"/>
    <w:rsid w:val="00E92E0F"/>
    <w:rsid w:val="00EA7BA5"/>
    <w:rsid w:val="00EB1E37"/>
    <w:rsid w:val="00EB3EAB"/>
    <w:rsid w:val="00EB4688"/>
    <w:rsid w:val="00EB6C07"/>
    <w:rsid w:val="00EC028D"/>
    <w:rsid w:val="00EC1420"/>
    <w:rsid w:val="00EC2EF2"/>
    <w:rsid w:val="00EC49C7"/>
    <w:rsid w:val="00ED633B"/>
    <w:rsid w:val="00ED7E45"/>
    <w:rsid w:val="00EE0F6B"/>
    <w:rsid w:val="00EE478C"/>
    <w:rsid w:val="00EE4BF8"/>
    <w:rsid w:val="00EE74B4"/>
    <w:rsid w:val="00EF0EC3"/>
    <w:rsid w:val="00EF2113"/>
    <w:rsid w:val="00EF45FA"/>
    <w:rsid w:val="00F01F26"/>
    <w:rsid w:val="00F0247A"/>
    <w:rsid w:val="00F04A20"/>
    <w:rsid w:val="00F0558B"/>
    <w:rsid w:val="00F1132C"/>
    <w:rsid w:val="00F131F3"/>
    <w:rsid w:val="00F15499"/>
    <w:rsid w:val="00F15DD5"/>
    <w:rsid w:val="00F165FF"/>
    <w:rsid w:val="00F17D4B"/>
    <w:rsid w:val="00F20050"/>
    <w:rsid w:val="00F23139"/>
    <w:rsid w:val="00F2340E"/>
    <w:rsid w:val="00F36246"/>
    <w:rsid w:val="00F44BA8"/>
    <w:rsid w:val="00F46D03"/>
    <w:rsid w:val="00F51019"/>
    <w:rsid w:val="00F53D2C"/>
    <w:rsid w:val="00F547DF"/>
    <w:rsid w:val="00F552E6"/>
    <w:rsid w:val="00F55973"/>
    <w:rsid w:val="00F61241"/>
    <w:rsid w:val="00F66CD5"/>
    <w:rsid w:val="00F673AC"/>
    <w:rsid w:val="00F675BB"/>
    <w:rsid w:val="00F67A9A"/>
    <w:rsid w:val="00F704C4"/>
    <w:rsid w:val="00F70F4E"/>
    <w:rsid w:val="00F71324"/>
    <w:rsid w:val="00F7283A"/>
    <w:rsid w:val="00F739A6"/>
    <w:rsid w:val="00F745E6"/>
    <w:rsid w:val="00F75D1F"/>
    <w:rsid w:val="00F75FC4"/>
    <w:rsid w:val="00F77C7E"/>
    <w:rsid w:val="00F834EC"/>
    <w:rsid w:val="00F842A5"/>
    <w:rsid w:val="00F85981"/>
    <w:rsid w:val="00F87263"/>
    <w:rsid w:val="00F90B9E"/>
    <w:rsid w:val="00F912F7"/>
    <w:rsid w:val="00F921FB"/>
    <w:rsid w:val="00F92C22"/>
    <w:rsid w:val="00F93725"/>
    <w:rsid w:val="00FA26DA"/>
    <w:rsid w:val="00FA36B9"/>
    <w:rsid w:val="00FA4890"/>
    <w:rsid w:val="00FB5E74"/>
    <w:rsid w:val="00FB77FA"/>
    <w:rsid w:val="00FC061C"/>
    <w:rsid w:val="00FC3A2C"/>
    <w:rsid w:val="00FC3C70"/>
    <w:rsid w:val="00FC4A73"/>
    <w:rsid w:val="00FC559C"/>
    <w:rsid w:val="00FC7F0D"/>
    <w:rsid w:val="00FC7FFE"/>
    <w:rsid w:val="00FD16A2"/>
    <w:rsid w:val="00FD18E2"/>
    <w:rsid w:val="00FD21FB"/>
    <w:rsid w:val="00FD26B0"/>
    <w:rsid w:val="00FD5DE4"/>
    <w:rsid w:val="00FE1723"/>
    <w:rsid w:val="00FE3D7D"/>
    <w:rsid w:val="00FE645A"/>
    <w:rsid w:val="00FF150E"/>
    <w:rsid w:val="00FF3F0A"/>
    <w:rsid w:val="00FF61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9569"/>
    <o:shapelayout v:ext="edit">
      <o:idmap v:ext="edit" data="1"/>
    </o:shapelayout>
  </w:shapeDefaults>
  <w:decimalSymbol w:val="."/>
  <w:listSeparator w:val=","/>
  <w14:docId w14:val="3FC0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63631C"/>
    <w:pPr>
      <w:keepNext/>
      <w:keepLines/>
      <w:spacing w:before="480" w:after="240"/>
      <w:outlineLvl w:val="0"/>
    </w:pPr>
    <w:rPr>
      <w:rFonts w:eastAsiaTheme="majorEastAsia" w:cstheme="majorBidi"/>
      <w:b/>
      <w:bCs/>
      <w:sz w:val="40"/>
      <w:szCs w:val="28"/>
    </w:rPr>
  </w:style>
  <w:style w:type="paragraph" w:styleId="Heading2">
    <w:name w:val="heading 2"/>
    <w:basedOn w:val="Heading4"/>
    <w:next w:val="Normal"/>
    <w:link w:val="Heading2Char"/>
    <w:uiPriority w:val="9"/>
    <w:unhideWhenUsed/>
    <w:qFormat/>
    <w:rsid w:val="000C46BB"/>
    <w:pPr>
      <w:outlineLvl w:val="1"/>
    </w:pPr>
    <w:rPr>
      <w:i/>
      <w:sz w:val="24"/>
      <w:szCs w:val="24"/>
    </w:rPr>
  </w:style>
  <w:style w:type="paragraph" w:styleId="Heading3">
    <w:name w:val="heading 3"/>
    <w:basedOn w:val="Normal"/>
    <w:next w:val="Normal"/>
    <w:link w:val="Heading3Char"/>
    <w:uiPriority w:val="9"/>
    <w:unhideWhenUsed/>
    <w:qFormat/>
    <w:rsid w:val="00FE645A"/>
    <w:pPr>
      <w:spacing w:before="240"/>
      <w:outlineLvl w:val="2"/>
    </w:pPr>
    <w:rPr>
      <w:b/>
      <w:sz w:val="28"/>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31C"/>
    <w:rPr>
      <w:rFonts w:ascii="Lucida Bright" w:eastAsiaTheme="majorEastAsia" w:hAnsi="Lucida Bright" w:cstheme="majorBidi"/>
      <w:b/>
      <w:bCs/>
      <w:sz w:val="40"/>
      <w:szCs w:val="28"/>
    </w:rPr>
  </w:style>
  <w:style w:type="character" w:customStyle="1" w:styleId="Heading2Char">
    <w:name w:val="Heading 2 Char"/>
    <w:basedOn w:val="DefaultParagraphFont"/>
    <w:link w:val="Heading2"/>
    <w:uiPriority w:val="9"/>
    <w:rsid w:val="000C46BB"/>
    <w:rPr>
      <w:b/>
      <w:i/>
      <w:sz w:val="24"/>
      <w:szCs w:val="24"/>
    </w:rPr>
  </w:style>
  <w:style w:type="character" w:customStyle="1" w:styleId="Heading3Char">
    <w:name w:val="Heading 3 Char"/>
    <w:basedOn w:val="DefaultParagraphFont"/>
    <w:link w:val="Heading3"/>
    <w:uiPriority w:val="9"/>
    <w:rsid w:val="00FE645A"/>
    <w:rPr>
      <w:b/>
      <w:sz w:val="28"/>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245EA"/>
    <w:pPr>
      <w:spacing w:after="20"/>
    </w:pPr>
    <w:rPr>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C245EA"/>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character" w:styleId="IntenseReference">
    <w:name w:val="Intense Reference"/>
    <w:basedOn w:val="DefaultParagraphFont"/>
    <w:uiPriority w:val="32"/>
    <w:qFormat/>
    <w:rsid w:val="00EC2EF2"/>
    <w:rPr>
      <w:b/>
      <w:bCs/>
      <w:i/>
      <w:smallCaps/>
      <w:color w:val="C0504D" w:themeColor="accent2"/>
      <w:spacing w:val="5"/>
      <w:u w:val="none"/>
    </w:rPr>
  </w:style>
  <w:style w:type="character" w:styleId="FollowedHyperlink">
    <w:name w:val="FollowedHyperlink"/>
    <w:basedOn w:val="DefaultParagraphFont"/>
    <w:uiPriority w:val="99"/>
    <w:semiHidden/>
    <w:unhideWhenUsed/>
    <w:rsid w:val="00FD18E2"/>
    <w:rPr>
      <w:color w:val="800080" w:themeColor="followedHyperlink"/>
      <w:u w:val="single"/>
    </w:rPr>
  </w:style>
  <w:style w:type="paragraph" w:styleId="Revision">
    <w:name w:val="Revision"/>
    <w:hidden/>
    <w:uiPriority w:val="99"/>
    <w:semiHidden/>
    <w:rsid w:val="005163B2"/>
    <w:pPr>
      <w:spacing w:after="0" w:line="240" w:lineRule="auto"/>
    </w:pPr>
    <w:rPr>
      <w:sz w:val="24"/>
      <w:szCs w:val="24"/>
    </w:rPr>
  </w:style>
  <w:style w:type="table" w:customStyle="1" w:styleId="TableGrid1">
    <w:name w:val="Table Grid1"/>
    <w:basedOn w:val="TableNormal"/>
    <w:next w:val="TableGrid"/>
    <w:uiPriority w:val="59"/>
    <w:rsid w:val="00F73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51A89"/>
    <w:pPr>
      <w:spacing w:after="0"/>
    </w:pPr>
    <w:rPr>
      <w:sz w:val="20"/>
      <w:szCs w:val="20"/>
    </w:rPr>
  </w:style>
  <w:style w:type="character" w:customStyle="1" w:styleId="EndnoteTextChar">
    <w:name w:val="Endnote Text Char"/>
    <w:basedOn w:val="DefaultParagraphFont"/>
    <w:link w:val="EndnoteText"/>
    <w:uiPriority w:val="99"/>
    <w:semiHidden/>
    <w:rsid w:val="00751A89"/>
    <w:rPr>
      <w:sz w:val="20"/>
      <w:szCs w:val="20"/>
    </w:rPr>
  </w:style>
  <w:style w:type="character" w:styleId="EndnoteReference">
    <w:name w:val="endnote reference"/>
    <w:basedOn w:val="DefaultParagraphFont"/>
    <w:uiPriority w:val="99"/>
    <w:semiHidden/>
    <w:unhideWhenUsed/>
    <w:rsid w:val="00751A8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63631C"/>
    <w:pPr>
      <w:keepNext/>
      <w:keepLines/>
      <w:spacing w:before="480" w:after="240"/>
      <w:outlineLvl w:val="0"/>
    </w:pPr>
    <w:rPr>
      <w:rFonts w:eastAsiaTheme="majorEastAsia" w:cstheme="majorBidi"/>
      <w:b/>
      <w:bCs/>
      <w:sz w:val="40"/>
      <w:szCs w:val="28"/>
    </w:rPr>
  </w:style>
  <w:style w:type="paragraph" w:styleId="Heading2">
    <w:name w:val="heading 2"/>
    <w:basedOn w:val="Heading4"/>
    <w:next w:val="Normal"/>
    <w:link w:val="Heading2Char"/>
    <w:uiPriority w:val="9"/>
    <w:unhideWhenUsed/>
    <w:qFormat/>
    <w:rsid w:val="000C46BB"/>
    <w:pPr>
      <w:outlineLvl w:val="1"/>
    </w:pPr>
    <w:rPr>
      <w:i/>
      <w:sz w:val="24"/>
      <w:szCs w:val="24"/>
    </w:rPr>
  </w:style>
  <w:style w:type="paragraph" w:styleId="Heading3">
    <w:name w:val="heading 3"/>
    <w:basedOn w:val="Normal"/>
    <w:next w:val="Normal"/>
    <w:link w:val="Heading3Char"/>
    <w:uiPriority w:val="9"/>
    <w:unhideWhenUsed/>
    <w:qFormat/>
    <w:rsid w:val="00FE645A"/>
    <w:pPr>
      <w:spacing w:before="240"/>
      <w:outlineLvl w:val="2"/>
    </w:pPr>
    <w:rPr>
      <w:b/>
      <w:sz w:val="28"/>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31C"/>
    <w:rPr>
      <w:rFonts w:ascii="Lucida Bright" w:eastAsiaTheme="majorEastAsia" w:hAnsi="Lucida Bright" w:cstheme="majorBidi"/>
      <w:b/>
      <w:bCs/>
      <w:sz w:val="40"/>
      <w:szCs w:val="28"/>
    </w:rPr>
  </w:style>
  <w:style w:type="character" w:customStyle="1" w:styleId="Heading2Char">
    <w:name w:val="Heading 2 Char"/>
    <w:basedOn w:val="DefaultParagraphFont"/>
    <w:link w:val="Heading2"/>
    <w:uiPriority w:val="9"/>
    <w:rsid w:val="000C46BB"/>
    <w:rPr>
      <w:b/>
      <w:i/>
      <w:sz w:val="24"/>
      <w:szCs w:val="24"/>
    </w:rPr>
  </w:style>
  <w:style w:type="character" w:customStyle="1" w:styleId="Heading3Char">
    <w:name w:val="Heading 3 Char"/>
    <w:basedOn w:val="DefaultParagraphFont"/>
    <w:link w:val="Heading3"/>
    <w:uiPriority w:val="9"/>
    <w:rsid w:val="00FE645A"/>
    <w:rPr>
      <w:b/>
      <w:sz w:val="28"/>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245EA"/>
    <w:pPr>
      <w:spacing w:after="20"/>
    </w:pPr>
    <w:rPr>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C245EA"/>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character" w:styleId="IntenseReference">
    <w:name w:val="Intense Reference"/>
    <w:basedOn w:val="DefaultParagraphFont"/>
    <w:uiPriority w:val="32"/>
    <w:qFormat/>
    <w:rsid w:val="00EC2EF2"/>
    <w:rPr>
      <w:b/>
      <w:bCs/>
      <w:i/>
      <w:smallCaps/>
      <w:color w:val="C0504D" w:themeColor="accent2"/>
      <w:spacing w:val="5"/>
      <w:u w:val="none"/>
    </w:rPr>
  </w:style>
  <w:style w:type="character" w:styleId="FollowedHyperlink">
    <w:name w:val="FollowedHyperlink"/>
    <w:basedOn w:val="DefaultParagraphFont"/>
    <w:uiPriority w:val="99"/>
    <w:semiHidden/>
    <w:unhideWhenUsed/>
    <w:rsid w:val="00FD18E2"/>
    <w:rPr>
      <w:color w:val="800080" w:themeColor="followedHyperlink"/>
      <w:u w:val="single"/>
    </w:rPr>
  </w:style>
  <w:style w:type="paragraph" w:styleId="Revision">
    <w:name w:val="Revision"/>
    <w:hidden/>
    <w:uiPriority w:val="99"/>
    <w:semiHidden/>
    <w:rsid w:val="005163B2"/>
    <w:pPr>
      <w:spacing w:after="0" w:line="240" w:lineRule="auto"/>
    </w:pPr>
    <w:rPr>
      <w:sz w:val="24"/>
      <w:szCs w:val="24"/>
    </w:rPr>
  </w:style>
  <w:style w:type="table" w:customStyle="1" w:styleId="TableGrid1">
    <w:name w:val="Table Grid1"/>
    <w:basedOn w:val="TableNormal"/>
    <w:next w:val="TableGrid"/>
    <w:uiPriority w:val="59"/>
    <w:rsid w:val="00F73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51A89"/>
    <w:pPr>
      <w:spacing w:after="0"/>
    </w:pPr>
    <w:rPr>
      <w:sz w:val="20"/>
      <w:szCs w:val="20"/>
    </w:rPr>
  </w:style>
  <w:style w:type="character" w:customStyle="1" w:styleId="EndnoteTextChar">
    <w:name w:val="Endnote Text Char"/>
    <w:basedOn w:val="DefaultParagraphFont"/>
    <w:link w:val="EndnoteText"/>
    <w:uiPriority w:val="99"/>
    <w:semiHidden/>
    <w:rsid w:val="00751A89"/>
    <w:rPr>
      <w:sz w:val="20"/>
      <w:szCs w:val="20"/>
    </w:rPr>
  </w:style>
  <w:style w:type="character" w:styleId="EndnoteReference">
    <w:name w:val="endnote reference"/>
    <w:basedOn w:val="DefaultParagraphFont"/>
    <w:uiPriority w:val="99"/>
    <w:semiHidden/>
    <w:unhideWhenUsed/>
    <w:rsid w:val="00751A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77979">
      <w:bodyDiv w:val="1"/>
      <w:marLeft w:val="0"/>
      <w:marRight w:val="0"/>
      <w:marTop w:val="0"/>
      <w:marBottom w:val="0"/>
      <w:divBdr>
        <w:top w:val="none" w:sz="0" w:space="0" w:color="auto"/>
        <w:left w:val="none" w:sz="0" w:space="0" w:color="auto"/>
        <w:bottom w:val="none" w:sz="0" w:space="0" w:color="auto"/>
        <w:right w:val="none" w:sz="0" w:space="0" w:color="auto"/>
      </w:divBdr>
    </w:div>
    <w:div w:id="110174442">
      <w:bodyDiv w:val="1"/>
      <w:marLeft w:val="0"/>
      <w:marRight w:val="0"/>
      <w:marTop w:val="0"/>
      <w:marBottom w:val="0"/>
      <w:divBdr>
        <w:top w:val="none" w:sz="0" w:space="0" w:color="auto"/>
        <w:left w:val="none" w:sz="0" w:space="0" w:color="auto"/>
        <w:bottom w:val="none" w:sz="0" w:space="0" w:color="auto"/>
        <w:right w:val="none" w:sz="0" w:space="0" w:color="auto"/>
      </w:divBdr>
    </w:div>
    <w:div w:id="222525844">
      <w:bodyDiv w:val="1"/>
      <w:marLeft w:val="0"/>
      <w:marRight w:val="0"/>
      <w:marTop w:val="0"/>
      <w:marBottom w:val="0"/>
      <w:divBdr>
        <w:top w:val="none" w:sz="0" w:space="0" w:color="auto"/>
        <w:left w:val="none" w:sz="0" w:space="0" w:color="auto"/>
        <w:bottom w:val="none" w:sz="0" w:space="0" w:color="auto"/>
        <w:right w:val="none" w:sz="0" w:space="0" w:color="auto"/>
      </w:divBdr>
    </w:div>
    <w:div w:id="238683183">
      <w:bodyDiv w:val="1"/>
      <w:marLeft w:val="0"/>
      <w:marRight w:val="0"/>
      <w:marTop w:val="0"/>
      <w:marBottom w:val="0"/>
      <w:divBdr>
        <w:top w:val="none" w:sz="0" w:space="0" w:color="auto"/>
        <w:left w:val="none" w:sz="0" w:space="0" w:color="auto"/>
        <w:bottom w:val="none" w:sz="0" w:space="0" w:color="auto"/>
        <w:right w:val="none" w:sz="0" w:space="0" w:color="auto"/>
      </w:divBdr>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490295845">
      <w:bodyDiv w:val="1"/>
      <w:marLeft w:val="0"/>
      <w:marRight w:val="0"/>
      <w:marTop w:val="0"/>
      <w:marBottom w:val="0"/>
      <w:divBdr>
        <w:top w:val="none" w:sz="0" w:space="0" w:color="auto"/>
        <w:left w:val="none" w:sz="0" w:space="0" w:color="auto"/>
        <w:bottom w:val="none" w:sz="0" w:space="0" w:color="auto"/>
        <w:right w:val="none" w:sz="0" w:space="0" w:color="auto"/>
      </w:divBdr>
    </w:div>
    <w:div w:id="527723504">
      <w:bodyDiv w:val="1"/>
      <w:marLeft w:val="0"/>
      <w:marRight w:val="0"/>
      <w:marTop w:val="0"/>
      <w:marBottom w:val="0"/>
      <w:divBdr>
        <w:top w:val="none" w:sz="0" w:space="0" w:color="auto"/>
        <w:left w:val="none" w:sz="0" w:space="0" w:color="auto"/>
        <w:bottom w:val="none" w:sz="0" w:space="0" w:color="auto"/>
        <w:right w:val="none" w:sz="0" w:space="0" w:color="auto"/>
      </w:divBdr>
    </w:div>
    <w:div w:id="537358939">
      <w:bodyDiv w:val="1"/>
      <w:marLeft w:val="0"/>
      <w:marRight w:val="0"/>
      <w:marTop w:val="0"/>
      <w:marBottom w:val="0"/>
      <w:divBdr>
        <w:top w:val="none" w:sz="0" w:space="0" w:color="auto"/>
        <w:left w:val="none" w:sz="0" w:space="0" w:color="auto"/>
        <w:bottom w:val="none" w:sz="0" w:space="0" w:color="auto"/>
        <w:right w:val="none" w:sz="0" w:space="0" w:color="auto"/>
      </w:divBdr>
    </w:div>
    <w:div w:id="746616820">
      <w:bodyDiv w:val="1"/>
      <w:marLeft w:val="0"/>
      <w:marRight w:val="0"/>
      <w:marTop w:val="0"/>
      <w:marBottom w:val="0"/>
      <w:divBdr>
        <w:top w:val="none" w:sz="0" w:space="0" w:color="auto"/>
        <w:left w:val="none" w:sz="0" w:space="0" w:color="auto"/>
        <w:bottom w:val="none" w:sz="0" w:space="0" w:color="auto"/>
        <w:right w:val="none" w:sz="0" w:space="0" w:color="auto"/>
      </w:divBdr>
    </w:div>
    <w:div w:id="766270237">
      <w:bodyDiv w:val="1"/>
      <w:marLeft w:val="0"/>
      <w:marRight w:val="0"/>
      <w:marTop w:val="0"/>
      <w:marBottom w:val="0"/>
      <w:divBdr>
        <w:top w:val="none" w:sz="0" w:space="0" w:color="auto"/>
        <w:left w:val="none" w:sz="0" w:space="0" w:color="auto"/>
        <w:bottom w:val="none" w:sz="0" w:space="0" w:color="auto"/>
        <w:right w:val="none" w:sz="0" w:space="0" w:color="auto"/>
      </w:divBdr>
    </w:div>
    <w:div w:id="863401294">
      <w:bodyDiv w:val="1"/>
      <w:marLeft w:val="0"/>
      <w:marRight w:val="0"/>
      <w:marTop w:val="0"/>
      <w:marBottom w:val="0"/>
      <w:divBdr>
        <w:top w:val="none" w:sz="0" w:space="0" w:color="auto"/>
        <w:left w:val="none" w:sz="0" w:space="0" w:color="auto"/>
        <w:bottom w:val="none" w:sz="0" w:space="0" w:color="auto"/>
        <w:right w:val="none" w:sz="0" w:space="0" w:color="auto"/>
      </w:divBdr>
    </w:div>
    <w:div w:id="863441367">
      <w:bodyDiv w:val="1"/>
      <w:marLeft w:val="0"/>
      <w:marRight w:val="0"/>
      <w:marTop w:val="0"/>
      <w:marBottom w:val="0"/>
      <w:divBdr>
        <w:top w:val="none" w:sz="0" w:space="0" w:color="auto"/>
        <w:left w:val="none" w:sz="0" w:space="0" w:color="auto"/>
        <w:bottom w:val="none" w:sz="0" w:space="0" w:color="auto"/>
        <w:right w:val="none" w:sz="0" w:space="0" w:color="auto"/>
      </w:divBdr>
    </w:div>
    <w:div w:id="912927839">
      <w:bodyDiv w:val="1"/>
      <w:marLeft w:val="0"/>
      <w:marRight w:val="0"/>
      <w:marTop w:val="0"/>
      <w:marBottom w:val="0"/>
      <w:divBdr>
        <w:top w:val="none" w:sz="0" w:space="0" w:color="auto"/>
        <w:left w:val="none" w:sz="0" w:space="0" w:color="auto"/>
        <w:bottom w:val="none" w:sz="0" w:space="0" w:color="auto"/>
        <w:right w:val="none" w:sz="0" w:space="0" w:color="auto"/>
      </w:divBdr>
    </w:div>
    <w:div w:id="1097094733">
      <w:bodyDiv w:val="1"/>
      <w:marLeft w:val="0"/>
      <w:marRight w:val="0"/>
      <w:marTop w:val="0"/>
      <w:marBottom w:val="0"/>
      <w:divBdr>
        <w:top w:val="none" w:sz="0" w:space="0" w:color="auto"/>
        <w:left w:val="none" w:sz="0" w:space="0" w:color="auto"/>
        <w:bottom w:val="none" w:sz="0" w:space="0" w:color="auto"/>
        <w:right w:val="none" w:sz="0" w:space="0" w:color="auto"/>
      </w:divBdr>
    </w:div>
    <w:div w:id="1203598476">
      <w:bodyDiv w:val="1"/>
      <w:marLeft w:val="0"/>
      <w:marRight w:val="0"/>
      <w:marTop w:val="0"/>
      <w:marBottom w:val="0"/>
      <w:divBdr>
        <w:top w:val="none" w:sz="0" w:space="0" w:color="auto"/>
        <w:left w:val="none" w:sz="0" w:space="0" w:color="auto"/>
        <w:bottom w:val="none" w:sz="0" w:space="0" w:color="auto"/>
        <w:right w:val="none" w:sz="0" w:space="0" w:color="auto"/>
      </w:divBdr>
    </w:div>
    <w:div w:id="1235773615">
      <w:bodyDiv w:val="1"/>
      <w:marLeft w:val="0"/>
      <w:marRight w:val="0"/>
      <w:marTop w:val="0"/>
      <w:marBottom w:val="0"/>
      <w:divBdr>
        <w:top w:val="none" w:sz="0" w:space="0" w:color="auto"/>
        <w:left w:val="none" w:sz="0" w:space="0" w:color="auto"/>
        <w:bottom w:val="none" w:sz="0" w:space="0" w:color="auto"/>
        <w:right w:val="none" w:sz="0" w:space="0" w:color="auto"/>
      </w:divBdr>
    </w:div>
    <w:div w:id="1248617015">
      <w:bodyDiv w:val="1"/>
      <w:marLeft w:val="0"/>
      <w:marRight w:val="0"/>
      <w:marTop w:val="0"/>
      <w:marBottom w:val="0"/>
      <w:divBdr>
        <w:top w:val="none" w:sz="0" w:space="0" w:color="auto"/>
        <w:left w:val="none" w:sz="0" w:space="0" w:color="auto"/>
        <w:bottom w:val="none" w:sz="0" w:space="0" w:color="auto"/>
        <w:right w:val="none" w:sz="0" w:space="0" w:color="auto"/>
      </w:divBdr>
    </w:div>
    <w:div w:id="1416979849">
      <w:bodyDiv w:val="1"/>
      <w:marLeft w:val="0"/>
      <w:marRight w:val="0"/>
      <w:marTop w:val="0"/>
      <w:marBottom w:val="0"/>
      <w:divBdr>
        <w:top w:val="none" w:sz="0" w:space="0" w:color="auto"/>
        <w:left w:val="none" w:sz="0" w:space="0" w:color="auto"/>
        <w:bottom w:val="none" w:sz="0" w:space="0" w:color="auto"/>
        <w:right w:val="none" w:sz="0" w:space="0" w:color="auto"/>
      </w:divBdr>
      <w:divsChild>
        <w:div w:id="782073647">
          <w:marLeft w:val="0"/>
          <w:marRight w:val="0"/>
          <w:marTop w:val="0"/>
          <w:marBottom w:val="0"/>
          <w:divBdr>
            <w:top w:val="none" w:sz="0" w:space="0" w:color="auto"/>
            <w:left w:val="none" w:sz="0" w:space="0" w:color="auto"/>
            <w:bottom w:val="none" w:sz="0" w:space="0" w:color="auto"/>
            <w:right w:val="none" w:sz="0" w:space="0" w:color="auto"/>
          </w:divBdr>
          <w:divsChild>
            <w:div w:id="161505211">
              <w:marLeft w:val="0"/>
              <w:marRight w:val="0"/>
              <w:marTop w:val="0"/>
              <w:marBottom w:val="0"/>
              <w:divBdr>
                <w:top w:val="none" w:sz="0" w:space="0" w:color="auto"/>
                <w:left w:val="none" w:sz="0" w:space="0" w:color="auto"/>
                <w:bottom w:val="none" w:sz="0" w:space="0" w:color="auto"/>
                <w:right w:val="none" w:sz="0" w:space="0" w:color="auto"/>
              </w:divBdr>
              <w:divsChild>
                <w:div w:id="1354962562">
                  <w:marLeft w:val="0"/>
                  <w:marRight w:val="0"/>
                  <w:marTop w:val="0"/>
                  <w:marBottom w:val="0"/>
                  <w:divBdr>
                    <w:top w:val="none" w:sz="0" w:space="0" w:color="auto"/>
                    <w:left w:val="none" w:sz="0" w:space="0" w:color="auto"/>
                    <w:bottom w:val="none" w:sz="0" w:space="0" w:color="auto"/>
                    <w:right w:val="none" w:sz="0" w:space="0" w:color="auto"/>
                  </w:divBdr>
                  <w:divsChild>
                    <w:div w:id="232815717">
                      <w:marLeft w:val="0"/>
                      <w:marRight w:val="0"/>
                      <w:marTop w:val="0"/>
                      <w:marBottom w:val="0"/>
                      <w:divBdr>
                        <w:top w:val="none" w:sz="0" w:space="0" w:color="auto"/>
                        <w:left w:val="none" w:sz="0" w:space="0" w:color="auto"/>
                        <w:bottom w:val="none" w:sz="0" w:space="0" w:color="auto"/>
                        <w:right w:val="none" w:sz="0" w:space="0" w:color="auto"/>
                      </w:divBdr>
                      <w:divsChild>
                        <w:div w:id="2018313210">
                          <w:marLeft w:val="0"/>
                          <w:marRight w:val="0"/>
                          <w:marTop w:val="0"/>
                          <w:marBottom w:val="0"/>
                          <w:divBdr>
                            <w:top w:val="none" w:sz="0" w:space="0" w:color="auto"/>
                            <w:left w:val="none" w:sz="0" w:space="0" w:color="auto"/>
                            <w:bottom w:val="none" w:sz="0" w:space="0" w:color="auto"/>
                            <w:right w:val="none" w:sz="0" w:space="0" w:color="auto"/>
                          </w:divBdr>
                          <w:divsChild>
                            <w:div w:id="56441203">
                              <w:marLeft w:val="0"/>
                              <w:marRight w:val="0"/>
                              <w:marTop w:val="0"/>
                              <w:marBottom w:val="0"/>
                              <w:divBdr>
                                <w:top w:val="none" w:sz="0" w:space="0" w:color="auto"/>
                                <w:left w:val="none" w:sz="0" w:space="0" w:color="auto"/>
                                <w:bottom w:val="none" w:sz="0" w:space="0" w:color="auto"/>
                                <w:right w:val="none" w:sz="0" w:space="0" w:color="auto"/>
                              </w:divBdr>
                              <w:divsChild>
                                <w:div w:id="160046626">
                                  <w:marLeft w:val="0"/>
                                  <w:marRight w:val="0"/>
                                  <w:marTop w:val="0"/>
                                  <w:marBottom w:val="0"/>
                                  <w:divBdr>
                                    <w:top w:val="none" w:sz="0" w:space="0" w:color="auto"/>
                                    <w:left w:val="none" w:sz="0" w:space="0" w:color="auto"/>
                                    <w:bottom w:val="none" w:sz="0" w:space="0" w:color="auto"/>
                                    <w:right w:val="none" w:sz="0" w:space="0" w:color="auto"/>
                                  </w:divBdr>
                                  <w:divsChild>
                                    <w:div w:id="1700546288">
                                      <w:marLeft w:val="0"/>
                                      <w:marRight w:val="0"/>
                                      <w:marTop w:val="0"/>
                                      <w:marBottom w:val="360"/>
                                      <w:divBdr>
                                        <w:top w:val="none" w:sz="0" w:space="0" w:color="auto"/>
                                        <w:left w:val="none" w:sz="0" w:space="0" w:color="auto"/>
                                        <w:bottom w:val="none" w:sz="0" w:space="0" w:color="auto"/>
                                        <w:right w:val="none" w:sz="0" w:space="0" w:color="auto"/>
                                      </w:divBdr>
                                      <w:divsChild>
                                        <w:div w:id="1022979215">
                                          <w:marLeft w:val="0"/>
                                          <w:marRight w:val="0"/>
                                          <w:marTop w:val="0"/>
                                          <w:marBottom w:val="0"/>
                                          <w:divBdr>
                                            <w:top w:val="none" w:sz="0" w:space="0" w:color="auto"/>
                                            <w:left w:val="none" w:sz="0" w:space="0" w:color="auto"/>
                                            <w:bottom w:val="none" w:sz="0" w:space="0" w:color="auto"/>
                                            <w:right w:val="none" w:sz="0" w:space="0" w:color="auto"/>
                                          </w:divBdr>
                                          <w:divsChild>
                                            <w:div w:id="993416309">
                                              <w:marLeft w:val="0"/>
                                              <w:marRight w:val="0"/>
                                              <w:marTop w:val="0"/>
                                              <w:marBottom w:val="0"/>
                                              <w:divBdr>
                                                <w:top w:val="none" w:sz="0" w:space="0" w:color="auto"/>
                                                <w:left w:val="none" w:sz="0" w:space="0" w:color="auto"/>
                                                <w:bottom w:val="none" w:sz="0" w:space="0" w:color="auto"/>
                                                <w:right w:val="none" w:sz="0" w:space="0" w:color="auto"/>
                                              </w:divBdr>
                                              <w:divsChild>
                                                <w:div w:id="1972394148">
                                                  <w:marLeft w:val="0"/>
                                                  <w:marRight w:val="0"/>
                                                  <w:marTop w:val="0"/>
                                                  <w:marBottom w:val="0"/>
                                                  <w:divBdr>
                                                    <w:top w:val="none" w:sz="0" w:space="0" w:color="auto"/>
                                                    <w:left w:val="none" w:sz="0" w:space="0" w:color="auto"/>
                                                    <w:bottom w:val="none" w:sz="0" w:space="0" w:color="auto"/>
                                                    <w:right w:val="none" w:sz="0" w:space="0" w:color="auto"/>
                                                  </w:divBdr>
                                                  <w:divsChild>
                                                    <w:div w:id="1871527910">
                                                      <w:marLeft w:val="0"/>
                                                      <w:marRight w:val="0"/>
                                                      <w:marTop w:val="0"/>
                                                      <w:marBottom w:val="0"/>
                                                      <w:divBdr>
                                                        <w:top w:val="single" w:sz="2" w:space="3" w:color="008000"/>
                                                        <w:left w:val="single" w:sz="2" w:space="0" w:color="008000"/>
                                                        <w:bottom w:val="single" w:sz="2" w:space="0" w:color="008000"/>
                                                        <w:right w:val="single" w:sz="2" w:space="0" w:color="008000"/>
                                                      </w:divBdr>
                                                      <w:divsChild>
                                                        <w:div w:id="1573347317">
                                                          <w:marLeft w:val="0"/>
                                                          <w:marRight w:val="0"/>
                                                          <w:marTop w:val="0"/>
                                                          <w:marBottom w:val="0"/>
                                                          <w:divBdr>
                                                            <w:top w:val="none" w:sz="0" w:space="0" w:color="auto"/>
                                                            <w:left w:val="none" w:sz="0" w:space="0" w:color="auto"/>
                                                            <w:bottom w:val="none" w:sz="0" w:space="0" w:color="auto"/>
                                                            <w:right w:val="none" w:sz="0" w:space="0" w:color="auto"/>
                                                          </w:divBdr>
                                                          <w:divsChild>
                                                            <w:div w:id="1404109483">
                                                              <w:marLeft w:val="0"/>
                                                              <w:marRight w:val="0"/>
                                                              <w:marTop w:val="0"/>
                                                              <w:marBottom w:val="0"/>
                                                              <w:divBdr>
                                                                <w:top w:val="none" w:sz="0" w:space="0" w:color="auto"/>
                                                                <w:left w:val="none" w:sz="0" w:space="0" w:color="auto"/>
                                                                <w:bottom w:val="none" w:sz="0" w:space="0" w:color="auto"/>
                                                                <w:right w:val="none" w:sz="0" w:space="0" w:color="auto"/>
                                                              </w:divBdr>
                                                            </w:div>
                                                            <w:div w:id="1286036609">
                                                              <w:marLeft w:val="0"/>
                                                              <w:marRight w:val="0"/>
                                                              <w:marTop w:val="0"/>
                                                              <w:marBottom w:val="0"/>
                                                              <w:divBdr>
                                                                <w:top w:val="none" w:sz="0" w:space="0" w:color="auto"/>
                                                                <w:left w:val="none" w:sz="0" w:space="0" w:color="auto"/>
                                                                <w:bottom w:val="none" w:sz="0" w:space="0" w:color="auto"/>
                                                                <w:right w:val="none" w:sz="0" w:space="0" w:color="auto"/>
                                                              </w:divBdr>
                                                              <w:divsChild>
                                                                <w:div w:id="152347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3357752">
      <w:bodyDiv w:val="1"/>
      <w:marLeft w:val="0"/>
      <w:marRight w:val="0"/>
      <w:marTop w:val="0"/>
      <w:marBottom w:val="0"/>
      <w:divBdr>
        <w:top w:val="none" w:sz="0" w:space="0" w:color="auto"/>
        <w:left w:val="none" w:sz="0" w:space="0" w:color="auto"/>
        <w:bottom w:val="none" w:sz="0" w:space="0" w:color="auto"/>
        <w:right w:val="none" w:sz="0" w:space="0" w:color="auto"/>
      </w:divBdr>
    </w:div>
    <w:div w:id="1508785622">
      <w:bodyDiv w:val="1"/>
      <w:marLeft w:val="0"/>
      <w:marRight w:val="0"/>
      <w:marTop w:val="0"/>
      <w:marBottom w:val="0"/>
      <w:divBdr>
        <w:top w:val="none" w:sz="0" w:space="0" w:color="auto"/>
        <w:left w:val="none" w:sz="0" w:space="0" w:color="auto"/>
        <w:bottom w:val="none" w:sz="0" w:space="0" w:color="auto"/>
        <w:right w:val="none" w:sz="0" w:space="0" w:color="auto"/>
      </w:divBdr>
    </w:div>
    <w:div w:id="1521162346">
      <w:bodyDiv w:val="1"/>
      <w:marLeft w:val="0"/>
      <w:marRight w:val="0"/>
      <w:marTop w:val="0"/>
      <w:marBottom w:val="0"/>
      <w:divBdr>
        <w:top w:val="none" w:sz="0" w:space="0" w:color="auto"/>
        <w:left w:val="none" w:sz="0" w:space="0" w:color="auto"/>
        <w:bottom w:val="none" w:sz="0" w:space="0" w:color="auto"/>
        <w:right w:val="none" w:sz="0" w:space="0" w:color="auto"/>
      </w:divBdr>
    </w:div>
    <w:div w:id="1543783043">
      <w:bodyDiv w:val="1"/>
      <w:marLeft w:val="0"/>
      <w:marRight w:val="0"/>
      <w:marTop w:val="0"/>
      <w:marBottom w:val="0"/>
      <w:divBdr>
        <w:top w:val="none" w:sz="0" w:space="0" w:color="auto"/>
        <w:left w:val="none" w:sz="0" w:space="0" w:color="auto"/>
        <w:bottom w:val="none" w:sz="0" w:space="0" w:color="auto"/>
        <w:right w:val="none" w:sz="0" w:space="0" w:color="auto"/>
      </w:divBdr>
    </w:div>
    <w:div w:id="1565945099">
      <w:bodyDiv w:val="1"/>
      <w:marLeft w:val="0"/>
      <w:marRight w:val="0"/>
      <w:marTop w:val="0"/>
      <w:marBottom w:val="0"/>
      <w:divBdr>
        <w:top w:val="none" w:sz="0" w:space="0" w:color="auto"/>
        <w:left w:val="none" w:sz="0" w:space="0" w:color="auto"/>
        <w:bottom w:val="none" w:sz="0" w:space="0" w:color="auto"/>
        <w:right w:val="none" w:sz="0" w:space="0" w:color="auto"/>
      </w:divBdr>
    </w:div>
    <w:div w:id="1904413141">
      <w:bodyDiv w:val="1"/>
      <w:marLeft w:val="0"/>
      <w:marRight w:val="0"/>
      <w:marTop w:val="0"/>
      <w:marBottom w:val="0"/>
      <w:divBdr>
        <w:top w:val="none" w:sz="0" w:space="0" w:color="auto"/>
        <w:left w:val="none" w:sz="0" w:space="0" w:color="auto"/>
        <w:bottom w:val="none" w:sz="0" w:space="0" w:color="auto"/>
        <w:right w:val="none" w:sz="0" w:space="0" w:color="auto"/>
      </w:divBdr>
    </w:div>
    <w:div w:id="2034651055">
      <w:bodyDiv w:val="1"/>
      <w:marLeft w:val="0"/>
      <w:marRight w:val="0"/>
      <w:marTop w:val="0"/>
      <w:marBottom w:val="0"/>
      <w:divBdr>
        <w:top w:val="none" w:sz="0" w:space="0" w:color="auto"/>
        <w:left w:val="none" w:sz="0" w:space="0" w:color="auto"/>
        <w:bottom w:val="none" w:sz="0" w:space="0" w:color="auto"/>
        <w:right w:val="none" w:sz="0" w:space="0" w:color="auto"/>
      </w:divBdr>
    </w:div>
    <w:div w:id="2073582518">
      <w:bodyDiv w:val="1"/>
      <w:marLeft w:val="0"/>
      <w:marRight w:val="0"/>
      <w:marTop w:val="0"/>
      <w:marBottom w:val="0"/>
      <w:divBdr>
        <w:top w:val="none" w:sz="0" w:space="0" w:color="auto"/>
        <w:left w:val="none" w:sz="0" w:space="0" w:color="auto"/>
        <w:bottom w:val="none" w:sz="0" w:space="0" w:color="auto"/>
        <w:right w:val="none" w:sz="0" w:space="0" w:color="auto"/>
      </w:divBdr>
    </w:div>
    <w:div w:id="211007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bs.gov.au/pbs/home" TargetMode="External"/><Relationship Id="rId18" Type="http://schemas.openxmlformats.org/officeDocument/2006/relationships/chart" Target="charts/chart1.xml"/><Relationship Id="rId26"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pbs.gov.au/info/industry/listing/elements/pbac-meetings/psd/2015-07/testosterone-psd-july-2015" TargetMode="External"/><Relationship Id="rId17" Type="http://schemas.openxmlformats.org/officeDocument/2006/relationships/hyperlink" Target="http://www.tga.gov.au/consumers/information-medicines-cmi.htm" TargetMode="External"/><Relationship Id="rId25"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hyperlink" Target="http://tga.gov.au/hp/information-medicines-pi.htm" TargetMode="External"/><Relationship Id="rId20" Type="http://schemas.openxmlformats.org/officeDocument/2006/relationships/header" Target="header2.xml"/><Relationship Id="rId29"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bs.gov.au/info/industry/listing/elements/pbac-meetings/psd/2014-07/testosterone" TargetMode="Externa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bs.gov.au/pbs/home" TargetMode="External"/><Relationship Id="rId23" Type="http://schemas.openxmlformats.org/officeDocument/2006/relationships/header" Target="header3.xml"/><Relationship Id="rId28" Type="http://schemas.openxmlformats.org/officeDocument/2006/relationships/image" Target="media/image1.png"/><Relationship Id="rId10" Type="http://schemas.openxmlformats.org/officeDocument/2006/relationships/hyperlink" Target="http://www.pbs.gov.au/info/industry/listing/elements/pbac-meetings/psd/2013-08/testosterone" TargetMode="External"/><Relationship Id="rId19" Type="http://schemas.openxmlformats.org/officeDocument/2006/relationships/header" Target="header1.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bs.gov.au/info/industry/listing/participants/public-release-docs/testosterone-utilisation-analysis-Oct-2012" TargetMode="External"/><Relationship Id="rId14" Type="http://schemas.openxmlformats.org/officeDocument/2006/relationships/hyperlink" Target="http://www.pbs.gov.au/pbs/home" TargetMode="External"/><Relationship Id="rId22" Type="http://schemas.openxmlformats.org/officeDocument/2006/relationships/footer" Target="footer2.xml"/><Relationship Id="rId27" Type="http://schemas.openxmlformats.org/officeDocument/2006/relationships/chart" Target="charts/chart4.xml"/><Relationship Id="rId30" Type="http://schemas.openxmlformats.org/officeDocument/2006/relationships/chart" Target="charts/chart6.xml"/></Relationships>
</file>

<file path=word/_rels/footnotes.xml.rels><?xml version="1.0" encoding="UTF-8" standalone="yes"?>
<Relationships xmlns="http://schemas.openxmlformats.org/package/2006/relationships"><Relationship Id="rId8" Type="http://schemas.openxmlformats.org/officeDocument/2006/relationships/hyperlink" Target="https://www.ebs.tga.gov.au" TargetMode="External"/><Relationship Id="rId3" Type="http://schemas.openxmlformats.org/officeDocument/2006/relationships/hyperlink" Target="http://www.aihw.gov.au/WorkArea/DownloadAsset.aspx?id=10737420130" TargetMode="External"/><Relationship Id="rId7" Type="http://schemas.openxmlformats.org/officeDocument/2006/relationships/hyperlink" Target="http://www.australiandoctor.com.au" TargetMode="External"/><Relationship Id="rId2" Type="http://schemas.openxmlformats.org/officeDocument/2006/relationships/hyperlink" Target="http://stat.abs.gov.au/" TargetMode="External"/><Relationship Id="rId1" Type="http://schemas.openxmlformats.org/officeDocument/2006/relationships/hyperlink" Target="http://www.t4dm.org.au/" TargetMode="External"/><Relationship Id="rId6" Type="http://schemas.openxmlformats.org/officeDocument/2006/relationships/hyperlink" Target="http://dx.doi.org/10.1371%2Fjournal.pone.0098003" TargetMode="External"/><Relationship Id="rId5" Type="http://schemas.openxmlformats.org/officeDocument/2006/relationships/hyperlink" Target="http://www.pbs.gov.au/info/industry/listing/elements/pbac-meetings/psd/2013-08/testosterone" TargetMode="External"/><Relationship Id="rId4" Type="http://schemas.openxmlformats.org/officeDocument/2006/relationships/hyperlink" Target="http://www.medicareaustralia.gov.au/provider/pbs/stats.jsp"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entral.health\DFSGroupData\Sites\CO1\CO\PBD\PEB\EVAL\DUSC\DUSC%20Documents\Predicted%20vs%20actual%20usage\PvA%20-%202016%20Sep\Testosterone\Data\D950%20-%20Testosterone%20script%20summary%20-%20from%20DUSC%20database%20,%20updated%20to%20June%202016.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entral.health\DFSGroupData\Sites\CO1\CO\PBD\PEB\EVAL\DUSC\DUSC%20Documents\Predicted%20vs%20actual%20usage\PvA%20-%202016%20Sep\Testosterone\Data\D950%20-%20Testosterone%20script%20summary%20-%20from%20DUSC%20database%20v2%20incl%20AMFAC%20item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entral.health\DFSGroupData\Sites\CO1\CO\PBD\PEB\EVAL\DUSC\DUSC%20Documents\Predicted%20vs%20actual%20usage\PvA%20-%202016%20Sep\Testosterone\Data\D950%20-%20PAT_CNT%20by%20therapy,%20drug%20name%20and%20year%20from%20Apri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entral.health\DFSGroupData\Sites\CO1\CO\PBD\PEB\EVAL\DUSC\DUSC%20Documents\Predicted%20vs%20actual%20usage\PvA%20-%202016%20Sep\Testosterone\Data\D950%20-%20PAT_CNT%20by%20therapy,%20drug%20name%20and%20year%20from%20April%20v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Users\twiddp\AppData\Local\Microsoft\Windows\Temporary%20Internet%20Files\Content.Outlook\20CJDW6Q\D950%20Age%20standardised%20-%20Testosterone_Male_v2%20(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entral.health\DFSGroupData\Sites\CO1\CO\PBD\PEB\EVAL\DUSC\DUSC%20Documents\Predicted%20vs%20actual%20usage\PvA%20-%202016%20Sep\Testosterone\Data\D950%20-%20PAT_CNT%20by%20therapy,%20drug%20name%20and%20year%20from%20Apri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[D950 - Testosterone script summary - from DUSC database , updated to June 2016.xlsx]Sheet1!PivotTable4</c:name>
    <c:fmtId val="5"/>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marker>
          <c:symbol val="none"/>
        </c:marker>
      </c:pivotFmt>
      <c:pivotFmt>
        <c:idx val="24"/>
        <c:marker>
          <c:symbol val="none"/>
        </c:marker>
      </c:pivotFmt>
      <c:pivotFmt>
        <c:idx val="25"/>
        <c:marker>
          <c:symbol val="none"/>
        </c:marker>
      </c:pivotFmt>
      <c:pivotFmt>
        <c:idx val="26"/>
        <c:marker>
          <c:symbol val="none"/>
        </c:marker>
      </c:pivotFmt>
      <c:pivotFmt>
        <c:idx val="27"/>
        <c:marker>
          <c:symbol val="none"/>
        </c:marker>
      </c:pivotFmt>
      <c:pivotFmt>
        <c:idx val="28"/>
        <c:marker>
          <c:symbol val="none"/>
        </c:marker>
      </c:pivotFmt>
      <c:pivotFmt>
        <c:idx val="29"/>
        <c:marker>
          <c:symbol val="none"/>
        </c:marker>
      </c:pivotFmt>
      <c:pivotFmt>
        <c:idx val="30"/>
        <c:marker>
          <c:symbol val="none"/>
        </c:marker>
      </c:pivotFmt>
      <c:pivotFmt>
        <c:idx val="31"/>
        <c:marker>
          <c:symbol val="none"/>
        </c:marker>
      </c:pivotFmt>
      <c:pivotFmt>
        <c:idx val="32"/>
        <c:marker>
          <c:symbol val="none"/>
        </c:marker>
      </c:pivotFmt>
      <c:pivotFmt>
        <c:idx val="33"/>
        <c:marker>
          <c:symbol val="none"/>
        </c:marker>
      </c:pivotFmt>
      <c:pivotFmt>
        <c:idx val="34"/>
        <c:marker>
          <c:symbol val="none"/>
        </c:marker>
      </c:pivotFmt>
      <c:pivotFmt>
        <c:idx val="35"/>
        <c:marker>
          <c:symbol val="none"/>
        </c:marker>
      </c:pivotFmt>
      <c:pivotFmt>
        <c:idx val="36"/>
        <c:marker>
          <c:symbol val="none"/>
        </c:marker>
      </c:pivotFmt>
      <c:pivotFmt>
        <c:idx val="37"/>
        <c:marker>
          <c:symbol val="none"/>
        </c:marker>
      </c:pivotFmt>
      <c:pivotFmt>
        <c:idx val="38"/>
        <c:marker>
          <c:symbol val="none"/>
        </c:marker>
      </c:pivotFmt>
      <c:pivotFmt>
        <c:idx val="39"/>
        <c:marker>
          <c:symbol val="none"/>
        </c:marker>
      </c:pivotFmt>
      <c:pivotFmt>
        <c:idx val="40"/>
        <c:marker>
          <c:symbol val="none"/>
        </c:marker>
      </c:pivotFmt>
      <c:pivotFmt>
        <c:idx val="41"/>
        <c:marker>
          <c:symbol val="none"/>
        </c:marker>
      </c:pivotFmt>
      <c:pivotFmt>
        <c:idx val="42"/>
        <c:marker>
          <c:symbol val="none"/>
        </c:marker>
      </c:pivotFmt>
      <c:pivotFmt>
        <c:idx val="43"/>
        <c:marker>
          <c:symbol val="none"/>
        </c:marker>
      </c:pivotFmt>
      <c:pivotFmt>
        <c:idx val="44"/>
        <c:marker>
          <c:symbol val="none"/>
        </c:marker>
      </c:pivotFmt>
      <c:pivotFmt>
        <c:idx val="45"/>
        <c:marker>
          <c:symbol val="none"/>
        </c:marker>
      </c:pivotFmt>
      <c:pivotFmt>
        <c:idx val="46"/>
        <c:marker>
          <c:symbol val="none"/>
        </c:marker>
      </c:pivotFmt>
      <c:pivotFmt>
        <c:idx val="47"/>
        <c:marker>
          <c:symbol val="none"/>
        </c:marker>
      </c:pivotFmt>
      <c:pivotFmt>
        <c:idx val="48"/>
        <c:marker>
          <c:symbol val="none"/>
        </c:marker>
      </c:pivotFmt>
      <c:pivotFmt>
        <c:idx val="49"/>
        <c:marker>
          <c:symbol val="none"/>
        </c:marker>
      </c:pivotFmt>
      <c:pivotFmt>
        <c:idx val="50"/>
        <c:marker>
          <c:symbol val="none"/>
        </c:marker>
      </c:pivotFmt>
      <c:pivotFmt>
        <c:idx val="51"/>
        <c:marker>
          <c:symbol val="none"/>
        </c:marker>
      </c:pivotFmt>
      <c:pivotFmt>
        <c:idx val="52"/>
        <c:marker>
          <c:symbol val="none"/>
        </c:marker>
      </c:pivotFmt>
      <c:pivotFmt>
        <c:idx val="53"/>
        <c:marker>
          <c:symbol val="none"/>
        </c:marker>
      </c:pivotFmt>
      <c:pivotFmt>
        <c:idx val="54"/>
        <c:marker>
          <c:symbol val="none"/>
        </c:marker>
      </c:pivotFmt>
      <c:pivotFmt>
        <c:idx val="55"/>
        <c:marker>
          <c:symbol val="none"/>
        </c:marker>
      </c:pivotFmt>
      <c:pivotFmt>
        <c:idx val="56"/>
        <c:marker>
          <c:symbol val="none"/>
        </c:marker>
      </c:pivotFmt>
      <c:pivotFmt>
        <c:idx val="57"/>
        <c:marker>
          <c:symbol val="none"/>
        </c:marker>
      </c:pivotFmt>
      <c:pivotFmt>
        <c:idx val="58"/>
        <c:marker>
          <c:symbol val="none"/>
        </c:marker>
      </c:pivotFmt>
      <c:pivotFmt>
        <c:idx val="59"/>
        <c:marker>
          <c:symbol val="none"/>
        </c:marker>
      </c:pivotFmt>
      <c:pivotFmt>
        <c:idx val="60"/>
        <c:marker>
          <c:symbol val="none"/>
        </c:marker>
      </c:pivotFmt>
      <c:pivotFmt>
        <c:idx val="61"/>
        <c:marker>
          <c:symbol val="none"/>
        </c:marker>
      </c:pivotFmt>
    </c:pivotFmts>
    <c:plotArea>
      <c:layout/>
      <c:lineChart>
        <c:grouping val="standard"/>
        <c:varyColors val="0"/>
        <c:ser>
          <c:idx val="0"/>
          <c:order val="0"/>
          <c:tx>
            <c:strRef>
              <c:f>Sheet1!$B$4</c:f>
              <c:strCache>
                <c:ptCount val="1"/>
                <c:pt idx="0">
                  <c:v>Total</c:v>
                </c:pt>
              </c:strCache>
            </c:strRef>
          </c:tx>
          <c:marker>
            <c:symbol val="none"/>
          </c:marker>
          <c:cat>
            <c:strRef>
              <c:f>Sheet1!$A$5:$A$47</c:f>
              <c:strCache>
                <c:ptCount val="42"/>
                <c:pt idx="0">
                  <c:v> 2006Q1</c:v>
                </c:pt>
                <c:pt idx="1">
                  <c:v> 2006Q2</c:v>
                </c:pt>
                <c:pt idx="2">
                  <c:v> 2006Q3</c:v>
                </c:pt>
                <c:pt idx="3">
                  <c:v> 2006Q4</c:v>
                </c:pt>
                <c:pt idx="4">
                  <c:v> 2007Q1</c:v>
                </c:pt>
                <c:pt idx="5">
                  <c:v> 2007Q2</c:v>
                </c:pt>
                <c:pt idx="6">
                  <c:v> 2007Q3</c:v>
                </c:pt>
                <c:pt idx="7">
                  <c:v> 2007Q4</c:v>
                </c:pt>
                <c:pt idx="8">
                  <c:v> 2008Q1</c:v>
                </c:pt>
                <c:pt idx="9">
                  <c:v> 2008Q2</c:v>
                </c:pt>
                <c:pt idx="10">
                  <c:v> 2008Q3</c:v>
                </c:pt>
                <c:pt idx="11">
                  <c:v> 2008Q4</c:v>
                </c:pt>
                <c:pt idx="12">
                  <c:v> 2009Q1</c:v>
                </c:pt>
                <c:pt idx="13">
                  <c:v> 2009Q2</c:v>
                </c:pt>
                <c:pt idx="14">
                  <c:v> 2009Q3</c:v>
                </c:pt>
                <c:pt idx="15">
                  <c:v> 2009Q4</c:v>
                </c:pt>
                <c:pt idx="16">
                  <c:v> 2010Q1</c:v>
                </c:pt>
                <c:pt idx="17">
                  <c:v> 2010Q2</c:v>
                </c:pt>
                <c:pt idx="18">
                  <c:v> 2010Q3</c:v>
                </c:pt>
                <c:pt idx="19">
                  <c:v> 2010Q4</c:v>
                </c:pt>
                <c:pt idx="20">
                  <c:v> 2011Q1</c:v>
                </c:pt>
                <c:pt idx="21">
                  <c:v> 2011Q2</c:v>
                </c:pt>
                <c:pt idx="22">
                  <c:v> 2011Q3</c:v>
                </c:pt>
                <c:pt idx="23">
                  <c:v> 2011Q4</c:v>
                </c:pt>
                <c:pt idx="24">
                  <c:v> 2012Q1</c:v>
                </c:pt>
                <c:pt idx="25">
                  <c:v> 2012Q2</c:v>
                </c:pt>
                <c:pt idx="26">
                  <c:v> 2012Q3</c:v>
                </c:pt>
                <c:pt idx="27">
                  <c:v> 2012Q4</c:v>
                </c:pt>
                <c:pt idx="28">
                  <c:v> 2013Q1</c:v>
                </c:pt>
                <c:pt idx="29">
                  <c:v> 2013Q2</c:v>
                </c:pt>
                <c:pt idx="30">
                  <c:v> 2013Q3</c:v>
                </c:pt>
                <c:pt idx="31">
                  <c:v> 2013Q4</c:v>
                </c:pt>
                <c:pt idx="32">
                  <c:v> 2014Q1</c:v>
                </c:pt>
                <c:pt idx="33">
                  <c:v> 2014Q2</c:v>
                </c:pt>
                <c:pt idx="34">
                  <c:v> 2014Q3</c:v>
                </c:pt>
                <c:pt idx="35">
                  <c:v> 2014Q4</c:v>
                </c:pt>
                <c:pt idx="36">
                  <c:v> 2015Q1</c:v>
                </c:pt>
                <c:pt idx="37">
                  <c:v> 2015Q2</c:v>
                </c:pt>
                <c:pt idx="38">
                  <c:v> 2015Q3</c:v>
                </c:pt>
                <c:pt idx="39">
                  <c:v> 2015Q4</c:v>
                </c:pt>
                <c:pt idx="40">
                  <c:v> 2016Q1</c:v>
                </c:pt>
                <c:pt idx="41">
                  <c:v> 2016Q2</c:v>
                </c:pt>
              </c:strCache>
            </c:strRef>
          </c:cat>
          <c:val>
            <c:numRef>
              <c:f>Sheet1!$B$5:$B$47</c:f>
              <c:numCache>
                <c:formatCode>General</c:formatCode>
                <c:ptCount val="42"/>
                <c:pt idx="0">
                  <c:v>35173</c:v>
                </c:pt>
                <c:pt idx="1">
                  <c:v>38161</c:v>
                </c:pt>
                <c:pt idx="2">
                  <c:v>39477</c:v>
                </c:pt>
                <c:pt idx="3">
                  <c:v>41984</c:v>
                </c:pt>
                <c:pt idx="4">
                  <c:v>37518</c:v>
                </c:pt>
                <c:pt idx="5">
                  <c:v>41804</c:v>
                </c:pt>
                <c:pt idx="6">
                  <c:v>42486</c:v>
                </c:pt>
                <c:pt idx="7">
                  <c:v>47633</c:v>
                </c:pt>
                <c:pt idx="8">
                  <c:v>43699</c:v>
                </c:pt>
                <c:pt idx="9">
                  <c:v>46383</c:v>
                </c:pt>
                <c:pt idx="10">
                  <c:v>46600</c:v>
                </c:pt>
                <c:pt idx="11">
                  <c:v>52594</c:v>
                </c:pt>
                <c:pt idx="12">
                  <c:v>45325</c:v>
                </c:pt>
                <c:pt idx="13">
                  <c:v>49443</c:v>
                </c:pt>
                <c:pt idx="14">
                  <c:v>50992</c:v>
                </c:pt>
                <c:pt idx="15">
                  <c:v>54949</c:v>
                </c:pt>
                <c:pt idx="16">
                  <c:v>49313</c:v>
                </c:pt>
                <c:pt idx="17">
                  <c:v>50892</c:v>
                </c:pt>
                <c:pt idx="18">
                  <c:v>54002</c:v>
                </c:pt>
                <c:pt idx="19">
                  <c:v>57969</c:v>
                </c:pt>
                <c:pt idx="20">
                  <c:v>50344</c:v>
                </c:pt>
                <c:pt idx="21">
                  <c:v>53640</c:v>
                </c:pt>
                <c:pt idx="22">
                  <c:v>55624</c:v>
                </c:pt>
                <c:pt idx="23">
                  <c:v>56759</c:v>
                </c:pt>
                <c:pt idx="24">
                  <c:v>55615</c:v>
                </c:pt>
                <c:pt idx="25">
                  <c:v>57403</c:v>
                </c:pt>
                <c:pt idx="26">
                  <c:v>55977</c:v>
                </c:pt>
                <c:pt idx="27">
                  <c:v>52569</c:v>
                </c:pt>
                <c:pt idx="28">
                  <c:v>46457</c:v>
                </c:pt>
                <c:pt idx="29">
                  <c:v>51896</c:v>
                </c:pt>
                <c:pt idx="30">
                  <c:v>53611</c:v>
                </c:pt>
                <c:pt idx="31">
                  <c:v>58310</c:v>
                </c:pt>
                <c:pt idx="32">
                  <c:v>50404</c:v>
                </c:pt>
                <c:pt idx="33">
                  <c:v>54048</c:v>
                </c:pt>
                <c:pt idx="34">
                  <c:v>56248</c:v>
                </c:pt>
                <c:pt idx="35">
                  <c:v>62231</c:v>
                </c:pt>
                <c:pt idx="36">
                  <c:v>55115</c:v>
                </c:pt>
                <c:pt idx="37">
                  <c:v>47585</c:v>
                </c:pt>
                <c:pt idx="38">
                  <c:v>40462</c:v>
                </c:pt>
                <c:pt idx="39">
                  <c:v>40259</c:v>
                </c:pt>
                <c:pt idx="40">
                  <c:v>35299</c:v>
                </c:pt>
                <c:pt idx="41">
                  <c:v>37619</c:v>
                </c:pt>
              </c:numCache>
            </c:numRef>
          </c:val>
          <c:smooth val="0"/>
        </c:ser>
        <c:dLbls>
          <c:showLegendKey val="0"/>
          <c:showVal val="0"/>
          <c:showCatName val="0"/>
          <c:showSerName val="0"/>
          <c:showPercent val="0"/>
          <c:showBubbleSize val="0"/>
        </c:dLbls>
        <c:marker val="1"/>
        <c:smooth val="0"/>
        <c:axId val="84655488"/>
        <c:axId val="86382080"/>
      </c:lineChart>
      <c:catAx>
        <c:axId val="84655488"/>
        <c:scaling>
          <c:orientation val="minMax"/>
        </c:scaling>
        <c:delete val="0"/>
        <c:axPos val="b"/>
        <c:title>
          <c:tx>
            <c:rich>
              <a:bodyPr/>
              <a:lstStyle/>
              <a:p>
                <a:pPr>
                  <a:defRPr/>
                </a:pPr>
                <a:r>
                  <a:rPr lang="en-AU"/>
                  <a:t>Date of</a:t>
                </a:r>
                <a:r>
                  <a:rPr lang="en-AU" baseline="0"/>
                  <a:t> supply</a:t>
                </a:r>
                <a:endParaRPr lang="en-AU"/>
              </a:p>
            </c:rich>
          </c:tx>
          <c:layout/>
          <c:overlay val="0"/>
        </c:title>
        <c:majorTickMark val="in"/>
        <c:minorTickMark val="none"/>
        <c:tickLblPos val="nextTo"/>
        <c:crossAx val="86382080"/>
        <c:crosses val="autoZero"/>
        <c:auto val="1"/>
        <c:lblAlgn val="ctr"/>
        <c:lblOffset val="100"/>
        <c:noMultiLvlLbl val="0"/>
      </c:catAx>
      <c:valAx>
        <c:axId val="86382080"/>
        <c:scaling>
          <c:orientation val="minMax"/>
        </c:scaling>
        <c:delete val="0"/>
        <c:axPos val="l"/>
        <c:majorGridlines/>
        <c:title>
          <c:tx>
            <c:rich>
              <a:bodyPr rot="-5400000" vert="horz"/>
              <a:lstStyle/>
              <a:p>
                <a:pPr>
                  <a:defRPr/>
                </a:pPr>
                <a:r>
                  <a:rPr lang="en-AU"/>
                  <a:t>Number of prescriptions</a:t>
                </a:r>
              </a:p>
            </c:rich>
          </c:tx>
          <c:layout/>
          <c:overlay val="0"/>
        </c:title>
        <c:numFmt formatCode="#,##0" sourceLinked="0"/>
        <c:majorTickMark val="none"/>
        <c:minorTickMark val="none"/>
        <c:tickLblPos val="nextTo"/>
        <c:crossAx val="84655488"/>
        <c:crosses val="autoZero"/>
        <c:crossBetween val="between"/>
      </c:valAx>
    </c:plotArea>
    <c:plotVisOnly val="1"/>
    <c:dispBlanksAs val="gap"/>
    <c:showDLblsOverMax val="0"/>
  </c:chart>
  <c:externalData r:id="rId1">
    <c:autoUpdate val="0"/>
  </c:externalData>
  <c:userShapes r:id="rId2"/>
  <c:extLst>
    <c:ext xmlns:c14="http://schemas.microsoft.com/office/drawing/2007/8/2/chart" uri="{781A3756-C4B2-4CAC-9D66-4F8BD8637D16}">
      <c14:pivotOptions>
        <c14:dropZoneFilter val="1"/>
        <c14:dropZoneCategories val="1"/>
        <c14:dropZoneData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[D950 - Testosterone script summary - from DUSC database v2 incl AMFAC items.xlsx]Sheet1 (3)!PivotTable4</c:name>
    <c:fmtId val="2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marker>
          <c:symbol val="none"/>
        </c:marker>
      </c:pivotFmt>
      <c:pivotFmt>
        <c:idx val="24"/>
        <c:marker>
          <c:symbol val="none"/>
        </c:marker>
      </c:pivotFmt>
      <c:pivotFmt>
        <c:idx val="25"/>
        <c:marker>
          <c:symbol val="none"/>
        </c:marker>
      </c:pivotFmt>
      <c:pivotFmt>
        <c:idx val="26"/>
        <c:marker>
          <c:symbol val="none"/>
        </c:marker>
      </c:pivotFmt>
      <c:pivotFmt>
        <c:idx val="27"/>
        <c:marker>
          <c:symbol val="none"/>
        </c:marker>
      </c:pivotFmt>
      <c:pivotFmt>
        <c:idx val="28"/>
        <c:marker>
          <c:symbol val="none"/>
        </c:marker>
      </c:pivotFmt>
      <c:pivotFmt>
        <c:idx val="29"/>
        <c:marker>
          <c:symbol val="none"/>
        </c:marker>
      </c:pivotFmt>
      <c:pivotFmt>
        <c:idx val="30"/>
        <c:marker>
          <c:symbol val="none"/>
        </c:marker>
      </c:pivotFmt>
      <c:pivotFmt>
        <c:idx val="31"/>
        <c:marker>
          <c:symbol val="none"/>
        </c:marker>
      </c:pivotFmt>
      <c:pivotFmt>
        <c:idx val="32"/>
        <c:marker>
          <c:symbol val="none"/>
        </c:marker>
      </c:pivotFmt>
      <c:pivotFmt>
        <c:idx val="33"/>
        <c:marker>
          <c:symbol val="none"/>
        </c:marker>
      </c:pivotFmt>
      <c:pivotFmt>
        <c:idx val="34"/>
        <c:marker>
          <c:symbol val="none"/>
        </c:marker>
      </c:pivotFmt>
      <c:pivotFmt>
        <c:idx val="35"/>
        <c:marker>
          <c:symbol val="none"/>
        </c:marker>
      </c:pivotFmt>
      <c:pivotFmt>
        <c:idx val="36"/>
        <c:marker>
          <c:symbol val="none"/>
        </c:marker>
      </c:pivotFmt>
      <c:pivotFmt>
        <c:idx val="37"/>
        <c:marker>
          <c:symbol val="none"/>
        </c:marker>
      </c:pivotFmt>
      <c:pivotFmt>
        <c:idx val="38"/>
        <c:marker>
          <c:symbol val="none"/>
        </c:marker>
      </c:pivotFmt>
      <c:pivotFmt>
        <c:idx val="39"/>
        <c:marker>
          <c:symbol val="none"/>
        </c:marker>
      </c:pivotFmt>
      <c:pivotFmt>
        <c:idx val="40"/>
        <c:marker>
          <c:symbol val="none"/>
        </c:marker>
      </c:pivotFmt>
      <c:pivotFmt>
        <c:idx val="41"/>
        <c:marker>
          <c:symbol val="none"/>
        </c:marker>
      </c:pivotFmt>
      <c:pivotFmt>
        <c:idx val="42"/>
        <c:marker>
          <c:symbol val="none"/>
        </c:marker>
      </c:pivotFmt>
      <c:pivotFmt>
        <c:idx val="43"/>
        <c:marker>
          <c:symbol val="none"/>
        </c:marker>
      </c:pivotFmt>
      <c:pivotFmt>
        <c:idx val="44"/>
        <c:marker>
          <c:symbol val="none"/>
        </c:marker>
      </c:pivotFmt>
      <c:pivotFmt>
        <c:idx val="45"/>
        <c:marker>
          <c:symbol val="none"/>
        </c:marker>
      </c:pivotFmt>
      <c:pivotFmt>
        <c:idx val="46"/>
        <c:marker>
          <c:symbol val="none"/>
        </c:marker>
      </c:pivotFmt>
      <c:pivotFmt>
        <c:idx val="47"/>
        <c:marker>
          <c:symbol val="none"/>
        </c:marker>
      </c:pivotFmt>
      <c:pivotFmt>
        <c:idx val="48"/>
        <c:marker>
          <c:symbol val="none"/>
        </c:marker>
      </c:pivotFmt>
      <c:pivotFmt>
        <c:idx val="49"/>
        <c:marker>
          <c:symbol val="none"/>
        </c:marker>
      </c:pivotFmt>
      <c:pivotFmt>
        <c:idx val="50"/>
        <c:marker>
          <c:symbol val="none"/>
        </c:marker>
      </c:pivotFmt>
      <c:pivotFmt>
        <c:idx val="51"/>
        <c:marker>
          <c:symbol val="none"/>
        </c:marker>
      </c:pivotFmt>
      <c:pivotFmt>
        <c:idx val="52"/>
        <c:marker>
          <c:symbol val="none"/>
        </c:marker>
      </c:pivotFmt>
      <c:pivotFmt>
        <c:idx val="53"/>
        <c:marker>
          <c:symbol val="none"/>
        </c:marker>
      </c:pivotFmt>
      <c:pivotFmt>
        <c:idx val="54"/>
        <c:marker>
          <c:symbol val="none"/>
        </c:marker>
      </c:pivotFmt>
      <c:pivotFmt>
        <c:idx val="55"/>
        <c:marker>
          <c:symbol val="none"/>
        </c:marker>
      </c:pivotFmt>
      <c:pivotFmt>
        <c:idx val="56"/>
        <c:marker>
          <c:symbol val="none"/>
        </c:marker>
      </c:pivotFmt>
      <c:pivotFmt>
        <c:idx val="57"/>
        <c:marker>
          <c:symbol val="none"/>
        </c:marker>
      </c:pivotFmt>
      <c:pivotFmt>
        <c:idx val="58"/>
        <c:marker>
          <c:symbol val="none"/>
        </c:marker>
      </c:pivotFmt>
      <c:pivotFmt>
        <c:idx val="59"/>
        <c:marker>
          <c:symbol val="none"/>
        </c:marker>
      </c:pivotFmt>
      <c:pivotFmt>
        <c:idx val="60"/>
        <c:marker>
          <c:symbol val="none"/>
        </c:marker>
      </c:pivotFmt>
      <c:pivotFmt>
        <c:idx val="61"/>
        <c:marker>
          <c:symbol val="none"/>
        </c:marker>
      </c:pivotFmt>
      <c:pivotFmt>
        <c:idx val="62"/>
        <c:marker>
          <c:symbol val="none"/>
        </c:marker>
      </c:pivotFmt>
      <c:pivotFmt>
        <c:idx val="63"/>
        <c:marker>
          <c:symbol val="none"/>
        </c:marker>
      </c:pivotFmt>
      <c:pivotFmt>
        <c:idx val="64"/>
        <c:marker>
          <c:symbol val="none"/>
        </c:marker>
      </c:pivotFmt>
      <c:pivotFmt>
        <c:idx val="65"/>
        <c:marker>
          <c:symbol val="none"/>
        </c:marker>
      </c:pivotFmt>
      <c:pivotFmt>
        <c:idx val="66"/>
        <c:marker>
          <c:symbol val="none"/>
        </c:marker>
      </c:pivotFmt>
      <c:pivotFmt>
        <c:idx val="67"/>
        <c:marker>
          <c:symbol val="none"/>
        </c:marker>
      </c:pivotFmt>
      <c:pivotFmt>
        <c:idx val="68"/>
        <c:marker>
          <c:symbol val="none"/>
        </c:marker>
      </c:pivotFmt>
      <c:pivotFmt>
        <c:idx val="69"/>
        <c:marker>
          <c:symbol val="none"/>
        </c:marker>
      </c:pivotFmt>
      <c:pivotFmt>
        <c:idx val="70"/>
        <c:marker>
          <c:symbol val="none"/>
        </c:marker>
      </c:pivotFmt>
      <c:pivotFmt>
        <c:idx val="71"/>
        <c:marker>
          <c:symbol val="none"/>
        </c:marker>
      </c:pivotFmt>
      <c:pivotFmt>
        <c:idx val="72"/>
        <c:marker>
          <c:symbol val="none"/>
        </c:marker>
      </c:pivotFmt>
      <c:pivotFmt>
        <c:idx val="73"/>
        <c:marker>
          <c:symbol val="none"/>
        </c:marker>
      </c:pivotFmt>
      <c:pivotFmt>
        <c:idx val="74"/>
        <c:marker>
          <c:symbol val="none"/>
        </c:marker>
      </c:pivotFmt>
      <c:pivotFmt>
        <c:idx val="75"/>
        <c:marker>
          <c:symbol val="none"/>
        </c:marker>
      </c:pivotFmt>
      <c:pivotFmt>
        <c:idx val="76"/>
        <c:marker>
          <c:symbol val="none"/>
        </c:marker>
      </c:pivotFmt>
      <c:pivotFmt>
        <c:idx val="77"/>
      </c:pivotFmt>
      <c:pivotFmt>
        <c:idx val="78"/>
      </c:pivotFmt>
      <c:pivotFmt>
        <c:idx val="79"/>
      </c:pivotFmt>
      <c:pivotFmt>
        <c:idx val="80"/>
      </c:pivotFmt>
      <c:pivotFmt>
        <c:idx val="81"/>
      </c:pivotFmt>
      <c:pivotFmt>
        <c:idx val="82"/>
      </c:pivotFmt>
      <c:pivotFmt>
        <c:idx val="83"/>
      </c:pivotFmt>
      <c:pivotFmt>
        <c:idx val="84"/>
      </c:pivotFmt>
      <c:pivotFmt>
        <c:idx val="85"/>
      </c:pivotFmt>
      <c:pivotFmt>
        <c:idx val="86"/>
      </c:pivotFmt>
      <c:pivotFmt>
        <c:idx val="87"/>
      </c:pivotFmt>
      <c:pivotFmt>
        <c:idx val="88"/>
      </c:pivotFmt>
      <c:pivotFmt>
        <c:idx val="89"/>
      </c:pivotFmt>
      <c:pivotFmt>
        <c:idx val="90"/>
      </c:pivotFmt>
      <c:pivotFmt>
        <c:idx val="91"/>
      </c:pivotFmt>
      <c:pivotFmt>
        <c:idx val="92"/>
      </c:pivotFmt>
      <c:pivotFmt>
        <c:idx val="93"/>
      </c:pivotFmt>
      <c:pivotFmt>
        <c:idx val="94"/>
      </c:pivotFmt>
      <c:pivotFmt>
        <c:idx val="95"/>
      </c:pivotFmt>
      <c:pivotFmt>
        <c:idx val="96"/>
      </c:pivotFmt>
      <c:pivotFmt>
        <c:idx val="97"/>
      </c:pivotFmt>
      <c:pivotFmt>
        <c:idx val="98"/>
      </c:pivotFmt>
    </c:pivotFmts>
    <c:plotArea>
      <c:layout/>
      <c:lineChart>
        <c:grouping val="standard"/>
        <c:varyColors val="0"/>
        <c:ser>
          <c:idx val="0"/>
          <c:order val="0"/>
          <c:tx>
            <c:strRef>
              <c:f>'Sheet1 (3)'!$B$4:$B$5</c:f>
              <c:strCache>
                <c:ptCount val="1"/>
                <c:pt idx="0">
                  <c:v>I.M. injection testosterone undecanoate 1,000 mg/4 mL</c:v>
                </c:pt>
              </c:strCache>
            </c:strRef>
          </c:tx>
          <c:cat>
            <c:strRef>
              <c:f>'Sheet1 (3)'!$A$6:$A$20</c:f>
              <c:strCache>
                <c:ptCount val="14"/>
                <c:pt idx="0">
                  <c:v> 2012Q4</c:v>
                </c:pt>
                <c:pt idx="1">
                  <c:v> 2013Q1</c:v>
                </c:pt>
                <c:pt idx="2">
                  <c:v> 2013Q2</c:v>
                </c:pt>
                <c:pt idx="3">
                  <c:v> 2013Q3</c:v>
                </c:pt>
                <c:pt idx="4">
                  <c:v> 2013Q4</c:v>
                </c:pt>
                <c:pt idx="5">
                  <c:v> 2014Q1</c:v>
                </c:pt>
                <c:pt idx="6">
                  <c:v> 2014Q2</c:v>
                </c:pt>
                <c:pt idx="7">
                  <c:v> 2014Q3</c:v>
                </c:pt>
                <c:pt idx="8">
                  <c:v> 2014Q4</c:v>
                </c:pt>
                <c:pt idx="9">
                  <c:v> 2015Q1</c:v>
                </c:pt>
                <c:pt idx="10">
                  <c:v> 2015Q2</c:v>
                </c:pt>
                <c:pt idx="11">
                  <c:v> 2015Q3</c:v>
                </c:pt>
                <c:pt idx="12">
                  <c:v> 2015Q4</c:v>
                </c:pt>
                <c:pt idx="13">
                  <c:v> 2016Q1</c:v>
                </c:pt>
              </c:strCache>
            </c:strRef>
          </c:cat>
          <c:val>
            <c:numRef>
              <c:f>'Sheet1 (3)'!$B$6:$B$20</c:f>
              <c:numCache>
                <c:formatCode>General</c:formatCode>
                <c:ptCount val="14"/>
                <c:pt idx="0">
                  <c:v>18755</c:v>
                </c:pt>
                <c:pt idx="1">
                  <c:v>16777</c:v>
                </c:pt>
                <c:pt idx="2">
                  <c:v>18304</c:v>
                </c:pt>
                <c:pt idx="3">
                  <c:v>18787</c:v>
                </c:pt>
                <c:pt idx="4">
                  <c:v>20412</c:v>
                </c:pt>
                <c:pt idx="5">
                  <c:v>17826</c:v>
                </c:pt>
                <c:pt idx="6">
                  <c:v>18968</c:v>
                </c:pt>
                <c:pt idx="7">
                  <c:v>19657</c:v>
                </c:pt>
                <c:pt idx="8">
                  <c:v>21885</c:v>
                </c:pt>
                <c:pt idx="9">
                  <c:v>19587</c:v>
                </c:pt>
                <c:pt idx="10">
                  <c:v>15230</c:v>
                </c:pt>
                <c:pt idx="11">
                  <c:v>13852</c:v>
                </c:pt>
                <c:pt idx="12">
                  <c:v>14651</c:v>
                </c:pt>
                <c:pt idx="13">
                  <c:v>13510</c:v>
                </c:pt>
              </c:numCache>
            </c:numRef>
          </c:val>
          <c:smooth val="0"/>
        </c:ser>
        <c:ser>
          <c:idx val="1"/>
          <c:order val="1"/>
          <c:tx>
            <c:strRef>
              <c:f>'Sheet1 (3)'!$C$4:$C$5</c:f>
              <c:strCache>
                <c:ptCount val="1"/>
                <c:pt idx="0">
                  <c:v>Transdermal gel 50 mg/5 g</c:v>
                </c:pt>
              </c:strCache>
            </c:strRef>
          </c:tx>
          <c:cat>
            <c:strRef>
              <c:f>'Sheet1 (3)'!$A$6:$A$20</c:f>
              <c:strCache>
                <c:ptCount val="14"/>
                <c:pt idx="0">
                  <c:v> 2012Q4</c:v>
                </c:pt>
                <c:pt idx="1">
                  <c:v> 2013Q1</c:v>
                </c:pt>
                <c:pt idx="2">
                  <c:v> 2013Q2</c:v>
                </c:pt>
                <c:pt idx="3">
                  <c:v> 2013Q3</c:v>
                </c:pt>
                <c:pt idx="4">
                  <c:v> 2013Q4</c:v>
                </c:pt>
                <c:pt idx="5">
                  <c:v> 2014Q1</c:v>
                </c:pt>
                <c:pt idx="6">
                  <c:v> 2014Q2</c:v>
                </c:pt>
                <c:pt idx="7">
                  <c:v> 2014Q3</c:v>
                </c:pt>
                <c:pt idx="8">
                  <c:v> 2014Q4</c:v>
                </c:pt>
                <c:pt idx="9">
                  <c:v> 2015Q1</c:v>
                </c:pt>
                <c:pt idx="10">
                  <c:v> 2015Q2</c:v>
                </c:pt>
                <c:pt idx="11">
                  <c:v> 2015Q3</c:v>
                </c:pt>
                <c:pt idx="12">
                  <c:v> 2015Q4</c:v>
                </c:pt>
                <c:pt idx="13">
                  <c:v> 2016Q1</c:v>
                </c:pt>
              </c:strCache>
            </c:strRef>
          </c:cat>
          <c:val>
            <c:numRef>
              <c:f>'Sheet1 (3)'!$C$6:$C$20</c:f>
              <c:numCache>
                <c:formatCode>General</c:formatCode>
                <c:ptCount val="14"/>
                <c:pt idx="0">
                  <c:v>18442</c:v>
                </c:pt>
                <c:pt idx="1">
                  <c:v>16192</c:v>
                </c:pt>
                <c:pt idx="2">
                  <c:v>17455</c:v>
                </c:pt>
                <c:pt idx="3">
                  <c:v>17291</c:v>
                </c:pt>
                <c:pt idx="4">
                  <c:v>18375</c:v>
                </c:pt>
                <c:pt idx="5">
                  <c:v>15425</c:v>
                </c:pt>
                <c:pt idx="6">
                  <c:v>16162</c:v>
                </c:pt>
                <c:pt idx="7">
                  <c:v>16253</c:v>
                </c:pt>
                <c:pt idx="8">
                  <c:v>17702</c:v>
                </c:pt>
                <c:pt idx="9">
                  <c:v>15672</c:v>
                </c:pt>
                <c:pt idx="10">
                  <c:v>14689</c:v>
                </c:pt>
                <c:pt idx="11">
                  <c:v>12674</c:v>
                </c:pt>
                <c:pt idx="12">
                  <c:v>12326</c:v>
                </c:pt>
                <c:pt idx="13">
                  <c:v>10517</c:v>
                </c:pt>
              </c:numCache>
            </c:numRef>
          </c:val>
          <c:smooth val="0"/>
        </c:ser>
        <c:ser>
          <c:idx val="2"/>
          <c:order val="2"/>
          <c:tx>
            <c:strRef>
              <c:f>'Sheet1 (3)'!$D$4:$D$5</c:f>
              <c:strCache>
                <c:ptCount val="1"/>
                <c:pt idx="0">
                  <c:v>Capsule testosterone undecanoate 40 mg</c:v>
                </c:pt>
              </c:strCache>
            </c:strRef>
          </c:tx>
          <c:cat>
            <c:strRef>
              <c:f>'Sheet1 (3)'!$A$6:$A$20</c:f>
              <c:strCache>
                <c:ptCount val="14"/>
                <c:pt idx="0">
                  <c:v> 2012Q4</c:v>
                </c:pt>
                <c:pt idx="1">
                  <c:v> 2013Q1</c:v>
                </c:pt>
                <c:pt idx="2">
                  <c:v> 2013Q2</c:v>
                </c:pt>
                <c:pt idx="3">
                  <c:v> 2013Q3</c:v>
                </c:pt>
                <c:pt idx="4">
                  <c:v> 2013Q4</c:v>
                </c:pt>
                <c:pt idx="5">
                  <c:v> 2014Q1</c:v>
                </c:pt>
                <c:pt idx="6">
                  <c:v> 2014Q2</c:v>
                </c:pt>
                <c:pt idx="7">
                  <c:v> 2014Q3</c:v>
                </c:pt>
                <c:pt idx="8">
                  <c:v> 2014Q4</c:v>
                </c:pt>
                <c:pt idx="9">
                  <c:v> 2015Q1</c:v>
                </c:pt>
                <c:pt idx="10">
                  <c:v> 2015Q2</c:v>
                </c:pt>
                <c:pt idx="11">
                  <c:v> 2015Q3</c:v>
                </c:pt>
                <c:pt idx="12">
                  <c:v> 2015Q4</c:v>
                </c:pt>
                <c:pt idx="13">
                  <c:v> 2016Q1</c:v>
                </c:pt>
              </c:strCache>
            </c:strRef>
          </c:cat>
          <c:val>
            <c:numRef>
              <c:f>'Sheet1 (3)'!$D$6:$D$20</c:f>
              <c:numCache>
                <c:formatCode>General</c:formatCode>
                <c:ptCount val="14"/>
                <c:pt idx="0">
                  <c:v>6747</c:v>
                </c:pt>
                <c:pt idx="1">
                  <c:v>5857</c:v>
                </c:pt>
                <c:pt idx="2">
                  <c:v>6419</c:v>
                </c:pt>
                <c:pt idx="3">
                  <c:v>6345</c:v>
                </c:pt>
                <c:pt idx="4">
                  <c:v>6664</c:v>
                </c:pt>
                <c:pt idx="5">
                  <c:v>5634</c:v>
                </c:pt>
                <c:pt idx="6">
                  <c:v>6033</c:v>
                </c:pt>
                <c:pt idx="7">
                  <c:v>6136</c:v>
                </c:pt>
                <c:pt idx="8">
                  <c:v>6341</c:v>
                </c:pt>
                <c:pt idx="9">
                  <c:v>5590</c:v>
                </c:pt>
                <c:pt idx="10">
                  <c:v>4992</c:v>
                </c:pt>
                <c:pt idx="11">
                  <c:v>3539</c:v>
                </c:pt>
                <c:pt idx="12">
                  <c:v>2908</c:v>
                </c:pt>
                <c:pt idx="13">
                  <c:v>2257</c:v>
                </c:pt>
              </c:numCache>
            </c:numRef>
          </c:val>
          <c:smooth val="0"/>
        </c:ser>
        <c:ser>
          <c:idx val="3"/>
          <c:order val="3"/>
          <c:tx>
            <c:strRef>
              <c:f>'Sheet1 (3)'!$E$4:$E$5</c:f>
              <c:strCache>
                <c:ptCount val="1"/>
                <c:pt idx="0">
                  <c:v>Injection testosterone enanthate 250 mg/1 mL</c:v>
                </c:pt>
              </c:strCache>
            </c:strRef>
          </c:tx>
          <c:cat>
            <c:strRef>
              <c:f>'Sheet1 (3)'!$A$6:$A$20</c:f>
              <c:strCache>
                <c:ptCount val="14"/>
                <c:pt idx="0">
                  <c:v> 2012Q4</c:v>
                </c:pt>
                <c:pt idx="1">
                  <c:v> 2013Q1</c:v>
                </c:pt>
                <c:pt idx="2">
                  <c:v> 2013Q2</c:v>
                </c:pt>
                <c:pt idx="3">
                  <c:v> 2013Q3</c:v>
                </c:pt>
                <c:pt idx="4">
                  <c:v> 2013Q4</c:v>
                </c:pt>
                <c:pt idx="5">
                  <c:v> 2014Q1</c:v>
                </c:pt>
                <c:pt idx="6">
                  <c:v> 2014Q2</c:v>
                </c:pt>
                <c:pt idx="7">
                  <c:v> 2014Q3</c:v>
                </c:pt>
                <c:pt idx="8">
                  <c:v> 2014Q4</c:v>
                </c:pt>
                <c:pt idx="9">
                  <c:v> 2015Q1</c:v>
                </c:pt>
                <c:pt idx="10">
                  <c:v> 2015Q2</c:v>
                </c:pt>
                <c:pt idx="11">
                  <c:v> 2015Q3</c:v>
                </c:pt>
                <c:pt idx="12">
                  <c:v> 2015Q4</c:v>
                </c:pt>
                <c:pt idx="13">
                  <c:v> 2016Q1</c:v>
                </c:pt>
              </c:strCache>
            </c:strRef>
          </c:cat>
          <c:val>
            <c:numRef>
              <c:f>'Sheet1 (3)'!$E$6:$E$20</c:f>
              <c:numCache>
                <c:formatCode>General</c:formatCode>
                <c:ptCount val="14"/>
                <c:pt idx="0">
                  <c:v>5618</c:v>
                </c:pt>
                <c:pt idx="1">
                  <c:v>4936</c:v>
                </c:pt>
                <c:pt idx="2">
                  <c:v>5481</c:v>
                </c:pt>
                <c:pt idx="3">
                  <c:v>5711</c:v>
                </c:pt>
                <c:pt idx="4">
                  <c:v>6209</c:v>
                </c:pt>
                <c:pt idx="5">
                  <c:v>5194</c:v>
                </c:pt>
                <c:pt idx="6">
                  <c:v>5516</c:v>
                </c:pt>
                <c:pt idx="7">
                  <c:v>5604</c:v>
                </c:pt>
                <c:pt idx="8">
                  <c:v>6155</c:v>
                </c:pt>
                <c:pt idx="9">
                  <c:v>5235</c:v>
                </c:pt>
                <c:pt idx="10">
                  <c:v>4584</c:v>
                </c:pt>
                <c:pt idx="11">
                  <c:v>3494</c:v>
                </c:pt>
                <c:pt idx="12">
                  <c:v>3385</c:v>
                </c:pt>
                <c:pt idx="13">
                  <c:v>2670</c:v>
                </c:pt>
              </c:numCache>
            </c:numRef>
          </c:val>
          <c:smooth val="0"/>
        </c:ser>
        <c:ser>
          <c:idx val="4"/>
          <c:order val="4"/>
          <c:tx>
            <c:strRef>
              <c:f>'Sheet1 (3)'!$F$4:$F$5</c:f>
              <c:strCache>
                <c:ptCount val="1"/>
                <c:pt idx="0">
                  <c:v>Transdermal solution 30 mg/1.5 mL dose</c:v>
                </c:pt>
              </c:strCache>
            </c:strRef>
          </c:tx>
          <c:cat>
            <c:strRef>
              <c:f>'Sheet1 (3)'!$A$6:$A$20</c:f>
              <c:strCache>
                <c:ptCount val="14"/>
                <c:pt idx="0">
                  <c:v> 2012Q4</c:v>
                </c:pt>
                <c:pt idx="1">
                  <c:v> 2013Q1</c:v>
                </c:pt>
                <c:pt idx="2">
                  <c:v> 2013Q2</c:v>
                </c:pt>
                <c:pt idx="3">
                  <c:v> 2013Q3</c:v>
                </c:pt>
                <c:pt idx="4">
                  <c:v> 2013Q4</c:v>
                </c:pt>
                <c:pt idx="5">
                  <c:v> 2014Q1</c:v>
                </c:pt>
                <c:pt idx="6">
                  <c:v> 2014Q2</c:v>
                </c:pt>
                <c:pt idx="7">
                  <c:v> 2014Q3</c:v>
                </c:pt>
                <c:pt idx="8">
                  <c:v> 2014Q4</c:v>
                </c:pt>
                <c:pt idx="9">
                  <c:v> 2015Q1</c:v>
                </c:pt>
                <c:pt idx="10">
                  <c:v> 2015Q2</c:v>
                </c:pt>
                <c:pt idx="11">
                  <c:v> 2015Q3</c:v>
                </c:pt>
                <c:pt idx="12">
                  <c:v> 2015Q4</c:v>
                </c:pt>
                <c:pt idx="13">
                  <c:v> 2016Q1</c:v>
                </c:pt>
              </c:strCache>
            </c:strRef>
          </c:cat>
          <c:val>
            <c:numRef>
              <c:f>'Sheet1 (3)'!$F$6:$F$20</c:f>
              <c:numCache>
                <c:formatCode>General</c:formatCode>
                <c:ptCount val="14"/>
                <c:pt idx="1">
                  <c:v>137</c:v>
                </c:pt>
                <c:pt idx="2">
                  <c:v>1474</c:v>
                </c:pt>
                <c:pt idx="3">
                  <c:v>2657</c:v>
                </c:pt>
                <c:pt idx="4">
                  <c:v>3750</c:v>
                </c:pt>
                <c:pt idx="5">
                  <c:v>3932</c:v>
                </c:pt>
                <c:pt idx="6">
                  <c:v>4923</c:v>
                </c:pt>
                <c:pt idx="7">
                  <c:v>6159</c:v>
                </c:pt>
                <c:pt idx="8">
                  <c:v>7609</c:v>
                </c:pt>
                <c:pt idx="9">
                  <c:v>6858</c:v>
                </c:pt>
                <c:pt idx="10">
                  <c:v>6188</c:v>
                </c:pt>
                <c:pt idx="11">
                  <c:v>5346</c:v>
                </c:pt>
                <c:pt idx="12">
                  <c:v>5297</c:v>
                </c:pt>
                <c:pt idx="13">
                  <c:v>4365</c:v>
                </c:pt>
              </c:numCache>
            </c:numRef>
          </c:val>
          <c:smooth val="0"/>
        </c:ser>
        <c:ser>
          <c:idx val="5"/>
          <c:order val="5"/>
          <c:tx>
            <c:strRef>
              <c:f>'Sheet1 (3)'!$G$4:$G$5</c:f>
              <c:strCache>
                <c:ptCount val="1"/>
                <c:pt idx="0">
                  <c:v>Transdermal patches 24.3 mg</c:v>
                </c:pt>
              </c:strCache>
            </c:strRef>
          </c:tx>
          <c:cat>
            <c:strRef>
              <c:f>'Sheet1 (3)'!$A$6:$A$20</c:f>
              <c:strCache>
                <c:ptCount val="14"/>
                <c:pt idx="0">
                  <c:v> 2012Q4</c:v>
                </c:pt>
                <c:pt idx="1">
                  <c:v> 2013Q1</c:v>
                </c:pt>
                <c:pt idx="2">
                  <c:v> 2013Q2</c:v>
                </c:pt>
                <c:pt idx="3">
                  <c:v> 2013Q3</c:v>
                </c:pt>
                <c:pt idx="4">
                  <c:v> 2013Q4</c:v>
                </c:pt>
                <c:pt idx="5">
                  <c:v> 2014Q1</c:v>
                </c:pt>
                <c:pt idx="6">
                  <c:v> 2014Q2</c:v>
                </c:pt>
                <c:pt idx="7">
                  <c:v> 2014Q3</c:v>
                </c:pt>
                <c:pt idx="8">
                  <c:v> 2014Q4</c:v>
                </c:pt>
                <c:pt idx="9">
                  <c:v> 2015Q1</c:v>
                </c:pt>
                <c:pt idx="10">
                  <c:v> 2015Q2</c:v>
                </c:pt>
                <c:pt idx="11">
                  <c:v> 2015Q3</c:v>
                </c:pt>
                <c:pt idx="12">
                  <c:v> 2015Q4</c:v>
                </c:pt>
                <c:pt idx="13">
                  <c:v> 2016Q1</c:v>
                </c:pt>
              </c:strCache>
            </c:strRef>
          </c:cat>
          <c:val>
            <c:numRef>
              <c:f>'Sheet1 (3)'!$G$6:$G$20</c:f>
              <c:numCache>
                <c:formatCode>General</c:formatCode>
                <c:ptCount val="14"/>
                <c:pt idx="0">
                  <c:v>2080</c:v>
                </c:pt>
                <c:pt idx="1">
                  <c:v>1774</c:v>
                </c:pt>
                <c:pt idx="2">
                  <c:v>1945</c:v>
                </c:pt>
                <c:pt idx="3">
                  <c:v>1996</c:v>
                </c:pt>
                <c:pt idx="4">
                  <c:v>2064</c:v>
                </c:pt>
                <c:pt idx="5">
                  <c:v>1687</c:v>
                </c:pt>
                <c:pt idx="6">
                  <c:v>1809</c:v>
                </c:pt>
                <c:pt idx="7">
                  <c:v>1867</c:v>
                </c:pt>
                <c:pt idx="8">
                  <c:v>1985</c:v>
                </c:pt>
                <c:pt idx="9">
                  <c:v>1695</c:v>
                </c:pt>
                <c:pt idx="10">
                  <c:v>1616</c:v>
                </c:pt>
                <c:pt idx="11">
                  <c:v>1246</c:v>
                </c:pt>
                <c:pt idx="12">
                  <c:v>1118</c:v>
                </c:pt>
                <c:pt idx="13">
                  <c:v>915</c:v>
                </c:pt>
              </c:numCache>
            </c:numRef>
          </c:val>
          <c:smooth val="0"/>
        </c:ser>
        <c:ser>
          <c:idx val="6"/>
          <c:order val="6"/>
          <c:tx>
            <c:strRef>
              <c:f>'Sheet1 (3)'!$H$4:$H$5</c:f>
              <c:strCache>
                <c:ptCount val="1"/>
                <c:pt idx="0">
                  <c:v>Transdermal patches 12.2 mg</c:v>
                </c:pt>
              </c:strCache>
            </c:strRef>
          </c:tx>
          <c:cat>
            <c:strRef>
              <c:f>'Sheet1 (3)'!$A$6:$A$20</c:f>
              <c:strCache>
                <c:ptCount val="14"/>
                <c:pt idx="0">
                  <c:v> 2012Q4</c:v>
                </c:pt>
                <c:pt idx="1">
                  <c:v> 2013Q1</c:v>
                </c:pt>
                <c:pt idx="2">
                  <c:v> 2013Q2</c:v>
                </c:pt>
                <c:pt idx="3">
                  <c:v> 2013Q3</c:v>
                </c:pt>
                <c:pt idx="4">
                  <c:v> 2013Q4</c:v>
                </c:pt>
                <c:pt idx="5">
                  <c:v> 2014Q1</c:v>
                </c:pt>
                <c:pt idx="6">
                  <c:v> 2014Q2</c:v>
                </c:pt>
                <c:pt idx="7">
                  <c:v> 2014Q3</c:v>
                </c:pt>
                <c:pt idx="8">
                  <c:v> 2014Q4</c:v>
                </c:pt>
                <c:pt idx="9">
                  <c:v> 2015Q1</c:v>
                </c:pt>
                <c:pt idx="10">
                  <c:v> 2015Q2</c:v>
                </c:pt>
                <c:pt idx="11">
                  <c:v> 2015Q3</c:v>
                </c:pt>
                <c:pt idx="12">
                  <c:v> 2015Q4</c:v>
                </c:pt>
                <c:pt idx="13">
                  <c:v> 2016Q1</c:v>
                </c:pt>
              </c:strCache>
            </c:strRef>
          </c:cat>
          <c:val>
            <c:numRef>
              <c:f>'Sheet1 (3)'!$H$6:$H$20</c:f>
              <c:numCache>
                <c:formatCode>General</c:formatCode>
                <c:ptCount val="14"/>
                <c:pt idx="0">
                  <c:v>681</c:v>
                </c:pt>
                <c:pt idx="1">
                  <c:v>552</c:v>
                </c:pt>
                <c:pt idx="2">
                  <c:v>606</c:v>
                </c:pt>
                <c:pt idx="3">
                  <c:v>631</c:v>
                </c:pt>
                <c:pt idx="4">
                  <c:v>622</c:v>
                </c:pt>
                <c:pt idx="5">
                  <c:v>523</c:v>
                </c:pt>
                <c:pt idx="6">
                  <c:v>519</c:v>
                </c:pt>
                <c:pt idx="7">
                  <c:v>548</c:v>
                </c:pt>
                <c:pt idx="8">
                  <c:v>564</c:v>
                </c:pt>
                <c:pt idx="9">
                  <c:v>503</c:v>
                </c:pt>
                <c:pt idx="10">
                  <c:v>417</c:v>
                </c:pt>
                <c:pt idx="11">
                  <c:v>341</c:v>
                </c:pt>
                <c:pt idx="12">
                  <c:v>315</c:v>
                </c:pt>
                <c:pt idx="13">
                  <c:v>257</c:v>
                </c:pt>
              </c:numCache>
            </c:numRef>
          </c:val>
          <c:smooth val="0"/>
        </c:ser>
        <c:ser>
          <c:idx val="7"/>
          <c:order val="7"/>
          <c:tx>
            <c:strRef>
              <c:f>'Sheet1 (3)'!$I$4:$I$5</c:f>
              <c:strCache>
                <c:ptCount val="1"/>
                <c:pt idx="0">
                  <c:v>Subcutaneous implant 200 mg</c:v>
                </c:pt>
              </c:strCache>
            </c:strRef>
          </c:tx>
          <c:cat>
            <c:strRef>
              <c:f>'Sheet1 (3)'!$A$6:$A$20</c:f>
              <c:strCache>
                <c:ptCount val="14"/>
                <c:pt idx="0">
                  <c:v> 2012Q4</c:v>
                </c:pt>
                <c:pt idx="1">
                  <c:v> 2013Q1</c:v>
                </c:pt>
                <c:pt idx="2">
                  <c:v> 2013Q2</c:v>
                </c:pt>
                <c:pt idx="3">
                  <c:v> 2013Q3</c:v>
                </c:pt>
                <c:pt idx="4">
                  <c:v> 2013Q4</c:v>
                </c:pt>
                <c:pt idx="5">
                  <c:v> 2014Q1</c:v>
                </c:pt>
                <c:pt idx="6">
                  <c:v> 2014Q2</c:v>
                </c:pt>
                <c:pt idx="7">
                  <c:v> 2014Q3</c:v>
                </c:pt>
                <c:pt idx="8">
                  <c:v> 2014Q4</c:v>
                </c:pt>
                <c:pt idx="9">
                  <c:v> 2015Q1</c:v>
                </c:pt>
                <c:pt idx="10">
                  <c:v> 2015Q2</c:v>
                </c:pt>
                <c:pt idx="11">
                  <c:v> 2015Q3</c:v>
                </c:pt>
                <c:pt idx="12">
                  <c:v> 2015Q4</c:v>
                </c:pt>
                <c:pt idx="13">
                  <c:v> 2016Q1</c:v>
                </c:pt>
              </c:strCache>
            </c:strRef>
          </c:cat>
          <c:val>
            <c:numRef>
              <c:f>'Sheet1 (3)'!$I$6:$I$20</c:f>
              <c:numCache>
                <c:formatCode>General</c:formatCode>
                <c:ptCount val="14"/>
                <c:pt idx="0">
                  <c:v>174</c:v>
                </c:pt>
                <c:pt idx="1">
                  <c:v>185</c:v>
                </c:pt>
                <c:pt idx="2">
                  <c:v>179</c:v>
                </c:pt>
                <c:pt idx="3">
                  <c:v>173</c:v>
                </c:pt>
                <c:pt idx="4">
                  <c:v>196</c:v>
                </c:pt>
                <c:pt idx="5">
                  <c:v>164</c:v>
                </c:pt>
                <c:pt idx="6">
                  <c:v>109</c:v>
                </c:pt>
                <c:pt idx="7">
                  <c:v>34</c:v>
                </c:pt>
              </c:numCache>
            </c:numRef>
          </c:val>
          <c:smooth val="0"/>
        </c:ser>
        <c:ser>
          <c:idx val="8"/>
          <c:order val="8"/>
          <c:tx>
            <c:strRef>
              <c:f>'Sheet1 (3)'!$J$4:$J$5</c:f>
              <c:strCache>
                <c:ptCount val="1"/>
                <c:pt idx="0">
                  <c:v>Transdermal gel 12.5 mg/1.25 g</c:v>
                </c:pt>
              </c:strCache>
            </c:strRef>
          </c:tx>
          <c:cat>
            <c:strRef>
              <c:f>'Sheet1 (3)'!$A$6:$A$20</c:f>
              <c:strCache>
                <c:ptCount val="14"/>
                <c:pt idx="0">
                  <c:v> 2012Q4</c:v>
                </c:pt>
                <c:pt idx="1">
                  <c:v> 2013Q1</c:v>
                </c:pt>
                <c:pt idx="2">
                  <c:v> 2013Q2</c:v>
                </c:pt>
                <c:pt idx="3">
                  <c:v> 2013Q3</c:v>
                </c:pt>
                <c:pt idx="4">
                  <c:v> 2013Q4</c:v>
                </c:pt>
                <c:pt idx="5">
                  <c:v> 2014Q1</c:v>
                </c:pt>
                <c:pt idx="6">
                  <c:v> 2014Q2</c:v>
                </c:pt>
                <c:pt idx="7">
                  <c:v> 2014Q3</c:v>
                </c:pt>
                <c:pt idx="8">
                  <c:v> 2014Q4</c:v>
                </c:pt>
                <c:pt idx="9">
                  <c:v> 2015Q1</c:v>
                </c:pt>
                <c:pt idx="10">
                  <c:v> 2015Q2</c:v>
                </c:pt>
                <c:pt idx="11">
                  <c:v> 2015Q3</c:v>
                </c:pt>
                <c:pt idx="12">
                  <c:v> 2015Q4</c:v>
                </c:pt>
                <c:pt idx="13">
                  <c:v> 2016Q1</c:v>
                </c:pt>
              </c:strCache>
            </c:strRef>
          </c:cat>
          <c:val>
            <c:numRef>
              <c:f>'Sheet1 (3)'!$J$6:$J$20</c:f>
              <c:numCache>
                <c:formatCode>General</c:formatCode>
                <c:ptCount val="14"/>
                <c:pt idx="11">
                  <c:v>42</c:v>
                </c:pt>
                <c:pt idx="12">
                  <c:v>240</c:v>
                </c:pt>
                <c:pt idx="13">
                  <c:v>417</c:v>
                </c:pt>
              </c:numCache>
            </c:numRef>
          </c:val>
          <c:smooth val="0"/>
        </c:ser>
        <c:ser>
          <c:idx val="9"/>
          <c:order val="9"/>
          <c:tx>
            <c:strRef>
              <c:f>'Sheet1 (3)'!$K$4:$K$5</c:f>
              <c:strCache>
                <c:ptCount val="1"/>
                <c:pt idx="0">
                  <c:v>Transdermal cream 50 mg/1 mL</c:v>
                </c:pt>
              </c:strCache>
            </c:strRef>
          </c:tx>
          <c:cat>
            <c:strRef>
              <c:f>'Sheet1 (3)'!$A$6:$A$20</c:f>
              <c:strCache>
                <c:ptCount val="14"/>
                <c:pt idx="0">
                  <c:v> 2012Q4</c:v>
                </c:pt>
                <c:pt idx="1">
                  <c:v> 2013Q1</c:v>
                </c:pt>
                <c:pt idx="2">
                  <c:v> 2013Q2</c:v>
                </c:pt>
                <c:pt idx="3">
                  <c:v> 2013Q3</c:v>
                </c:pt>
                <c:pt idx="4">
                  <c:v> 2013Q4</c:v>
                </c:pt>
                <c:pt idx="5">
                  <c:v> 2014Q1</c:v>
                </c:pt>
                <c:pt idx="6">
                  <c:v> 2014Q2</c:v>
                </c:pt>
                <c:pt idx="7">
                  <c:v> 2014Q3</c:v>
                </c:pt>
                <c:pt idx="8">
                  <c:v> 2014Q4</c:v>
                </c:pt>
                <c:pt idx="9">
                  <c:v> 2015Q1</c:v>
                </c:pt>
                <c:pt idx="10">
                  <c:v> 2015Q2</c:v>
                </c:pt>
                <c:pt idx="11">
                  <c:v> 2015Q3</c:v>
                </c:pt>
                <c:pt idx="12">
                  <c:v> 2015Q4</c:v>
                </c:pt>
                <c:pt idx="13">
                  <c:v> 2016Q1</c:v>
                </c:pt>
              </c:strCache>
            </c:strRef>
          </c:cat>
          <c:val>
            <c:numRef>
              <c:f>'Sheet1 (3)'!$K$6:$K$20</c:f>
              <c:numCache>
                <c:formatCode>General</c:formatCode>
                <c:ptCount val="14"/>
                <c:pt idx="11">
                  <c:v>15</c:v>
                </c:pt>
                <c:pt idx="12">
                  <c:v>100</c:v>
                </c:pt>
                <c:pt idx="13">
                  <c:v>130</c:v>
                </c:pt>
              </c:numCache>
            </c:numRef>
          </c:val>
          <c:smooth val="0"/>
        </c:ser>
        <c:ser>
          <c:idx val="10"/>
          <c:order val="10"/>
          <c:tx>
            <c:strRef>
              <c:f>'Sheet1 (3)'!$L$4:$L$5</c:f>
              <c:strCache>
                <c:ptCount val="1"/>
                <c:pt idx="0">
                  <c:v>Subcutaneous implant 100 mg</c:v>
                </c:pt>
              </c:strCache>
            </c:strRef>
          </c:tx>
          <c:cat>
            <c:strRef>
              <c:f>'Sheet1 (3)'!$A$6:$A$20</c:f>
              <c:strCache>
                <c:ptCount val="14"/>
                <c:pt idx="0">
                  <c:v> 2012Q4</c:v>
                </c:pt>
                <c:pt idx="1">
                  <c:v> 2013Q1</c:v>
                </c:pt>
                <c:pt idx="2">
                  <c:v> 2013Q2</c:v>
                </c:pt>
                <c:pt idx="3">
                  <c:v> 2013Q3</c:v>
                </c:pt>
                <c:pt idx="4">
                  <c:v> 2013Q4</c:v>
                </c:pt>
                <c:pt idx="5">
                  <c:v> 2014Q1</c:v>
                </c:pt>
                <c:pt idx="6">
                  <c:v> 2014Q2</c:v>
                </c:pt>
                <c:pt idx="7">
                  <c:v> 2014Q3</c:v>
                </c:pt>
                <c:pt idx="8">
                  <c:v> 2014Q4</c:v>
                </c:pt>
                <c:pt idx="9">
                  <c:v> 2015Q1</c:v>
                </c:pt>
                <c:pt idx="10">
                  <c:v> 2015Q2</c:v>
                </c:pt>
                <c:pt idx="11">
                  <c:v> 2015Q3</c:v>
                </c:pt>
                <c:pt idx="12">
                  <c:v> 2015Q4</c:v>
                </c:pt>
                <c:pt idx="13">
                  <c:v> 2016Q1</c:v>
                </c:pt>
              </c:strCache>
            </c:strRef>
          </c:cat>
          <c:val>
            <c:numRef>
              <c:f>'Sheet1 (3)'!$L$6:$L$20</c:f>
              <c:numCache>
                <c:formatCode>General</c:formatCode>
                <c:ptCount val="14"/>
                <c:pt idx="0">
                  <c:v>59</c:v>
                </c:pt>
                <c:pt idx="1">
                  <c:v>31</c:v>
                </c:pt>
                <c:pt idx="2">
                  <c:v>19</c:v>
                </c:pt>
                <c:pt idx="3">
                  <c:v>20</c:v>
                </c:pt>
                <c:pt idx="4">
                  <c:v>17</c:v>
                </c:pt>
                <c:pt idx="5">
                  <c:v>19</c:v>
                </c:pt>
                <c:pt idx="6">
                  <c:v>10</c:v>
                </c:pt>
                <c:pt idx="7">
                  <c:v>3</c:v>
                </c:pt>
              </c:numCache>
            </c:numRef>
          </c:val>
          <c:smooth val="0"/>
        </c:ser>
        <c:dLbls>
          <c:showLegendKey val="0"/>
          <c:showVal val="0"/>
          <c:showCatName val="0"/>
          <c:showSerName val="0"/>
          <c:showPercent val="0"/>
          <c:showBubbleSize val="0"/>
        </c:dLbls>
        <c:marker val="1"/>
        <c:smooth val="0"/>
        <c:axId val="86497536"/>
        <c:axId val="86507904"/>
      </c:lineChart>
      <c:catAx>
        <c:axId val="86497536"/>
        <c:scaling>
          <c:orientation val="minMax"/>
        </c:scaling>
        <c:delete val="0"/>
        <c:axPos val="b"/>
        <c:title>
          <c:tx>
            <c:rich>
              <a:bodyPr/>
              <a:lstStyle/>
              <a:p>
                <a:pPr>
                  <a:defRPr/>
                </a:pPr>
                <a:r>
                  <a:rPr lang="en-AU"/>
                  <a:t>Year</a:t>
                </a:r>
              </a:p>
            </c:rich>
          </c:tx>
          <c:layout/>
          <c:overlay val="0"/>
        </c:title>
        <c:majorTickMark val="none"/>
        <c:minorTickMark val="none"/>
        <c:tickLblPos val="nextTo"/>
        <c:crossAx val="86507904"/>
        <c:crosses val="autoZero"/>
        <c:auto val="1"/>
        <c:lblAlgn val="ctr"/>
        <c:lblOffset val="100"/>
        <c:noMultiLvlLbl val="0"/>
      </c:catAx>
      <c:valAx>
        <c:axId val="86507904"/>
        <c:scaling>
          <c:orientation val="minMax"/>
        </c:scaling>
        <c:delete val="0"/>
        <c:axPos val="l"/>
        <c:majorGridlines/>
        <c:title>
          <c:tx>
            <c:rich>
              <a:bodyPr/>
              <a:lstStyle/>
              <a:p>
                <a:pPr>
                  <a:defRPr/>
                </a:pPr>
                <a:r>
                  <a:rPr lang="en-AU"/>
                  <a:t>Number of prescriptions</a:t>
                </a:r>
              </a:p>
            </c:rich>
          </c:tx>
          <c:layout/>
          <c:overlay val="0"/>
        </c:title>
        <c:numFmt formatCode="#,##0" sourceLinked="0"/>
        <c:majorTickMark val="none"/>
        <c:minorTickMark val="none"/>
        <c:tickLblPos val="nextTo"/>
        <c:crossAx val="86497536"/>
        <c:crosses val="autoZero"/>
        <c:crossBetween val="between"/>
      </c:valAx>
    </c:plotArea>
    <c:legend>
      <c:legendPos val="b"/>
      <c:layout>
        <c:manualLayout>
          <c:xMode val="edge"/>
          <c:yMode val="edge"/>
          <c:x val="0.10466307683605115"/>
          <c:y val="0.71678622287368876"/>
          <c:w val="0.82529528867104252"/>
          <c:h val="0.26714501802041746"/>
        </c:manualLayout>
      </c:layout>
      <c:overlay val="0"/>
      <c:txPr>
        <a:bodyPr/>
        <a:lstStyle/>
        <a:p>
          <a:pPr>
            <a:defRPr sz="900"/>
          </a:pPr>
          <a:endParaRPr lang="en-US"/>
        </a:p>
      </c:txPr>
    </c:legend>
    <c:plotVisOnly val="1"/>
    <c:dispBlanksAs val="gap"/>
    <c:showDLblsOverMax val="0"/>
  </c:chart>
  <c:externalData r:id="rId1">
    <c:autoUpdate val="0"/>
  </c:externalData>
  <c:userShapes r:id="rId2"/>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[D950 - PAT_CNT by therapy, drug name and year from April.xlsx]Sheet1 (2)!PivotTable5</c:name>
    <c:fmtId val="-1"/>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pivotFmt>
      <c:pivotFmt>
        <c:idx val="42"/>
      </c:pivotFmt>
      <c:pivotFmt>
        <c:idx val="43"/>
      </c:pivotFmt>
      <c:pivotFmt>
        <c:idx val="44"/>
      </c:pivotFmt>
      <c:pivotFmt>
        <c:idx val="45"/>
      </c:pivotFmt>
      <c:pivotFmt>
        <c:idx val="46"/>
      </c:pivotFmt>
      <c:pivotFmt>
        <c:idx val="47"/>
      </c:pivotFmt>
      <c:pivotFmt>
        <c:idx val="48"/>
      </c:pivotFmt>
      <c:pivotFmt>
        <c:idx val="49"/>
      </c:pivotFmt>
      <c:pivotFmt>
        <c:idx val="50"/>
      </c:pivotFmt>
      <c:pivotFmt>
        <c:idx val="51"/>
      </c:pivotFmt>
      <c:pivotFmt>
        <c:idx val="52"/>
      </c:pivotFmt>
      <c:pivotFmt>
        <c:idx val="53"/>
      </c:pivotFmt>
      <c:pivotFmt>
        <c:idx val="54"/>
      </c:pivotFmt>
      <c:pivotFmt>
        <c:idx val="55"/>
      </c:pivotFmt>
      <c:pivotFmt>
        <c:idx val="56"/>
      </c:pivotFmt>
      <c:pivotFmt>
        <c:idx val="57"/>
      </c:pivotFmt>
      <c:pivotFmt>
        <c:idx val="58"/>
      </c:pivotFmt>
      <c:pivotFmt>
        <c:idx val="59"/>
      </c:pivotFmt>
      <c:pivotFmt>
        <c:idx val="60"/>
      </c:pivotFmt>
      <c:pivotFmt>
        <c:idx val="61"/>
      </c:pivotFmt>
      <c:pivotFmt>
        <c:idx val="62"/>
      </c:pivotFmt>
      <c:pivotFmt>
        <c:idx val="63"/>
      </c:pivotFmt>
      <c:pivotFmt>
        <c:idx val="64"/>
      </c:pivotFmt>
      <c:pivotFmt>
        <c:idx val="65"/>
      </c:pivotFmt>
      <c:pivotFmt>
        <c:idx val="66"/>
      </c:pivotFmt>
      <c:pivotFmt>
        <c:idx val="67"/>
      </c:pivotFmt>
      <c:pivotFmt>
        <c:idx val="68"/>
      </c:pivotFmt>
      <c:pivotFmt>
        <c:idx val="69"/>
      </c:pivotFmt>
      <c:pivotFmt>
        <c:idx val="70"/>
      </c:pivotFmt>
      <c:pivotFmt>
        <c:idx val="71"/>
      </c:pivotFmt>
      <c:pivotFmt>
        <c:idx val="72"/>
      </c:pivotFmt>
    </c:pivotFmts>
    <c:plotArea>
      <c:layout/>
      <c:lineChart>
        <c:grouping val="standard"/>
        <c:varyColors val="0"/>
        <c:ser>
          <c:idx val="0"/>
          <c:order val="0"/>
          <c:tx>
            <c:strRef>
              <c:f>'Sheet1 (2)'!$B$3:$B$4</c:f>
              <c:strCache>
                <c:ptCount val="1"/>
                <c:pt idx="0">
                  <c:v>Prevalent patients</c:v>
                </c:pt>
              </c:strCache>
            </c:strRef>
          </c:tx>
          <c:cat>
            <c:strRef>
              <c:f>'Sheet1 (2)'!$A$5:$A$9</c:f>
              <c:strCache>
                <c:ptCount val="4"/>
                <c:pt idx="0">
                  <c:v>April 2012 to March 2013</c:v>
                </c:pt>
                <c:pt idx="1">
                  <c:v>April 2013 to March 2014</c:v>
                </c:pt>
                <c:pt idx="2">
                  <c:v>April 2014 to March 2015</c:v>
                </c:pt>
                <c:pt idx="3">
                  <c:v>April 2015 to March 2016</c:v>
                </c:pt>
              </c:strCache>
            </c:strRef>
          </c:cat>
          <c:val>
            <c:numRef>
              <c:f>'Sheet1 (2)'!$B$5:$B$9</c:f>
              <c:numCache>
                <c:formatCode>General</c:formatCode>
                <c:ptCount val="4"/>
                <c:pt idx="0">
                  <c:v>40501</c:v>
                </c:pt>
                <c:pt idx="1">
                  <c:v>44701</c:v>
                </c:pt>
                <c:pt idx="2">
                  <c:v>47995</c:v>
                </c:pt>
                <c:pt idx="3">
                  <c:v>38364</c:v>
                </c:pt>
              </c:numCache>
            </c:numRef>
          </c:val>
          <c:smooth val="0"/>
        </c:ser>
        <c:ser>
          <c:idx val="1"/>
          <c:order val="1"/>
          <c:tx>
            <c:strRef>
              <c:f>'Sheet1 (2)'!$C$3:$C$4</c:f>
              <c:strCache>
                <c:ptCount val="1"/>
                <c:pt idx="0">
                  <c:v>Initiating patients</c:v>
                </c:pt>
              </c:strCache>
            </c:strRef>
          </c:tx>
          <c:cat>
            <c:strRef>
              <c:f>'Sheet1 (2)'!$A$5:$A$9</c:f>
              <c:strCache>
                <c:ptCount val="4"/>
                <c:pt idx="0">
                  <c:v>April 2012 to March 2013</c:v>
                </c:pt>
                <c:pt idx="1">
                  <c:v>April 2013 to March 2014</c:v>
                </c:pt>
                <c:pt idx="2">
                  <c:v>April 2014 to March 2015</c:v>
                </c:pt>
                <c:pt idx="3">
                  <c:v>April 2015 to March 2016</c:v>
                </c:pt>
              </c:strCache>
            </c:strRef>
          </c:cat>
          <c:val>
            <c:numRef>
              <c:f>'Sheet1 (2)'!$C$5:$C$9</c:f>
              <c:numCache>
                <c:formatCode>General</c:formatCode>
                <c:ptCount val="4"/>
                <c:pt idx="0">
                  <c:v>8760</c:v>
                </c:pt>
                <c:pt idx="1">
                  <c:v>9468</c:v>
                </c:pt>
                <c:pt idx="2">
                  <c:v>9781</c:v>
                </c:pt>
                <c:pt idx="3">
                  <c:v>3940</c:v>
                </c:pt>
              </c:numCache>
            </c:numRef>
          </c:val>
          <c:smooth val="0"/>
        </c:ser>
        <c:dLbls>
          <c:showLegendKey val="0"/>
          <c:showVal val="0"/>
          <c:showCatName val="0"/>
          <c:showSerName val="0"/>
          <c:showPercent val="0"/>
          <c:showBubbleSize val="0"/>
        </c:dLbls>
        <c:marker val="1"/>
        <c:smooth val="0"/>
        <c:axId val="86537728"/>
        <c:axId val="86539648"/>
      </c:lineChart>
      <c:catAx>
        <c:axId val="86537728"/>
        <c:scaling>
          <c:orientation val="minMax"/>
        </c:scaling>
        <c:delete val="0"/>
        <c:axPos val="b"/>
        <c:title>
          <c:tx>
            <c:rich>
              <a:bodyPr/>
              <a:lstStyle/>
              <a:p>
                <a:pPr>
                  <a:defRPr/>
                </a:pPr>
                <a:r>
                  <a:rPr lang="en-AU"/>
                  <a:t>Year</a:t>
                </a:r>
              </a:p>
            </c:rich>
          </c:tx>
          <c:layout/>
          <c:overlay val="0"/>
        </c:title>
        <c:majorTickMark val="out"/>
        <c:minorTickMark val="none"/>
        <c:tickLblPos val="nextTo"/>
        <c:txPr>
          <a:bodyPr rot="0" vert="horz" anchor="ctr" anchorCtr="1"/>
          <a:lstStyle/>
          <a:p>
            <a:pPr>
              <a:defRPr/>
            </a:pPr>
            <a:endParaRPr lang="en-US"/>
          </a:p>
        </c:txPr>
        <c:crossAx val="86539648"/>
        <c:crosses val="autoZero"/>
        <c:auto val="1"/>
        <c:lblAlgn val="ctr"/>
        <c:lblOffset val="100"/>
        <c:noMultiLvlLbl val="0"/>
      </c:catAx>
      <c:valAx>
        <c:axId val="86539648"/>
        <c:scaling>
          <c:orientation val="minMax"/>
        </c:scaling>
        <c:delete val="0"/>
        <c:axPos val="l"/>
        <c:majorGridlines/>
        <c:title>
          <c:tx>
            <c:rich>
              <a:bodyPr rot="-5400000" vert="horz"/>
              <a:lstStyle/>
              <a:p>
                <a:pPr>
                  <a:defRPr/>
                </a:pPr>
                <a:r>
                  <a:rPr lang="en-AU"/>
                  <a:t>Number of patients</a:t>
                </a:r>
              </a:p>
            </c:rich>
          </c:tx>
          <c:layout/>
          <c:overlay val="0"/>
        </c:title>
        <c:numFmt formatCode="#,##0" sourceLinked="0"/>
        <c:majorTickMark val="out"/>
        <c:minorTickMark val="none"/>
        <c:tickLblPos val="nextTo"/>
        <c:crossAx val="86537728"/>
        <c:crosses val="autoZero"/>
        <c:crossBetween val="between"/>
      </c:valAx>
    </c:plotArea>
    <c:legend>
      <c:legendPos val="b"/>
      <c:layout/>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[D950 - PAT_CNT by therapy, drug name and year from April v2.xlsx]Sheet1!PivotTable5</c:name>
    <c:fmtId val="29"/>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pivotFmt>
      <c:pivotFmt>
        <c:idx val="42"/>
      </c:pivotFmt>
      <c:pivotFmt>
        <c:idx val="43"/>
      </c:pivotFmt>
      <c:pivotFmt>
        <c:idx val="44"/>
      </c:pivotFmt>
      <c:pivotFmt>
        <c:idx val="45"/>
      </c:pivotFmt>
      <c:pivotFmt>
        <c:idx val="46"/>
      </c:pivotFmt>
      <c:pivotFmt>
        <c:idx val="47"/>
      </c:pivotFmt>
      <c:pivotFmt>
        <c:idx val="48"/>
      </c:pivotFmt>
      <c:pivotFmt>
        <c:idx val="49"/>
      </c:pivotFmt>
      <c:pivotFmt>
        <c:idx val="50"/>
      </c:pivotFmt>
      <c:pivotFmt>
        <c:idx val="51"/>
      </c:pivotFmt>
      <c:pivotFmt>
        <c:idx val="52"/>
      </c:pivotFmt>
      <c:pivotFmt>
        <c:idx val="53"/>
      </c:pivotFmt>
      <c:pivotFmt>
        <c:idx val="54"/>
        <c:marker>
          <c:symbol val="diamond"/>
          <c:size val="3"/>
        </c:marker>
      </c:pivotFmt>
      <c:pivotFmt>
        <c:idx val="55"/>
        <c:marker>
          <c:symbol val="square"/>
          <c:size val="3"/>
        </c:marker>
      </c:pivotFmt>
      <c:pivotFmt>
        <c:idx val="56"/>
        <c:marker>
          <c:symbol val="triangle"/>
          <c:size val="3"/>
        </c:marker>
      </c:pivotFmt>
      <c:pivotFmt>
        <c:idx val="57"/>
        <c:marker>
          <c:symbol val="diamond"/>
          <c:size val="3"/>
        </c:marker>
      </c:pivotFmt>
      <c:pivotFmt>
        <c:idx val="58"/>
        <c:marker>
          <c:symbol val="square"/>
          <c:size val="3"/>
        </c:marker>
      </c:pivotFmt>
      <c:pivotFmt>
        <c:idx val="59"/>
        <c:marker>
          <c:symbol val="triangle"/>
          <c:size val="3"/>
        </c:marker>
      </c:pivotFmt>
      <c:pivotFmt>
        <c:idx val="60"/>
        <c:marker>
          <c:symbol val="diamond"/>
          <c:size val="3"/>
        </c:marker>
      </c:pivotFmt>
      <c:pivotFmt>
        <c:idx val="61"/>
        <c:marker>
          <c:symbol val="square"/>
          <c:size val="3"/>
        </c:marker>
      </c:pivotFmt>
      <c:pivotFmt>
        <c:idx val="62"/>
        <c:marker>
          <c:symbol val="triangle"/>
          <c:size val="3"/>
        </c:marker>
      </c:pivotFmt>
    </c:pivotFmts>
    <c:plotArea>
      <c:layout/>
      <c:lineChart>
        <c:grouping val="standard"/>
        <c:varyColors val="0"/>
        <c:ser>
          <c:idx val="0"/>
          <c:order val="0"/>
          <c:tx>
            <c:strRef>
              <c:f>Sheet1!$B$3:$B$4</c:f>
              <c:strCache>
                <c:ptCount val="1"/>
                <c:pt idx="0">
                  <c:v>Classical androgen deficiency</c:v>
                </c:pt>
              </c:strCache>
            </c:strRef>
          </c:tx>
          <c:marker>
            <c:symbol val="diamond"/>
            <c:size val="3"/>
          </c:marker>
          <c:cat>
            <c:strRef>
              <c:f>Sheet1!$A$5:$A$9</c:f>
              <c:strCache>
                <c:ptCount val="4"/>
                <c:pt idx="0">
                  <c:v>April 2012 to March 2013</c:v>
                </c:pt>
                <c:pt idx="1">
                  <c:v>April 2013 to March 2014</c:v>
                </c:pt>
                <c:pt idx="2">
                  <c:v>April 2014 to March 2015</c:v>
                </c:pt>
                <c:pt idx="3">
                  <c:v>April 2015 to March 2016</c:v>
                </c:pt>
              </c:strCache>
            </c:strRef>
          </c:cat>
          <c:val>
            <c:numRef>
              <c:f>Sheet1!$B$5:$B$9</c:f>
              <c:numCache>
                <c:formatCode>General</c:formatCode>
                <c:ptCount val="4"/>
                <c:pt idx="0">
                  <c:v>218</c:v>
                </c:pt>
                <c:pt idx="1">
                  <c:v>269</c:v>
                </c:pt>
                <c:pt idx="2">
                  <c:v>245</c:v>
                </c:pt>
                <c:pt idx="3">
                  <c:v>290</c:v>
                </c:pt>
              </c:numCache>
            </c:numRef>
          </c:val>
          <c:smooth val="0"/>
        </c:ser>
        <c:ser>
          <c:idx val="1"/>
          <c:order val="1"/>
          <c:tx>
            <c:strRef>
              <c:f>Sheet1!$C$3:$C$4</c:f>
              <c:strCache>
                <c:ptCount val="1"/>
                <c:pt idx="0">
                  <c:v>Established androgen deficiency</c:v>
                </c:pt>
              </c:strCache>
            </c:strRef>
          </c:tx>
          <c:marker>
            <c:symbol val="square"/>
            <c:size val="3"/>
          </c:marker>
          <c:cat>
            <c:strRef>
              <c:f>Sheet1!$A$5:$A$9</c:f>
              <c:strCache>
                <c:ptCount val="4"/>
                <c:pt idx="0">
                  <c:v>April 2012 to March 2013</c:v>
                </c:pt>
                <c:pt idx="1">
                  <c:v>April 2013 to March 2014</c:v>
                </c:pt>
                <c:pt idx="2">
                  <c:v>April 2014 to March 2015</c:v>
                </c:pt>
                <c:pt idx="3">
                  <c:v>April 2015 to March 2016</c:v>
                </c:pt>
              </c:strCache>
            </c:strRef>
          </c:cat>
          <c:val>
            <c:numRef>
              <c:f>Sheet1!$C$5:$C$9</c:f>
              <c:numCache>
                <c:formatCode>General</c:formatCode>
                <c:ptCount val="4"/>
                <c:pt idx="0">
                  <c:v>2873</c:v>
                </c:pt>
                <c:pt idx="1">
                  <c:v>2963</c:v>
                </c:pt>
                <c:pt idx="2">
                  <c:v>2697</c:v>
                </c:pt>
                <c:pt idx="3">
                  <c:v>2374</c:v>
                </c:pt>
              </c:numCache>
            </c:numRef>
          </c:val>
          <c:smooth val="0"/>
        </c:ser>
        <c:ser>
          <c:idx val="2"/>
          <c:order val="2"/>
          <c:tx>
            <c:strRef>
              <c:f>Sheet1!$D$3:$D$4</c:f>
              <c:strCache>
                <c:ptCount val="1"/>
                <c:pt idx="0">
                  <c:v>Non-established androgen deficiency</c:v>
                </c:pt>
              </c:strCache>
            </c:strRef>
          </c:tx>
          <c:marker>
            <c:symbol val="triangle"/>
            <c:size val="3"/>
          </c:marker>
          <c:cat>
            <c:strRef>
              <c:f>Sheet1!$A$5:$A$9</c:f>
              <c:strCache>
                <c:ptCount val="4"/>
                <c:pt idx="0">
                  <c:v>April 2012 to March 2013</c:v>
                </c:pt>
                <c:pt idx="1">
                  <c:v>April 2013 to March 2014</c:v>
                </c:pt>
                <c:pt idx="2">
                  <c:v>April 2014 to March 2015</c:v>
                </c:pt>
                <c:pt idx="3">
                  <c:v>April 2015 to March 2016</c:v>
                </c:pt>
              </c:strCache>
            </c:strRef>
          </c:cat>
          <c:val>
            <c:numRef>
              <c:f>Sheet1!$D$5:$D$9</c:f>
              <c:numCache>
                <c:formatCode>General</c:formatCode>
                <c:ptCount val="4"/>
                <c:pt idx="0">
                  <c:v>5440</c:v>
                </c:pt>
                <c:pt idx="1">
                  <c:v>5939</c:v>
                </c:pt>
                <c:pt idx="2">
                  <c:v>6520</c:v>
                </c:pt>
                <c:pt idx="3">
                  <c:v>901</c:v>
                </c:pt>
              </c:numCache>
            </c:numRef>
          </c:val>
          <c:smooth val="0"/>
        </c:ser>
        <c:dLbls>
          <c:showLegendKey val="0"/>
          <c:showVal val="0"/>
          <c:showCatName val="0"/>
          <c:showSerName val="0"/>
          <c:showPercent val="0"/>
          <c:showBubbleSize val="0"/>
        </c:dLbls>
        <c:marker val="1"/>
        <c:smooth val="0"/>
        <c:axId val="86606976"/>
        <c:axId val="86608896"/>
      </c:lineChart>
      <c:catAx>
        <c:axId val="86606976"/>
        <c:scaling>
          <c:orientation val="minMax"/>
        </c:scaling>
        <c:delete val="0"/>
        <c:axPos val="b"/>
        <c:title>
          <c:tx>
            <c:rich>
              <a:bodyPr/>
              <a:lstStyle/>
              <a:p>
                <a:pPr>
                  <a:defRPr/>
                </a:pPr>
                <a:r>
                  <a:rPr lang="en-AU"/>
                  <a:t>Year</a:t>
                </a:r>
              </a:p>
            </c:rich>
          </c:tx>
          <c:layout/>
          <c:overlay val="0"/>
        </c:title>
        <c:majorTickMark val="none"/>
        <c:minorTickMark val="none"/>
        <c:tickLblPos val="nextTo"/>
        <c:crossAx val="86608896"/>
        <c:crosses val="autoZero"/>
        <c:auto val="1"/>
        <c:lblAlgn val="ctr"/>
        <c:lblOffset val="100"/>
        <c:noMultiLvlLbl val="0"/>
      </c:catAx>
      <c:valAx>
        <c:axId val="86608896"/>
        <c:scaling>
          <c:orientation val="minMax"/>
        </c:scaling>
        <c:delete val="0"/>
        <c:axPos val="l"/>
        <c:majorGridlines/>
        <c:title>
          <c:tx>
            <c:rich>
              <a:bodyPr rot="-5400000" vert="horz"/>
              <a:lstStyle/>
              <a:p>
                <a:pPr>
                  <a:defRPr/>
                </a:pPr>
                <a:r>
                  <a:rPr lang="en-AU"/>
                  <a:t>Initiating patients</a:t>
                </a:r>
              </a:p>
            </c:rich>
          </c:tx>
          <c:layout/>
          <c:overlay val="0"/>
        </c:title>
        <c:numFmt formatCode="#,##0" sourceLinked="0"/>
        <c:majorTickMark val="none"/>
        <c:minorTickMark val="none"/>
        <c:tickLblPos val="nextTo"/>
        <c:crossAx val="86606976"/>
        <c:crosses val="autoZero"/>
        <c:crossBetween val="between"/>
      </c:valAx>
    </c:plotArea>
    <c:legend>
      <c:legendPos val="b"/>
      <c:layout/>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[D950 Age standardised - Testosterone_Male_v2 (3).xlsx]Males only revised!PivotTable1</c:name>
    <c:fmtId val="4"/>
  </c:pivotSource>
  <c:chart>
    <c:autoTitleDeleted val="0"/>
    <c:pivotFmts>
      <c:pivotFmt>
        <c:idx val="0"/>
        <c:marker>
          <c:symbol val="diamond"/>
          <c:size val="5"/>
        </c:marker>
      </c:pivotFmt>
      <c:pivotFmt>
        <c:idx val="1"/>
        <c:marker>
          <c:symbol val="circle"/>
          <c:size val="5"/>
        </c:marker>
      </c:pivotFmt>
      <c:pivotFmt>
        <c:idx val="2"/>
        <c:marker>
          <c:symbol val="diamond"/>
          <c:size val="5"/>
        </c:marker>
      </c:pivotFmt>
      <c:pivotFmt>
        <c:idx val="3"/>
        <c:marker>
          <c:symbol val="triangle"/>
          <c:size val="5"/>
        </c:marker>
      </c:pivotFmt>
      <c:pivotFmt>
        <c:idx val="4"/>
        <c:marker>
          <c:symbol val="diamond"/>
          <c:size val="5"/>
        </c:marker>
      </c:pivotFmt>
      <c:pivotFmt>
        <c:idx val="5"/>
        <c:marker>
          <c:symbol val="circle"/>
          <c:size val="5"/>
        </c:marker>
      </c:pivotFmt>
      <c:pivotFmt>
        <c:idx val="6"/>
        <c:marker>
          <c:symbol val="diamond"/>
          <c:size val="5"/>
        </c:marker>
      </c:pivotFmt>
      <c:pivotFmt>
        <c:idx val="7"/>
        <c:marker>
          <c:symbol val="triangle"/>
          <c:size val="5"/>
        </c:marker>
      </c:pivotFmt>
      <c:pivotFmt>
        <c:idx val="8"/>
        <c:marker>
          <c:symbol val="diamond"/>
          <c:size val="5"/>
        </c:marker>
      </c:pivotFmt>
      <c:pivotFmt>
        <c:idx val="9"/>
        <c:marker>
          <c:symbol val="circle"/>
          <c:size val="5"/>
        </c:marker>
      </c:pivotFmt>
      <c:pivotFmt>
        <c:idx val="10"/>
        <c:marker>
          <c:symbol val="diamond"/>
          <c:size val="5"/>
        </c:marker>
      </c:pivotFmt>
      <c:pivotFmt>
        <c:idx val="11"/>
        <c:marker>
          <c:symbol val="triangle"/>
          <c:size val="5"/>
        </c:marker>
      </c:pivotFmt>
    </c:pivotFmts>
    <c:plotArea>
      <c:layout>
        <c:manualLayout>
          <c:layoutTarget val="inner"/>
          <c:xMode val="edge"/>
          <c:yMode val="edge"/>
          <c:x val="9.830959780242704E-2"/>
          <c:y val="9.0896386296083848E-2"/>
          <c:w val="0.83160093639466792"/>
          <c:h val="0.61669407218137473"/>
        </c:manualLayout>
      </c:layout>
      <c:lineChart>
        <c:grouping val="standard"/>
        <c:varyColors val="0"/>
        <c:ser>
          <c:idx val="0"/>
          <c:order val="0"/>
          <c:tx>
            <c:strRef>
              <c:f>'Males only revised'!$K$1:$K$2</c:f>
              <c:strCache>
                <c:ptCount val="1"/>
                <c:pt idx="0">
                  <c:v>April 2012 to March 2013</c:v>
                </c:pt>
              </c:strCache>
            </c:strRef>
          </c:tx>
          <c:marker>
            <c:symbol val="diamond"/>
            <c:size val="5"/>
          </c:marker>
          <c:cat>
            <c:strRef>
              <c:f>'Males only revised'!$J$3:$J$19</c:f>
              <c:strCache>
                <c:ptCount val="17"/>
                <c:pt idx="0">
                  <c:v>0-9   yrs</c:v>
                </c:pt>
                <c:pt idx="1">
                  <c:v>10-14 yrs</c:v>
                </c:pt>
                <c:pt idx="2">
                  <c:v>15-19 yrs</c:v>
                </c:pt>
                <c:pt idx="3">
                  <c:v>20-24 yrs</c:v>
                </c:pt>
                <c:pt idx="4">
                  <c:v>25-29 yrs</c:v>
                </c:pt>
                <c:pt idx="5">
                  <c:v>30-34 yrs</c:v>
                </c:pt>
                <c:pt idx="6">
                  <c:v>35-39 yrs</c:v>
                </c:pt>
                <c:pt idx="7">
                  <c:v>40-44 yrs</c:v>
                </c:pt>
                <c:pt idx="8">
                  <c:v>45-49 yrs</c:v>
                </c:pt>
                <c:pt idx="9">
                  <c:v>50-54 yrs</c:v>
                </c:pt>
                <c:pt idx="10">
                  <c:v>55-59 yrs</c:v>
                </c:pt>
                <c:pt idx="11">
                  <c:v>60-64 yrs</c:v>
                </c:pt>
                <c:pt idx="12">
                  <c:v>65-69 yrs</c:v>
                </c:pt>
                <c:pt idx="13">
                  <c:v>70-74 yrs</c:v>
                </c:pt>
                <c:pt idx="14">
                  <c:v>75-79 yrs</c:v>
                </c:pt>
                <c:pt idx="15">
                  <c:v>80-84 yrs</c:v>
                </c:pt>
                <c:pt idx="16">
                  <c:v>85 and over</c:v>
                </c:pt>
              </c:strCache>
            </c:strRef>
          </c:cat>
          <c:val>
            <c:numRef>
              <c:f>'Males only revised'!$K$3:$K$19</c:f>
              <c:numCache>
                <c:formatCode>General</c:formatCode>
                <c:ptCount val="17"/>
                <c:pt idx="0">
                  <c:v>1.58346092656216</c:v>
                </c:pt>
                <c:pt idx="1">
                  <c:v>11.783567992972699</c:v>
                </c:pt>
                <c:pt idx="2">
                  <c:v>15.8036049031525</c:v>
                </c:pt>
                <c:pt idx="3">
                  <c:v>8.6407413288993098</c:v>
                </c:pt>
                <c:pt idx="4">
                  <c:v>13.7635559492394</c:v>
                </c:pt>
                <c:pt idx="5">
                  <c:v>23.8620241143954</c:v>
                </c:pt>
                <c:pt idx="6">
                  <c:v>28.923168199347401</c:v>
                </c:pt>
                <c:pt idx="7">
                  <c:v>64.382236543516399</c:v>
                </c:pt>
                <c:pt idx="8">
                  <c:v>77.921017256796802</c:v>
                </c:pt>
                <c:pt idx="9">
                  <c:v>89.3415527561869</c:v>
                </c:pt>
                <c:pt idx="10">
                  <c:v>104.299826229712</c:v>
                </c:pt>
                <c:pt idx="11">
                  <c:v>123.556902106593</c:v>
                </c:pt>
                <c:pt idx="12">
                  <c:v>128.38384015336001</c:v>
                </c:pt>
                <c:pt idx="13">
                  <c:v>106.608709983107</c:v>
                </c:pt>
                <c:pt idx="14">
                  <c:v>78.563019430942603</c:v>
                </c:pt>
                <c:pt idx="15">
                  <c:v>54.027269385080203</c:v>
                </c:pt>
                <c:pt idx="16">
                  <c:v>51.321425684959202</c:v>
                </c:pt>
              </c:numCache>
            </c:numRef>
          </c:val>
          <c:smooth val="0"/>
        </c:ser>
        <c:ser>
          <c:idx val="1"/>
          <c:order val="1"/>
          <c:tx>
            <c:strRef>
              <c:f>'Males only revised'!$L$1:$L$2</c:f>
              <c:strCache>
                <c:ptCount val="1"/>
                <c:pt idx="0">
                  <c:v>April 2013 to March 2014</c:v>
                </c:pt>
              </c:strCache>
            </c:strRef>
          </c:tx>
          <c:marker>
            <c:symbol val="circle"/>
            <c:size val="5"/>
          </c:marker>
          <c:cat>
            <c:strRef>
              <c:f>'Males only revised'!$J$3:$J$19</c:f>
              <c:strCache>
                <c:ptCount val="17"/>
                <c:pt idx="0">
                  <c:v>0-9   yrs</c:v>
                </c:pt>
                <c:pt idx="1">
                  <c:v>10-14 yrs</c:v>
                </c:pt>
                <c:pt idx="2">
                  <c:v>15-19 yrs</c:v>
                </c:pt>
                <c:pt idx="3">
                  <c:v>20-24 yrs</c:v>
                </c:pt>
                <c:pt idx="4">
                  <c:v>25-29 yrs</c:v>
                </c:pt>
                <c:pt idx="5">
                  <c:v>30-34 yrs</c:v>
                </c:pt>
                <c:pt idx="6">
                  <c:v>35-39 yrs</c:v>
                </c:pt>
                <c:pt idx="7">
                  <c:v>40-44 yrs</c:v>
                </c:pt>
                <c:pt idx="8">
                  <c:v>45-49 yrs</c:v>
                </c:pt>
                <c:pt idx="9">
                  <c:v>50-54 yrs</c:v>
                </c:pt>
                <c:pt idx="10">
                  <c:v>55-59 yrs</c:v>
                </c:pt>
                <c:pt idx="11">
                  <c:v>60-64 yrs</c:v>
                </c:pt>
                <c:pt idx="12">
                  <c:v>65-69 yrs</c:v>
                </c:pt>
                <c:pt idx="13">
                  <c:v>70-74 yrs</c:v>
                </c:pt>
                <c:pt idx="14">
                  <c:v>75-79 yrs</c:v>
                </c:pt>
                <c:pt idx="15">
                  <c:v>80-84 yrs</c:v>
                </c:pt>
                <c:pt idx="16">
                  <c:v>85 and over</c:v>
                </c:pt>
              </c:strCache>
            </c:strRef>
          </c:cat>
          <c:val>
            <c:numRef>
              <c:f>'Males only revised'!$L$3:$L$19</c:f>
              <c:numCache>
                <c:formatCode>General</c:formatCode>
                <c:ptCount val="17"/>
                <c:pt idx="0">
                  <c:v>2.1276143060785899</c:v>
                </c:pt>
                <c:pt idx="1">
                  <c:v>15.956441588726699</c:v>
                </c:pt>
                <c:pt idx="2">
                  <c:v>15.7432320939677</c:v>
                </c:pt>
                <c:pt idx="3">
                  <c:v>10.8403917609947</c:v>
                </c:pt>
                <c:pt idx="4">
                  <c:v>16.271462743672799</c:v>
                </c:pt>
                <c:pt idx="5">
                  <c:v>26.062170837529798</c:v>
                </c:pt>
                <c:pt idx="6">
                  <c:v>34.975008991802</c:v>
                </c:pt>
                <c:pt idx="7">
                  <c:v>69.800453742119004</c:v>
                </c:pt>
                <c:pt idx="8">
                  <c:v>77.944938487264096</c:v>
                </c:pt>
                <c:pt idx="9">
                  <c:v>102.06369443803101</c:v>
                </c:pt>
                <c:pt idx="10">
                  <c:v>109.695830723185</c:v>
                </c:pt>
                <c:pt idx="11">
                  <c:v>124.842020899479</c:v>
                </c:pt>
                <c:pt idx="12">
                  <c:v>134.07834428011199</c:v>
                </c:pt>
                <c:pt idx="13">
                  <c:v>105.172213268646</c:v>
                </c:pt>
                <c:pt idx="14">
                  <c:v>77.774034776750099</c:v>
                </c:pt>
                <c:pt idx="15">
                  <c:v>58.036648716533797</c:v>
                </c:pt>
                <c:pt idx="16">
                  <c:v>50.9822712026833</c:v>
                </c:pt>
              </c:numCache>
            </c:numRef>
          </c:val>
          <c:smooth val="0"/>
        </c:ser>
        <c:ser>
          <c:idx val="2"/>
          <c:order val="2"/>
          <c:tx>
            <c:strRef>
              <c:f>'Males only revised'!$M$1:$M$2</c:f>
              <c:strCache>
                <c:ptCount val="1"/>
                <c:pt idx="0">
                  <c:v>April 2014 to March 2015</c:v>
                </c:pt>
              </c:strCache>
            </c:strRef>
          </c:tx>
          <c:marker>
            <c:symbol val="diamond"/>
            <c:size val="5"/>
          </c:marker>
          <c:cat>
            <c:strRef>
              <c:f>'Males only revised'!$J$3:$J$19</c:f>
              <c:strCache>
                <c:ptCount val="17"/>
                <c:pt idx="0">
                  <c:v>0-9   yrs</c:v>
                </c:pt>
                <c:pt idx="1">
                  <c:v>10-14 yrs</c:v>
                </c:pt>
                <c:pt idx="2">
                  <c:v>15-19 yrs</c:v>
                </c:pt>
                <c:pt idx="3">
                  <c:v>20-24 yrs</c:v>
                </c:pt>
                <c:pt idx="4">
                  <c:v>25-29 yrs</c:v>
                </c:pt>
                <c:pt idx="5">
                  <c:v>30-34 yrs</c:v>
                </c:pt>
                <c:pt idx="6">
                  <c:v>35-39 yrs</c:v>
                </c:pt>
                <c:pt idx="7">
                  <c:v>40-44 yrs</c:v>
                </c:pt>
                <c:pt idx="8">
                  <c:v>45-49 yrs</c:v>
                </c:pt>
                <c:pt idx="9">
                  <c:v>50-54 yrs</c:v>
                </c:pt>
                <c:pt idx="10">
                  <c:v>55-59 yrs</c:v>
                </c:pt>
                <c:pt idx="11">
                  <c:v>60-64 yrs</c:v>
                </c:pt>
                <c:pt idx="12">
                  <c:v>65-69 yrs</c:v>
                </c:pt>
                <c:pt idx="13">
                  <c:v>70-74 yrs</c:v>
                </c:pt>
                <c:pt idx="14">
                  <c:v>75-79 yrs</c:v>
                </c:pt>
                <c:pt idx="15">
                  <c:v>80-84 yrs</c:v>
                </c:pt>
                <c:pt idx="16">
                  <c:v>85 and over</c:v>
                </c:pt>
              </c:strCache>
            </c:strRef>
          </c:cat>
          <c:val>
            <c:numRef>
              <c:f>'Males only revised'!$M$3:$M$19</c:f>
              <c:numCache>
                <c:formatCode>General</c:formatCode>
                <c:ptCount val="17"/>
                <c:pt idx="0">
                  <c:v>1.8865133588727201</c:v>
                </c:pt>
                <c:pt idx="1">
                  <c:v>14.582249667675899</c:v>
                </c:pt>
                <c:pt idx="2">
                  <c:v>16.351355223920901</c:v>
                </c:pt>
                <c:pt idx="3">
                  <c:v>10.9726407869822</c:v>
                </c:pt>
                <c:pt idx="4">
                  <c:v>15.6845911274745</c:v>
                </c:pt>
                <c:pt idx="5">
                  <c:v>23.0753126246411</c:v>
                </c:pt>
                <c:pt idx="6">
                  <c:v>31.282749127993402</c:v>
                </c:pt>
                <c:pt idx="7">
                  <c:v>69.954556833593202</c:v>
                </c:pt>
                <c:pt idx="8">
                  <c:v>80.351201710810997</c:v>
                </c:pt>
                <c:pt idx="9">
                  <c:v>101.485361605753</c:v>
                </c:pt>
                <c:pt idx="10">
                  <c:v>116.23733550503999</c:v>
                </c:pt>
                <c:pt idx="11">
                  <c:v>126.109536008071</c:v>
                </c:pt>
                <c:pt idx="12">
                  <c:v>138.50478720005799</c:v>
                </c:pt>
                <c:pt idx="13">
                  <c:v>115.22401230325799</c:v>
                </c:pt>
                <c:pt idx="14">
                  <c:v>85.879942456079206</c:v>
                </c:pt>
                <c:pt idx="15">
                  <c:v>67.217177443925493</c:v>
                </c:pt>
                <c:pt idx="16">
                  <c:v>48.315544428339301</c:v>
                </c:pt>
              </c:numCache>
            </c:numRef>
          </c:val>
          <c:smooth val="0"/>
        </c:ser>
        <c:ser>
          <c:idx val="3"/>
          <c:order val="3"/>
          <c:tx>
            <c:strRef>
              <c:f>'Males only revised'!$N$1:$N$2</c:f>
              <c:strCache>
                <c:ptCount val="1"/>
                <c:pt idx="0">
                  <c:v>April 2015 to March 2016</c:v>
                </c:pt>
              </c:strCache>
            </c:strRef>
          </c:tx>
          <c:marker>
            <c:symbol val="triangle"/>
            <c:size val="5"/>
          </c:marker>
          <c:cat>
            <c:strRef>
              <c:f>'Males only revised'!$J$3:$J$19</c:f>
              <c:strCache>
                <c:ptCount val="17"/>
                <c:pt idx="0">
                  <c:v>0-9   yrs</c:v>
                </c:pt>
                <c:pt idx="1">
                  <c:v>10-14 yrs</c:v>
                </c:pt>
                <c:pt idx="2">
                  <c:v>15-19 yrs</c:v>
                </c:pt>
                <c:pt idx="3">
                  <c:v>20-24 yrs</c:v>
                </c:pt>
                <c:pt idx="4">
                  <c:v>25-29 yrs</c:v>
                </c:pt>
                <c:pt idx="5">
                  <c:v>30-34 yrs</c:v>
                </c:pt>
                <c:pt idx="6">
                  <c:v>35-39 yrs</c:v>
                </c:pt>
                <c:pt idx="7">
                  <c:v>40-44 yrs</c:v>
                </c:pt>
                <c:pt idx="8">
                  <c:v>45-49 yrs</c:v>
                </c:pt>
                <c:pt idx="9">
                  <c:v>50-54 yrs</c:v>
                </c:pt>
                <c:pt idx="10">
                  <c:v>55-59 yrs</c:v>
                </c:pt>
                <c:pt idx="11">
                  <c:v>60-64 yrs</c:v>
                </c:pt>
                <c:pt idx="12">
                  <c:v>65-69 yrs</c:v>
                </c:pt>
                <c:pt idx="13">
                  <c:v>70-74 yrs</c:v>
                </c:pt>
                <c:pt idx="14">
                  <c:v>75-79 yrs</c:v>
                </c:pt>
                <c:pt idx="15">
                  <c:v>80-84 yrs</c:v>
                </c:pt>
                <c:pt idx="16">
                  <c:v>85 and over</c:v>
                </c:pt>
              </c:strCache>
            </c:strRef>
          </c:cat>
          <c:val>
            <c:numRef>
              <c:f>'Males only revised'!$N$3:$N$19</c:f>
              <c:numCache>
                <c:formatCode>General</c:formatCode>
                <c:ptCount val="17"/>
                <c:pt idx="0">
                  <c:v>1.65268032967159</c:v>
                </c:pt>
                <c:pt idx="1">
                  <c:v>15.921947077217</c:v>
                </c:pt>
                <c:pt idx="2">
                  <c:v>16.6268438283603</c:v>
                </c:pt>
                <c:pt idx="3">
                  <c:v>13.0588940938874</c:v>
                </c:pt>
                <c:pt idx="4">
                  <c:v>10.276603279493299</c:v>
                </c:pt>
                <c:pt idx="5">
                  <c:v>15.204523196586999</c:v>
                </c:pt>
                <c:pt idx="6">
                  <c:v>18.364159660929399</c:v>
                </c:pt>
                <c:pt idx="7">
                  <c:v>23.922996097268101</c:v>
                </c:pt>
                <c:pt idx="8">
                  <c:v>26.183372814885999</c:v>
                </c:pt>
                <c:pt idx="9">
                  <c:v>29.423749098071202</c:v>
                </c:pt>
                <c:pt idx="10">
                  <c:v>35.266170076028097</c:v>
                </c:pt>
                <c:pt idx="11">
                  <c:v>34.482930949180201</c:v>
                </c:pt>
                <c:pt idx="12">
                  <c:v>44.158591164307502</c:v>
                </c:pt>
                <c:pt idx="13">
                  <c:v>39.861892939746397</c:v>
                </c:pt>
                <c:pt idx="14">
                  <c:v>29.9282767800523</c:v>
                </c:pt>
                <c:pt idx="15">
                  <c:v>27.0948694151868</c:v>
                </c:pt>
                <c:pt idx="16">
                  <c:v>15.0517535292862</c:v>
                </c:pt>
              </c:numCache>
            </c:numRef>
          </c:val>
          <c:smooth val="0"/>
        </c:ser>
        <c:dLbls>
          <c:showLegendKey val="0"/>
          <c:showVal val="0"/>
          <c:showCatName val="0"/>
          <c:showSerName val="0"/>
          <c:showPercent val="0"/>
          <c:showBubbleSize val="0"/>
        </c:dLbls>
        <c:marker val="1"/>
        <c:smooth val="0"/>
        <c:axId val="87443712"/>
        <c:axId val="87449984"/>
      </c:lineChart>
      <c:catAx>
        <c:axId val="87443712"/>
        <c:scaling>
          <c:orientation val="minMax"/>
        </c:scaling>
        <c:delete val="0"/>
        <c:axPos val="b"/>
        <c:title>
          <c:tx>
            <c:rich>
              <a:bodyPr/>
              <a:lstStyle/>
              <a:p>
                <a:pPr>
                  <a:defRPr/>
                </a:pPr>
                <a:r>
                  <a:rPr lang="en-US"/>
                  <a:t>Age</a:t>
                </a:r>
              </a:p>
            </c:rich>
          </c:tx>
          <c:layout>
            <c:manualLayout>
              <c:xMode val="edge"/>
              <c:yMode val="edge"/>
              <c:x val="0.48411722757581788"/>
              <c:y val="0.85492482313882934"/>
            </c:manualLayout>
          </c:layout>
          <c:overlay val="0"/>
        </c:title>
        <c:majorTickMark val="out"/>
        <c:minorTickMark val="none"/>
        <c:tickLblPos val="nextTo"/>
        <c:txPr>
          <a:bodyPr rot="-5400000" vert="horz"/>
          <a:lstStyle/>
          <a:p>
            <a:pPr>
              <a:defRPr/>
            </a:pPr>
            <a:endParaRPr lang="en-US"/>
          </a:p>
        </c:txPr>
        <c:crossAx val="87449984"/>
        <c:crosses val="autoZero"/>
        <c:auto val="1"/>
        <c:lblAlgn val="ctr"/>
        <c:lblOffset val="100"/>
        <c:noMultiLvlLbl val="0"/>
      </c:catAx>
      <c:valAx>
        <c:axId val="87449984"/>
        <c:scaling>
          <c:orientation val="minMax"/>
        </c:scaling>
        <c:delete val="0"/>
        <c:axPos val="l"/>
        <c:majorGridlines/>
        <c:title>
          <c:tx>
            <c:rich>
              <a:bodyPr rot="-5400000" vert="horz"/>
              <a:lstStyle/>
              <a:p>
                <a:pPr>
                  <a:defRPr b="0"/>
                </a:pPr>
                <a:r>
                  <a:rPr lang="en-AU" b="1"/>
                  <a:t>Patients</a:t>
                </a:r>
                <a:r>
                  <a:rPr lang="en-AU" b="1" baseline="0"/>
                  <a:t> per 100,000 population (male only)</a:t>
                </a:r>
                <a:endParaRPr lang="en-AU" b="1"/>
              </a:p>
            </c:rich>
          </c:tx>
          <c:layout/>
          <c:overlay val="0"/>
        </c:title>
        <c:numFmt formatCode="General" sourceLinked="1"/>
        <c:majorTickMark val="out"/>
        <c:minorTickMark val="none"/>
        <c:tickLblPos val="nextTo"/>
        <c:crossAx val="87443712"/>
        <c:crosses val="autoZero"/>
        <c:crossBetween val="between"/>
      </c:valAx>
    </c:plotArea>
    <c:legend>
      <c:legendPos val="r"/>
      <c:layout>
        <c:manualLayout>
          <c:xMode val="edge"/>
          <c:yMode val="edge"/>
          <c:x val="9.0190310874952689E-2"/>
          <c:y val="0.88803277073809483"/>
          <c:w val="0.85774896345409934"/>
          <c:h val="9.2219730811794201E-2"/>
        </c:manualLayout>
      </c:layout>
      <c:overlay val="0"/>
    </c:legend>
    <c:plotVisOnly val="1"/>
    <c:dispBlanksAs val="gap"/>
    <c:showDLblsOverMax val="0"/>
  </c:chart>
  <c:spPr>
    <a:ln>
      <a:solidFill>
        <a:schemeClr val="bg1">
          <a:lumMod val="75000"/>
        </a:schemeClr>
      </a:solidFill>
    </a:ln>
  </c:spPr>
  <c:externalData r:id="rId1">
    <c:autoUpdate val="0"/>
  </c:externalData>
  <c:extLst>
    <c:ext xmlns:c14="http://schemas.microsoft.com/office/drawing/2007/8/2/chart" uri="{781A3756-C4B2-4CAC-9D66-4F8BD8637D16}">
      <c14:pivotOptions>
        <c14:dropZoneFilter val="1"/>
        <c14:dropZoneCategories val="1"/>
        <c14:dropZoneData val="1"/>
        <c14:dropZoneSeries val="1"/>
      </c14:pivotOptions>
    </c:ext>
  </c:extLst>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[D950 - PAT_CNT by therapy, drug name and year from April.xlsx]Sheet1 (4)!PivotTable5</c:name>
    <c:fmtId val="18"/>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pivotFmt>
      <c:pivotFmt>
        <c:idx val="42"/>
      </c:pivotFmt>
      <c:pivotFmt>
        <c:idx val="43"/>
      </c:pivotFmt>
      <c:pivotFmt>
        <c:idx val="44"/>
      </c:pivotFmt>
      <c:pivotFmt>
        <c:idx val="45"/>
      </c:pivotFmt>
      <c:pivotFmt>
        <c:idx val="46"/>
      </c:pivotFmt>
      <c:pivotFmt>
        <c:idx val="47"/>
      </c:pivotFmt>
      <c:pivotFmt>
        <c:idx val="48"/>
      </c:pivotFmt>
      <c:pivotFmt>
        <c:idx val="49"/>
      </c:pivotFmt>
      <c:pivotFmt>
        <c:idx val="50"/>
      </c:pivotFmt>
      <c:pivotFmt>
        <c:idx val="51"/>
      </c:pivotFmt>
      <c:pivotFmt>
        <c:idx val="52"/>
      </c:pivotFmt>
      <c:pivotFmt>
        <c:idx val="53"/>
      </c:pivotFmt>
      <c:pivotFmt>
        <c:idx val="54"/>
      </c:pivotFmt>
      <c:pivotFmt>
        <c:idx val="55"/>
      </c:pivotFmt>
      <c:pivotFmt>
        <c:idx val="56"/>
      </c:pivotFmt>
      <c:pivotFmt>
        <c:idx val="57"/>
      </c:pivotFmt>
      <c:pivotFmt>
        <c:idx val="58"/>
      </c:pivotFmt>
      <c:pivotFmt>
        <c:idx val="59"/>
      </c:pivotFmt>
      <c:pivotFmt>
        <c:idx val="60"/>
      </c:pivotFmt>
      <c:pivotFmt>
        <c:idx val="61"/>
      </c:pivotFmt>
      <c:pivotFmt>
        <c:idx val="62"/>
      </c:pivotFmt>
      <c:pivotFmt>
        <c:idx val="63"/>
      </c:pivotFmt>
      <c:pivotFmt>
        <c:idx val="64"/>
      </c:pivotFmt>
      <c:pivotFmt>
        <c:idx val="65"/>
      </c:pivotFmt>
      <c:pivotFmt>
        <c:idx val="66"/>
      </c:pivotFmt>
      <c:pivotFmt>
        <c:idx val="67"/>
      </c:pivotFmt>
      <c:pivotFmt>
        <c:idx val="68"/>
      </c:pivotFmt>
      <c:pivotFmt>
        <c:idx val="69"/>
      </c:pivotFmt>
      <c:pivotFmt>
        <c:idx val="70"/>
      </c:pivotFmt>
      <c:pivotFmt>
        <c:idx val="71"/>
      </c:pivotFmt>
      <c:pivotFmt>
        <c:idx val="72"/>
      </c:pivotFmt>
      <c:pivotFmt>
        <c:idx val="73"/>
      </c:pivotFmt>
      <c:pivotFmt>
        <c:idx val="74"/>
      </c:pivotFmt>
      <c:pivotFmt>
        <c:idx val="75"/>
      </c:pivotFmt>
      <c:pivotFmt>
        <c:idx val="76"/>
      </c:pivotFmt>
      <c:pivotFmt>
        <c:idx val="77"/>
      </c:pivotFmt>
      <c:pivotFmt>
        <c:idx val="78"/>
      </c:pivotFmt>
      <c:pivotFmt>
        <c:idx val="79"/>
      </c:pivotFmt>
      <c:pivotFmt>
        <c:idx val="80"/>
      </c:pivotFmt>
      <c:pivotFmt>
        <c:idx val="81"/>
      </c:pivotFmt>
      <c:pivotFmt>
        <c:idx val="82"/>
      </c:pivotFmt>
      <c:pivotFmt>
        <c:idx val="83"/>
      </c:pivotFmt>
      <c:pivotFmt>
        <c:idx val="84"/>
      </c:pivotFmt>
      <c:pivotFmt>
        <c:idx val="85"/>
      </c:pivotFmt>
      <c:pivotFmt>
        <c:idx val="86"/>
      </c:pivotFmt>
      <c:pivotFmt>
        <c:idx val="87"/>
      </c:pivotFmt>
      <c:pivotFmt>
        <c:idx val="88"/>
      </c:pivotFmt>
      <c:pivotFmt>
        <c:idx val="89"/>
      </c:pivotFmt>
      <c:pivotFmt>
        <c:idx val="90"/>
      </c:pivotFmt>
      <c:pivotFmt>
        <c:idx val="91"/>
      </c:pivotFmt>
      <c:pivotFmt>
        <c:idx val="92"/>
      </c:pivotFmt>
      <c:pivotFmt>
        <c:idx val="93"/>
      </c:pivotFmt>
      <c:pivotFmt>
        <c:idx val="94"/>
      </c:pivotFmt>
      <c:pivotFmt>
        <c:idx val="95"/>
      </c:pivotFmt>
      <c:pivotFmt>
        <c:idx val="96"/>
      </c:pivotFmt>
      <c:pivotFmt>
        <c:idx val="97"/>
      </c:pivotFmt>
      <c:pivotFmt>
        <c:idx val="98"/>
      </c:pivotFmt>
      <c:pivotFmt>
        <c:idx val="99"/>
      </c:pivotFmt>
      <c:pivotFmt>
        <c:idx val="100"/>
      </c:pivotFmt>
      <c:pivotFmt>
        <c:idx val="101"/>
      </c:pivotFmt>
      <c:pivotFmt>
        <c:idx val="102"/>
      </c:pivotFmt>
      <c:pivotFmt>
        <c:idx val="103"/>
        <c:marker>
          <c:symbol val="none"/>
        </c:marker>
      </c:pivotFmt>
      <c:pivotFmt>
        <c:idx val="104"/>
        <c:marker>
          <c:symbol val="none"/>
        </c:marker>
      </c:pivotFmt>
      <c:pivotFmt>
        <c:idx val="105"/>
        <c:marker>
          <c:symbol val="none"/>
        </c:marker>
      </c:pivotFmt>
      <c:pivotFmt>
        <c:idx val="106"/>
        <c:marker>
          <c:symbol val="none"/>
        </c:marker>
      </c:pivotFmt>
      <c:pivotFmt>
        <c:idx val="107"/>
        <c:marker>
          <c:symbol val="none"/>
        </c:marker>
      </c:pivotFmt>
      <c:pivotFmt>
        <c:idx val="108"/>
        <c:marker>
          <c:symbol val="none"/>
        </c:marker>
      </c:pivotFmt>
      <c:pivotFmt>
        <c:idx val="109"/>
        <c:marker>
          <c:symbol val="none"/>
        </c:marker>
      </c:pivotFmt>
      <c:pivotFmt>
        <c:idx val="110"/>
        <c:marker>
          <c:symbol val="none"/>
        </c:marker>
      </c:pivotFmt>
      <c:pivotFmt>
        <c:idx val="111"/>
        <c:marker>
          <c:symbol val="none"/>
        </c:marker>
      </c:pivotFmt>
    </c:pivotFmts>
    <c:plotArea>
      <c:layout/>
      <c:barChart>
        <c:barDir val="col"/>
        <c:grouping val="stacked"/>
        <c:varyColors val="0"/>
        <c:ser>
          <c:idx val="0"/>
          <c:order val="0"/>
          <c:tx>
            <c:strRef>
              <c:f>'Sheet1 (4)'!$B$3:$B$4</c:f>
              <c:strCache>
                <c:ptCount val="1"/>
                <c:pt idx="0">
                  <c:v>GP</c:v>
                </c:pt>
              </c:strCache>
            </c:strRef>
          </c:tx>
          <c:invertIfNegative val="0"/>
          <c:cat>
            <c:strRef>
              <c:f>'Sheet1 (4)'!$A$5:$A$9</c:f>
              <c:strCache>
                <c:ptCount val="4"/>
                <c:pt idx="0">
                  <c:v>April 2012 to March 2013</c:v>
                </c:pt>
                <c:pt idx="1">
                  <c:v>April 2013 to March 2014</c:v>
                </c:pt>
                <c:pt idx="2">
                  <c:v>April 2014 to March 2015</c:v>
                </c:pt>
                <c:pt idx="3">
                  <c:v>April 2015 to March 2016</c:v>
                </c:pt>
              </c:strCache>
            </c:strRef>
          </c:cat>
          <c:val>
            <c:numRef>
              <c:f>'Sheet1 (4)'!$B$5:$B$9</c:f>
              <c:numCache>
                <c:formatCode>General</c:formatCode>
                <c:ptCount val="4"/>
                <c:pt idx="0">
                  <c:v>6559</c:v>
                </c:pt>
                <c:pt idx="1">
                  <c:v>7080</c:v>
                </c:pt>
                <c:pt idx="2">
                  <c:v>7548</c:v>
                </c:pt>
                <c:pt idx="3">
                  <c:v>1488</c:v>
                </c:pt>
              </c:numCache>
            </c:numRef>
          </c:val>
        </c:ser>
        <c:ser>
          <c:idx val="1"/>
          <c:order val="1"/>
          <c:tx>
            <c:strRef>
              <c:f>'Sheet1 (4)'!$C$3:$C$4</c:f>
              <c:strCache>
                <c:ptCount val="1"/>
                <c:pt idx="0">
                  <c:v>Endocrinologist</c:v>
                </c:pt>
              </c:strCache>
            </c:strRef>
          </c:tx>
          <c:invertIfNegative val="0"/>
          <c:cat>
            <c:strRef>
              <c:f>'Sheet1 (4)'!$A$5:$A$9</c:f>
              <c:strCache>
                <c:ptCount val="4"/>
                <c:pt idx="0">
                  <c:v>April 2012 to March 2013</c:v>
                </c:pt>
                <c:pt idx="1">
                  <c:v>April 2013 to March 2014</c:v>
                </c:pt>
                <c:pt idx="2">
                  <c:v>April 2014 to March 2015</c:v>
                </c:pt>
                <c:pt idx="3">
                  <c:v>April 2015 to March 2016</c:v>
                </c:pt>
              </c:strCache>
            </c:strRef>
          </c:cat>
          <c:val>
            <c:numRef>
              <c:f>'Sheet1 (4)'!$C$5:$C$9</c:f>
              <c:numCache>
                <c:formatCode>General</c:formatCode>
                <c:ptCount val="4"/>
                <c:pt idx="0">
                  <c:v>1169</c:v>
                </c:pt>
                <c:pt idx="1">
                  <c:v>1236</c:v>
                </c:pt>
                <c:pt idx="2">
                  <c:v>1170</c:v>
                </c:pt>
                <c:pt idx="3">
                  <c:v>1288</c:v>
                </c:pt>
              </c:numCache>
            </c:numRef>
          </c:val>
        </c:ser>
        <c:ser>
          <c:idx val="2"/>
          <c:order val="2"/>
          <c:tx>
            <c:strRef>
              <c:f>'Sheet1 (4)'!$D$3:$D$4</c:f>
              <c:strCache>
                <c:ptCount val="1"/>
                <c:pt idx="0">
                  <c:v>Other specialist</c:v>
                </c:pt>
              </c:strCache>
            </c:strRef>
          </c:tx>
          <c:invertIfNegative val="0"/>
          <c:cat>
            <c:strRef>
              <c:f>'Sheet1 (4)'!$A$5:$A$9</c:f>
              <c:strCache>
                <c:ptCount val="4"/>
                <c:pt idx="0">
                  <c:v>April 2012 to March 2013</c:v>
                </c:pt>
                <c:pt idx="1">
                  <c:v>April 2013 to March 2014</c:v>
                </c:pt>
                <c:pt idx="2">
                  <c:v>April 2014 to March 2015</c:v>
                </c:pt>
                <c:pt idx="3">
                  <c:v>April 2015 to March 2016</c:v>
                </c:pt>
              </c:strCache>
            </c:strRef>
          </c:cat>
          <c:val>
            <c:numRef>
              <c:f>'Sheet1 (4)'!$D$5:$D$9</c:f>
              <c:numCache>
                <c:formatCode>General</c:formatCode>
                <c:ptCount val="4"/>
                <c:pt idx="0">
                  <c:v>1032</c:v>
                </c:pt>
                <c:pt idx="1">
                  <c:v>1149</c:v>
                </c:pt>
                <c:pt idx="2">
                  <c:v>1060</c:v>
                </c:pt>
                <c:pt idx="3">
                  <c:v>1159</c:v>
                </c:pt>
              </c:numCache>
            </c:numRef>
          </c:val>
        </c:ser>
        <c:dLbls>
          <c:showLegendKey val="0"/>
          <c:showVal val="0"/>
          <c:showCatName val="0"/>
          <c:showSerName val="0"/>
          <c:showPercent val="0"/>
          <c:showBubbleSize val="0"/>
        </c:dLbls>
        <c:gapWidth val="150"/>
        <c:overlap val="100"/>
        <c:axId val="87201664"/>
        <c:axId val="87203840"/>
      </c:barChart>
      <c:catAx>
        <c:axId val="87201664"/>
        <c:scaling>
          <c:orientation val="minMax"/>
        </c:scaling>
        <c:delete val="0"/>
        <c:axPos val="b"/>
        <c:title>
          <c:tx>
            <c:rich>
              <a:bodyPr/>
              <a:lstStyle/>
              <a:p>
                <a:pPr>
                  <a:defRPr/>
                </a:pPr>
                <a:r>
                  <a:rPr lang="en-AU"/>
                  <a:t>Year</a:t>
                </a:r>
              </a:p>
            </c:rich>
          </c:tx>
          <c:layout/>
          <c:overlay val="0"/>
        </c:title>
        <c:majorTickMark val="none"/>
        <c:minorTickMark val="none"/>
        <c:tickLblPos val="nextTo"/>
        <c:crossAx val="87203840"/>
        <c:crosses val="autoZero"/>
        <c:auto val="1"/>
        <c:lblAlgn val="ctr"/>
        <c:lblOffset val="100"/>
        <c:noMultiLvlLbl val="0"/>
      </c:catAx>
      <c:valAx>
        <c:axId val="87203840"/>
        <c:scaling>
          <c:orientation val="minMax"/>
        </c:scaling>
        <c:delete val="0"/>
        <c:axPos val="l"/>
        <c:majorGridlines/>
        <c:title>
          <c:tx>
            <c:rich>
              <a:bodyPr rot="-5400000" vert="horz"/>
              <a:lstStyle/>
              <a:p>
                <a:pPr>
                  <a:defRPr/>
                </a:pPr>
                <a:r>
                  <a:rPr lang="en-AU"/>
                  <a:t>Number of initiating patients</a:t>
                </a:r>
              </a:p>
            </c:rich>
          </c:tx>
          <c:layout/>
          <c:overlay val="0"/>
        </c:title>
        <c:numFmt formatCode="#,##0" sourceLinked="0"/>
        <c:majorTickMark val="none"/>
        <c:minorTickMark val="none"/>
        <c:tickLblPos val="nextTo"/>
        <c:crossAx val="87201664"/>
        <c:crosses val="autoZero"/>
        <c:crossBetween val="between"/>
      </c:valAx>
    </c:plotArea>
    <c:legend>
      <c:legendPos val="b"/>
      <c:layout/>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drawings/drawing1.xml><?xml version="1.0" encoding="utf-8"?>
<c:userShapes xmlns:c="http://schemas.openxmlformats.org/drawingml/2006/chart">
  <cdr:relSizeAnchor xmlns:cdr="http://schemas.openxmlformats.org/drawingml/2006/chartDrawing">
    <cdr:from>
      <cdr:x>0.87057</cdr:x>
      <cdr:y>0.08723</cdr:y>
    </cdr:from>
    <cdr:to>
      <cdr:x>0.87057</cdr:x>
      <cdr:y>0.77156</cdr:y>
    </cdr:to>
    <cdr:cxnSp macro="">
      <cdr:nvCxnSpPr>
        <cdr:cNvPr id="3" name="Straight Connector 2" title="Line indicating change occured 1 April 2015"/>
        <cdr:cNvCxnSpPr/>
      </cdr:nvCxnSpPr>
      <cdr:spPr>
        <a:xfrm xmlns:a="http://schemas.openxmlformats.org/drawingml/2006/main" flipV="1">
          <a:off x="4951562" y="323053"/>
          <a:ext cx="0" cy="2534297"/>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0.7631</cdr:x>
      <cdr:y>0.12008</cdr:y>
    </cdr:from>
    <cdr:to>
      <cdr:x>0.7631</cdr:x>
      <cdr:y>0.58984</cdr:y>
    </cdr:to>
    <cdr:cxnSp macro="">
      <cdr:nvCxnSpPr>
        <cdr:cNvPr id="2" name="Straight Connector 1" title="Restriction change 1 April"/>
        <cdr:cNvCxnSpPr/>
      </cdr:nvCxnSpPr>
      <cdr:spPr>
        <a:xfrm xmlns:a="http://schemas.openxmlformats.org/drawingml/2006/main" flipV="1">
          <a:off x="5596754" y="569595"/>
          <a:ext cx="0" cy="2228283"/>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2C07A-1159-4C35-827F-BF2D03EBA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8009</Words>
  <Characters>45654</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2017-01-09T03:33:00Z</dcterms:created>
  <dcterms:modified xsi:type="dcterms:W3CDTF">2017-02-13T05:26:00Z</dcterms:modified>
</cp:coreProperties>
</file>