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17" w:rsidRDefault="00EC7B8A" w:rsidP="00813FF0">
      <w:pPr>
        <w:pStyle w:val="Title"/>
        <w:jc w:val="both"/>
      </w:pPr>
      <w:r>
        <w:t>M</w:t>
      </w:r>
      <w:r w:rsidR="00AC5CA9">
        <w:t>edicines</w:t>
      </w:r>
      <w:r w:rsidR="00D730C7">
        <w:t xml:space="preserve"> for </w:t>
      </w:r>
      <w:r w:rsidR="00C65AC8">
        <w:t>the treatment of</w:t>
      </w:r>
      <w:r>
        <w:t xml:space="preserve"> diabetes</w:t>
      </w:r>
      <w:r w:rsidR="00412A7D">
        <w:t xml:space="preserve"> </w:t>
      </w:r>
    </w:p>
    <w:p w:rsidR="00821C17" w:rsidRDefault="00821C17" w:rsidP="00813FF0">
      <w:pPr>
        <w:pStyle w:val="Heading1"/>
      </w:pPr>
      <w:r>
        <w:t>D</w:t>
      </w:r>
      <w:r w:rsidRPr="0063631C">
        <w:t xml:space="preserve">rug utilisation sub-committee </w:t>
      </w:r>
      <w:r>
        <w:t>(DUSC)</w:t>
      </w:r>
    </w:p>
    <w:p w:rsidR="00821C17" w:rsidRPr="000C46BB" w:rsidRDefault="00EC7B8A" w:rsidP="00813FF0">
      <w:pPr>
        <w:pStyle w:val="Heading2"/>
      </w:pPr>
      <w:r>
        <w:t>February</w:t>
      </w:r>
      <w:r w:rsidR="00821C17">
        <w:t xml:space="preserve"> 201</w:t>
      </w:r>
      <w:r>
        <w:t>7</w:t>
      </w:r>
    </w:p>
    <w:p w:rsidR="00821C17" w:rsidRPr="008250BC" w:rsidRDefault="00821C17" w:rsidP="00813FF0">
      <w:pPr>
        <w:pStyle w:val="Heading3"/>
        <w:rPr>
          <w:i w:val="0"/>
          <w:sz w:val="32"/>
          <w:szCs w:val="32"/>
        </w:rPr>
      </w:pPr>
      <w:r w:rsidRPr="008250BC">
        <w:rPr>
          <w:i w:val="0"/>
          <w:sz w:val="32"/>
          <w:szCs w:val="32"/>
        </w:rPr>
        <w:t>Abstract</w:t>
      </w:r>
    </w:p>
    <w:p w:rsidR="00821C17" w:rsidRPr="008250BC" w:rsidRDefault="00821C17" w:rsidP="00813FF0">
      <w:pPr>
        <w:pStyle w:val="Heading2"/>
        <w:rPr>
          <w:i/>
        </w:rPr>
      </w:pPr>
      <w:r w:rsidRPr="008250BC">
        <w:rPr>
          <w:i/>
        </w:rPr>
        <w:t>Purpose</w:t>
      </w:r>
    </w:p>
    <w:p w:rsidR="009022AC" w:rsidRDefault="00821C17" w:rsidP="00813FF0">
      <w:pPr>
        <w:spacing w:after="0"/>
        <w:rPr>
          <w:rFonts w:cs="Arial"/>
        </w:rPr>
      </w:pPr>
      <w:proofErr w:type="gramStart"/>
      <w:r>
        <w:t xml:space="preserve">To </w:t>
      </w:r>
      <w:r w:rsidR="00AC5CA9">
        <w:t xml:space="preserve">review the utilisation of </w:t>
      </w:r>
      <w:r w:rsidR="00EC7B8A">
        <w:t>m</w:t>
      </w:r>
      <w:r w:rsidR="00EC7B8A" w:rsidRPr="00EC7B8A">
        <w:t xml:space="preserve">edicines </w:t>
      </w:r>
      <w:r w:rsidR="00D47EFC">
        <w:t xml:space="preserve">for the treatment </w:t>
      </w:r>
      <w:r w:rsidR="00B70C48">
        <w:t>of diabetes</w:t>
      </w:r>
      <w:r w:rsidR="00D47EFC">
        <w:rPr>
          <w:rFonts w:cs="Arial"/>
        </w:rPr>
        <w:t>.</w:t>
      </w:r>
      <w:proofErr w:type="gramEnd"/>
      <w:r w:rsidR="002B543E">
        <w:rPr>
          <w:rFonts w:cs="Arial"/>
        </w:rPr>
        <w:t xml:space="preserve"> </w:t>
      </w:r>
    </w:p>
    <w:p w:rsidR="009022AC" w:rsidRPr="00F778E9" w:rsidRDefault="009022AC" w:rsidP="00813FF0">
      <w:pPr>
        <w:pStyle w:val="Heading2"/>
        <w:rPr>
          <w:i/>
        </w:rPr>
      </w:pPr>
      <w:r w:rsidRPr="00F778E9">
        <w:rPr>
          <w:i/>
        </w:rPr>
        <w:t>Background</w:t>
      </w:r>
    </w:p>
    <w:p w:rsidR="00330B08" w:rsidRDefault="009022AC" w:rsidP="00813FF0">
      <w:pPr>
        <w:spacing w:after="0"/>
        <w:rPr>
          <w:rFonts w:cs="Arial"/>
        </w:rPr>
      </w:pPr>
      <w:r w:rsidRPr="009022AC">
        <w:rPr>
          <w:rFonts w:cs="Arial"/>
        </w:rPr>
        <w:t>There ha</w:t>
      </w:r>
      <w:r w:rsidR="00211A06">
        <w:rPr>
          <w:rFonts w:cs="Arial"/>
        </w:rPr>
        <w:t>ve</w:t>
      </w:r>
      <w:r w:rsidRPr="009022AC">
        <w:rPr>
          <w:rFonts w:cs="Arial"/>
        </w:rPr>
        <w:t xml:space="preserve"> been a number of </w:t>
      </w:r>
      <w:r>
        <w:rPr>
          <w:rFonts w:cs="Arial"/>
        </w:rPr>
        <w:t xml:space="preserve">new medicines </w:t>
      </w:r>
      <w:r w:rsidR="00211A06">
        <w:rPr>
          <w:rFonts w:cs="Arial"/>
        </w:rPr>
        <w:t xml:space="preserve">and extensions to PBS </w:t>
      </w:r>
      <w:r w:rsidRPr="009022AC">
        <w:rPr>
          <w:rFonts w:cs="Arial"/>
        </w:rPr>
        <w:t xml:space="preserve">listings </w:t>
      </w:r>
      <w:r>
        <w:rPr>
          <w:rFonts w:cs="Arial"/>
        </w:rPr>
        <w:t xml:space="preserve">since the last DUSC review in February 2013. </w:t>
      </w:r>
    </w:p>
    <w:p w:rsidR="00330B08" w:rsidRDefault="00330B08" w:rsidP="00813FF0">
      <w:pPr>
        <w:spacing w:after="0"/>
        <w:rPr>
          <w:rFonts w:cs="Arial"/>
        </w:rPr>
      </w:pPr>
    </w:p>
    <w:p w:rsidR="002B543E" w:rsidRDefault="009022AC" w:rsidP="00813FF0">
      <w:pPr>
        <w:spacing w:after="0"/>
        <w:rPr>
          <w:rFonts w:cs="Arial"/>
        </w:rPr>
      </w:pPr>
      <w:r>
        <w:rPr>
          <w:rFonts w:cs="Arial"/>
        </w:rPr>
        <w:t xml:space="preserve">Key changes have included the listing of </w:t>
      </w:r>
      <w:r w:rsidR="00330B08">
        <w:rPr>
          <w:rFonts w:cs="Arial"/>
        </w:rPr>
        <w:t>sodium-glucose co-transporter 2 inhibitors (</w:t>
      </w:r>
      <w:proofErr w:type="spellStart"/>
      <w:r>
        <w:rPr>
          <w:rFonts w:cs="Arial"/>
        </w:rPr>
        <w:t>flozins</w:t>
      </w:r>
      <w:proofErr w:type="spellEnd"/>
      <w:r w:rsidR="00330B08">
        <w:rPr>
          <w:rFonts w:cs="Arial"/>
        </w:rPr>
        <w:t>)</w:t>
      </w:r>
      <w:r w:rsidR="00EC3E28">
        <w:rPr>
          <w:rFonts w:cs="Arial"/>
        </w:rPr>
        <w:t xml:space="preserve">, </w:t>
      </w:r>
      <w:r w:rsidR="00330B08">
        <w:rPr>
          <w:rFonts w:cs="Arial"/>
        </w:rPr>
        <w:t xml:space="preserve">extensions to listings for the </w:t>
      </w:r>
      <w:proofErr w:type="spellStart"/>
      <w:r w:rsidR="00330B08">
        <w:rPr>
          <w:rFonts w:cs="Arial"/>
        </w:rPr>
        <w:t>dipeptidyl</w:t>
      </w:r>
      <w:proofErr w:type="spellEnd"/>
      <w:r w:rsidR="00330B08">
        <w:rPr>
          <w:rFonts w:cs="Arial"/>
        </w:rPr>
        <w:t xml:space="preserve"> peptidase</w:t>
      </w:r>
      <w:r w:rsidR="00330B08">
        <w:rPr>
          <w:rFonts w:cs="Arial"/>
        </w:rPr>
        <w:noBreakHyphen/>
        <w:t>4</w:t>
      </w:r>
      <w:r w:rsidR="00EC3E28">
        <w:rPr>
          <w:rFonts w:cs="Arial"/>
        </w:rPr>
        <w:t xml:space="preserve"> </w:t>
      </w:r>
      <w:r w:rsidR="00330B08">
        <w:rPr>
          <w:rFonts w:cs="Arial"/>
        </w:rPr>
        <w:t>inhibitors (</w:t>
      </w:r>
      <w:proofErr w:type="spellStart"/>
      <w:r w:rsidR="00330B08">
        <w:rPr>
          <w:rFonts w:cs="Arial"/>
        </w:rPr>
        <w:t>gliptins</w:t>
      </w:r>
      <w:proofErr w:type="spellEnd"/>
      <w:r w:rsidR="00330B08">
        <w:rPr>
          <w:rFonts w:cs="Arial"/>
        </w:rPr>
        <w:t>) and the glucagon-like peptide-1 (GLP-1)</w:t>
      </w:r>
      <w:r w:rsidR="00D4044A">
        <w:rPr>
          <w:rFonts w:cs="Arial"/>
        </w:rPr>
        <w:t xml:space="preserve"> analogue</w:t>
      </w:r>
      <w:r w:rsidR="00EC3E28">
        <w:rPr>
          <w:rFonts w:cs="Arial"/>
        </w:rPr>
        <w:t>, and the availability o</w:t>
      </w:r>
      <w:r w:rsidR="00D4044A">
        <w:rPr>
          <w:rFonts w:cs="Arial"/>
        </w:rPr>
        <w:t>f</w:t>
      </w:r>
      <w:r w:rsidR="00EC3E28">
        <w:rPr>
          <w:rFonts w:cs="Arial"/>
        </w:rPr>
        <w:t xml:space="preserve"> additional fixed dose combin</w:t>
      </w:r>
      <w:r w:rsidR="00D4044A">
        <w:rPr>
          <w:rFonts w:cs="Arial"/>
        </w:rPr>
        <w:t>a</w:t>
      </w:r>
      <w:r w:rsidR="00EC3E28">
        <w:rPr>
          <w:rFonts w:cs="Arial"/>
        </w:rPr>
        <w:t>tion</w:t>
      </w:r>
      <w:r w:rsidR="00D4044A">
        <w:rPr>
          <w:rFonts w:cs="Arial"/>
        </w:rPr>
        <w:t xml:space="preserve"> products</w:t>
      </w:r>
      <w:r w:rsidR="00EC3E28">
        <w:rPr>
          <w:rFonts w:cs="Arial"/>
        </w:rPr>
        <w:t xml:space="preserve">. Further details are provided in Table </w:t>
      </w:r>
      <w:r w:rsidR="00C60295">
        <w:rPr>
          <w:rFonts w:cs="Arial"/>
        </w:rPr>
        <w:t>1</w:t>
      </w:r>
      <w:r w:rsidR="00EC3E28">
        <w:rPr>
          <w:rFonts w:cs="Arial"/>
        </w:rPr>
        <w:t xml:space="preserve"> of this report.</w:t>
      </w:r>
    </w:p>
    <w:p w:rsidR="007C3AED" w:rsidRDefault="007C3AED" w:rsidP="00813FF0">
      <w:pPr>
        <w:pStyle w:val="Heading2"/>
        <w:rPr>
          <w:i/>
        </w:rPr>
      </w:pPr>
      <w:r>
        <w:rPr>
          <w:i/>
        </w:rPr>
        <w:t>Current PBS restrictions</w:t>
      </w:r>
      <w:r w:rsidR="00EC3E28">
        <w:rPr>
          <w:i/>
        </w:rPr>
        <w:t xml:space="preserve"> (abridged)</w:t>
      </w:r>
    </w:p>
    <w:p w:rsidR="009022AC" w:rsidRDefault="007C3AED" w:rsidP="00813FF0">
      <w:r>
        <w:t>Metf</w:t>
      </w:r>
      <w:r w:rsidR="009022AC">
        <w:t>o</w:t>
      </w:r>
      <w:r>
        <w:t xml:space="preserve">rmin, </w:t>
      </w:r>
      <w:r w:rsidR="00493B74">
        <w:t>sulfonylurea</w:t>
      </w:r>
      <w:r w:rsidR="009022AC">
        <w:t xml:space="preserve">s, </w:t>
      </w:r>
      <w:proofErr w:type="spellStart"/>
      <w:r>
        <w:t>acarbose</w:t>
      </w:r>
      <w:proofErr w:type="spellEnd"/>
      <w:r w:rsidR="009022AC">
        <w:t xml:space="preserve"> and most </w:t>
      </w:r>
      <w:proofErr w:type="spellStart"/>
      <w:proofErr w:type="gramStart"/>
      <w:r w:rsidR="009022AC">
        <w:t>insulins</w:t>
      </w:r>
      <w:proofErr w:type="spellEnd"/>
      <w:proofErr w:type="gramEnd"/>
      <w:r>
        <w:t xml:space="preserve"> have unrestrict</w:t>
      </w:r>
      <w:r w:rsidR="009022AC">
        <w:t>ed</w:t>
      </w:r>
      <w:r>
        <w:t xml:space="preserve"> PBS listing</w:t>
      </w:r>
      <w:r w:rsidR="009022AC">
        <w:t>s</w:t>
      </w:r>
      <w:r>
        <w:t>.</w:t>
      </w:r>
      <w:r w:rsidR="00EC3E28">
        <w:t xml:space="preserve"> </w:t>
      </w:r>
      <w:r w:rsidR="009022AC">
        <w:t xml:space="preserve">Insulin </w:t>
      </w:r>
      <w:proofErr w:type="spellStart"/>
      <w:r w:rsidR="009022AC">
        <w:t>detemir</w:t>
      </w:r>
      <w:proofErr w:type="spellEnd"/>
      <w:r w:rsidR="009022AC">
        <w:t xml:space="preserve"> has a restri</w:t>
      </w:r>
      <w:r w:rsidR="00EC3E28">
        <w:t>cted</w:t>
      </w:r>
      <w:r w:rsidR="009022AC">
        <w:t xml:space="preserve"> benefit listing for type 1 diab</w:t>
      </w:r>
      <w:r w:rsidR="002E7EEA">
        <w:t>e</w:t>
      </w:r>
      <w:r w:rsidR="009022AC">
        <w:t>tes.</w:t>
      </w:r>
    </w:p>
    <w:p w:rsidR="009022AC" w:rsidRDefault="009022AC" w:rsidP="00813FF0">
      <w:r>
        <w:t xml:space="preserve">The </w:t>
      </w:r>
      <w:proofErr w:type="spellStart"/>
      <w:r>
        <w:t>gliptins</w:t>
      </w:r>
      <w:proofErr w:type="spellEnd"/>
      <w:r>
        <w:t xml:space="preserve">, </w:t>
      </w:r>
      <w:proofErr w:type="spellStart"/>
      <w:r>
        <w:t>flozins</w:t>
      </w:r>
      <w:proofErr w:type="spellEnd"/>
      <w:r>
        <w:t xml:space="preserve">, </w:t>
      </w:r>
      <w:proofErr w:type="spellStart"/>
      <w:r w:rsidR="004D49D8">
        <w:t>exenatide</w:t>
      </w:r>
      <w:proofErr w:type="spellEnd"/>
      <w:r w:rsidR="004D49D8">
        <w:t xml:space="preserve"> (</w:t>
      </w:r>
      <w:r>
        <w:t>GLP-1 analogue</w:t>
      </w:r>
      <w:r w:rsidR="004D49D8">
        <w:t>)</w:t>
      </w:r>
      <w:r>
        <w:t xml:space="preserve"> and pioglitazone </w:t>
      </w:r>
      <w:r w:rsidR="00D4044A">
        <w:t>have</w:t>
      </w:r>
      <w:r>
        <w:t xml:space="preserve"> Autho</w:t>
      </w:r>
      <w:r w:rsidR="00EC3E28">
        <w:t>rity</w:t>
      </w:r>
      <w:r>
        <w:t xml:space="preserve"> </w:t>
      </w:r>
      <w:r w:rsidR="004D49D8">
        <w:t>R</w:t>
      </w:r>
      <w:r>
        <w:t>equired (</w:t>
      </w:r>
      <w:r w:rsidR="00E27147">
        <w:t>STREAMLINED</w:t>
      </w:r>
      <w:r>
        <w:t xml:space="preserve">) listings for </w:t>
      </w:r>
      <w:r w:rsidR="00EC3E28">
        <w:t>patients</w:t>
      </w:r>
      <w:r>
        <w:t xml:space="preserve"> meeting certain criteria and </w:t>
      </w:r>
      <w:r w:rsidR="00EC3E28">
        <w:t xml:space="preserve">for use </w:t>
      </w:r>
      <w:r>
        <w:t xml:space="preserve">in </w:t>
      </w:r>
      <w:r w:rsidR="00EC3E28">
        <w:t>combination</w:t>
      </w:r>
      <w:r>
        <w:t xml:space="preserve"> with specified medicines.</w:t>
      </w:r>
    </w:p>
    <w:p w:rsidR="009022AC" w:rsidRDefault="009022AC" w:rsidP="00813FF0">
      <w:r>
        <w:t xml:space="preserve">Rosiglitazone has an Authority </w:t>
      </w:r>
      <w:proofErr w:type="gramStart"/>
      <w:r w:rsidR="004D49D8">
        <w:t>R</w:t>
      </w:r>
      <w:r>
        <w:t>equired</w:t>
      </w:r>
      <w:proofErr w:type="gramEnd"/>
      <w:r>
        <w:t xml:space="preserve"> (telephone) listing for </w:t>
      </w:r>
      <w:r w:rsidR="00EC3E28">
        <w:t>patients</w:t>
      </w:r>
      <w:r w:rsidRPr="009022AC">
        <w:t xml:space="preserve"> meeting certain criteria and in com</w:t>
      </w:r>
      <w:r w:rsidR="00EC3E28">
        <w:t xml:space="preserve">bination </w:t>
      </w:r>
      <w:r w:rsidRPr="009022AC">
        <w:t>with other specified medicines.</w:t>
      </w:r>
    </w:p>
    <w:p w:rsidR="00EC3E28" w:rsidRDefault="00EC3E28" w:rsidP="00813FF0">
      <w:r>
        <w:t xml:space="preserve">For further details </w:t>
      </w:r>
      <w:r w:rsidRPr="00C60295">
        <w:t xml:space="preserve">see </w:t>
      </w:r>
      <w:r w:rsidR="00C60295" w:rsidRPr="00F778E9">
        <w:t>Table 2</w:t>
      </w:r>
      <w:r w:rsidRPr="004D49D8">
        <w:t xml:space="preserve"> of this</w:t>
      </w:r>
      <w:r>
        <w:t xml:space="preserve"> report or </w:t>
      </w:r>
      <w:r w:rsidRPr="00CC6457">
        <w:t>pbs.gov.au</w:t>
      </w:r>
    </w:p>
    <w:p w:rsidR="005425A8" w:rsidRPr="008250BC" w:rsidRDefault="005425A8" w:rsidP="00813FF0">
      <w:pPr>
        <w:pStyle w:val="Heading2"/>
        <w:rPr>
          <w:i/>
        </w:rPr>
      </w:pPr>
      <w:r w:rsidRPr="008250BC">
        <w:rPr>
          <w:i/>
        </w:rPr>
        <w:t>Data Source / methodology</w:t>
      </w:r>
    </w:p>
    <w:p w:rsidR="00C65AC8" w:rsidRPr="0093416F" w:rsidRDefault="00153215" w:rsidP="00813FF0">
      <w:r>
        <w:t>D</w:t>
      </w:r>
      <w:r w:rsidR="00EC3E28">
        <w:t>ata</w:t>
      </w:r>
      <w:r w:rsidR="00C65AC8">
        <w:t xml:space="preserve"> </w:t>
      </w:r>
      <w:r w:rsidR="00C65AC8" w:rsidRPr="00D973B9">
        <w:t>were extracted from the Department of Human Services (DHS) prescription database for prescriptions supplied from J</w:t>
      </w:r>
      <w:r w:rsidR="00C65AC8">
        <w:t xml:space="preserve">uly </w:t>
      </w:r>
      <w:r w:rsidR="00C65AC8" w:rsidRPr="00D973B9">
        <w:t>20</w:t>
      </w:r>
      <w:r w:rsidR="00C65AC8">
        <w:t>11 to September</w:t>
      </w:r>
      <w:r w:rsidR="00C65AC8" w:rsidRPr="00D973B9">
        <w:t xml:space="preserve"> 2016. </w:t>
      </w:r>
      <w:r w:rsidR="004D49D8">
        <w:t>Drug regimens were estimated on a weekly basis.</w:t>
      </w:r>
    </w:p>
    <w:p w:rsidR="00821C17" w:rsidRPr="008250BC" w:rsidRDefault="00821C17" w:rsidP="00813FF0">
      <w:pPr>
        <w:pStyle w:val="Heading2"/>
        <w:keepNext/>
        <w:rPr>
          <w:i/>
        </w:rPr>
      </w:pPr>
      <w:r w:rsidRPr="008250BC">
        <w:rPr>
          <w:i/>
        </w:rPr>
        <w:lastRenderedPageBreak/>
        <w:t>Key Findings</w:t>
      </w:r>
    </w:p>
    <w:p w:rsidR="00C45D5C" w:rsidRDefault="00C45D5C" w:rsidP="00813FF0">
      <w:pPr>
        <w:pStyle w:val="ListParagraph"/>
        <w:numPr>
          <w:ilvl w:val="0"/>
          <w:numId w:val="2"/>
        </w:numPr>
        <w:ind w:left="357" w:hanging="357"/>
      </w:pPr>
      <w:r w:rsidRPr="00C45D5C">
        <w:t>In mid-2016, 3.85%</w:t>
      </w:r>
      <w:r w:rsidRPr="00C45D5C">
        <w:rPr>
          <w:vertAlign w:val="superscript"/>
        </w:rPr>
        <w:footnoteReference w:id="1"/>
      </w:r>
      <w:r w:rsidRPr="00C45D5C">
        <w:t xml:space="preserve"> of the Australian population (928,561 people) were estimated to be receiving diabetes medicines, compared with 3.57%</w:t>
      </w:r>
      <w:r w:rsidRPr="00C45D5C">
        <w:rPr>
          <w:vertAlign w:val="superscript"/>
        </w:rPr>
        <w:footnoteReference w:id="2"/>
      </w:r>
      <w:r w:rsidRPr="00C45D5C">
        <w:t xml:space="preserve"> (811,009 people) in mid-2012.</w:t>
      </w:r>
    </w:p>
    <w:p w:rsidR="00211A06" w:rsidRDefault="00F41226" w:rsidP="00813FF0">
      <w:pPr>
        <w:pStyle w:val="ListParagraph"/>
        <w:numPr>
          <w:ilvl w:val="0"/>
          <w:numId w:val="2"/>
        </w:numPr>
      </w:pPr>
      <w:r>
        <w:t>At the end of July 2016, a</w:t>
      </w:r>
      <w:r w:rsidR="00F778E9">
        <w:t xml:space="preserve">bout half </w:t>
      </w:r>
      <w:r w:rsidR="00211A06">
        <w:t xml:space="preserve">of </w:t>
      </w:r>
      <w:r w:rsidR="00493B74">
        <w:t xml:space="preserve">all </w:t>
      </w:r>
      <w:r w:rsidR="00211A06">
        <w:t xml:space="preserve">people receiving medicines for diabetes </w:t>
      </w:r>
      <w:r w:rsidR="00F778E9">
        <w:t xml:space="preserve">were </w:t>
      </w:r>
      <w:r>
        <w:t xml:space="preserve">estimated to be </w:t>
      </w:r>
      <w:r w:rsidR="00F778E9">
        <w:t xml:space="preserve">on </w:t>
      </w:r>
      <w:proofErr w:type="spellStart"/>
      <w:r w:rsidR="00934001">
        <w:t>monotherapy</w:t>
      </w:r>
      <w:proofErr w:type="spellEnd"/>
      <w:r w:rsidR="00934001">
        <w:t xml:space="preserve"> and half </w:t>
      </w:r>
      <w:r w:rsidR="006418C4">
        <w:t xml:space="preserve">were </w:t>
      </w:r>
      <w:r w:rsidR="00934001">
        <w:t xml:space="preserve">on </w:t>
      </w:r>
      <w:r w:rsidR="00C45D5C">
        <w:t>two or more</w:t>
      </w:r>
      <w:r w:rsidR="00934001">
        <w:t xml:space="preserve"> medicines</w:t>
      </w:r>
      <w:r w:rsidR="00C45D5C">
        <w:t>.</w:t>
      </w:r>
    </w:p>
    <w:p w:rsidR="00C45D5C" w:rsidRDefault="00F41226" w:rsidP="00813FF0">
      <w:pPr>
        <w:pStyle w:val="ListParagraph"/>
        <w:numPr>
          <w:ilvl w:val="0"/>
          <w:numId w:val="2"/>
        </w:numPr>
      </w:pPr>
      <w:r>
        <w:t xml:space="preserve">The top five most </w:t>
      </w:r>
      <w:r w:rsidR="00C45D5C">
        <w:t>common regimens</w:t>
      </w:r>
      <w:r>
        <w:t xml:space="preserve"> (starting with the most common) were metformin </w:t>
      </w:r>
      <w:proofErr w:type="spellStart"/>
      <w:r>
        <w:t>monotherapy</w:t>
      </w:r>
      <w:proofErr w:type="spellEnd"/>
      <w:r>
        <w:t xml:space="preserve">, insulin </w:t>
      </w:r>
      <w:proofErr w:type="spellStart"/>
      <w:r>
        <w:t>monotherapy</w:t>
      </w:r>
      <w:proofErr w:type="spellEnd"/>
      <w:r>
        <w:t xml:space="preserve">, </w:t>
      </w:r>
      <w:proofErr w:type="spellStart"/>
      <w:r>
        <w:t>gliptin</w:t>
      </w:r>
      <w:proofErr w:type="spellEnd"/>
      <w:r>
        <w:t xml:space="preserve"> + metformin, metformin + sulfonylurea </w:t>
      </w:r>
      <w:r w:rsidR="00B70C48">
        <w:t>and insulin</w:t>
      </w:r>
      <w:r>
        <w:t xml:space="preserve"> + metformin</w:t>
      </w:r>
      <w:r w:rsidR="003B5833">
        <w:t xml:space="preserve"> (See Figure 3)</w:t>
      </w:r>
      <w:r>
        <w:t>.</w:t>
      </w:r>
    </w:p>
    <w:p w:rsidR="00F41226" w:rsidRDefault="00F41226" w:rsidP="00813FF0">
      <w:pPr>
        <w:pStyle w:val="ListParagraph"/>
        <w:numPr>
          <w:ilvl w:val="0"/>
          <w:numId w:val="2"/>
        </w:numPr>
      </w:pPr>
      <w:r>
        <w:t xml:space="preserve">The regimens that had the largest growth over the last </w:t>
      </w:r>
      <w:r w:rsidR="003B5833">
        <w:t xml:space="preserve">four years were </w:t>
      </w:r>
      <w:proofErr w:type="spellStart"/>
      <w:r w:rsidR="003B5833">
        <w:t>gliptin</w:t>
      </w:r>
      <w:proofErr w:type="spellEnd"/>
      <w:r w:rsidR="003B5833">
        <w:t xml:space="preserve"> + metformin, </w:t>
      </w:r>
      <w:proofErr w:type="spellStart"/>
      <w:r w:rsidR="003B5833">
        <w:t>gliptin</w:t>
      </w:r>
      <w:proofErr w:type="spellEnd"/>
      <w:r w:rsidR="003B5833">
        <w:t xml:space="preserve"> + metformin + sulfonylurea and </w:t>
      </w:r>
      <w:proofErr w:type="spellStart"/>
      <w:r w:rsidR="003B5833">
        <w:t>flozin</w:t>
      </w:r>
      <w:proofErr w:type="spellEnd"/>
      <w:r w:rsidR="003B5833">
        <w:t xml:space="preserve"> + metformin (See Figure 4).</w:t>
      </w:r>
    </w:p>
    <w:p w:rsidR="00C45D5C" w:rsidRDefault="003B5833" w:rsidP="00813FF0">
      <w:pPr>
        <w:pStyle w:val="ListParagraph"/>
        <w:numPr>
          <w:ilvl w:val="0"/>
          <w:numId w:val="2"/>
        </w:numPr>
      </w:pPr>
      <w:r>
        <w:t>There are several examples of apparent use o</w:t>
      </w:r>
      <w:r w:rsidR="00C45D5C">
        <w:t xml:space="preserve">utside </w:t>
      </w:r>
      <w:r>
        <w:t xml:space="preserve">the PBS restriction. These are the use of </w:t>
      </w:r>
      <w:proofErr w:type="spellStart"/>
      <w:r>
        <w:t>flozins</w:t>
      </w:r>
      <w:proofErr w:type="spellEnd"/>
      <w:r>
        <w:t xml:space="preserve"> and </w:t>
      </w:r>
      <w:proofErr w:type="spellStart"/>
      <w:r>
        <w:t>gliptins</w:t>
      </w:r>
      <w:proofErr w:type="spellEnd"/>
      <w:r>
        <w:t xml:space="preserve"> together (See </w:t>
      </w:r>
      <w:r w:rsidR="003A1680">
        <w:t xml:space="preserve">Figure 6) and the use of a </w:t>
      </w:r>
      <w:proofErr w:type="spellStart"/>
      <w:r w:rsidR="003A1680">
        <w:t>flozin</w:t>
      </w:r>
      <w:proofErr w:type="spellEnd"/>
      <w:r w:rsidR="003A1680">
        <w:t xml:space="preserve">, </w:t>
      </w:r>
      <w:proofErr w:type="spellStart"/>
      <w:r w:rsidR="003A1680">
        <w:t>gliptin</w:t>
      </w:r>
      <w:proofErr w:type="spellEnd"/>
      <w:r w:rsidR="003A1680">
        <w:t xml:space="preserve"> or </w:t>
      </w:r>
      <w:proofErr w:type="spellStart"/>
      <w:r w:rsidR="003A1680">
        <w:t>exenatide</w:t>
      </w:r>
      <w:proofErr w:type="spellEnd"/>
      <w:r w:rsidR="003A1680">
        <w:t xml:space="preserve"> as </w:t>
      </w:r>
      <w:proofErr w:type="spellStart"/>
      <w:r w:rsidR="003A1680">
        <w:t>monotherapy</w:t>
      </w:r>
      <w:proofErr w:type="spellEnd"/>
      <w:r w:rsidR="003A1680">
        <w:t xml:space="preserve"> (See Figures 6, 8 and </w:t>
      </w:r>
      <w:r w:rsidR="004755A9">
        <w:t>13</w:t>
      </w:r>
      <w:r w:rsidR="003A1680">
        <w:t>).</w:t>
      </w:r>
    </w:p>
    <w:p w:rsidR="008679CD" w:rsidRDefault="008679CD" w:rsidP="00813FF0">
      <w:pPr>
        <w:rPr>
          <w:b/>
          <w:i/>
          <w:sz w:val="32"/>
          <w:szCs w:val="32"/>
        </w:rPr>
      </w:pPr>
    </w:p>
    <w:p w:rsidR="0004079C" w:rsidRPr="00E916C9" w:rsidRDefault="0004079C" w:rsidP="00813FF0">
      <w:pPr>
        <w:spacing w:line="276" w:lineRule="auto"/>
        <w:rPr>
          <w:b/>
          <w:sz w:val="32"/>
          <w:szCs w:val="32"/>
        </w:rPr>
      </w:pPr>
      <w:r w:rsidRPr="00E916C9">
        <w:rPr>
          <w:b/>
          <w:sz w:val="32"/>
          <w:szCs w:val="32"/>
        </w:rPr>
        <w:t>Abbreviations/Glossary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57"/>
        <w:gridCol w:w="6856"/>
      </w:tblGrid>
      <w:tr w:rsidR="0004079C" w:rsidRPr="00DD189F" w:rsidTr="00E3725E">
        <w:tc>
          <w:tcPr>
            <w:tcW w:w="2157" w:type="dxa"/>
            <w:shd w:val="clear" w:color="auto" w:fill="auto"/>
            <w:vAlign w:val="center"/>
          </w:tcPr>
          <w:p w:rsidR="0004079C" w:rsidRPr="00E3725E" w:rsidRDefault="0004079C" w:rsidP="00813FF0">
            <w:pPr>
              <w:spacing w:after="0"/>
              <w:rPr>
                <w:rFonts w:cs="Arial"/>
                <w:sz w:val="20"/>
                <w:szCs w:val="20"/>
              </w:rPr>
            </w:pPr>
            <w:r w:rsidRPr="00E3725E">
              <w:rPr>
                <w:rFonts w:cs="Arial"/>
                <w:sz w:val="20"/>
                <w:szCs w:val="20"/>
              </w:rPr>
              <w:t>FDC</w:t>
            </w:r>
          </w:p>
        </w:tc>
        <w:tc>
          <w:tcPr>
            <w:tcW w:w="6856" w:type="dxa"/>
            <w:shd w:val="clear" w:color="auto" w:fill="auto"/>
            <w:vAlign w:val="center"/>
          </w:tcPr>
          <w:p w:rsidR="0004079C" w:rsidRPr="00E3725E" w:rsidRDefault="0004079C" w:rsidP="00813FF0">
            <w:pPr>
              <w:spacing w:after="0"/>
              <w:rPr>
                <w:rFonts w:cs="Arial"/>
                <w:sz w:val="20"/>
                <w:szCs w:val="20"/>
              </w:rPr>
            </w:pPr>
            <w:r w:rsidRPr="00E3725E">
              <w:rPr>
                <w:rFonts w:cs="Arial"/>
                <w:sz w:val="20"/>
                <w:szCs w:val="20"/>
              </w:rPr>
              <w:t>Fixed dose combination</w:t>
            </w:r>
          </w:p>
        </w:tc>
      </w:tr>
      <w:tr w:rsidR="00417966" w:rsidRPr="00DD189F" w:rsidTr="00417966">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417966" w:rsidRPr="00417966" w:rsidRDefault="00417966" w:rsidP="00813FF0">
            <w:pPr>
              <w:spacing w:after="0"/>
              <w:rPr>
                <w:rFonts w:cs="Arial"/>
                <w:sz w:val="20"/>
                <w:szCs w:val="20"/>
              </w:rPr>
            </w:pPr>
            <w:proofErr w:type="spellStart"/>
            <w:r>
              <w:rPr>
                <w:rFonts w:cs="Arial"/>
                <w:sz w:val="20"/>
                <w:szCs w:val="20"/>
              </w:rPr>
              <w:t>Flozin</w:t>
            </w:r>
            <w:proofErr w:type="spellEnd"/>
          </w:p>
        </w:tc>
        <w:tc>
          <w:tcPr>
            <w:tcW w:w="6856" w:type="dxa"/>
            <w:tcBorders>
              <w:top w:val="single" w:sz="4" w:space="0" w:color="auto"/>
              <w:left w:val="single" w:sz="4" w:space="0" w:color="auto"/>
              <w:bottom w:val="single" w:sz="4" w:space="0" w:color="auto"/>
              <w:right w:val="single" w:sz="4" w:space="0" w:color="auto"/>
            </w:tcBorders>
            <w:shd w:val="clear" w:color="auto" w:fill="auto"/>
            <w:vAlign w:val="center"/>
          </w:tcPr>
          <w:p w:rsidR="00417966" w:rsidRPr="00417966" w:rsidRDefault="00417966" w:rsidP="00813FF0">
            <w:pPr>
              <w:spacing w:after="0"/>
              <w:rPr>
                <w:rFonts w:cs="Arial"/>
                <w:sz w:val="20"/>
                <w:szCs w:val="20"/>
              </w:rPr>
            </w:pPr>
            <w:r w:rsidRPr="00417966">
              <w:rPr>
                <w:rFonts w:cs="Arial"/>
                <w:sz w:val="20"/>
                <w:szCs w:val="20"/>
              </w:rPr>
              <w:t>Sodium-glucose co</w:t>
            </w:r>
            <w:r w:rsidRPr="00417966">
              <w:rPr>
                <w:rFonts w:cs="Arial"/>
                <w:sz w:val="20"/>
                <w:szCs w:val="20"/>
              </w:rPr>
              <w:noBreakHyphen/>
              <w:t>transporter 2 (SGLT2) inhibitors (</w:t>
            </w:r>
            <w:proofErr w:type="spellStart"/>
            <w:r w:rsidRPr="00417966">
              <w:rPr>
                <w:rFonts w:cs="Arial"/>
                <w:sz w:val="20"/>
                <w:szCs w:val="20"/>
              </w:rPr>
              <w:t>dapagliflozin</w:t>
            </w:r>
            <w:proofErr w:type="spellEnd"/>
            <w:r w:rsidRPr="00417966">
              <w:rPr>
                <w:rFonts w:cs="Arial"/>
                <w:sz w:val="20"/>
                <w:szCs w:val="20"/>
              </w:rPr>
              <w:t xml:space="preserve">, </w:t>
            </w:r>
            <w:proofErr w:type="spellStart"/>
            <w:r w:rsidRPr="00417966">
              <w:rPr>
                <w:rFonts w:cs="Arial"/>
                <w:sz w:val="20"/>
                <w:szCs w:val="20"/>
              </w:rPr>
              <w:t>canagliflozin</w:t>
            </w:r>
            <w:proofErr w:type="spellEnd"/>
            <w:r w:rsidRPr="00417966">
              <w:rPr>
                <w:rFonts w:cs="Arial"/>
                <w:sz w:val="20"/>
                <w:szCs w:val="20"/>
              </w:rPr>
              <w:t xml:space="preserve"> and </w:t>
            </w:r>
            <w:proofErr w:type="spellStart"/>
            <w:r w:rsidRPr="00417966">
              <w:rPr>
                <w:rFonts w:cs="Arial"/>
                <w:sz w:val="20"/>
                <w:szCs w:val="20"/>
              </w:rPr>
              <w:t>empagliflozin</w:t>
            </w:r>
            <w:proofErr w:type="spellEnd"/>
            <w:r w:rsidRPr="00417966">
              <w:rPr>
                <w:rFonts w:cs="Arial"/>
                <w:sz w:val="20"/>
                <w:szCs w:val="20"/>
              </w:rPr>
              <w:t>)</w:t>
            </w:r>
          </w:p>
        </w:tc>
      </w:tr>
      <w:tr w:rsidR="00417966" w:rsidRPr="00DD189F" w:rsidTr="00417966">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417966" w:rsidRPr="00E3725E" w:rsidRDefault="00417966" w:rsidP="00813FF0">
            <w:pPr>
              <w:spacing w:after="0"/>
              <w:rPr>
                <w:rFonts w:cs="Arial"/>
                <w:sz w:val="20"/>
                <w:szCs w:val="20"/>
              </w:rPr>
            </w:pPr>
            <w:proofErr w:type="spellStart"/>
            <w:r w:rsidRPr="00E3725E">
              <w:rPr>
                <w:rFonts w:cs="Arial"/>
                <w:sz w:val="20"/>
                <w:szCs w:val="20"/>
              </w:rPr>
              <w:t>Gliptin</w:t>
            </w:r>
            <w:proofErr w:type="spellEnd"/>
          </w:p>
        </w:tc>
        <w:tc>
          <w:tcPr>
            <w:tcW w:w="6856" w:type="dxa"/>
            <w:tcBorders>
              <w:top w:val="single" w:sz="4" w:space="0" w:color="auto"/>
              <w:left w:val="single" w:sz="4" w:space="0" w:color="auto"/>
              <w:bottom w:val="single" w:sz="4" w:space="0" w:color="auto"/>
              <w:right w:val="single" w:sz="4" w:space="0" w:color="auto"/>
            </w:tcBorders>
            <w:shd w:val="clear" w:color="auto" w:fill="auto"/>
            <w:vAlign w:val="center"/>
          </w:tcPr>
          <w:p w:rsidR="00417966" w:rsidRPr="00E3725E" w:rsidRDefault="00417966" w:rsidP="00813FF0">
            <w:pPr>
              <w:spacing w:after="0"/>
              <w:rPr>
                <w:rFonts w:cs="Arial"/>
                <w:sz w:val="20"/>
                <w:szCs w:val="20"/>
              </w:rPr>
            </w:pPr>
            <w:proofErr w:type="spellStart"/>
            <w:r w:rsidRPr="00E3725E">
              <w:rPr>
                <w:rFonts w:cs="Arial"/>
                <w:sz w:val="20"/>
                <w:szCs w:val="20"/>
              </w:rPr>
              <w:t>Dipeptidyl</w:t>
            </w:r>
            <w:proofErr w:type="spellEnd"/>
            <w:r w:rsidRPr="00E3725E">
              <w:rPr>
                <w:rFonts w:cs="Arial"/>
                <w:sz w:val="20"/>
                <w:szCs w:val="20"/>
              </w:rPr>
              <w:t xml:space="preserve"> peptidase 4 (DPP-4) inhibitors </w:t>
            </w:r>
            <w:r>
              <w:rPr>
                <w:rFonts w:cs="Arial"/>
                <w:sz w:val="20"/>
                <w:szCs w:val="20"/>
              </w:rPr>
              <w:t>(</w:t>
            </w:r>
            <w:proofErr w:type="spellStart"/>
            <w:r w:rsidRPr="00E3725E">
              <w:rPr>
                <w:rFonts w:cs="Arial"/>
                <w:sz w:val="20"/>
                <w:szCs w:val="20"/>
              </w:rPr>
              <w:t>linagliptin</w:t>
            </w:r>
            <w:proofErr w:type="spellEnd"/>
            <w:r w:rsidRPr="00E3725E">
              <w:rPr>
                <w:rFonts w:cs="Arial"/>
                <w:sz w:val="20"/>
                <w:szCs w:val="20"/>
              </w:rPr>
              <w:t xml:space="preserve">, </w:t>
            </w:r>
            <w:proofErr w:type="spellStart"/>
            <w:r w:rsidRPr="00E3725E">
              <w:rPr>
                <w:rFonts w:cs="Arial"/>
                <w:sz w:val="20"/>
                <w:szCs w:val="20"/>
              </w:rPr>
              <w:t>saxagliptin</w:t>
            </w:r>
            <w:proofErr w:type="spellEnd"/>
            <w:r w:rsidRPr="00E3725E">
              <w:rPr>
                <w:rFonts w:cs="Arial"/>
                <w:sz w:val="20"/>
                <w:szCs w:val="20"/>
              </w:rPr>
              <w:t xml:space="preserve">, sitagliptin, </w:t>
            </w:r>
            <w:proofErr w:type="spellStart"/>
            <w:r w:rsidRPr="00E3725E">
              <w:rPr>
                <w:rFonts w:cs="Arial"/>
                <w:sz w:val="20"/>
                <w:szCs w:val="20"/>
              </w:rPr>
              <w:t>vildagliptin</w:t>
            </w:r>
            <w:proofErr w:type="spellEnd"/>
            <w:r w:rsidR="00285D3C">
              <w:rPr>
                <w:rFonts w:cs="Arial"/>
                <w:sz w:val="20"/>
                <w:szCs w:val="20"/>
              </w:rPr>
              <w:t xml:space="preserve"> and</w:t>
            </w:r>
            <w:r w:rsidRPr="00E3725E">
              <w:rPr>
                <w:rFonts w:cs="Arial"/>
                <w:sz w:val="20"/>
                <w:szCs w:val="20"/>
              </w:rPr>
              <w:t xml:space="preserve"> </w:t>
            </w:r>
            <w:proofErr w:type="spellStart"/>
            <w:r w:rsidRPr="00E3725E">
              <w:rPr>
                <w:rFonts w:cs="Arial"/>
                <w:sz w:val="20"/>
                <w:szCs w:val="20"/>
              </w:rPr>
              <w:t>alogliptin</w:t>
            </w:r>
            <w:proofErr w:type="spellEnd"/>
            <w:r>
              <w:rPr>
                <w:rFonts w:cs="Arial"/>
                <w:sz w:val="20"/>
                <w:szCs w:val="20"/>
              </w:rPr>
              <w:t>)</w:t>
            </w:r>
          </w:p>
        </w:tc>
      </w:tr>
      <w:tr w:rsidR="00417966" w:rsidRPr="00DD189F" w:rsidTr="00417966">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417966" w:rsidRDefault="00417966" w:rsidP="00813FF0">
            <w:pPr>
              <w:spacing w:after="0"/>
              <w:rPr>
                <w:rFonts w:cs="Arial"/>
                <w:sz w:val="20"/>
                <w:szCs w:val="20"/>
              </w:rPr>
            </w:pPr>
            <w:r>
              <w:rPr>
                <w:rFonts w:cs="Arial"/>
                <w:sz w:val="20"/>
                <w:szCs w:val="20"/>
              </w:rPr>
              <w:t>GLP-1 analogue</w:t>
            </w:r>
          </w:p>
        </w:tc>
        <w:tc>
          <w:tcPr>
            <w:tcW w:w="6856" w:type="dxa"/>
            <w:tcBorders>
              <w:top w:val="single" w:sz="4" w:space="0" w:color="auto"/>
              <w:left w:val="single" w:sz="4" w:space="0" w:color="auto"/>
              <w:bottom w:val="single" w:sz="4" w:space="0" w:color="auto"/>
              <w:right w:val="single" w:sz="4" w:space="0" w:color="auto"/>
            </w:tcBorders>
            <w:shd w:val="clear" w:color="auto" w:fill="auto"/>
            <w:vAlign w:val="center"/>
          </w:tcPr>
          <w:p w:rsidR="00417966" w:rsidRPr="00417966" w:rsidRDefault="00417966" w:rsidP="00813FF0">
            <w:pPr>
              <w:spacing w:after="0"/>
              <w:rPr>
                <w:rFonts w:cs="Arial"/>
                <w:sz w:val="20"/>
                <w:szCs w:val="20"/>
              </w:rPr>
            </w:pPr>
            <w:r w:rsidRPr="00417966">
              <w:rPr>
                <w:rFonts w:cs="Arial"/>
                <w:sz w:val="20"/>
                <w:szCs w:val="20"/>
              </w:rPr>
              <w:t>Glucagon-like-peptide-1 analogue</w:t>
            </w:r>
            <w:r w:rsidR="00285D3C">
              <w:rPr>
                <w:rFonts w:cs="Arial"/>
                <w:sz w:val="20"/>
                <w:szCs w:val="20"/>
              </w:rPr>
              <w:t xml:space="preserve"> (</w:t>
            </w:r>
            <w:proofErr w:type="spellStart"/>
            <w:r w:rsidR="00285D3C">
              <w:rPr>
                <w:rFonts w:cs="Arial"/>
                <w:sz w:val="20"/>
                <w:szCs w:val="20"/>
              </w:rPr>
              <w:t>exenatide</w:t>
            </w:r>
            <w:proofErr w:type="spellEnd"/>
            <w:r w:rsidR="00285D3C">
              <w:rPr>
                <w:rFonts w:cs="Arial"/>
                <w:sz w:val="20"/>
                <w:szCs w:val="20"/>
              </w:rPr>
              <w:t>)</w:t>
            </w:r>
          </w:p>
        </w:tc>
      </w:tr>
      <w:tr w:rsidR="0004079C" w:rsidRPr="00DD189F" w:rsidTr="00E3725E">
        <w:tc>
          <w:tcPr>
            <w:tcW w:w="2157" w:type="dxa"/>
            <w:shd w:val="clear" w:color="auto" w:fill="auto"/>
            <w:vAlign w:val="center"/>
          </w:tcPr>
          <w:p w:rsidR="0004079C" w:rsidRPr="00E3725E" w:rsidRDefault="0004079C" w:rsidP="00813FF0">
            <w:pPr>
              <w:spacing w:after="0"/>
              <w:rPr>
                <w:rFonts w:cs="Arial"/>
                <w:sz w:val="20"/>
                <w:szCs w:val="20"/>
              </w:rPr>
            </w:pPr>
            <w:r w:rsidRPr="00E3725E">
              <w:rPr>
                <w:rFonts w:cs="Arial"/>
                <w:sz w:val="20"/>
                <w:szCs w:val="20"/>
              </w:rPr>
              <w:t>Regimen</w:t>
            </w:r>
          </w:p>
        </w:tc>
        <w:tc>
          <w:tcPr>
            <w:tcW w:w="6856" w:type="dxa"/>
            <w:shd w:val="clear" w:color="auto" w:fill="auto"/>
            <w:vAlign w:val="center"/>
          </w:tcPr>
          <w:p w:rsidR="0004079C" w:rsidRPr="00E3725E" w:rsidRDefault="0004079C" w:rsidP="00813FF0">
            <w:pPr>
              <w:spacing w:after="0"/>
              <w:rPr>
                <w:rFonts w:cs="Arial"/>
                <w:sz w:val="20"/>
                <w:szCs w:val="20"/>
              </w:rPr>
            </w:pPr>
            <w:r w:rsidRPr="00E3725E">
              <w:rPr>
                <w:rFonts w:cs="Arial"/>
                <w:sz w:val="20"/>
                <w:szCs w:val="20"/>
              </w:rPr>
              <w:t xml:space="preserve">PBS subsidised medicines that are deemed to be used </w:t>
            </w:r>
            <w:r w:rsidR="00E3725E" w:rsidRPr="00E3725E">
              <w:rPr>
                <w:rFonts w:cs="Arial"/>
                <w:sz w:val="20"/>
                <w:szCs w:val="20"/>
              </w:rPr>
              <w:t xml:space="preserve">concurrently </w:t>
            </w:r>
            <w:r w:rsidRPr="00E3725E">
              <w:rPr>
                <w:rFonts w:cs="Arial"/>
                <w:sz w:val="20"/>
                <w:szCs w:val="20"/>
              </w:rPr>
              <w:t>by a patient at a point in time</w:t>
            </w:r>
          </w:p>
        </w:tc>
      </w:tr>
      <w:tr w:rsidR="0004079C" w:rsidRPr="00DD189F" w:rsidTr="00E3725E">
        <w:tc>
          <w:tcPr>
            <w:tcW w:w="2157" w:type="dxa"/>
            <w:shd w:val="clear" w:color="auto" w:fill="auto"/>
            <w:vAlign w:val="center"/>
          </w:tcPr>
          <w:p w:rsidR="0004079C" w:rsidRPr="00E3725E" w:rsidRDefault="0004079C" w:rsidP="00813FF0">
            <w:pPr>
              <w:spacing w:after="0"/>
              <w:rPr>
                <w:rFonts w:cs="Arial"/>
                <w:sz w:val="20"/>
                <w:szCs w:val="20"/>
              </w:rPr>
            </w:pPr>
            <w:r w:rsidRPr="00E3725E">
              <w:rPr>
                <w:rFonts w:cs="Arial"/>
                <w:sz w:val="20"/>
                <w:szCs w:val="20"/>
              </w:rPr>
              <w:t>SCD</w:t>
            </w:r>
          </w:p>
        </w:tc>
        <w:tc>
          <w:tcPr>
            <w:tcW w:w="6856" w:type="dxa"/>
            <w:shd w:val="clear" w:color="auto" w:fill="auto"/>
            <w:vAlign w:val="center"/>
          </w:tcPr>
          <w:p w:rsidR="0004079C" w:rsidRPr="00E3725E" w:rsidRDefault="0004079C" w:rsidP="00813FF0">
            <w:pPr>
              <w:spacing w:after="0"/>
              <w:rPr>
                <w:rFonts w:cs="Arial"/>
                <w:sz w:val="20"/>
                <w:szCs w:val="20"/>
              </w:rPr>
            </w:pPr>
            <w:r w:rsidRPr="00E3725E">
              <w:rPr>
                <w:rFonts w:cs="Arial"/>
                <w:sz w:val="20"/>
                <w:szCs w:val="20"/>
              </w:rPr>
              <w:t>Standard Coverage Days</w:t>
            </w:r>
          </w:p>
        </w:tc>
      </w:tr>
      <w:tr w:rsidR="0004079C" w:rsidRPr="00DD189F" w:rsidTr="00E3725E">
        <w:tc>
          <w:tcPr>
            <w:tcW w:w="2157" w:type="dxa"/>
            <w:shd w:val="clear" w:color="auto" w:fill="auto"/>
            <w:vAlign w:val="center"/>
          </w:tcPr>
          <w:p w:rsidR="0004079C" w:rsidRPr="00E3725E" w:rsidRDefault="00C37995" w:rsidP="00813FF0">
            <w:pPr>
              <w:spacing w:after="0"/>
              <w:rPr>
                <w:rFonts w:cs="Arial"/>
                <w:sz w:val="20"/>
                <w:szCs w:val="20"/>
              </w:rPr>
            </w:pPr>
            <w:proofErr w:type="spellStart"/>
            <w:r>
              <w:rPr>
                <w:rFonts w:cs="Arial"/>
                <w:sz w:val="20"/>
                <w:szCs w:val="20"/>
              </w:rPr>
              <w:t>Sulf</w:t>
            </w:r>
            <w:proofErr w:type="spellEnd"/>
            <w:r w:rsidR="00CC6C89">
              <w:rPr>
                <w:rFonts w:cs="Arial"/>
                <w:sz w:val="20"/>
                <w:szCs w:val="20"/>
              </w:rPr>
              <w:t>, SU</w:t>
            </w:r>
          </w:p>
        </w:tc>
        <w:tc>
          <w:tcPr>
            <w:tcW w:w="6856" w:type="dxa"/>
            <w:shd w:val="clear" w:color="auto" w:fill="auto"/>
            <w:vAlign w:val="center"/>
          </w:tcPr>
          <w:p w:rsidR="0004079C" w:rsidRPr="00E3725E" w:rsidRDefault="0004079C" w:rsidP="00813FF0">
            <w:pPr>
              <w:spacing w:after="0"/>
              <w:rPr>
                <w:rFonts w:cs="Arial"/>
                <w:sz w:val="20"/>
                <w:szCs w:val="20"/>
              </w:rPr>
            </w:pPr>
            <w:r w:rsidRPr="00E3725E">
              <w:rPr>
                <w:rFonts w:cs="Arial"/>
                <w:sz w:val="20"/>
                <w:szCs w:val="20"/>
              </w:rPr>
              <w:t>Sulfonylurea (glimepir</w:t>
            </w:r>
            <w:r w:rsidR="00285D3C">
              <w:rPr>
                <w:rFonts w:cs="Arial"/>
                <w:sz w:val="20"/>
                <w:szCs w:val="20"/>
              </w:rPr>
              <w:t xml:space="preserve">ide, </w:t>
            </w:r>
            <w:proofErr w:type="spellStart"/>
            <w:r w:rsidR="00285D3C">
              <w:rPr>
                <w:rFonts w:cs="Arial"/>
                <w:sz w:val="20"/>
                <w:szCs w:val="20"/>
              </w:rPr>
              <w:t>gliclazide</w:t>
            </w:r>
            <w:proofErr w:type="spellEnd"/>
            <w:r w:rsidR="00285D3C">
              <w:rPr>
                <w:rFonts w:cs="Arial"/>
                <w:sz w:val="20"/>
                <w:szCs w:val="20"/>
              </w:rPr>
              <w:t xml:space="preserve">, </w:t>
            </w:r>
            <w:proofErr w:type="spellStart"/>
            <w:r w:rsidR="00285D3C">
              <w:rPr>
                <w:rFonts w:cs="Arial"/>
                <w:sz w:val="20"/>
                <w:szCs w:val="20"/>
              </w:rPr>
              <w:t>glibenclamide</w:t>
            </w:r>
            <w:proofErr w:type="spellEnd"/>
            <w:r w:rsidR="00285D3C">
              <w:rPr>
                <w:rFonts w:cs="Arial"/>
                <w:sz w:val="20"/>
                <w:szCs w:val="20"/>
              </w:rPr>
              <w:t xml:space="preserve"> and </w:t>
            </w:r>
            <w:proofErr w:type="spellStart"/>
            <w:r w:rsidRPr="00E3725E">
              <w:rPr>
                <w:rFonts w:cs="Arial"/>
                <w:sz w:val="20"/>
                <w:szCs w:val="20"/>
              </w:rPr>
              <w:t>glipizide</w:t>
            </w:r>
            <w:proofErr w:type="spellEnd"/>
            <w:r w:rsidRPr="00E3725E">
              <w:rPr>
                <w:rFonts w:cs="Arial"/>
                <w:sz w:val="20"/>
                <w:szCs w:val="20"/>
              </w:rPr>
              <w:t>)</w:t>
            </w:r>
          </w:p>
        </w:tc>
      </w:tr>
      <w:tr w:rsidR="00285D3C" w:rsidRPr="00DD189F" w:rsidTr="00E3725E">
        <w:tc>
          <w:tcPr>
            <w:tcW w:w="2157" w:type="dxa"/>
            <w:shd w:val="clear" w:color="auto" w:fill="auto"/>
            <w:vAlign w:val="center"/>
          </w:tcPr>
          <w:p w:rsidR="00285D3C" w:rsidRDefault="00285D3C" w:rsidP="00813FF0">
            <w:pPr>
              <w:spacing w:after="0"/>
              <w:rPr>
                <w:rFonts w:cs="Arial"/>
                <w:sz w:val="20"/>
                <w:szCs w:val="20"/>
              </w:rPr>
            </w:pPr>
            <w:r w:rsidRPr="00285D3C">
              <w:rPr>
                <w:sz w:val="20"/>
              </w:rPr>
              <w:t>TZD</w:t>
            </w:r>
          </w:p>
        </w:tc>
        <w:tc>
          <w:tcPr>
            <w:tcW w:w="6856" w:type="dxa"/>
            <w:shd w:val="clear" w:color="auto" w:fill="auto"/>
            <w:vAlign w:val="center"/>
          </w:tcPr>
          <w:p w:rsidR="00285D3C" w:rsidRPr="00E3725E" w:rsidRDefault="00285D3C" w:rsidP="00813FF0">
            <w:pPr>
              <w:spacing w:after="0"/>
              <w:rPr>
                <w:rFonts w:cs="Arial"/>
                <w:sz w:val="20"/>
                <w:szCs w:val="20"/>
              </w:rPr>
            </w:pPr>
            <w:proofErr w:type="spellStart"/>
            <w:r w:rsidRPr="00285D3C">
              <w:rPr>
                <w:rFonts w:cs="Arial"/>
                <w:sz w:val="20"/>
                <w:szCs w:val="20"/>
              </w:rPr>
              <w:t>Thi</w:t>
            </w:r>
            <w:r w:rsidR="002E7EEA">
              <w:rPr>
                <w:rFonts w:cs="Arial"/>
                <w:sz w:val="20"/>
                <w:szCs w:val="20"/>
              </w:rPr>
              <w:t>a</w:t>
            </w:r>
            <w:r w:rsidRPr="00285D3C">
              <w:rPr>
                <w:rFonts w:cs="Arial"/>
                <w:sz w:val="20"/>
                <w:szCs w:val="20"/>
              </w:rPr>
              <w:t>zoli</w:t>
            </w:r>
            <w:r w:rsidR="002E7EEA">
              <w:rPr>
                <w:rFonts w:cs="Arial"/>
                <w:sz w:val="20"/>
                <w:szCs w:val="20"/>
              </w:rPr>
              <w:t>dine</w:t>
            </w:r>
            <w:r w:rsidRPr="00285D3C">
              <w:rPr>
                <w:rFonts w:cs="Arial"/>
                <w:sz w:val="20"/>
                <w:szCs w:val="20"/>
              </w:rPr>
              <w:t>diones</w:t>
            </w:r>
            <w:proofErr w:type="spellEnd"/>
            <w:r w:rsidRPr="00285D3C">
              <w:rPr>
                <w:rFonts w:cs="Arial"/>
                <w:sz w:val="20"/>
                <w:szCs w:val="20"/>
              </w:rPr>
              <w:t xml:space="preserve"> (pioglitazone and rosiglitazone)</w:t>
            </w:r>
          </w:p>
        </w:tc>
      </w:tr>
    </w:tbl>
    <w:p w:rsidR="00B90E7A" w:rsidRDefault="00B90E7A" w:rsidP="00813FF0">
      <w:pPr>
        <w:rPr>
          <w:sz w:val="32"/>
          <w:szCs w:val="32"/>
        </w:rPr>
      </w:pPr>
      <w:r>
        <w:br w:type="page"/>
      </w:r>
    </w:p>
    <w:p w:rsidR="00321A19" w:rsidRDefault="00321A19" w:rsidP="00813FF0">
      <w:pPr>
        <w:pStyle w:val="Heading4"/>
        <w:rPr>
          <w:i w:val="0"/>
        </w:rPr>
      </w:pPr>
      <w:r w:rsidRPr="00321A19">
        <w:rPr>
          <w:i w:val="0"/>
        </w:rPr>
        <w:lastRenderedPageBreak/>
        <w:t>Purpose of analysis</w:t>
      </w:r>
    </w:p>
    <w:p w:rsidR="00C40499" w:rsidRDefault="00C40499" w:rsidP="00813FF0">
      <w:pPr>
        <w:spacing w:after="0"/>
        <w:rPr>
          <w:rFonts w:cs="Arial"/>
        </w:rPr>
      </w:pPr>
      <w:proofErr w:type="gramStart"/>
      <w:r>
        <w:t>To review the utilisation of m</w:t>
      </w:r>
      <w:r w:rsidRPr="00EC7B8A">
        <w:t xml:space="preserve">edicines </w:t>
      </w:r>
      <w:r>
        <w:t xml:space="preserve">for the treatment of </w:t>
      </w:r>
      <w:r w:rsidRPr="00EC7B8A">
        <w:t>diabetes</w:t>
      </w:r>
      <w:r w:rsidR="007769A9">
        <w:rPr>
          <w:rFonts w:cs="Arial"/>
        </w:rPr>
        <w:t>.</w:t>
      </w:r>
      <w:proofErr w:type="gramEnd"/>
    </w:p>
    <w:p w:rsidR="00821C17" w:rsidRPr="008250BC" w:rsidRDefault="00821C17" w:rsidP="00813FF0">
      <w:pPr>
        <w:pStyle w:val="Heading4"/>
        <w:rPr>
          <w:i w:val="0"/>
        </w:rPr>
      </w:pPr>
      <w:r w:rsidRPr="008250BC">
        <w:rPr>
          <w:i w:val="0"/>
        </w:rPr>
        <w:t>Background</w:t>
      </w:r>
    </w:p>
    <w:p w:rsidR="00CE003C" w:rsidRDefault="00971160" w:rsidP="00813FF0">
      <w:pPr>
        <w:spacing w:after="0"/>
        <w:rPr>
          <w:rFonts w:cs="Arial"/>
        </w:rPr>
      </w:pPr>
      <w:r w:rsidRPr="00971160">
        <w:rPr>
          <w:rFonts w:cs="Arial"/>
        </w:rPr>
        <w:t>At its June 2016 meeting t</w:t>
      </w:r>
      <w:r w:rsidR="00EC7B8A" w:rsidRPr="00971160">
        <w:rPr>
          <w:rFonts w:cs="Arial"/>
        </w:rPr>
        <w:t xml:space="preserve">he DUSC requested that a comprehensive review of utilisation of diabetes medicines be undertaken. DUSC noted that the utilisation of medicines for diabetes was last reviewed in February 2013 and since this time there have been a large number of changes and additional listings including the listing of </w:t>
      </w:r>
      <w:proofErr w:type="spellStart"/>
      <w:r w:rsidR="00214337">
        <w:rPr>
          <w:rFonts w:cs="Arial"/>
        </w:rPr>
        <w:t>flozins</w:t>
      </w:r>
      <w:proofErr w:type="spellEnd"/>
      <w:r w:rsidR="00EC7B8A" w:rsidRPr="00971160">
        <w:rPr>
          <w:rFonts w:cs="Arial"/>
        </w:rPr>
        <w:t xml:space="preserve"> and the broadening of restrictions for </w:t>
      </w:r>
      <w:proofErr w:type="spellStart"/>
      <w:r w:rsidR="00E72B9A">
        <w:rPr>
          <w:rFonts w:cs="Arial"/>
        </w:rPr>
        <w:t>gliptins</w:t>
      </w:r>
      <w:proofErr w:type="spellEnd"/>
      <w:r w:rsidR="00EC7B8A" w:rsidRPr="00971160">
        <w:rPr>
          <w:rFonts w:cs="Arial"/>
        </w:rPr>
        <w:t>.</w:t>
      </w:r>
    </w:p>
    <w:p w:rsidR="00CE003C" w:rsidRDefault="00CE003C" w:rsidP="00813FF0">
      <w:pPr>
        <w:spacing w:after="0"/>
        <w:rPr>
          <w:rFonts w:cs="Arial"/>
        </w:rPr>
      </w:pPr>
    </w:p>
    <w:p w:rsidR="00211A06" w:rsidRDefault="00284834" w:rsidP="00813FF0">
      <w:pPr>
        <w:spacing w:after="0"/>
        <w:rPr>
          <w:rFonts w:cs="Arial"/>
        </w:rPr>
      </w:pPr>
      <w:r>
        <w:rPr>
          <w:rFonts w:cs="Arial"/>
        </w:rPr>
        <w:t>The post-market review of products used in the management of diabetes was a</w:t>
      </w:r>
      <w:r w:rsidR="000D77CD">
        <w:rPr>
          <w:rFonts w:cs="Arial"/>
        </w:rPr>
        <w:t xml:space="preserve">lso </w:t>
      </w:r>
      <w:r>
        <w:rPr>
          <w:rFonts w:cs="Arial"/>
        </w:rPr>
        <w:t xml:space="preserve">completed </w:t>
      </w:r>
      <w:r w:rsidR="000D77CD">
        <w:rPr>
          <w:rFonts w:cs="Arial"/>
        </w:rPr>
        <w:t>over this period. Part 3 of this review</w:t>
      </w:r>
      <w:r w:rsidR="00CE003C">
        <w:rPr>
          <w:rFonts w:cs="Arial"/>
        </w:rPr>
        <w:t xml:space="preserve"> focussed on </w:t>
      </w:r>
      <w:r w:rsidR="000D77CD">
        <w:rPr>
          <w:rFonts w:cs="Arial"/>
        </w:rPr>
        <w:t>Type 2 diabe</w:t>
      </w:r>
      <w:r w:rsidR="00CE003C">
        <w:rPr>
          <w:rFonts w:cs="Arial"/>
        </w:rPr>
        <w:t>tes medicines and</w:t>
      </w:r>
      <w:r w:rsidR="000D77CD">
        <w:rPr>
          <w:rFonts w:cs="Arial"/>
        </w:rPr>
        <w:t xml:space="preserve"> was considered</w:t>
      </w:r>
      <w:r w:rsidR="00985627">
        <w:rPr>
          <w:rFonts w:cs="Arial"/>
        </w:rPr>
        <w:t xml:space="preserve"> by the Pharmaceutical Benefits Advisory Committee (PBAC) in November 2014</w:t>
      </w:r>
      <w:r w:rsidR="00211A06">
        <w:rPr>
          <w:rFonts w:cs="Arial"/>
        </w:rPr>
        <w:t xml:space="preserve">. When summarising the </w:t>
      </w:r>
      <w:r w:rsidR="00211A06" w:rsidRPr="00CC6457">
        <w:rPr>
          <w:rFonts w:cs="Arial"/>
        </w:rPr>
        <w:t>outcomes of the post-market review</w:t>
      </w:r>
      <w:proofErr w:type="gramStart"/>
      <w:r w:rsidR="004D49D8" w:rsidRPr="00CC6457">
        <w:rPr>
          <w:rFonts w:cs="Arial"/>
        </w:rPr>
        <w:t>,</w:t>
      </w:r>
      <w:r w:rsidR="00211A06" w:rsidRPr="00CC6457">
        <w:rPr>
          <w:rFonts w:cs="Arial"/>
        </w:rPr>
        <w:t xml:space="preserve"> </w:t>
      </w:r>
      <w:r w:rsidR="00985627">
        <w:rPr>
          <w:rFonts w:cs="Arial"/>
        </w:rPr>
        <w:t xml:space="preserve"> t</w:t>
      </w:r>
      <w:r w:rsidR="00211A06" w:rsidRPr="00211A06">
        <w:rPr>
          <w:rFonts w:cs="Arial"/>
        </w:rPr>
        <w:t>he</w:t>
      </w:r>
      <w:proofErr w:type="gramEnd"/>
      <w:r w:rsidR="00211A06" w:rsidRPr="00211A06">
        <w:rPr>
          <w:rFonts w:cs="Arial"/>
        </w:rPr>
        <w:t xml:space="preserve"> PBAC noted that while most dual therapy combinations are PBS subsidised, </w:t>
      </w:r>
      <w:r w:rsidR="00985627">
        <w:rPr>
          <w:rFonts w:cs="Arial"/>
        </w:rPr>
        <w:t>at that time there were</w:t>
      </w:r>
      <w:r w:rsidR="00211A06" w:rsidRPr="00211A06">
        <w:rPr>
          <w:rFonts w:cs="Arial"/>
        </w:rPr>
        <w:t xml:space="preserve"> limited options for subsidised triple therapy. However, a number </w:t>
      </w:r>
      <w:r w:rsidR="00985627">
        <w:rPr>
          <w:rFonts w:cs="Arial"/>
        </w:rPr>
        <w:t>of triple therapy combinations we</w:t>
      </w:r>
      <w:r w:rsidR="00211A06" w:rsidRPr="00211A06">
        <w:rPr>
          <w:rFonts w:cs="Arial"/>
        </w:rPr>
        <w:t xml:space="preserve">re being used in practice. </w:t>
      </w:r>
      <w:r w:rsidR="00985627">
        <w:rPr>
          <w:rFonts w:cs="Arial"/>
        </w:rPr>
        <w:t>The PBAC considered there was</w:t>
      </w:r>
      <w:r w:rsidR="00211A06" w:rsidRPr="00211A06">
        <w:rPr>
          <w:rFonts w:cs="Arial"/>
        </w:rPr>
        <w:t xml:space="preserve"> limited evidence of benefit in reduction of HbA1c, reduced rates of hypoglycaemia </w:t>
      </w:r>
      <w:r w:rsidR="00493B74">
        <w:rPr>
          <w:rFonts w:cs="Arial"/>
        </w:rPr>
        <w:t>or</w:t>
      </w:r>
      <w:r w:rsidR="00211A06" w:rsidRPr="00211A06">
        <w:rPr>
          <w:rFonts w:cs="Arial"/>
        </w:rPr>
        <w:t xml:space="preserve"> weight loss associat</w:t>
      </w:r>
      <w:r w:rsidR="00985627">
        <w:rPr>
          <w:rFonts w:cs="Arial"/>
        </w:rPr>
        <w:t>ed with most combinations that we</w:t>
      </w:r>
      <w:r w:rsidR="00211A06" w:rsidRPr="00211A06">
        <w:rPr>
          <w:rFonts w:cs="Arial"/>
        </w:rPr>
        <w:t>re not subsidised</w:t>
      </w:r>
      <w:r w:rsidR="00985627">
        <w:rPr>
          <w:rFonts w:cs="Arial"/>
        </w:rPr>
        <w:t xml:space="preserve"> in 2014. The exception wa</w:t>
      </w:r>
      <w:r w:rsidR="00211A06" w:rsidRPr="00211A06">
        <w:rPr>
          <w:rFonts w:cs="Arial"/>
        </w:rPr>
        <w:t>s metformin + sulfonylurea + SGLT2 inhibitor</w:t>
      </w:r>
      <w:r w:rsidR="00CE003C">
        <w:rPr>
          <w:rFonts w:cs="Arial"/>
        </w:rPr>
        <w:t xml:space="preserve"> (</w:t>
      </w:r>
      <w:proofErr w:type="spellStart"/>
      <w:r w:rsidR="00CE003C">
        <w:rPr>
          <w:rFonts w:cs="Arial"/>
        </w:rPr>
        <w:t>flozin</w:t>
      </w:r>
      <w:proofErr w:type="spellEnd"/>
      <w:r w:rsidR="00CE003C">
        <w:rPr>
          <w:rFonts w:cs="Arial"/>
        </w:rPr>
        <w:t>)</w:t>
      </w:r>
      <w:r w:rsidR="00211A06" w:rsidRPr="00211A06">
        <w:rPr>
          <w:rFonts w:cs="Arial"/>
        </w:rPr>
        <w:t>. The PBAC welcome</w:t>
      </w:r>
      <w:r w:rsidR="00985627">
        <w:rPr>
          <w:rFonts w:cs="Arial"/>
        </w:rPr>
        <w:t>d</w:t>
      </w:r>
      <w:r w:rsidR="00211A06" w:rsidRPr="00211A06">
        <w:rPr>
          <w:rFonts w:cs="Arial"/>
        </w:rPr>
        <w:t xml:space="preserve"> submissions for this combination.</w:t>
      </w:r>
      <w:r w:rsidR="000D77CD">
        <w:rPr>
          <w:rFonts w:cs="Arial"/>
        </w:rPr>
        <w:t xml:space="preserve"> </w:t>
      </w:r>
      <w:r w:rsidR="000D77CD" w:rsidRPr="00CC6C89">
        <w:rPr>
          <w:rFonts w:cs="Arial"/>
          <w:i/>
        </w:rPr>
        <w:t xml:space="preserve">Submissions for </w:t>
      </w:r>
      <w:proofErr w:type="spellStart"/>
      <w:r w:rsidR="00CE003C" w:rsidRPr="00CC6C89">
        <w:rPr>
          <w:rFonts w:cs="Arial"/>
          <w:i/>
        </w:rPr>
        <w:t>dapagliflozin</w:t>
      </w:r>
      <w:proofErr w:type="spellEnd"/>
      <w:r w:rsidR="00CE003C" w:rsidRPr="00CC6C89">
        <w:rPr>
          <w:rFonts w:cs="Arial"/>
          <w:i/>
        </w:rPr>
        <w:t xml:space="preserve"> and </w:t>
      </w:r>
      <w:proofErr w:type="spellStart"/>
      <w:r w:rsidR="00B70C48">
        <w:rPr>
          <w:rFonts w:cs="Arial"/>
          <w:i/>
        </w:rPr>
        <w:t>empagli</w:t>
      </w:r>
      <w:r w:rsidR="00B70C48" w:rsidRPr="00CC6C89">
        <w:rPr>
          <w:rFonts w:cs="Arial"/>
          <w:i/>
        </w:rPr>
        <w:t>flozin</w:t>
      </w:r>
      <w:proofErr w:type="spellEnd"/>
      <w:r w:rsidR="00CE003C" w:rsidRPr="00CC6C89">
        <w:rPr>
          <w:rFonts w:cs="Arial"/>
          <w:i/>
        </w:rPr>
        <w:t xml:space="preserve"> in </w:t>
      </w:r>
      <w:r w:rsidR="000D77CD" w:rsidRPr="00CC6C89">
        <w:rPr>
          <w:rFonts w:cs="Arial"/>
          <w:i/>
        </w:rPr>
        <w:t xml:space="preserve">triple therapy with metformin + sulfonylurea </w:t>
      </w:r>
      <w:r w:rsidR="00CE003C" w:rsidRPr="00CC6C89">
        <w:rPr>
          <w:rFonts w:cs="Arial"/>
          <w:i/>
        </w:rPr>
        <w:t xml:space="preserve">have since been </w:t>
      </w:r>
      <w:r w:rsidR="000D77CD" w:rsidRPr="00CC6C89">
        <w:rPr>
          <w:rFonts w:cs="Arial"/>
          <w:i/>
        </w:rPr>
        <w:t>received</w:t>
      </w:r>
      <w:r w:rsidR="00CE003C" w:rsidRPr="00CC6C89">
        <w:rPr>
          <w:rFonts w:cs="Arial"/>
          <w:i/>
        </w:rPr>
        <w:t xml:space="preserve">, </w:t>
      </w:r>
      <w:r w:rsidR="000D77CD" w:rsidRPr="00CC6C89">
        <w:rPr>
          <w:rFonts w:cs="Arial"/>
          <w:i/>
        </w:rPr>
        <w:t>recommended by the PBAC</w:t>
      </w:r>
      <w:r w:rsidR="00CE003C" w:rsidRPr="00CC6C89">
        <w:rPr>
          <w:rFonts w:cs="Arial"/>
          <w:i/>
        </w:rPr>
        <w:t xml:space="preserve"> and listed on the PBS.</w:t>
      </w:r>
    </w:p>
    <w:p w:rsidR="00971160" w:rsidRDefault="00971160" w:rsidP="00813FF0">
      <w:pPr>
        <w:spacing w:after="0"/>
        <w:rPr>
          <w:rFonts w:cs="Arial"/>
        </w:rPr>
      </w:pPr>
    </w:p>
    <w:p w:rsidR="001D5183" w:rsidRDefault="00CE003C" w:rsidP="00813FF0">
      <w:pPr>
        <w:spacing w:after="0"/>
      </w:pPr>
      <w:r>
        <w:rPr>
          <w:rFonts w:cs="Arial"/>
        </w:rPr>
        <w:t xml:space="preserve">Additional </w:t>
      </w:r>
      <w:r>
        <w:t>b</w:t>
      </w:r>
      <w:r w:rsidR="009D76C4">
        <w:t xml:space="preserve">ackground </w:t>
      </w:r>
      <w:r w:rsidR="00D74A55">
        <w:t xml:space="preserve">material </w:t>
      </w:r>
      <w:r>
        <w:t>on PBS medicines for diabetes i</w:t>
      </w:r>
      <w:r w:rsidR="00C8762E">
        <w:t>s</w:t>
      </w:r>
      <w:r>
        <w:t xml:space="preserve"> available from </w:t>
      </w:r>
      <w:r w:rsidR="009D76C4" w:rsidRPr="00CC6457">
        <w:t xml:space="preserve">Post-Market Review of Products Used in the Management of Diabetes, Part 3: Type 2 Diabetes Medicines, Final Report, October </w:t>
      </w:r>
      <w:proofErr w:type="gramStart"/>
      <w:r w:rsidR="009D76C4" w:rsidRPr="00CC6457">
        <w:t>2014</w:t>
      </w:r>
      <w:r w:rsidR="00C41E73">
        <w:rPr>
          <w:rStyle w:val="Hyperlink"/>
        </w:rPr>
        <w:t xml:space="preserve"> </w:t>
      </w:r>
      <w:r w:rsidR="00C41E73">
        <w:t>.</w:t>
      </w:r>
      <w:proofErr w:type="gramEnd"/>
    </w:p>
    <w:p w:rsidR="000366B0" w:rsidRDefault="000366B0" w:rsidP="00813FF0">
      <w:pPr>
        <w:pStyle w:val="Heading3"/>
        <w:rPr>
          <w:i w:val="0"/>
          <w:sz w:val="28"/>
        </w:rPr>
      </w:pPr>
      <w:r w:rsidRPr="00F32FBE">
        <w:rPr>
          <w:i w:val="0"/>
          <w:sz w:val="28"/>
        </w:rPr>
        <w:t xml:space="preserve">Additions/Changes </w:t>
      </w:r>
      <w:r>
        <w:rPr>
          <w:i w:val="0"/>
          <w:sz w:val="28"/>
        </w:rPr>
        <w:t>to</w:t>
      </w:r>
      <w:r w:rsidRPr="00F32FBE">
        <w:rPr>
          <w:b w:val="0"/>
          <w:sz w:val="28"/>
        </w:rPr>
        <w:t xml:space="preserve"> </w:t>
      </w:r>
      <w:r>
        <w:rPr>
          <w:i w:val="0"/>
          <w:sz w:val="28"/>
        </w:rPr>
        <w:t>PBS listings and relevant aspects of PBAC consideration</w:t>
      </w:r>
    </w:p>
    <w:p w:rsidR="00812222" w:rsidRPr="00812222" w:rsidRDefault="000366B0" w:rsidP="00813FF0">
      <w:r w:rsidRPr="00AE07E7">
        <w:t xml:space="preserve">PBAC recommendations and PBS </w:t>
      </w:r>
      <w:r>
        <w:t>l</w:t>
      </w:r>
      <w:r w:rsidRPr="00AE07E7">
        <w:t xml:space="preserve">istings for diabetes medicines since the previous DUSC review are summarised </w:t>
      </w:r>
      <w:r w:rsidR="00812222">
        <w:t>by medicine class i</w:t>
      </w:r>
      <w:r w:rsidRPr="00AE07E7">
        <w:t xml:space="preserve">n Table </w:t>
      </w:r>
      <w:r w:rsidR="00CE003C">
        <w:t>1</w:t>
      </w:r>
      <w:r w:rsidRPr="00AE07E7">
        <w:t>.</w:t>
      </w:r>
      <w:r w:rsidR="00812222" w:rsidRPr="00812222">
        <w:t xml:space="preserve"> </w:t>
      </w:r>
      <w:r w:rsidR="005F0290">
        <w:t>Extensions</w:t>
      </w:r>
      <w:r w:rsidR="00812222" w:rsidRPr="00812222">
        <w:t xml:space="preserve"> </w:t>
      </w:r>
      <w:r w:rsidR="005F0290">
        <w:t xml:space="preserve">to </w:t>
      </w:r>
      <w:r w:rsidR="00812222" w:rsidRPr="00812222">
        <w:t>listings have occurred on a drug by drug and restriction by restriction basis resulting in a large number of changes.</w:t>
      </w:r>
    </w:p>
    <w:p w:rsidR="000366B0" w:rsidRPr="00F32FBE" w:rsidRDefault="000366B0" w:rsidP="00813FF0">
      <w:r>
        <w:t>Major changes have included</w:t>
      </w:r>
      <w:r w:rsidR="00812222">
        <w:t xml:space="preserve"> </w:t>
      </w:r>
      <w:r>
        <w:t xml:space="preserve">the expansion of the </w:t>
      </w:r>
      <w:proofErr w:type="spellStart"/>
      <w:r>
        <w:t>gliptin</w:t>
      </w:r>
      <w:proofErr w:type="spellEnd"/>
      <w:r>
        <w:t xml:space="preserve"> and </w:t>
      </w:r>
      <w:proofErr w:type="spellStart"/>
      <w:r>
        <w:t>flozin</w:t>
      </w:r>
      <w:proofErr w:type="spellEnd"/>
      <w:r>
        <w:t xml:space="preserve"> </w:t>
      </w:r>
      <w:r w:rsidR="00C8762E">
        <w:t xml:space="preserve">restrictions </w:t>
      </w:r>
      <w:r>
        <w:t>to include use as dual oral therapy (without requirement for patient</w:t>
      </w:r>
      <w:r w:rsidR="00493B74">
        <w:t>s</w:t>
      </w:r>
      <w:r>
        <w:t xml:space="preserve"> to be contraindicated or intolerant to metformin and a </w:t>
      </w:r>
      <w:r w:rsidR="00493B74">
        <w:t>sulfonylurea</w:t>
      </w:r>
      <w:r>
        <w:t xml:space="preserve">); use of </w:t>
      </w:r>
      <w:r w:rsidR="00812222">
        <w:t xml:space="preserve">the </w:t>
      </w:r>
      <w:proofErr w:type="spellStart"/>
      <w:r w:rsidR="00812222">
        <w:t>flozins</w:t>
      </w:r>
      <w:proofErr w:type="spellEnd"/>
      <w:r w:rsidR="00812222">
        <w:t xml:space="preserve"> and most</w:t>
      </w:r>
      <w:r>
        <w:t xml:space="preserve"> </w:t>
      </w:r>
      <w:proofErr w:type="spellStart"/>
      <w:r>
        <w:t>gliptins</w:t>
      </w:r>
      <w:proofErr w:type="spellEnd"/>
      <w:r>
        <w:t xml:space="preserve"> as triple oral therapy</w:t>
      </w:r>
      <w:r w:rsidR="00812222">
        <w:t xml:space="preserve"> with metformin and sulfonylurea</w:t>
      </w:r>
      <w:r>
        <w:t xml:space="preserve">; and use of </w:t>
      </w:r>
      <w:proofErr w:type="spellStart"/>
      <w:r w:rsidR="00812222">
        <w:t>exenatide</w:t>
      </w:r>
      <w:proofErr w:type="spellEnd"/>
      <w:r>
        <w:t xml:space="preserve">, </w:t>
      </w:r>
      <w:proofErr w:type="spellStart"/>
      <w:r>
        <w:t>flozins</w:t>
      </w:r>
      <w:proofErr w:type="spellEnd"/>
      <w:r w:rsidR="00812222">
        <w:t xml:space="preserve"> </w:t>
      </w:r>
      <w:r w:rsidR="00022B82">
        <w:t>or</w:t>
      </w:r>
      <w:r w:rsidR="00812222">
        <w:t xml:space="preserve"> </w:t>
      </w:r>
      <w:proofErr w:type="spellStart"/>
      <w:r w:rsidR="00812222">
        <w:t>gliptins</w:t>
      </w:r>
      <w:proofErr w:type="spellEnd"/>
      <w:r>
        <w:t xml:space="preserve"> </w:t>
      </w:r>
      <w:r w:rsidR="00AA21A2">
        <w:t>(</w:t>
      </w:r>
      <w:r w:rsidR="00022B82">
        <w:t xml:space="preserve">only </w:t>
      </w:r>
      <w:r w:rsidR="00AA21A2">
        <w:t xml:space="preserve">sitagliptin </w:t>
      </w:r>
      <w:r w:rsidR="00022B82">
        <w:t>or</w:t>
      </w:r>
      <w:r w:rsidR="00AA21A2">
        <w:t xml:space="preserve"> </w:t>
      </w:r>
      <w:proofErr w:type="spellStart"/>
      <w:r w:rsidR="00AA21A2">
        <w:t>linagliptin</w:t>
      </w:r>
      <w:proofErr w:type="spellEnd"/>
      <w:r w:rsidR="00AA21A2">
        <w:t xml:space="preserve">) </w:t>
      </w:r>
      <w:r>
        <w:t>with insulin</w:t>
      </w:r>
      <w:r w:rsidR="00812222">
        <w:t xml:space="preserve">. </w:t>
      </w:r>
      <w:r w:rsidRPr="00F32FBE">
        <w:t xml:space="preserve">Full wording of the restrictions, including notes, can be found at </w:t>
      </w:r>
      <w:r w:rsidR="000B6DE1" w:rsidRPr="00CC6457">
        <w:rPr>
          <w:rFonts w:cs="Baskerville"/>
        </w:rPr>
        <w:t>www.pbs.gov.au</w:t>
      </w:r>
    </w:p>
    <w:p w:rsidR="00CE003C" w:rsidRDefault="00CE003C" w:rsidP="00813FF0">
      <w:pPr>
        <w:spacing w:line="276" w:lineRule="auto"/>
        <w:rPr>
          <w:b/>
          <w:szCs w:val="28"/>
        </w:rPr>
      </w:pPr>
      <w:r>
        <w:rPr>
          <w:i/>
        </w:rPr>
        <w:br w:type="page"/>
      </w:r>
    </w:p>
    <w:p w:rsidR="000366B0" w:rsidRPr="00F32FBE" w:rsidRDefault="000366B0" w:rsidP="00813FF0">
      <w:pPr>
        <w:pStyle w:val="Heading3"/>
        <w:rPr>
          <w:b w:val="0"/>
        </w:rPr>
      </w:pPr>
      <w:proofErr w:type="gramStart"/>
      <w:r w:rsidRPr="00F32FBE">
        <w:rPr>
          <w:i w:val="0"/>
        </w:rPr>
        <w:lastRenderedPageBreak/>
        <w:t>Table</w:t>
      </w:r>
      <w:r w:rsidR="00CE003C">
        <w:t> </w:t>
      </w:r>
      <w:r w:rsidR="00CE003C">
        <w:rPr>
          <w:i w:val="0"/>
        </w:rPr>
        <w:t>1</w:t>
      </w:r>
      <w:r w:rsidRPr="00F32FBE">
        <w:rPr>
          <w:i w:val="0"/>
        </w:rPr>
        <w:t>.</w:t>
      </w:r>
      <w:proofErr w:type="gramEnd"/>
      <w:r w:rsidRPr="00F32FBE">
        <w:rPr>
          <w:i w:val="0"/>
        </w:rPr>
        <w:t xml:space="preserve"> </w:t>
      </w:r>
      <w:r w:rsidR="00CE003C">
        <w:rPr>
          <w:i w:val="0"/>
        </w:rPr>
        <w:t xml:space="preserve">Recent </w:t>
      </w:r>
      <w:r w:rsidRPr="00F32FBE">
        <w:rPr>
          <w:i w:val="0"/>
        </w:rPr>
        <w:t>PBS listing</w:t>
      </w:r>
      <w:r w:rsidR="00CE003C">
        <w:rPr>
          <w:i w:val="0"/>
        </w:rPr>
        <w:t>s</w:t>
      </w:r>
      <w:r w:rsidRPr="00F32FBE">
        <w:rPr>
          <w:i w:val="0"/>
        </w:rPr>
        <w:t xml:space="preserve"> and </w:t>
      </w:r>
      <w:r>
        <w:rPr>
          <w:i w:val="0"/>
        </w:rPr>
        <w:t>relevant aspects of PBAC cons</w:t>
      </w:r>
      <w:r w:rsidR="00CE003C">
        <w:rPr>
          <w:i w:val="0"/>
        </w:rPr>
        <w:t>i</w:t>
      </w:r>
      <w:r>
        <w:rPr>
          <w:i w:val="0"/>
        </w:rPr>
        <w:t>deration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58"/>
        <w:gridCol w:w="5522"/>
      </w:tblGrid>
      <w:tr w:rsidR="000366B0" w:rsidRPr="00511BE5" w:rsidTr="004D49D8">
        <w:trPr>
          <w:cantSplit/>
          <w:tblHeader/>
        </w:trPr>
        <w:tc>
          <w:tcPr>
            <w:tcW w:w="1141" w:type="pct"/>
            <w:shd w:val="clear" w:color="auto" w:fill="auto"/>
          </w:tcPr>
          <w:p w:rsidR="000366B0" w:rsidRPr="00511BE5" w:rsidRDefault="000366B0" w:rsidP="00813FF0">
            <w:pPr>
              <w:pStyle w:val="Tableheading"/>
              <w:rPr>
                <w:sz w:val="20"/>
                <w:szCs w:val="20"/>
              </w:rPr>
            </w:pPr>
            <w:r w:rsidRPr="00511BE5">
              <w:rPr>
                <w:sz w:val="20"/>
                <w:szCs w:val="20"/>
              </w:rPr>
              <w:t>Summarised restriction</w:t>
            </w:r>
          </w:p>
        </w:tc>
        <w:tc>
          <w:tcPr>
            <w:tcW w:w="849" w:type="pct"/>
            <w:shd w:val="clear" w:color="auto" w:fill="auto"/>
          </w:tcPr>
          <w:p w:rsidR="000366B0" w:rsidRPr="00511BE5" w:rsidRDefault="000366B0" w:rsidP="00813FF0">
            <w:pPr>
              <w:pStyle w:val="Tableheading"/>
              <w:rPr>
                <w:sz w:val="20"/>
                <w:szCs w:val="20"/>
              </w:rPr>
            </w:pPr>
            <w:r w:rsidRPr="00511BE5">
              <w:rPr>
                <w:sz w:val="20"/>
                <w:szCs w:val="20"/>
              </w:rPr>
              <w:t>Date</w:t>
            </w:r>
            <w:r>
              <w:rPr>
                <w:sz w:val="20"/>
                <w:szCs w:val="20"/>
              </w:rPr>
              <w:t xml:space="preserve"> of listing/change</w:t>
            </w:r>
          </w:p>
        </w:tc>
        <w:tc>
          <w:tcPr>
            <w:tcW w:w="3010" w:type="pct"/>
            <w:shd w:val="clear" w:color="auto" w:fill="auto"/>
          </w:tcPr>
          <w:p w:rsidR="000366B0" w:rsidRPr="000C47E2" w:rsidRDefault="000366B0" w:rsidP="00813FF0">
            <w:pPr>
              <w:pStyle w:val="Tableheading"/>
              <w:rPr>
                <w:sz w:val="20"/>
                <w:szCs w:val="20"/>
              </w:rPr>
            </w:pPr>
            <w:r>
              <w:rPr>
                <w:sz w:val="20"/>
                <w:szCs w:val="20"/>
              </w:rPr>
              <w:t>R</w:t>
            </w:r>
            <w:r w:rsidRPr="000C47E2">
              <w:rPr>
                <w:sz w:val="20"/>
                <w:szCs w:val="20"/>
              </w:rPr>
              <w:t>elevant aspects of PBAC consideration</w:t>
            </w:r>
            <w:r w:rsidR="00956CFC">
              <w:rPr>
                <w:sz w:val="20"/>
                <w:szCs w:val="20"/>
              </w:rPr>
              <w:t>^</w:t>
            </w:r>
          </w:p>
          <w:p w:rsidR="000366B0" w:rsidRPr="00511BE5" w:rsidRDefault="000366B0" w:rsidP="00813FF0">
            <w:pPr>
              <w:pStyle w:val="Tableheading"/>
              <w:rPr>
                <w:sz w:val="20"/>
                <w:szCs w:val="20"/>
              </w:rPr>
            </w:pPr>
          </w:p>
        </w:tc>
      </w:tr>
      <w:tr w:rsidR="000366B0" w:rsidRPr="00AE07E7" w:rsidTr="004D49D8">
        <w:tc>
          <w:tcPr>
            <w:tcW w:w="1141" w:type="pct"/>
            <w:tcBorders>
              <w:top w:val="single" w:sz="4" w:space="0" w:color="auto"/>
              <w:left w:val="single" w:sz="4" w:space="0" w:color="auto"/>
              <w:bottom w:val="single" w:sz="4" w:space="0" w:color="auto"/>
              <w:right w:val="single" w:sz="4" w:space="0" w:color="auto"/>
            </w:tcBorders>
            <w:shd w:val="pct12" w:color="auto" w:fill="auto"/>
          </w:tcPr>
          <w:p w:rsidR="000366B0" w:rsidRPr="00F32FBE" w:rsidRDefault="000366B0" w:rsidP="00813FF0">
            <w:pPr>
              <w:pStyle w:val="Tablewriting"/>
              <w:rPr>
                <w:b/>
              </w:rPr>
            </w:pPr>
            <w:proofErr w:type="spellStart"/>
            <w:r w:rsidRPr="00F32FBE">
              <w:rPr>
                <w:b/>
              </w:rPr>
              <w:t>Flozins</w:t>
            </w:r>
            <w:proofErr w:type="spellEnd"/>
          </w:p>
        </w:tc>
        <w:tc>
          <w:tcPr>
            <w:tcW w:w="849" w:type="pct"/>
            <w:tcBorders>
              <w:top w:val="single" w:sz="4" w:space="0" w:color="auto"/>
              <w:left w:val="single" w:sz="4" w:space="0" w:color="auto"/>
              <w:bottom w:val="single" w:sz="4" w:space="0" w:color="auto"/>
              <w:right w:val="single" w:sz="4" w:space="0" w:color="auto"/>
            </w:tcBorders>
            <w:shd w:val="pct12" w:color="auto" w:fill="auto"/>
          </w:tcPr>
          <w:p w:rsidR="000366B0" w:rsidRPr="00F32FBE" w:rsidRDefault="000366B0" w:rsidP="00813FF0">
            <w:pPr>
              <w:pStyle w:val="Tablewriting"/>
              <w:rPr>
                <w:b/>
              </w:rPr>
            </w:pPr>
          </w:p>
        </w:tc>
        <w:tc>
          <w:tcPr>
            <w:tcW w:w="3010" w:type="pct"/>
            <w:tcBorders>
              <w:top w:val="single" w:sz="4" w:space="0" w:color="auto"/>
              <w:left w:val="single" w:sz="4" w:space="0" w:color="auto"/>
              <w:bottom w:val="single" w:sz="4" w:space="0" w:color="auto"/>
              <w:right w:val="single" w:sz="4" w:space="0" w:color="auto"/>
            </w:tcBorders>
            <w:shd w:val="pct12" w:color="auto" w:fill="auto"/>
          </w:tcPr>
          <w:p w:rsidR="000366B0" w:rsidRPr="00F32FBE" w:rsidRDefault="000366B0" w:rsidP="00813FF0">
            <w:pPr>
              <w:pStyle w:val="Tablewriting"/>
              <w:rPr>
                <w:b/>
              </w:rPr>
            </w:pPr>
          </w:p>
        </w:tc>
      </w:tr>
      <w:tr w:rsidR="000366B0" w:rsidRPr="00511BE5" w:rsidTr="004D49D8">
        <w:tc>
          <w:tcPr>
            <w:tcW w:w="1141" w:type="pct"/>
            <w:vMerge w:val="restart"/>
            <w:tcBorders>
              <w:top w:val="single" w:sz="4" w:space="0" w:color="auto"/>
              <w:left w:val="single" w:sz="4" w:space="0" w:color="auto"/>
              <w:right w:val="single" w:sz="4" w:space="0" w:color="auto"/>
            </w:tcBorders>
            <w:vAlign w:val="center"/>
          </w:tcPr>
          <w:p w:rsidR="000366B0" w:rsidRPr="00AE07E7" w:rsidRDefault="000366B0" w:rsidP="00813FF0">
            <w:pPr>
              <w:pStyle w:val="Tablewriting"/>
            </w:pPr>
            <w:r w:rsidRPr="00F32FBE">
              <w:rPr>
                <w:b/>
                <w:i/>
              </w:rPr>
              <w:t>Dual oral therapy</w:t>
            </w:r>
            <w:r w:rsidRPr="00AD0F83">
              <w:t xml:space="preserve"> with either metformin or a sulfonylurea</w:t>
            </w:r>
            <w:r>
              <w:t xml:space="preserve"> where patient is intolerant or contraindicated to metformin and a sulfonylurea</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366B0" w:rsidRDefault="000366B0" w:rsidP="00813FF0">
            <w:pPr>
              <w:pStyle w:val="Tablewriting"/>
            </w:pPr>
            <w:r>
              <w:t>1 Dec 2013 (</w:t>
            </w:r>
            <w:proofErr w:type="spellStart"/>
            <w:r>
              <w:t>dapagliflozin</w:t>
            </w:r>
            <w:proofErr w:type="spellEnd"/>
            <w:r w:rsidR="00630D5B">
              <w:t xml:space="preserve"> &amp;</w:t>
            </w:r>
            <w:r>
              <w:t xml:space="preserve"> </w:t>
            </w:r>
            <w:proofErr w:type="spellStart"/>
            <w:r>
              <w:t>canagliflozin</w:t>
            </w:r>
            <w:proofErr w:type="spellEnd"/>
            <w:r w:rsidR="00FF59B4" w:rsidRPr="00CC6C89">
              <w:rPr>
                <w:vertAlign w:val="superscript"/>
              </w:rPr>
              <w:t>#</w:t>
            </w:r>
            <w:r>
              <w:t>)</w:t>
            </w:r>
          </w:p>
          <w:p w:rsidR="000366B0" w:rsidRDefault="000366B0" w:rsidP="00813FF0">
            <w:pPr>
              <w:pStyle w:val="Tablewriting"/>
            </w:pPr>
          </w:p>
        </w:tc>
        <w:tc>
          <w:tcPr>
            <w:tcW w:w="3010" w:type="pct"/>
            <w:tcBorders>
              <w:top w:val="single" w:sz="4" w:space="0" w:color="auto"/>
              <w:left w:val="single" w:sz="4" w:space="0" w:color="auto"/>
              <w:bottom w:val="single" w:sz="4" w:space="0" w:color="auto"/>
              <w:right w:val="single" w:sz="4" w:space="0" w:color="auto"/>
            </w:tcBorders>
            <w:shd w:val="clear" w:color="auto" w:fill="auto"/>
          </w:tcPr>
          <w:p w:rsidR="000366B0" w:rsidRDefault="000366B0" w:rsidP="00813FF0">
            <w:pPr>
              <w:pStyle w:val="Tablewriting"/>
            </w:pPr>
            <w:r>
              <w:t xml:space="preserve">Cost-minimisation basis with sitagliptin. </w:t>
            </w:r>
          </w:p>
          <w:p w:rsidR="00630D5B" w:rsidRPr="00F4346B" w:rsidRDefault="000366B0" w:rsidP="00813FF0">
            <w:pPr>
              <w:pStyle w:val="Tablewriting"/>
            </w:pPr>
            <w:proofErr w:type="spellStart"/>
            <w:r>
              <w:t>E</w:t>
            </w:r>
            <w:r w:rsidDel="00D45704">
              <w:t>qui</w:t>
            </w:r>
            <w:proofErr w:type="spellEnd"/>
            <w:r w:rsidDel="00D45704">
              <w:t>-effective doses</w:t>
            </w:r>
            <w:r w:rsidR="001B62E5">
              <w:t>:</w:t>
            </w:r>
            <w:r w:rsidDel="00D45704">
              <w:t xml:space="preserve"> </w:t>
            </w:r>
            <w:proofErr w:type="spellStart"/>
            <w:r w:rsidDel="00D45704">
              <w:t>canagliflozin</w:t>
            </w:r>
            <w:proofErr w:type="spellEnd"/>
            <w:r w:rsidDel="00D45704">
              <w:t xml:space="preserve"> 300 mg</w:t>
            </w:r>
            <w:r>
              <w:t xml:space="preserve"> or </w:t>
            </w:r>
            <w:proofErr w:type="spellStart"/>
            <w:r>
              <w:t>dapagliflozin</w:t>
            </w:r>
            <w:proofErr w:type="spellEnd"/>
            <w:r>
              <w:t xml:space="preserve"> 10mg </w:t>
            </w:r>
            <w:r w:rsidDel="00D45704">
              <w:t xml:space="preserve">to sitagliptin 100 mg. The PBAC recommended that cost-offsets be applied to </w:t>
            </w:r>
            <w:proofErr w:type="spellStart"/>
            <w:r w:rsidDel="00D45704">
              <w:t>canagliflozin</w:t>
            </w:r>
            <w:proofErr w:type="spellEnd"/>
            <w:r>
              <w:t xml:space="preserve"> and </w:t>
            </w:r>
            <w:proofErr w:type="spellStart"/>
            <w:r>
              <w:t>dapagliflozin</w:t>
            </w:r>
            <w:proofErr w:type="spellEnd"/>
            <w:r w:rsidDel="00D45704">
              <w:t xml:space="preserve"> to account for an increased rate of adverse events such as genital </w:t>
            </w:r>
            <w:proofErr w:type="spellStart"/>
            <w:r w:rsidDel="00D45704">
              <w:t>mycotic</w:t>
            </w:r>
            <w:proofErr w:type="spellEnd"/>
            <w:r w:rsidDel="00D45704">
              <w:t xml:space="preserve"> infections compared with sitagliptin.  These offsets would include the cost of monitoring these events which would include additional visits to doctor, treatment with antifungals. </w:t>
            </w:r>
          </w:p>
        </w:tc>
      </w:tr>
      <w:tr w:rsidR="000366B0" w:rsidRPr="00511BE5" w:rsidTr="004D49D8">
        <w:tc>
          <w:tcPr>
            <w:tcW w:w="1141" w:type="pct"/>
            <w:vMerge/>
            <w:tcBorders>
              <w:left w:val="single" w:sz="4" w:space="0" w:color="auto"/>
              <w:bottom w:val="single" w:sz="4" w:space="0" w:color="auto"/>
              <w:right w:val="single" w:sz="4" w:space="0" w:color="auto"/>
            </w:tcBorders>
          </w:tcPr>
          <w:p w:rsidR="000366B0" w:rsidRPr="001634C1" w:rsidRDefault="000366B0" w:rsidP="00813FF0">
            <w:pPr>
              <w:pStyle w:val="Tablewriting"/>
              <w:rPr>
                <w:b/>
                <w:i/>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366B0" w:rsidRDefault="000366B0" w:rsidP="00813FF0">
            <w:pPr>
              <w:pStyle w:val="Tablewriting"/>
            </w:pPr>
            <w:r w:rsidRPr="009F5A30">
              <w:t>1 Jan 2015 (</w:t>
            </w:r>
            <w:proofErr w:type="spellStart"/>
            <w:r w:rsidRPr="009F5A30">
              <w:t>empagliflozin</w:t>
            </w:r>
            <w:proofErr w:type="spellEnd"/>
            <w:r w:rsidRPr="009F5A30">
              <w:t>)</w:t>
            </w:r>
          </w:p>
        </w:tc>
        <w:tc>
          <w:tcPr>
            <w:tcW w:w="3010" w:type="pct"/>
            <w:tcBorders>
              <w:top w:val="single" w:sz="4" w:space="0" w:color="auto"/>
              <w:left w:val="single" w:sz="4" w:space="0" w:color="auto"/>
              <w:bottom w:val="single" w:sz="4" w:space="0" w:color="auto"/>
              <w:right w:val="single" w:sz="4" w:space="0" w:color="auto"/>
            </w:tcBorders>
            <w:shd w:val="clear" w:color="auto" w:fill="auto"/>
          </w:tcPr>
          <w:p w:rsidR="000366B0" w:rsidRPr="00F32FBE" w:rsidRDefault="000366B0" w:rsidP="00813FF0">
            <w:pPr>
              <w:pStyle w:val="Tablewriting"/>
            </w:pPr>
            <w:r w:rsidRPr="00F32FBE">
              <w:t>C</w:t>
            </w:r>
            <w:r w:rsidRPr="00F32FBE" w:rsidDel="00D45704">
              <w:t xml:space="preserve">ost-minimised against </w:t>
            </w:r>
            <w:proofErr w:type="spellStart"/>
            <w:r w:rsidRPr="00F32FBE" w:rsidDel="00D45704">
              <w:t>dapagliflozin</w:t>
            </w:r>
            <w:proofErr w:type="spellEnd"/>
            <w:r w:rsidRPr="00F32FBE" w:rsidDel="00D45704">
              <w:t xml:space="preserve"> and </w:t>
            </w:r>
            <w:proofErr w:type="spellStart"/>
            <w:r w:rsidRPr="00F32FBE" w:rsidDel="00D45704">
              <w:t>canagliflozin</w:t>
            </w:r>
            <w:proofErr w:type="spellEnd"/>
            <w:r w:rsidRPr="00F32FBE" w:rsidDel="00D45704">
              <w:t xml:space="preserve"> in terms of effectiveness, and </w:t>
            </w:r>
            <w:proofErr w:type="spellStart"/>
            <w:r w:rsidRPr="00F32FBE" w:rsidDel="00D45704">
              <w:t>d</w:t>
            </w:r>
            <w:r w:rsidRPr="00F32FBE">
              <w:t>apagliflozin</w:t>
            </w:r>
            <w:proofErr w:type="spellEnd"/>
            <w:r w:rsidRPr="00F32FBE">
              <w:t xml:space="preserve"> in terms of safety.</w:t>
            </w:r>
          </w:p>
        </w:tc>
      </w:tr>
      <w:tr w:rsidR="000366B0" w:rsidRPr="00511BE5" w:rsidTr="004D49D8">
        <w:tc>
          <w:tcPr>
            <w:tcW w:w="1141" w:type="pct"/>
            <w:vMerge w:val="restart"/>
            <w:tcBorders>
              <w:top w:val="single" w:sz="4" w:space="0" w:color="auto"/>
              <w:left w:val="single" w:sz="4" w:space="0" w:color="auto"/>
              <w:right w:val="single" w:sz="4" w:space="0" w:color="auto"/>
            </w:tcBorders>
            <w:vAlign w:val="center"/>
          </w:tcPr>
          <w:p w:rsidR="000366B0" w:rsidRPr="00F32FBE" w:rsidRDefault="000366B0" w:rsidP="00813FF0">
            <w:pPr>
              <w:pStyle w:val="Tablewriting"/>
            </w:pPr>
            <w:r w:rsidRPr="001634C1">
              <w:rPr>
                <w:b/>
                <w:i/>
              </w:rPr>
              <w:t xml:space="preserve">Dual oral therapy </w:t>
            </w:r>
            <w:r w:rsidRPr="00F32FBE">
              <w:t>with either metformin or a sulfonylurea</w:t>
            </w:r>
          </w:p>
          <w:p w:rsidR="000366B0" w:rsidRPr="001634C1" w:rsidRDefault="000366B0" w:rsidP="00813FF0">
            <w:pPr>
              <w:pStyle w:val="Tablewriting"/>
              <w:rPr>
                <w:b/>
                <w:i/>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366B0" w:rsidRDefault="000366B0" w:rsidP="00813FF0">
            <w:pPr>
              <w:pStyle w:val="Tablewriting"/>
            </w:pPr>
            <w:r>
              <w:t>1 Dec 2014 (</w:t>
            </w:r>
            <w:proofErr w:type="spellStart"/>
            <w:r>
              <w:t>dapagliflozin</w:t>
            </w:r>
            <w:proofErr w:type="spellEnd"/>
            <w:r w:rsidRPr="00F32FBE">
              <w:rPr>
                <w:vertAlign w:val="superscript"/>
              </w:rPr>
              <w:t>+</w:t>
            </w:r>
            <w:r>
              <w:t>)</w:t>
            </w:r>
          </w:p>
          <w:p w:rsidR="000366B0" w:rsidRDefault="000366B0" w:rsidP="00813FF0">
            <w:pPr>
              <w:pStyle w:val="Tablewriting"/>
            </w:pPr>
          </w:p>
        </w:tc>
        <w:tc>
          <w:tcPr>
            <w:tcW w:w="3010" w:type="pct"/>
            <w:tcBorders>
              <w:top w:val="single" w:sz="4" w:space="0" w:color="auto"/>
              <w:left w:val="single" w:sz="4" w:space="0" w:color="auto"/>
              <w:bottom w:val="single" w:sz="4" w:space="0" w:color="auto"/>
              <w:right w:val="single" w:sz="4" w:space="0" w:color="auto"/>
            </w:tcBorders>
            <w:shd w:val="clear" w:color="auto" w:fill="auto"/>
          </w:tcPr>
          <w:p w:rsidR="006422EB" w:rsidRPr="00CC6C89" w:rsidRDefault="006422EB" w:rsidP="00813FF0">
            <w:pPr>
              <w:pStyle w:val="Tablewriting"/>
            </w:pPr>
            <w:r w:rsidRPr="00CC6C89">
              <w:t xml:space="preserve">Previously, </w:t>
            </w:r>
            <w:proofErr w:type="spellStart"/>
            <w:r w:rsidRPr="00CC6C89">
              <w:t>dapagliflozin</w:t>
            </w:r>
            <w:proofErr w:type="spellEnd"/>
            <w:r w:rsidRPr="00CC6C89">
              <w:t xml:space="preserve"> could be added to either metformin or a sulphonylurea only if the patient was contraindicated to, or intolerant of, the combination of metformin and a </w:t>
            </w:r>
            <w:r w:rsidR="00B70C48">
              <w:t>sulfon</w:t>
            </w:r>
            <w:r w:rsidR="00B70C48" w:rsidRPr="00CC6C89">
              <w:t>ylurea</w:t>
            </w:r>
            <w:r w:rsidRPr="00CC6C89">
              <w:t>.</w:t>
            </w:r>
          </w:p>
          <w:p w:rsidR="000366B0" w:rsidRPr="001634C1" w:rsidRDefault="006422EB" w:rsidP="00813FF0">
            <w:pPr>
              <w:pStyle w:val="Tablewriting"/>
            </w:pPr>
            <w:r w:rsidRPr="00262CEE">
              <w:t>Th</w:t>
            </w:r>
            <w:r w:rsidR="00262CEE" w:rsidRPr="00262CEE">
              <w:t>is</w:t>
            </w:r>
            <w:r w:rsidRPr="00262CEE">
              <w:t xml:space="preserve"> </w:t>
            </w:r>
            <w:r w:rsidR="006128DF" w:rsidRPr="00262CEE">
              <w:t>was recommend</w:t>
            </w:r>
            <w:r w:rsidR="00262CEE" w:rsidRPr="00262CEE">
              <w:t>ed</w:t>
            </w:r>
            <w:r w:rsidR="006128DF" w:rsidRPr="00262CEE">
              <w:t xml:space="preserve"> at the July 2014 </w:t>
            </w:r>
            <w:r w:rsidRPr="00262CEE">
              <w:t xml:space="preserve">PBAC </w:t>
            </w:r>
            <w:r w:rsidR="006128DF" w:rsidRPr="00262CEE">
              <w:t xml:space="preserve">meeting to align the </w:t>
            </w:r>
            <w:proofErr w:type="spellStart"/>
            <w:r w:rsidR="006128DF" w:rsidRPr="00262CEE">
              <w:t>dapagliflozin</w:t>
            </w:r>
            <w:proofErr w:type="spellEnd"/>
            <w:r w:rsidR="006128DF" w:rsidRPr="00262CEE">
              <w:t xml:space="preserve"> restriction with the restriction</w:t>
            </w:r>
            <w:r w:rsidR="006128DF">
              <w:t xml:space="preserve"> for the </w:t>
            </w:r>
            <w:proofErr w:type="spellStart"/>
            <w:r w:rsidR="006128DF">
              <w:t>gliptins</w:t>
            </w:r>
            <w:proofErr w:type="spellEnd"/>
            <w:r w:rsidR="006128DF">
              <w:t>.</w:t>
            </w:r>
          </w:p>
        </w:tc>
      </w:tr>
      <w:tr w:rsidR="000366B0" w:rsidRPr="00511BE5" w:rsidTr="004D49D8">
        <w:tc>
          <w:tcPr>
            <w:tcW w:w="1141" w:type="pct"/>
            <w:vMerge/>
            <w:tcBorders>
              <w:left w:val="single" w:sz="4" w:space="0" w:color="auto"/>
              <w:bottom w:val="single" w:sz="4" w:space="0" w:color="auto"/>
              <w:right w:val="single" w:sz="4" w:space="0" w:color="auto"/>
            </w:tcBorders>
          </w:tcPr>
          <w:p w:rsidR="000366B0" w:rsidRPr="001634C1" w:rsidRDefault="000366B0" w:rsidP="00813FF0">
            <w:pPr>
              <w:pStyle w:val="Tablewriting"/>
              <w:rPr>
                <w:b/>
                <w:i/>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366B0" w:rsidRDefault="000366B0" w:rsidP="00813FF0">
            <w:pPr>
              <w:pStyle w:val="Tablewriting"/>
            </w:pPr>
            <w:r w:rsidRPr="009F5A30">
              <w:t>1 Apr 2015 (</w:t>
            </w:r>
            <w:proofErr w:type="spellStart"/>
            <w:r w:rsidRPr="009F5A30">
              <w:t>empagliflozin</w:t>
            </w:r>
            <w:proofErr w:type="spellEnd"/>
            <w:r w:rsidRPr="009F5A30">
              <w:t>)</w:t>
            </w:r>
          </w:p>
        </w:tc>
        <w:tc>
          <w:tcPr>
            <w:tcW w:w="3010" w:type="pct"/>
            <w:tcBorders>
              <w:top w:val="single" w:sz="4" w:space="0" w:color="auto"/>
              <w:left w:val="single" w:sz="4" w:space="0" w:color="auto"/>
              <w:bottom w:val="single" w:sz="4" w:space="0" w:color="auto"/>
              <w:right w:val="single" w:sz="4" w:space="0" w:color="auto"/>
            </w:tcBorders>
            <w:shd w:val="clear" w:color="auto" w:fill="auto"/>
          </w:tcPr>
          <w:p w:rsidR="000366B0" w:rsidRPr="00AD3E07" w:rsidRDefault="000366B0" w:rsidP="00813FF0">
            <w:pPr>
              <w:pStyle w:val="Tablewriting"/>
              <w:rPr>
                <w:highlight w:val="yellow"/>
              </w:rPr>
            </w:pPr>
            <w:r w:rsidRPr="008D31D0">
              <w:t>C</w:t>
            </w:r>
            <w:r w:rsidRPr="008D31D0" w:rsidDel="00D45704">
              <w:t xml:space="preserve">ost-minimised against </w:t>
            </w:r>
            <w:proofErr w:type="spellStart"/>
            <w:r w:rsidRPr="008D31D0" w:rsidDel="00D45704">
              <w:t>dapagliflozin</w:t>
            </w:r>
            <w:proofErr w:type="spellEnd"/>
          </w:p>
        </w:tc>
      </w:tr>
      <w:tr w:rsidR="000366B0" w:rsidRPr="00511BE5" w:rsidTr="004D49D8">
        <w:tc>
          <w:tcPr>
            <w:tcW w:w="1141" w:type="pct"/>
            <w:vMerge w:val="restart"/>
            <w:tcBorders>
              <w:top w:val="single" w:sz="4" w:space="0" w:color="auto"/>
              <w:left w:val="single" w:sz="4" w:space="0" w:color="auto"/>
              <w:right w:val="single" w:sz="4" w:space="0" w:color="auto"/>
            </w:tcBorders>
            <w:vAlign w:val="center"/>
          </w:tcPr>
          <w:p w:rsidR="000366B0" w:rsidRPr="00F4346B" w:rsidRDefault="000366B0" w:rsidP="00813FF0">
            <w:pPr>
              <w:pStyle w:val="Tablewriting"/>
              <w:rPr>
                <w:b/>
                <w:i/>
              </w:rPr>
            </w:pPr>
            <w:r>
              <w:rPr>
                <w:b/>
                <w:i/>
              </w:rPr>
              <w:t>Use with insulin</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366B0" w:rsidRDefault="000366B0" w:rsidP="00813FF0">
            <w:pPr>
              <w:pStyle w:val="Tablewriting"/>
            </w:pPr>
            <w:r>
              <w:t>1 Apr 2015</w:t>
            </w:r>
          </w:p>
          <w:p w:rsidR="000366B0" w:rsidRDefault="000366B0" w:rsidP="00813FF0">
            <w:pPr>
              <w:pStyle w:val="Tablewriting"/>
            </w:pPr>
            <w:r>
              <w:t>(</w:t>
            </w:r>
            <w:proofErr w:type="spellStart"/>
            <w:r>
              <w:t>dapagliflozin</w:t>
            </w:r>
            <w:proofErr w:type="spellEnd"/>
            <w:r w:rsidRPr="00F32FBE">
              <w:rPr>
                <w:vertAlign w:val="superscript"/>
              </w:rPr>
              <w:t>+</w:t>
            </w:r>
            <w:r>
              <w:t>)</w:t>
            </w:r>
          </w:p>
        </w:tc>
        <w:tc>
          <w:tcPr>
            <w:tcW w:w="3010" w:type="pct"/>
            <w:tcBorders>
              <w:top w:val="single" w:sz="4" w:space="0" w:color="auto"/>
              <w:left w:val="single" w:sz="4" w:space="0" w:color="auto"/>
              <w:bottom w:val="single" w:sz="4" w:space="0" w:color="auto"/>
              <w:right w:val="single" w:sz="4" w:space="0" w:color="auto"/>
            </w:tcBorders>
            <w:shd w:val="clear" w:color="auto" w:fill="auto"/>
          </w:tcPr>
          <w:p w:rsidR="000366B0" w:rsidRPr="00F4346B" w:rsidRDefault="000366B0" w:rsidP="00813FF0">
            <w:pPr>
              <w:pStyle w:val="Tablewriting"/>
            </w:pPr>
            <w:r>
              <w:t>C</w:t>
            </w:r>
            <w:r w:rsidRPr="00B6699E">
              <w:t>ost-minimisation and cost-analysis derived from the costs of insulin up-titration avoided.</w:t>
            </w:r>
          </w:p>
        </w:tc>
      </w:tr>
      <w:tr w:rsidR="000366B0" w:rsidRPr="00511BE5" w:rsidTr="004D49D8">
        <w:tc>
          <w:tcPr>
            <w:tcW w:w="1141" w:type="pct"/>
            <w:vMerge/>
            <w:tcBorders>
              <w:left w:val="single" w:sz="4" w:space="0" w:color="auto"/>
              <w:bottom w:val="single" w:sz="4" w:space="0" w:color="auto"/>
              <w:right w:val="single" w:sz="4" w:space="0" w:color="auto"/>
            </w:tcBorders>
          </w:tcPr>
          <w:p w:rsidR="000366B0" w:rsidRPr="00F4346B" w:rsidRDefault="000366B0" w:rsidP="00813FF0">
            <w:pPr>
              <w:pStyle w:val="Tablewriting"/>
              <w:rPr>
                <w:b/>
                <w:i/>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366B0" w:rsidRPr="004B63B3" w:rsidRDefault="000366B0" w:rsidP="00813FF0">
            <w:pPr>
              <w:pStyle w:val="Tablewriting"/>
            </w:pPr>
            <w:r w:rsidRPr="004B63B3">
              <w:t>1 Mar 2016 (</w:t>
            </w:r>
            <w:proofErr w:type="spellStart"/>
            <w:r w:rsidRPr="004B63B3">
              <w:t>empagliflozin</w:t>
            </w:r>
            <w:proofErr w:type="spellEnd"/>
            <w:r w:rsidRPr="004B63B3">
              <w:t>)</w:t>
            </w:r>
          </w:p>
          <w:p w:rsidR="000366B0" w:rsidRDefault="000366B0" w:rsidP="00813FF0">
            <w:pPr>
              <w:pStyle w:val="Tablewriting"/>
            </w:pPr>
          </w:p>
        </w:tc>
        <w:tc>
          <w:tcPr>
            <w:tcW w:w="3010" w:type="pct"/>
            <w:tcBorders>
              <w:top w:val="single" w:sz="4" w:space="0" w:color="auto"/>
              <w:left w:val="single" w:sz="4" w:space="0" w:color="auto"/>
              <w:bottom w:val="single" w:sz="4" w:space="0" w:color="auto"/>
              <w:right w:val="single" w:sz="4" w:space="0" w:color="auto"/>
            </w:tcBorders>
            <w:shd w:val="clear" w:color="auto" w:fill="auto"/>
          </w:tcPr>
          <w:p w:rsidR="000366B0" w:rsidRPr="00F4346B" w:rsidDel="00B6699E" w:rsidRDefault="000366B0" w:rsidP="00813FF0">
            <w:pPr>
              <w:pStyle w:val="Tablewriting"/>
            </w:pPr>
            <w:r>
              <w:t xml:space="preserve">Cost-minimisation with </w:t>
            </w:r>
            <w:proofErr w:type="spellStart"/>
            <w:r>
              <w:t>dapagliflozin</w:t>
            </w:r>
            <w:proofErr w:type="spellEnd"/>
            <w:r>
              <w:t xml:space="preserve">. The </w:t>
            </w:r>
            <w:proofErr w:type="spellStart"/>
            <w:r>
              <w:t>equi</w:t>
            </w:r>
            <w:proofErr w:type="spellEnd"/>
            <w:r>
              <w:t xml:space="preserve">-effective doses are </w:t>
            </w:r>
            <w:proofErr w:type="spellStart"/>
            <w:r>
              <w:t>empagliflozin</w:t>
            </w:r>
            <w:proofErr w:type="spellEnd"/>
            <w:r>
              <w:t xml:space="preserve"> </w:t>
            </w:r>
            <w:r w:rsidRPr="00072182">
              <w:t xml:space="preserve">10mg or 25mg and </w:t>
            </w:r>
            <w:proofErr w:type="spellStart"/>
            <w:r w:rsidRPr="00072182">
              <w:t>dapagliflozin</w:t>
            </w:r>
            <w:proofErr w:type="spellEnd"/>
            <w:r>
              <w:t xml:space="preserve"> 10mg.</w:t>
            </w:r>
          </w:p>
        </w:tc>
      </w:tr>
      <w:tr w:rsidR="000366B0" w:rsidRPr="00511BE5" w:rsidTr="004D49D8">
        <w:tc>
          <w:tcPr>
            <w:tcW w:w="1141" w:type="pct"/>
            <w:vMerge w:val="restart"/>
            <w:tcBorders>
              <w:top w:val="single" w:sz="4" w:space="0" w:color="auto"/>
              <w:left w:val="single" w:sz="4" w:space="0" w:color="auto"/>
              <w:right w:val="single" w:sz="4" w:space="0" w:color="auto"/>
            </w:tcBorders>
            <w:vAlign w:val="center"/>
          </w:tcPr>
          <w:p w:rsidR="000366B0" w:rsidRPr="00E0008F" w:rsidRDefault="000366B0" w:rsidP="00813FF0">
            <w:pPr>
              <w:pStyle w:val="Tablewriting"/>
              <w:rPr>
                <w:b/>
                <w:i/>
              </w:rPr>
            </w:pPr>
            <w:r w:rsidRPr="00F4346B">
              <w:rPr>
                <w:b/>
                <w:i/>
              </w:rPr>
              <w:t xml:space="preserve">Triple oral therapy </w:t>
            </w:r>
            <w:r w:rsidRPr="00F32FBE">
              <w:t>with metformin and a sulfonylurea</w:t>
            </w:r>
            <w:r>
              <w:rPr>
                <w:b/>
                <w:i/>
              </w:rPr>
              <w:t xml:space="preserve"> </w:t>
            </w:r>
            <w:r w:rsidRPr="00F32FBE">
              <w:t>when dual oral therapy is inadequate</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366B0" w:rsidRDefault="000366B0" w:rsidP="00813FF0">
            <w:pPr>
              <w:pStyle w:val="Tablewriting"/>
            </w:pPr>
            <w:r>
              <w:t>1 Jul 2015 (</w:t>
            </w:r>
            <w:proofErr w:type="spellStart"/>
            <w:r>
              <w:t>dapagliflozin</w:t>
            </w:r>
            <w:proofErr w:type="spellEnd"/>
            <w:r w:rsidRPr="00F32FBE">
              <w:rPr>
                <w:vertAlign w:val="superscript"/>
              </w:rPr>
              <w:t>+</w:t>
            </w:r>
            <w:r>
              <w:t>)</w:t>
            </w:r>
          </w:p>
          <w:p w:rsidR="000366B0" w:rsidRDefault="000366B0" w:rsidP="00813FF0">
            <w:pPr>
              <w:pStyle w:val="Tablewriting"/>
            </w:pPr>
          </w:p>
          <w:p w:rsidR="000366B0" w:rsidRDefault="000366B0" w:rsidP="00813FF0">
            <w:pPr>
              <w:pStyle w:val="Tablewriting"/>
            </w:pPr>
          </w:p>
        </w:tc>
        <w:tc>
          <w:tcPr>
            <w:tcW w:w="3010" w:type="pct"/>
            <w:tcBorders>
              <w:top w:val="single" w:sz="4" w:space="0" w:color="auto"/>
              <w:left w:val="single" w:sz="4" w:space="0" w:color="auto"/>
              <w:bottom w:val="single" w:sz="4" w:space="0" w:color="auto"/>
              <w:right w:val="single" w:sz="4" w:space="0" w:color="auto"/>
            </w:tcBorders>
            <w:shd w:val="clear" w:color="auto" w:fill="auto"/>
          </w:tcPr>
          <w:p w:rsidR="000366B0" w:rsidRPr="00F4346B" w:rsidRDefault="000366B0" w:rsidP="00813FF0">
            <w:pPr>
              <w:pStyle w:val="Tablewriting"/>
            </w:pPr>
            <w:r>
              <w:t>C</w:t>
            </w:r>
            <w:r w:rsidRPr="00B6699E">
              <w:t xml:space="preserve">ost analysis compared with insulin (including drug acquisition costs and costs of healthcare resource consumption). The </w:t>
            </w:r>
            <w:proofErr w:type="spellStart"/>
            <w:r w:rsidRPr="00B6699E">
              <w:t>equi</w:t>
            </w:r>
            <w:proofErr w:type="spellEnd"/>
            <w:r w:rsidRPr="00B6699E">
              <w:t xml:space="preserve">-effective doses are </w:t>
            </w:r>
            <w:proofErr w:type="spellStart"/>
            <w:r w:rsidRPr="00B6699E">
              <w:t>dapagliflozin</w:t>
            </w:r>
            <w:proofErr w:type="spellEnd"/>
            <w:r w:rsidRPr="00B6699E">
              <w:t xml:space="preserve"> 10mg (oral) and insulin </w:t>
            </w:r>
            <w:proofErr w:type="spellStart"/>
            <w:r w:rsidRPr="00B6699E">
              <w:t>glargine</w:t>
            </w:r>
            <w:proofErr w:type="spellEnd"/>
            <w:r w:rsidRPr="00B6699E">
              <w:t xml:space="preserve"> 24 IU/day (subcutaneous). </w:t>
            </w:r>
          </w:p>
        </w:tc>
      </w:tr>
      <w:tr w:rsidR="000366B0" w:rsidRPr="00511BE5" w:rsidTr="004D49D8">
        <w:tc>
          <w:tcPr>
            <w:tcW w:w="1141" w:type="pct"/>
            <w:vMerge/>
            <w:tcBorders>
              <w:left w:val="single" w:sz="4" w:space="0" w:color="auto"/>
              <w:bottom w:val="single" w:sz="4" w:space="0" w:color="auto"/>
              <w:right w:val="single" w:sz="4" w:space="0" w:color="auto"/>
            </w:tcBorders>
          </w:tcPr>
          <w:p w:rsidR="000366B0" w:rsidRPr="00F4346B" w:rsidRDefault="000366B0" w:rsidP="00813FF0">
            <w:pPr>
              <w:pStyle w:val="Tablewriting"/>
              <w:rPr>
                <w:b/>
                <w:i/>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366B0" w:rsidRPr="004B63B3" w:rsidRDefault="000366B0" w:rsidP="00813FF0">
            <w:pPr>
              <w:pStyle w:val="Tablewriting"/>
            </w:pPr>
            <w:r w:rsidRPr="004B63B3">
              <w:t>1 Mar 2016 (</w:t>
            </w:r>
            <w:proofErr w:type="spellStart"/>
            <w:r w:rsidRPr="004B63B3">
              <w:t>empagliflozin</w:t>
            </w:r>
            <w:proofErr w:type="spellEnd"/>
            <w:r w:rsidRPr="004B63B3">
              <w:t>)</w:t>
            </w:r>
          </w:p>
          <w:p w:rsidR="000366B0" w:rsidRDefault="000366B0" w:rsidP="00813FF0">
            <w:pPr>
              <w:pStyle w:val="Tablewriting"/>
            </w:pPr>
          </w:p>
        </w:tc>
        <w:tc>
          <w:tcPr>
            <w:tcW w:w="3010" w:type="pct"/>
            <w:tcBorders>
              <w:top w:val="single" w:sz="4" w:space="0" w:color="auto"/>
              <w:left w:val="single" w:sz="4" w:space="0" w:color="auto"/>
              <w:bottom w:val="single" w:sz="4" w:space="0" w:color="auto"/>
              <w:right w:val="single" w:sz="4" w:space="0" w:color="auto"/>
            </w:tcBorders>
            <w:shd w:val="clear" w:color="auto" w:fill="auto"/>
          </w:tcPr>
          <w:p w:rsidR="000366B0" w:rsidRPr="00F4346B" w:rsidDel="00B6699E" w:rsidRDefault="000366B0" w:rsidP="00813FF0">
            <w:pPr>
              <w:pStyle w:val="Tablewriting"/>
            </w:pPr>
            <w:r>
              <w:t xml:space="preserve">Cost-minimisation with </w:t>
            </w:r>
            <w:proofErr w:type="spellStart"/>
            <w:r>
              <w:t>dapagliflozin</w:t>
            </w:r>
            <w:proofErr w:type="spellEnd"/>
            <w:r>
              <w:t xml:space="preserve">. The </w:t>
            </w:r>
            <w:proofErr w:type="spellStart"/>
            <w:r>
              <w:t>equi</w:t>
            </w:r>
            <w:proofErr w:type="spellEnd"/>
            <w:r>
              <w:t xml:space="preserve">-effective doses are </w:t>
            </w:r>
            <w:proofErr w:type="spellStart"/>
            <w:r>
              <w:t>empagliflozin</w:t>
            </w:r>
            <w:proofErr w:type="spellEnd"/>
            <w:r>
              <w:t xml:space="preserve"> </w:t>
            </w:r>
            <w:r w:rsidRPr="00F32FBE">
              <w:rPr>
                <w:color w:val="000000" w:themeColor="text1"/>
              </w:rPr>
              <w:t xml:space="preserve">10mg or 25mg </w:t>
            </w:r>
            <w:r>
              <w:t xml:space="preserve">and </w:t>
            </w:r>
            <w:proofErr w:type="spellStart"/>
            <w:r>
              <w:t>dapagliflozin</w:t>
            </w:r>
            <w:proofErr w:type="spellEnd"/>
            <w:r>
              <w:t xml:space="preserve"> 10mg.</w:t>
            </w:r>
          </w:p>
        </w:tc>
      </w:tr>
      <w:tr w:rsidR="000366B0" w:rsidRPr="009216F7" w:rsidTr="004D49D8">
        <w:tc>
          <w:tcPr>
            <w:tcW w:w="1141" w:type="pct"/>
            <w:shd w:val="pct12" w:color="auto" w:fill="auto"/>
          </w:tcPr>
          <w:p w:rsidR="000366B0" w:rsidRPr="00F32FBE" w:rsidRDefault="000366B0" w:rsidP="00813FF0">
            <w:pPr>
              <w:pStyle w:val="Tablewriting"/>
              <w:rPr>
                <w:b/>
              </w:rPr>
            </w:pPr>
            <w:proofErr w:type="spellStart"/>
            <w:r w:rsidRPr="00F32FBE">
              <w:rPr>
                <w:b/>
              </w:rPr>
              <w:t>Gliptins</w:t>
            </w:r>
            <w:proofErr w:type="spellEnd"/>
          </w:p>
        </w:tc>
        <w:tc>
          <w:tcPr>
            <w:tcW w:w="849" w:type="pct"/>
            <w:tcBorders>
              <w:bottom w:val="single" w:sz="4" w:space="0" w:color="auto"/>
            </w:tcBorders>
            <w:shd w:val="pct12" w:color="auto" w:fill="auto"/>
          </w:tcPr>
          <w:p w:rsidR="000366B0" w:rsidRPr="00F32FBE" w:rsidRDefault="000366B0" w:rsidP="00813FF0">
            <w:pPr>
              <w:pStyle w:val="Tablewriting"/>
              <w:rPr>
                <w:b/>
              </w:rPr>
            </w:pPr>
          </w:p>
        </w:tc>
        <w:tc>
          <w:tcPr>
            <w:tcW w:w="3010" w:type="pct"/>
            <w:tcBorders>
              <w:bottom w:val="single" w:sz="4" w:space="0" w:color="auto"/>
            </w:tcBorders>
            <w:shd w:val="pct12" w:color="auto" w:fill="auto"/>
          </w:tcPr>
          <w:p w:rsidR="000366B0" w:rsidRPr="00F32FBE" w:rsidRDefault="000366B0" w:rsidP="00813FF0">
            <w:pPr>
              <w:pStyle w:val="Tablewriting"/>
              <w:rPr>
                <w:b/>
              </w:rPr>
            </w:pPr>
          </w:p>
        </w:tc>
      </w:tr>
      <w:tr w:rsidR="000366B0" w:rsidRPr="00511BE5" w:rsidTr="004D49D8">
        <w:tc>
          <w:tcPr>
            <w:tcW w:w="1141" w:type="pct"/>
          </w:tcPr>
          <w:p w:rsidR="000366B0" w:rsidRPr="00F4346B" w:rsidRDefault="000366B0" w:rsidP="00813FF0">
            <w:pPr>
              <w:pStyle w:val="Tablewriting"/>
            </w:pPr>
            <w:r w:rsidRPr="00F32FBE">
              <w:rPr>
                <w:b/>
                <w:i/>
              </w:rPr>
              <w:t>Dual oral therapy</w:t>
            </w:r>
            <w:r w:rsidRPr="00F4346B">
              <w:t xml:space="preserve"> with either metformin or a sulfonylurea</w:t>
            </w:r>
          </w:p>
          <w:p w:rsidR="000366B0" w:rsidRPr="00F4346B" w:rsidRDefault="000366B0" w:rsidP="00813FF0">
            <w:pPr>
              <w:pStyle w:val="Tablewriting"/>
            </w:pPr>
          </w:p>
          <w:p w:rsidR="000366B0" w:rsidRPr="00511BE5" w:rsidRDefault="000366B0" w:rsidP="00813FF0">
            <w:pPr>
              <w:pStyle w:val="Tablewriting"/>
            </w:pPr>
          </w:p>
        </w:tc>
        <w:tc>
          <w:tcPr>
            <w:tcW w:w="849" w:type="pct"/>
            <w:shd w:val="clear" w:color="auto" w:fill="auto"/>
          </w:tcPr>
          <w:p w:rsidR="000366B0" w:rsidRDefault="000366B0" w:rsidP="00813FF0">
            <w:pPr>
              <w:pStyle w:val="Tablewriting"/>
            </w:pPr>
            <w:r>
              <w:t>1 Dec 2013 (</w:t>
            </w:r>
            <w:proofErr w:type="spellStart"/>
            <w:r>
              <w:t>alogliptin</w:t>
            </w:r>
            <w:proofErr w:type="spellEnd"/>
            <w:r w:rsidRPr="00F32FBE">
              <w:rPr>
                <w:vertAlign w:val="superscript"/>
              </w:rPr>
              <w:t>+</w:t>
            </w:r>
            <w:r>
              <w:t>)</w:t>
            </w:r>
          </w:p>
          <w:p w:rsidR="000366B0" w:rsidRDefault="000366B0" w:rsidP="00813FF0">
            <w:pPr>
              <w:pStyle w:val="Tablewriting"/>
            </w:pPr>
            <w:r>
              <w:t>1 April 2014 (</w:t>
            </w:r>
            <w:proofErr w:type="spellStart"/>
            <w:r>
              <w:t>linagliptin</w:t>
            </w:r>
            <w:proofErr w:type="spellEnd"/>
            <w:r>
              <w:t xml:space="preserve">, </w:t>
            </w:r>
            <w:proofErr w:type="spellStart"/>
            <w:r>
              <w:t>saxagliptin</w:t>
            </w:r>
            <w:proofErr w:type="spellEnd"/>
            <w:r>
              <w:t>, sitagliptin</w:t>
            </w:r>
            <w:r w:rsidRPr="00F32FBE">
              <w:rPr>
                <w:vertAlign w:val="superscript"/>
              </w:rPr>
              <w:t>+</w:t>
            </w:r>
            <w:r>
              <w:t xml:space="preserve">, </w:t>
            </w:r>
            <w:proofErr w:type="spellStart"/>
            <w:r>
              <w:t>vildagliptin</w:t>
            </w:r>
            <w:proofErr w:type="spellEnd"/>
            <w:r>
              <w:t>)</w:t>
            </w:r>
          </w:p>
        </w:tc>
        <w:tc>
          <w:tcPr>
            <w:tcW w:w="3010" w:type="pct"/>
            <w:shd w:val="clear" w:color="auto" w:fill="auto"/>
          </w:tcPr>
          <w:p w:rsidR="000366B0" w:rsidRDefault="000366B0" w:rsidP="00813FF0">
            <w:pPr>
              <w:pStyle w:val="Tablewriting"/>
            </w:pPr>
            <w:r w:rsidRPr="00F4346B">
              <w:t xml:space="preserve">Previously, a </w:t>
            </w:r>
            <w:proofErr w:type="spellStart"/>
            <w:r w:rsidRPr="00F4346B">
              <w:t>gliptin</w:t>
            </w:r>
            <w:proofErr w:type="spellEnd"/>
            <w:r w:rsidRPr="00F4346B">
              <w:t xml:space="preserve"> could be added to either metformin or a </w:t>
            </w:r>
            <w:r w:rsidR="00493B74">
              <w:t>sulfonylurea</w:t>
            </w:r>
            <w:r w:rsidRPr="00F4346B">
              <w:t xml:space="preserve"> only if the patient was contraindicated to</w:t>
            </w:r>
            <w:r>
              <w:t>,</w:t>
            </w:r>
            <w:r w:rsidRPr="00F4346B">
              <w:t xml:space="preserve"> or intolerant of</w:t>
            </w:r>
            <w:r>
              <w:t>,</w:t>
            </w:r>
            <w:r w:rsidRPr="00F4346B">
              <w:t xml:space="preserve"> the combination of metformin and a </w:t>
            </w:r>
            <w:r w:rsidR="00B70C48">
              <w:t>sulfon</w:t>
            </w:r>
            <w:r w:rsidR="00B70C48" w:rsidRPr="00F4346B">
              <w:t>ylurea</w:t>
            </w:r>
            <w:r w:rsidRPr="00F4346B">
              <w:t>.</w:t>
            </w:r>
          </w:p>
          <w:p w:rsidR="000366B0" w:rsidRDefault="000366B0" w:rsidP="00813FF0">
            <w:pPr>
              <w:pStyle w:val="Tablewriting"/>
            </w:pPr>
            <w:r>
              <w:t xml:space="preserve">A DUSC report found that there was extensive use of </w:t>
            </w:r>
            <w:proofErr w:type="spellStart"/>
            <w:r>
              <w:t>gliptins</w:t>
            </w:r>
            <w:proofErr w:type="spellEnd"/>
            <w:r>
              <w:t xml:space="preserve"> in patients who had not trialled metformin and a sulfonylurea.  </w:t>
            </w:r>
            <w:r w:rsidRPr="00BD0A27">
              <w:t xml:space="preserve">The PBAC </w:t>
            </w:r>
            <w:r>
              <w:t xml:space="preserve">(April 2013) </w:t>
            </w:r>
            <w:r w:rsidRPr="00BD0A27">
              <w:t>recommended</w:t>
            </w:r>
            <w:r>
              <w:t xml:space="preserve"> listing</w:t>
            </w:r>
            <w:r w:rsidRPr="00BD0A27">
              <w:t xml:space="preserve"> at a reduced price, where the likely proportion of use in patients who have not trialled a sulfonylurea was cost-minimised to the average daily dose of a sulfonylurea in combination with metformin.</w:t>
            </w:r>
          </w:p>
        </w:tc>
      </w:tr>
    </w:tbl>
    <w:p w:rsidR="00FA3DDC" w:rsidRDefault="00FA3DDC" w:rsidP="00813FF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58"/>
        <w:gridCol w:w="5522"/>
      </w:tblGrid>
      <w:tr w:rsidR="00B70C48" w:rsidRPr="00511BE5" w:rsidTr="00B44419">
        <w:trPr>
          <w:cantSplit/>
          <w:tblHeader/>
        </w:trPr>
        <w:tc>
          <w:tcPr>
            <w:tcW w:w="1141" w:type="pct"/>
            <w:shd w:val="clear" w:color="auto" w:fill="auto"/>
          </w:tcPr>
          <w:p w:rsidR="00B70C48" w:rsidRPr="00511BE5" w:rsidRDefault="00B70C48" w:rsidP="00B44419">
            <w:pPr>
              <w:pStyle w:val="Tableheading"/>
              <w:rPr>
                <w:sz w:val="20"/>
                <w:szCs w:val="20"/>
              </w:rPr>
            </w:pPr>
            <w:r w:rsidRPr="00511BE5">
              <w:rPr>
                <w:sz w:val="20"/>
                <w:szCs w:val="20"/>
              </w:rPr>
              <w:lastRenderedPageBreak/>
              <w:t>Summarised restriction</w:t>
            </w:r>
          </w:p>
        </w:tc>
        <w:tc>
          <w:tcPr>
            <w:tcW w:w="849" w:type="pct"/>
            <w:shd w:val="clear" w:color="auto" w:fill="auto"/>
          </w:tcPr>
          <w:p w:rsidR="00B70C48" w:rsidRPr="00511BE5" w:rsidRDefault="00B70C48" w:rsidP="00B44419">
            <w:pPr>
              <w:pStyle w:val="Tableheading"/>
              <w:rPr>
                <w:sz w:val="20"/>
                <w:szCs w:val="20"/>
              </w:rPr>
            </w:pPr>
            <w:r w:rsidRPr="00511BE5">
              <w:rPr>
                <w:sz w:val="20"/>
                <w:szCs w:val="20"/>
              </w:rPr>
              <w:t>Date</w:t>
            </w:r>
            <w:r>
              <w:rPr>
                <w:sz w:val="20"/>
                <w:szCs w:val="20"/>
              </w:rPr>
              <w:t xml:space="preserve"> of listing/change</w:t>
            </w:r>
          </w:p>
        </w:tc>
        <w:tc>
          <w:tcPr>
            <w:tcW w:w="3010" w:type="pct"/>
            <w:shd w:val="clear" w:color="auto" w:fill="auto"/>
          </w:tcPr>
          <w:p w:rsidR="00B70C48" w:rsidRPr="000C47E2" w:rsidRDefault="00B70C48" w:rsidP="00B44419">
            <w:pPr>
              <w:pStyle w:val="Tableheading"/>
              <w:rPr>
                <w:sz w:val="20"/>
                <w:szCs w:val="20"/>
              </w:rPr>
            </w:pPr>
            <w:r>
              <w:rPr>
                <w:sz w:val="20"/>
                <w:szCs w:val="20"/>
              </w:rPr>
              <w:t>R</w:t>
            </w:r>
            <w:r w:rsidRPr="000C47E2">
              <w:rPr>
                <w:sz w:val="20"/>
                <w:szCs w:val="20"/>
              </w:rPr>
              <w:t>elevant aspects of PBAC consideration</w:t>
            </w:r>
            <w:r>
              <w:rPr>
                <w:sz w:val="20"/>
                <w:szCs w:val="20"/>
              </w:rPr>
              <w:t>^</w:t>
            </w:r>
          </w:p>
          <w:p w:rsidR="00B70C48" w:rsidRPr="00511BE5" w:rsidRDefault="00B70C48" w:rsidP="00B44419">
            <w:pPr>
              <w:pStyle w:val="Tableheading"/>
              <w:rPr>
                <w:sz w:val="20"/>
                <w:szCs w:val="20"/>
              </w:rPr>
            </w:pPr>
          </w:p>
        </w:tc>
      </w:tr>
      <w:tr w:rsidR="00FA3DDC" w:rsidRPr="009216F7" w:rsidTr="0026586A">
        <w:tc>
          <w:tcPr>
            <w:tcW w:w="1141" w:type="pct"/>
            <w:tcBorders>
              <w:top w:val="single" w:sz="4" w:space="0" w:color="auto"/>
              <w:left w:val="single" w:sz="4" w:space="0" w:color="auto"/>
              <w:bottom w:val="single" w:sz="4" w:space="0" w:color="auto"/>
              <w:right w:val="single" w:sz="4" w:space="0" w:color="auto"/>
            </w:tcBorders>
            <w:shd w:val="pct12" w:color="auto" w:fill="auto"/>
          </w:tcPr>
          <w:p w:rsidR="00FA3DDC" w:rsidRPr="00FA3DDC" w:rsidRDefault="00FA3DDC" w:rsidP="00813FF0">
            <w:pPr>
              <w:pStyle w:val="Tablewriting"/>
              <w:rPr>
                <w:b/>
                <w:i/>
              </w:rPr>
            </w:pPr>
            <w:proofErr w:type="spellStart"/>
            <w:r w:rsidRPr="00FA3DDC">
              <w:rPr>
                <w:b/>
                <w:i/>
              </w:rPr>
              <w:t>Gliptins</w:t>
            </w:r>
            <w:proofErr w:type="spellEnd"/>
            <w:r>
              <w:rPr>
                <w:b/>
                <w:i/>
              </w:rPr>
              <w:t xml:space="preserve"> (continued)</w:t>
            </w:r>
          </w:p>
        </w:tc>
        <w:tc>
          <w:tcPr>
            <w:tcW w:w="8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3DDC" w:rsidRPr="00FA3DDC" w:rsidRDefault="00FA3DDC" w:rsidP="00813FF0">
            <w:pPr>
              <w:pStyle w:val="Tablewriting"/>
            </w:pPr>
          </w:p>
        </w:tc>
        <w:tc>
          <w:tcPr>
            <w:tcW w:w="3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3DDC" w:rsidRPr="00FA3DDC" w:rsidRDefault="00FA3DDC" w:rsidP="00813FF0">
            <w:pPr>
              <w:pStyle w:val="Tablewriting"/>
            </w:pPr>
          </w:p>
        </w:tc>
      </w:tr>
      <w:tr w:rsidR="000366B0" w:rsidRPr="00511BE5" w:rsidTr="004D49D8">
        <w:tc>
          <w:tcPr>
            <w:tcW w:w="1141" w:type="pct"/>
          </w:tcPr>
          <w:p w:rsidR="000366B0" w:rsidRPr="00AE07E7" w:rsidRDefault="000366B0" w:rsidP="00813FF0">
            <w:pPr>
              <w:pStyle w:val="Tablewriting"/>
              <w:rPr>
                <w:b/>
                <w:i/>
              </w:rPr>
            </w:pPr>
            <w:r w:rsidRPr="00F4346B">
              <w:rPr>
                <w:b/>
                <w:i/>
              </w:rPr>
              <w:t xml:space="preserve">Triple oral therapy </w:t>
            </w:r>
            <w:r w:rsidRPr="00F32FBE">
              <w:t>– when dual oral therapy is inadequate</w:t>
            </w:r>
          </w:p>
        </w:tc>
        <w:tc>
          <w:tcPr>
            <w:tcW w:w="849" w:type="pct"/>
            <w:shd w:val="clear" w:color="auto" w:fill="auto"/>
          </w:tcPr>
          <w:p w:rsidR="000366B0" w:rsidRDefault="000366B0" w:rsidP="00813FF0">
            <w:pPr>
              <w:pStyle w:val="Tablewriting"/>
            </w:pPr>
            <w:r>
              <w:t>1 Dec 2015 (sitagliptin</w:t>
            </w:r>
            <w:r w:rsidRPr="00F32FBE">
              <w:rPr>
                <w:vertAlign w:val="superscript"/>
              </w:rPr>
              <w:t>+</w:t>
            </w:r>
            <w:r>
              <w:t xml:space="preserve">, </w:t>
            </w:r>
            <w:proofErr w:type="spellStart"/>
            <w:r>
              <w:t>saxagliptin</w:t>
            </w:r>
            <w:proofErr w:type="spellEnd"/>
            <w:r w:rsidRPr="00F32FBE">
              <w:rPr>
                <w:vertAlign w:val="superscript"/>
              </w:rPr>
              <w:t>+</w:t>
            </w:r>
            <w:r>
              <w:t>)</w:t>
            </w:r>
          </w:p>
          <w:p w:rsidR="000366B0" w:rsidRDefault="000366B0" w:rsidP="00813FF0">
            <w:pPr>
              <w:pStyle w:val="Tablewriting"/>
            </w:pPr>
          </w:p>
          <w:p w:rsidR="000366B0" w:rsidRDefault="000366B0" w:rsidP="00813FF0">
            <w:pPr>
              <w:pStyle w:val="Tablewriting"/>
            </w:pPr>
          </w:p>
        </w:tc>
        <w:tc>
          <w:tcPr>
            <w:tcW w:w="3010" w:type="pct"/>
            <w:shd w:val="clear" w:color="auto" w:fill="auto"/>
          </w:tcPr>
          <w:p w:rsidR="000366B0" w:rsidRPr="00F4346B" w:rsidRDefault="000366B0" w:rsidP="00813FF0">
            <w:pPr>
              <w:pStyle w:val="Tablewriting"/>
            </w:pPr>
            <w:r w:rsidRPr="002F5F31">
              <w:t xml:space="preserve">Cost minimisation analysis compared with </w:t>
            </w:r>
            <w:proofErr w:type="spellStart"/>
            <w:r w:rsidRPr="002F5F31">
              <w:t>dapagliflozin</w:t>
            </w:r>
            <w:proofErr w:type="spellEnd"/>
            <w:r w:rsidRPr="002F5F31">
              <w:t xml:space="preserve"> in combination with MET and a SU. The </w:t>
            </w:r>
            <w:proofErr w:type="spellStart"/>
            <w:r w:rsidRPr="002F5F31">
              <w:t>equi</w:t>
            </w:r>
            <w:proofErr w:type="spellEnd"/>
            <w:r w:rsidRPr="002F5F31">
              <w:t xml:space="preserve">-effective doses are sitagliptin 100mg </w:t>
            </w:r>
            <w:r w:rsidRPr="00F32FBE">
              <w:t xml:space="preserve">or </w:t>
            </w:r>
            <w:proofErr w:type="spellStart"/>
            <w:r w:rsidRPr="00F32FBE">
              <w:t>saxagliptin</w:t>
            </w:r>
            <w:proofErr w:type="spellEnd"/>
            <w:r w:rsidRPr="00F32FBE">
              <w:t xml:space="preserve"> 5mg/day </w:t>
            </w:r>
            <w:r w:rsidRPr="002F5F31">
              <w:t xml:space="preserve">and </w:t>
            </w:r>
            <w:proofErr w:type="spellStart"/>
            <w:r w:rsidRPr="002F5F31">
              <w:t>dapagliflozin</w:t>
            </w:r>
            <w:proofErr w:type="spellEnd"/>
            <w:r w:rsidRPr="002F5F31">
              <w:t xml:space="preserve"> 10mg</w:t>
            </w:r>
            <w:r w:rsidRPr="00F4346B">
              <w:t>.</w:t>
            </w:r>
            <w:r>
              <w:t xml:space="preserve"> </w:t>
            </w:r>
          </w:p>
        </w:tc>
      </w:tr>
      <w:tr w:rsidR="000366B0" w:rsidRPr="00511BE5" w:rsidTr="004D49D8">
        <w:tc>
          <w:tcPr>
            <w:tcW w:w="1141" w:type="pct"/>
          </w:tcPr>
          <w:p w:rsidR="000366B0" w:rsidRPr="00F4346B" w:rsidRDefault="000366B0" w:rsidP="00813FF0">
            <w:pPr>
              <w:pStyle w:val="Tablewriting"/>
              <w:rPr>
                <w:b/>
                <w:i/>
              </w:rPr>
            </w:pPr>
          </w:p>
        </w:tc>
        <w:tc>
          <w:tcPr>
            <w:tcW w:w="849" w:type="pct"/>
            <w:shd w:val="clear" w:color="auto" w:fill="auto"/>
          </w:tcPr>
          <w:p w:rsidR="000366B0" w:rsidRDefault="000366B0" w:rsidP="00813FF0">
            <w:pPr>
              <w:pStyle w:val="Tablewriting"/>
            </w:pPr>
            <w:r w:rsidRPr="00DF77E6">
              <w:t>1 Sept 2016 (</w:t>
            </w:r>
            <w:proofErr w:type="spellStart"/>
            <w:r w:rsidRPr="00DF77E6">
              <w:t>vildagliptin</w:t>
            </w:r>
            <w:proofErr w:type="spellEnd"/>
            <w:r w:rsidRPr="00DF77E6">
              <w:rPr>
                <w:vertAlign w:val="superscript"/>
              </w:rPr>
              <w:t>+</w:t>
            </w:r>
            <w:r>
              <w:t xml:space="preserve">) </w:t>
            </w:r>
          </w:p>
        </w:tc>
        <w:tc>
          <w:tcPr>
            <w:tcW w:w="3010" w:type="pct"/>
            <w:shd w:val="clear" w:color="auto" w:fill="auto"/>
          </w:tcPr>
          <w:p w:rsidR="000366B0" w:rsidRPr="006422EB" w:rsidRDefault="000366B0" w:rsidP="00813FF0">
            <w:pPr>
              <w:pStyle w:val="Tablewriting"/>
            </w:pPr>
            <w:r w:rsidRPr="00CC6C89">
              <w:t>Cost-</w:t>
            </w:r>
            <w:r w:rsidR="00B70C48">
              <w:t>minimis</w:t>
            </w:r>
            <w:r w:rsidR="00B70C48" w:rsidRPr="00CC6C89">
              <w:t>ation</w:t>
            </w:r>
            <w:r w:rsidRPr="00CC6C89">
              <w:t xml:space="preserve"> with </w:t>
            </w:r>
            <w:proofErr w:type="spellStart"/>
            <w:r w:rsidRPr="00CC6C89">
              <w:t>dapagliflozin</w:t>
            </w:r>
            <w:proofErr w:type="spellEnd"/>
            <w:r w:rsidRPr="006422EB">
              <w:t xml:space="preserve">. </w:t>
            </w:r>
            <w:r w:rsidRPr="006422EB" w:rsidDel="00D45704">
              <w:t xml:space="preserve">The </w:t>
            </w:r>
            <w:proofErr w:type="spellStart"/>
            <w:r w:rsidRPr="006422EB" w:rsidDel="00D45704">
              <w:t>equi</w:t>
            </w:r>
            <w:proofErr w:type="spellEnd"/>
            <w:r w:rsidRPr="006422EB" w:rsidDel="00D45704">
              <w:t xml:space="preserve">-effective doses were </w:t>
            </w:r>
            <w:proofErr w:type="spellStart"/>
            <w:r w:rsidRPr="006422EB">
              <w:t>dapagliflozin</w:t>
            </w:r>
            <w:proofErr w:type="spellEnd"/>
            <w:r w:rsidRPr="006422EB">
              <w:t xml:space="preserve"> 10mg/day</w:t>
            </w:r>
            <w:r w:rsidRPr="006422EB" w:rsidDel="00D45704">
              <w:t xml:space="preserve"> </w:t>
            </w:r>
            <w:r w:rsidRPr="006422EB">
              <w:t xml:space="preserve"> and </w:t>
            </w:r>
            <w:proofErr w:type="spellStart"/>
            <w:r w:rsidRPr="006422EB" w:rsidDel="00D45704">
              <w:t>vildagliptin</w:t>
            </w:r>
            <w:proofErr w:type="spellEnd"/>
            <w:r w:rsidRPr="006422EB" w:rsidDel="00D45704">
              <w:t xml:space="preserve"> 100mg/day (given as two 50mg doses) </w:t>
            </w:r>
          </w:p>
        </w:tc>
      </w:tr>
      <w:tr w:rsidR="000366B0" w:rsidRPr="00511BE5" w:rsidTr="004D49D8">
        <w:tc>
          <w:tcPr>
            <w:tcW w:w="1141" w:type="pct"/>
          </w:tcPr>
          <w:p w:rsidR="000366B0" w:rsidRDefault="000366B0" w:rsidP="00813FF0">
            <w:pPr>
              <w:pStyle w:val="Tablewriting"/>
              <w:rPr>
                <w:b/>
                <w:i/>
              </w:rPr>
            </w:pPr>
          </w:p>
        </w:tc>
        <w:tc>
          <w:tcPr>
            <w:tcW w:w="849" w:type="pct"/>
            <w:shd w:val="clear" w:color="auto" w:fill="auto"/>
          </w:tcPr>
          <w:p w:rsidR="000366B0" w:rsidRDefault="000366B0" w:rsidP="00813FF0">
            <w:pPr>
              <w:pStyle w:val="Tablewriting"/>
            </w:pPr>
            <w:r w:rsidRPr="002060B5">
              <w:t>1 Sept 2016 (</w:t>
            </w:r>
            <w:proofErr w:type="spellStart"/>
            <w:r w:rsidRPr="002060B5">
              <w:t>linagliptin</w:t>
            </w:r>
            <w:proofErr w:type="spellEnd"/>
            <w:r w:rsidRPr="002060B5">
              <w:rPr>
                <w:vertAlign w:val="superscript"/>
              </w:rPr>
              <w:t>+</w:t>
            </w:r>
            <w:r w:rsidRPr="002060B5">
              <w:t>)</w:t>
            </w:r>
          </w:p>
        </w:tc>
        <w:tc>
          <w:tcPr>
            <w:tcW w:w="3010" w:type="pct"/>
            <w:shd w:val="clear" w:color="auto" w:fill="auto"/>
          </w:tcPr>
          <w:p w:rsidR="000366B0" w:rsidRDefault="000366B0" w:rsidP="00813FF0">
            <w:pPr>
              <w:pStyle w:val="Tablewriting"/>
            </w:pPr>
            <w:r>
              <w:t>Cost-</w:t>
            </w:r>
            <w:r w:rsidR="00B70C48">
              <w:t>minimisation</w:t>
            </w:r>
            <w:r>
              <w:t xml:space="preserve"> with sitagliptin. The </w:t>
            </w:r>
            <w:proofErr w:type="spellStart"/>
            <w:r>
              <w:t>equi</w:t>
            </w:r>
            <w:proofErr w:type="spellEnd"/>
            <w:r>
              <w:t xml:space="preserve">-effective doses were </w:t>
            </w:r>
            <w:proofErr w:type="spellStart"/>
            <w:r>
              <w:t>linagliptin</w:t>
            </w:r>
            <w:proofErr w:type="spellEnd"/>
            <w:r>
              <w:t xml:space="preserve"> 5mg and sitagliptin 100mg.</w:t>
            </w:r>
          </w:p>
        </w:tc>
      </w:tr>
      <w:tr w:rsidR="000366B0" w:rsidRPr="00511BE5" w:rsidTr="004D49D8">
        <w:tc>
          <w:tcPr>
            <w:tcW w:w="1141" w:type="pct"/>
            <w:tcBorders>
              <w:bottom w:val="single" w:sz="4" w:space="0" w:color="auto"/>
            </w:tcBorders>
          </w:tcPr>
          <w:p w:rsidR="000366B0" w:rsidRPr="00AE07E7" w:rsidRDefault="00021AE6" w:rsidP="00813FF0">
            <w:pPr>
              <w:pStyle w:val="Tablewriting"/>
              <w:rPr>
                <w:b/>
                <w:i/>
              </w:rPr>
            </w:pPr>
            <w:r>
              <w:rPr>
                <w:b/>
                <w:i/>
              </w:rPr>
              <w:t>Use with insulin*</w:t>
            </w:r>
          </w:p>
        </w:tc>
        <w:tc>
          <w:tcPr>
            <w:tcW w:w="849" w:type="pct"/>
            <w:tcBorders>
              <w:bottom w:val="single" w:sz="4" w:space="0" w:color="auto"/>
            </w:tcBorders>
            <w:shd w:val="clear" w:color="auto" w:fill="auto"/>
          </w:tcPr>
          <w:p w:rsidR="000366B0" w:rsidRDefault="000366B0" w:rsidP="00813FF0">
            <w:pPr>
              <w:pStyle w:val="Tablewriting"/>
            </w:pPr>
            <w:r>
              <w:t>1 Oct 2016 (sitagliptin</w:t>
            </w:r>
            <w:r w:rsidRPr="00F32FBE">
              <w:rPr>
                <w:vertAlign w:val="superscript"/>
              </w:rPr>
              <w:t>+</w:t>
            </w:r>
            <w:r>
              <w:t xml:space="preserve">, </w:t>
            </w:r>
            <w:proofErr w:type="spellStart"/>
            <w:r>
              <w:t>linagliptin</w:t>
            </w:r>
            <w:proofErr w:type="spellEnd"/>
            <w:r>
              <w:t>)</w:t>
            </w:r>
          </w:p>
        </w:tc>
        <w:tc>
          <w:tcPr>
            <w:tcW w:w="3010" w:type="pct"/>
            <w:tcBorders>
              <w:bottom w:val="single" w:sz="4" w:space="0" w:color="auto"/>
            </w:tcBorders>
            <w:shd w:val="clear" w:color="auto" w:fill="auto"/>
          </w:tcPr>
          <w:p w:rsidR="000366B0" w:rsidRPr="00F4346B" w:rsidRDefault="000366B0" w:rsidP="00813FF0">
            <w:pPr>
              <w:pStyle w:val="Tablewriting"/>
            </w:pPr>
            <w:r>
              <w:t>C</w:t>
            </w:r>
            <w:r w:rsidRPr="00F4346B">
              <w:t xml:space="preserve">ost-minimisation basis with </w:t>
            </w:r>
            <w:proofErr w:type="spellStart"/>
            <w:r w:rsidRPr="00F4346B">
              <w:t>dapagliflozin</w:t>
            </w:r>
            <w:proofErr w:type="spellEnd"/>
            <w:r w:rsidRPr="00F4346B">
              <w:t xml:space="preserve"> in combination with insulin. The </w:t>
            </w:r>
            <w:proofErr w:type="spellStart"/>
            <w:r w:rsidRPr="00F4346B">
              <w:t>equi</w:t>
            </w:r>
            <w:proofErr w:type="spellEnd"/>
            <w:r w:rsidRPr="00F4346B">
              <w:t xml:space="preserve">-effective doses were sitagliptin 100mg </w:t>
            </w:r>
            <w:r>
              <w:t xml:space="preserve">or </w:t>
            </w:r>
            <w:proofErr w:type="spellStart"/>
            <w:r>
              <w:t>linagliptin</w:t>
            </w:r>
            <w:proofErr w:type="spellEnd"/>
            <w:r>
              <w:t xml:space="preserve"> 5mg </w:t>
            </w:r>
            <w:r w:rsidRPr="00F4346B">
              <w:t xml:space="preserve">and </w:t>
            </w:r>
            <w:proofErr w:type="spellStart"/>
            <w:r w:rsidRPr="00F4346B">
              <w:t>dapagliflozin</w:t>
            </w:r>
            <w:proofErr w:type="spellEnd"/>
            <w:r w:rsidRPr="00F4346B">
              <w:t xml:space="preserve"> 10mg. </w:t>
            </w:r>
          </w:p>
        </w:tc>
      </w:tr>
      <w:tr w:rsidR="000366B0" w:rsidRPr="00511BE5" w:rsidTr="004D49D8">
        <w:tc>
          <w:tcPr>
            <w:tcW w:w="1141" w:type="pct"/>
            <w:shd w:val="pct12" w:color="auto" w:fill="auto"/>
          </w:tcPr>
          <w:p w:rsidR="000366B0" w:rsidRPr="00F32FBE" w:rsidRDefault="000366B0" w:rsidP="00813FF0">
            <w:pPr>
              <w:pStyle w:val="Tablewriting"/>
              <w:rPr>
                <w:b/>
              </w:rPr>
            </w:pPr>
            <w:r w:rsidRPr="00F32FBE">
              <w:rPr>
                <w:b/>
              </w:rPr>
              <w:t>GLP-1 anal</w:t>
            </w:r>
            <w:r>
              <w:rPr>
                <w:b/>
              </w:rPr>
              <w:t>o</w:t>
            </w:r>
            <w:r w:rsidRPr="00F32FBE">
              <w:rPr>
                <w:b/>
              </w:rPr>
              <w:t>gues</w:t>
            </w:r>
          </w:p>
        </w:tc>
        <w:tc>
          <w:tcPr>
            <w:tcW w:w="849" w:type="pct"/>
            <w:shd w:val="pct12" w:color="auto" w:fill="auto"/>
          </w:tcPr>
          <w:p w:rsidR="000366B0" w:rsidRDefault="000366B0" w:rsidP="00813FF0">
            <w:pPr>
              <w:pStyle w:val="Tablewriting"/>
            </w:pPr>
          </w:p>
        </w:tc>
        <w:tc>
          <w:tcPr>
            <w:tcW w:w="3010" w:type="pct"/>
            <w:shd w:val="pct12" w:color="auto" w:fill="auto"/>
          </w:tcPr>
          <w:p w:rsidR="000366B0" w:rsidRPr="00F4346B" w:rsidRDefault="000366B0" w:rsidP="00813FF0">
            <w:pPr>
              <w:pStyle w:val="Tablewriting"/>
            </w:pPr>
          </w:p>
        </w:tc>
      </w:tr>
      <w:tr w:rsidR="000366B0" w:rsidRPr="00511BE5" w:rsidTr="004D49D8">
        <w:tc>
          <w:tcPr>
            <w:tcW w:w="1141" w:type="pct"/>
          </w:tcPr>
          <w:p w:rsidR="000366B0" w:rsidRPr="00AE07E7" w:rsidRDefault="000366B0" w:rsidP="00813FF0">
            <w:pPr>
              <w:pStyle w:val="Tablewriting"/>
              <w:rPr>
                <w:b/>
                <w:i/>
              </w:rPr>
            </w:pPr>
            <w:r>
              <w:rPr>
                <w:b/>
                <w:i/>
              </w:rPr>
              <w:t>Trip</w:t>
            </w:r>
            <w:r w:rsidR="00021AE6">
              <w:rPr>
                <w:b/>
                <w:i/>
              </w:rPr>
              <w:t>le therapy with insulin*</w:t>
            </w:r>
          </w:p>
        </w:tc>
        <w:tc>
          <w:tcPr>
            <w:tcW w:w="849" w:type="pct"/>
            <w:shd w:val="clear" w:color="auto" w:fill="auto"/>
          </w:tcPr>
          <w:p w:rsidR="000366B0" w:rsidRDefault="000366B0" w:rsidP="00813FF0">
            <w:pPr>
              <w:pStyle w:val="Tablewriting"/>
            </w:pPr>
            <w:r>
              <w:t>1 Oct 2015 (</w:t>
            </w:r>
            <w:proofErr w:type="spellStart"/>
            <w:r>
              <w:t>exenatide</w:t>
            </w:r>
            <w:proofErr w:type="spellEnd"/>
            <w:r>
              <w:t>)</w:t>
            </w:r>
          </w:p>
        </w:tc>
        <w:tc>
          <w:tcPr>
            <w:tcW w:w="3010" w:type="pct"/>
            <w:shd w:val="clear" w:color="auto" w:fill="auto"/>
          </w:tcPr>
          <w:p w:rsidR="000366B0" w:rsidRPr="00F4346B" w:rsidRDefault="000366B0" w:rsidP="00813FF0">
            <w:pPr>
              <w:pStyle w:val="Tablewriting"/>
            </w:pPr>
            <w:r>
              <w:t>C</w:t>
            </w:r>
            <w:r w:rsidRPr="00985C7B">
              <w:t>ost analysis basis compared with intensification of insulin therapy to the full basal-bolus regimen</w:t>
            </w:r>
          </w:p>
        </w:tc>
      </w:tr>
      <w:tr w:rsidR="000366B0" w:rsidRPr="00511BE5" w:rsidTr="004D49D8">
        <w:tc>
          <w:tcPr>
            <w:tcW w:w="1141" w:type="pct"/>
          </w:tcPr>
          <w:p w:rsidR="000366B0" w:rsidRPr="00AE07E7" w:rsidRDefault="000366B0" w:rsidP="00813FF0">
            <w:pPr>
              <w:pStyle w:val="Tablewriting"/>
              <w:rPr>
                <w:b/>
                <w:i/>
              </w:rPr>
            </w:pPr>
            <w:r w:rsidRPr="00985C7B">
              <w:rPr>
                <w:b/>
                <w:i/>
              </w:rPr>
              <w:t xml:space="preserve">Once weekly </w:t>
            </w:r>
            <w:proofErr w:type="spellStart"/>
            <w:r w:rsidRPr="00985C7B">
              <w:rPr>
                <w:b/>
                <w:i/>
              </w:rPr>
              <w:t>exenatide</w:t>
            </w:r>
            <w:proofErr w:type="spellEnd"/>
            <w:r>
              <w:rPr>
                <w:b/>
                <w:i/>
              </w:rPr>
              <w:t xml:space="preserve"> </w:t>
            </w:r>
          </w:p>
        </w:tc>
        <w:tc>
          <w:tcPr>
            <w:tcW w:w="849" w:type="pct"/>
            <w:shd w:val="clear" w:color="auto" w:fill="auto"/>
          </w:tcPr>
          <w:p w:rsidR="000366B0" w:rsidRDefault="000366B0" w:rsidP="00813FF0">
            <w:pPr>
              <w:pStyle w:val="Tablewriting"/>
            </w:pPr>
            <w:r>
              <w:t>1 Sep 2016</w:t>
            </w:r>
          </w:p>
        </w:tc>
        <w:tc>
          <w:tcPr>
            <w:tcW w:w="3010" w:type="pct"/>
            <w:shd w:val="clear" w:color="auto" w:fill="auto"/>
          </w:tcPr>
          <w:p w:rsidR="000366B0" w:rsidRPr="00F4346B" w:rsidRDefault="000366B0" w:rsidP="00813FF0">
            <w:pPr>
              <w:pStyle w:val="Tablewriting"/>
            </w:pPr>
            <w:r>
              <w:t>C</w:t>
            </w:r>
            <w:r w:rsidRPr="00985C7B">
              <w:t xml:space="preserve">ost-minimisation with a partial cost offset for reduced needle use and a further small price advantage for </w:t>
            </w:r>
            <w:proofErr w:type="spellStart"/>
            <w:r w:rsidRPr="00985C7B">
              <w:t>exenatide</w:t>
            </w:r>
            <w:proofErr w:type="spellEnd"/>
            <w:r w:rsidRPr="00985C7B">
              <w:t xml:space="preserve"> 2 mg once weekly on the basis of potential health benefits from likely improved adherence by a small number of high clinical need populations.</w:t>
            </w:r>
          </w:p>
        </w:tc>
      </w:tr>
    </w:tbl>
    <w:p w:rsidR="00021AE6" w:rsidRDefault="00956CFC" w:rsidP="00813FF0">
      <w:pPr>
        <w:rPr>
          <w:rFonts w:cs="Calibri"/>
          <w:color w:val="000000"/>
          <w:sz w:val="20"/>
          <w:szCs w:val="20"/>
        </w:rPr>
      </w:pPr>
      <w:r>
        <w:rPr>
          <w:rFonts w:cs="Calibri"/>
          <w:color w:val="000000"/>
          <w:sz w:val="20"/>
          <w:szCs w:val="20"/>
          <w:vertAlign w:val="superscript"/>
        </w:rPr>
        <w:t xml:space="preserve">^ </w:t>
      </w:r>
      <w:r>
        <w:rPr>
          <w:rFonts w:cs="Calibri"/>
          <w:color w:val="000000"/>
          <w:sz w:val="20"/>
          <w:szCs w:val="20"/>
        </w:rPr>
        <w:t xml:space="preserve">Further information on the PBAC consideration is available from </w:t>
      </w:r>
      <w:r w:rsidRPr="00CC6457">
        <w:rPr>
          <w:rFonts w:cs="Calibri"/>
          <w:sz w:val="20"/>
          <w:szCs w:val="20"/>
        </w:rPr>
        <w:t>Public Summary Documents by Product</w:t>
      </w:r>
      <w:r>
        <w:rPr>
          <w:rFonts w:cs="Calibri"/>
          <w:color w:val="000000"/>
          <w:sz w:val="20"/>
          <w:szCs w:val="20"/>
        </w:rPr>
        <w:t>.</w:t>
      </w:r>
      <w:r w:rsidR="007769A9">
        <w:rPr>
          <w:rFonts w:cs="Calibri"/>
          <w:color w:val="000000"/>
          <w:sz w:val="20"/>
          <w:szCs w:val="20"/>
        </w:rPr>
        <w:br/>
      </w:r>
      <w:r w:rsidR="000366B0" w:rsidRPr="00CC6C89">
        <w:rPr>
          <w:rFonts w:cs="Calibri"/>
          <w:color w:val="000000"/>
          <w:sz w:val="20"/>
          <w:szCs w:val="20"/>
          <w:vertAlign w:val="superscript"/>
        </w:rPr>
        <w:t>+</w:t>
      </w:r>
      <w:r>
        <w:rPr>
          <w:rFonts w:cs="Calibri"/>
          <w:color w:val="000000"/>
          <w:sz w:val="20"/>
          <w:szCs w:val="20"/>
          <w:vertAlign w:val="superscript"/>
        </w:rPr>
        <w:t xml:space="preserve"> </w:t>
      </w:r>
      <w:r>
        <w:rPr>
          <w:rFonts w:cs="Calibri"/>
          <w:color w:val="000000"/>
          <w:sz w:val="20"/>
          <w:szCs w:val="20"/>
        </w:rPr>
        <w:t>I</w:t>
      </w:r>
      <w:r w:rsidR="000366B0" w:rsidRPr="00F32FBE">
        <w:rPr>
          <w:rFonts w:cs="Calibri"/>
          <w:color w:val="000000"/>
          <w:sz w:val="20"/>
          <w:szCs w:val="20"/>
        </w:rPr>
        <w:t xml:space="preserve">ndicates the change also </w:t>
      </w:r>
      <w:r>
        <w:rPr>
          <w:rFonts w:cs="Calibri"/>
          <w:color w:val="000000"/>
          <w:sz w:val="20"/>
          <w:szCs w:val="20"/>
        </w:rPr>
        <w:t>applied</w:t>
      </w:r>
      <w:r w:rsidR="000366B0" w:rsidRPr="00F32FBE">
        <w:rPr>
          <w:rFonts w:cs="Calibri"/>
          <w:color w:val="000000"/>
          <w:sz w:val="20"/>
          <w:szCs w:val="20"/>
        </w:rPr>
        <w:t xml:space="preserve"> to the fixed dose combination formulation cont</w:t>
      </w:r>
      <w:r w:rsidR="000366B0">
        <w:rPr>
          <w:rFonts w:cs="Calibri"/>
          <w:color w:val="000000"/>
          <w:sz w:val="20"/>
          <w:szCs w:val="20"/>
        </w:rPr>
        <w:t>ai</w:t>
      </w:r>
      <w:r w:rsidR="000366B0" w:rsidRPr="00F32FBE">
        <w:rPr>
          <w:rFonts w:cs="Calibri"/>
          <w:color w:val="000000"/>
          <w:sz w:val="20"/>
          <w:szCs w:val="20"/>
        </w:rPr>
        <w:t xml:space="preserve">ning metformin. </w:t>
      </w:r>
      <w:r w:rsidR="00B70C48">
        <w:rPr>
          <w:rFonts w:cs="Calibri"/>
          <w:color w:val="000000"/>
          <w:sz w:val="20"/>
          <w:szCs w:val="20"/>
        </w:rPr>
        <w:t xml:space="preserve">Listing   dates: </w:t>
      </w:r>
      <w:proofErr w:type="spellStart"/>
      <w:r w:rsidR="00B70C48">
        <w:rPr>
          <w:rFonts w:cs="Calibri"/>
          <w:color w:val="000000"/>
          <w:sz w:val="20"/>
          <w:szCs w:val="20"/>
        </w:rPr>
        <w:t>alogliptin</w:t>
      </w:r>
      <w:proofErr w:type="spellEnd"/>
      <w:r w:rsidR="00B70C48">
        <w:rPr>
          <w:rFonts w:cs="Calibri"/>
          <w:color w:val="000000"/>
          <w:sz w:val="20"/>
          <w:szCs w:val="20"/>
        </w:rPr>
        <w:t xml:space="preserve"> with metformin FDC (1 Feb 2014); </w:t>
      </w:r>
      <w:proofErr w:type="spellStart"/>
      <w:r w:rsidR="00B70C48">
        <w:rPr>
          <w:rFonts w:cs="Calibri"/>
          <w:color w:val="000000"/>
          <w:sz w:val="20"/>
          <w:szCs w:val="20"/>
        </w:rPr>
        <w:t>saxagliptin</w:t>
      </w:r>
      <w:proofErr w:type="spellEnd"/>
      <w:r w:rsidR="00B70C48">
        <w:rPr>
          <w:rFonts w:cs="Calibri"/>
          <w:color w:val="000000"/>
          <w:sz w:val="20"/>
          <w:szCs w:val="20"/>
        </w:rPr>
        <w:t xml:space="preserve"> or </w:t>
      </w:r>
      <w:proofErr w:type="spellStart"/>
      <w:r w:rsidR="00B70C48">
        <w:rPr>
          <w:rFonts w:cs="Calibri"/>
          <w:color w:val="000000"/>
          <w:sz w:val="20"/>
          <w:szCs w:val="20"/>
        </w:rPr>
        <w:t>linagliptin</w:t>
      </w:r>
      <w:proofErr w:type="spellEnd"/>
      <w:r w:rsidR="00B70C48">
        <w:rPr>
          <w:rFonts w:cs="Calibri"/>
          <w:color w:val="000000"/>
          <w:sz w:val="20"/>
          <w:szCs w:val="20"/>
        </w:rPr>
        <w:t xml:space="preserve"> with metformin FDCs (1 March 2014), </w:t>
      </w:r>
      <w:proofErr w:type="spellStart"/>
      <w:r w:rsidR="00B70C48">
        <w:rPr>
          <w:rFonts w:cs="Calibri"/>
          <w:color w:val="000000"/>
          <w:sz w:val="20"/>
          <w:szCs w:val="20"/>
        </w:rPr>
        <w:t>dapagliflozin</w:t>
      </w:r>
      <w:proofErr w:type="spellEnd"/>
      <w:r w:rsidR="00B70C48">
        <w:rPr>
          <w:rFonts w:cs="Calibri"/>
          <w:color w:val="000000"/>
          <w:sz w:val="20"/>
          <w:szCs w:val="20"/>
        </w:rPr>
        <w:t xml:space="preserve"> with metformin FDC (1 Oct 2015 -dual oral) and 1 Dec 2015-(triple oral and with insulin);</w:t>
      </w:r>
      <w:r w:rsidR="00B70C48" w:rsidRPr="000F3024">
        <w:rPr>
          <w:rFonts w:cs="Calibri"/>
          <w:color w:val="000000"/>
          <w:sz w:val="20"/>
          <w:szCs w:val="20"/>
        </w:rPr>
        <w:t xml:space="preserve"> </w:t>
      </w:r>
      <w:proofErr w:type="spellStart"/>
      <w:r w:rsidR="00B70C48">
        <w:rPr>
          <w:rFonts w:cs="Calibri"/>
          <w:color w:val="000000"/>
          <w:sz w:val="20"/>
          <w:szCs w:val="20"/>
        </w:rPr>
        <w:t>e</w:t>
      </w:r>
      <w:r w:rsidR="00B70C48" w:rsidRPr="000F3024">
        <w:rPr>
          <w:rFonts w:cs="Calibri"/>
          <w:color w:val="000000"/>
          <w:sz w:val="20"/>
          <w:szCs w:val="20"/>
        </w:rPr>
        <w:t>mpagliflozin</w:t>
      </w:r>
      <w:proofErr w:type="spellEnd"/>
      <w:r w:rsidR="00B70C48" w:rsidRPr="000F3024">
        <w:rPr>
          <w:rFonts w:cs="Calibri"/>
          <w:color w:val="000000"/>
          <w:sz w:val="20"/>
          <w:szCs w:val="20"/>
        </w:rPr>
        <w:t xml:space="preserve"> with met</w:t>
      </w:r>
      <w:r w:rsidR="00B70C48">
        <w:rPr>
          <w:rFonts w:cs="Calibri"/>
          <w:color w:val="000000"/>
          <w:sz w:val="20"/>
          <w:szCs w:val="20"/>
        </w:rPr>
        <w:t>formin FDC (1 March 2016).</w:t>
      </w:r>
      <w:r w:rsidR="00B70C48">
        <w:rPr>
          <w:rFonts w:cs="Calibri"/>
          <w:color w:val="000000"/>
          <w:sz w:val="20"/>
          <w:szCs w:val="20"/>
        </w:rPr>
        <w:br/>
      </w:r>
      <w:r w:rsidR="000366B0" w:rsidRPr="00CC6C89">
        <w:rPr>
          <w:rFonts w:cs="Calibri"/>
          <w:color w:val="000000"/>
          <w:sz w:val="20"/>
          <w:szCs w:val="20"/>
          <w:vertAlign w:val="superscript"/>
        </w:rPr>
        <w:t>#</w:t>
      </w:r>
      <w:r>
        <w:rPr>
          <w:rFonts w:cs="Calibri"/>
          <w:color w:val="000000"/>
          <w:sz w:val="20"/>
          <w:szCs w:val="20"/>
          <w:vertAlign w:val="superscript"/>
        </w:rPr>
        <w:t xml:space="preserve"> </w:t>
      </w:r>
      <w:proofErr w:type="gramStart"/>
      <w:r>
        <w:rPr>
          <w:rFonts w:cs="Calibri"/>
          <w:color w:val="000000"/>
          <w:sz w:val="20"/>
          <w:szCs w:val="20"/>
        </w:rPr>
        <w:t>D</w:t>
      </w:r>
      <w:r w:rsidR="000366B0">
        <w:rPr>
          <w:rFonts w:cs="Calibri"/>
          <w:color w:val="000000"/>
          <w:sz w:val="20"/>
          <w:szCs w:val="20"/>
        </w:rPr>
        <w:t>elisted</w:t>
      </w:r>
      <w:proofErr w:type="gramEnd"/>
      <w:r w:rsidR="000366B0">
        <w:rPr>
          <w:rFonts w:cs="Calibri"/>
          <w:color w:val="000000"/>
          <w:sz w:val="20"/>
          <w:szCs w:val="20"/>
        </w:rPr>
        <w:t xml:space="preserve"> 1 August 2013 </w:t>
      </w:r>
      <w:r w:rsidR="007769A9">
        <w:rPr>
          <w:rFonts w:cs="Calibri"/>
          <w:color w:val="000000"/>
          <w:sz w:val="20"/>
          <w:szCs w:val="20"/>
        </w:rPr>
        <w:br/>
      </w:r>
      <w:r w:rsidR="00021AE6">
        <w:rPr>
          <w:rFonts w:cs="Calibri"/>
          <w:color w:val="000000"/>
          <w:sz w:val="20"/>
          <w:szCs w:val="20"/>
        </w:rPr>
        <w:t xml:space="preserve">* </w:t>
      </w:r>
      <w:r w:rsidR="00021AE6" w:rsidRPr="00021AE6">
        <w:rPr>
          <w:rFonts w:cs="Calibri"/>
          <w:color w:val="000000"/>
          <w:sz w:val="20"/>
          <w:szCs w:val="20"/>
        </w:rPr>
        <w:t xml:space="preserve">despite treatment with insulin and oral </w:t>
      </w:r>
      <w:proofErr w:type="spellStart"/>
      <w:r w:rsidR="00021AE6" w:rsidRPr="00021AE6">
        <w:rPr>
          <w:rFonts w:cs="Calibri"/>
          <w:color w:val="000000"/>
          <w:sz w:val="20"/>
          <w:szCs w:val="20"/>
        </w:rPr>
        <w:t>antidiabetic</w:t>
      </w:r>
      <w:proofErr w:type="spellEnd"/>
      <w:r w:rsidR="00021AE6" w:rsidRPr="00021AE6">
        <w:rPr>
          <w:rFonts w:cs="Calibri"/>
          <w:color w:val="000000"/>
          <w:sz w:val="20"/>
          <w:szCs w:val="20"/>
        </w:rPr>
        <w:t xml:space="preserve"> agents, or insulin alone where metformin is contraindicated</w:t>
      </w:r>
      <w:r w:rsidR="00CE518D">
        <w:rPr>
          <w:rFonts w:cs="Calibri"/>
          <w:color w:val="000000"/>
          <w:sz w:val="20"/>
          <w:szCs w:val="20"/>
        </w:rPr>
        <w:t>.</w:t>
      </w:r>
    </w:p>
    <w:p w:rsidR="007769A9" w:rsidRDefault="000366B0" w:rsidP="00813FF0">
      <w:pPr>
        <w:pStyle w:val="BodyText1"/>
        <w:spacing w:after="200" w:line="240" w:lineRule="auto"/>
        <w:rPr>
          <w:rFonts w:asciiTheme="minorHAnsi" w:hAnsiTheme="minorHAnsi"/>
        </w:rPr>
      </w:pPr>
      <w:r w:rsidRPr="00F32FBE">
        <w:rPr>
          <w:rFonts w:asciiTheme="minorHAnsi" w:hAnsiTheme="minorHAnsi"/>
        </w:rPr>
        <w:t xml:space="preserve">The </w:t>
      </w:r>
      <w:r>
        <w:rPr>
          <w:rFonts w:asciiTheme="minorHAnsi" w:hAnsiTheme="minorHAnsi"/>
        </w:rPr>
        <w:t>basis for the listing of most diabetes medicines during this period was cost-mini</w:t>
      </w:r>
      <w:r w:rsidR="00630D5B">
        <w:rPr>
          <w:rFonts w:asciiTheme="minorHAnsi" w:hAnsiTheme="minorHAnsi"/>
        </w:rPr>
        <w:t xml:space="preserve">misation with alternative therapies. </w:t>
      </w:r>
      <w:r>
        <w:rPr>
          <w:rFonts w:asciiTheme="minorHAnsi" w:hAnsiTheme="minorHAnsi"/>
        </w:rPr>
        <w:t xml:space="preserve">Generally the listings were expected to be </w:t>
      </w:r>
      <w:r w:rsidR="007252A1">
        <w:rPr>
          <w:rFonts w:asciiTheme="minorHAnsi" w:hAnsiTheme="minorHAnsi"/>
        </w:rPr>
        <w:t xml:space="preserve">essentially </w:t>
      </w:r>
      <w:r>
        <w:rPr>
          <w:rFonts w:asciiTheme="minorHAnsi" w:hAnsiTheme="minorHAnsi"/>
        </w:rPr>
        <w:t xml:space="preserve">cost-neutral </w:t>
      </w:r>
      <w:r w:rsidR="00B118B0">
        <w:rPr>
          <w:rFonts w:asciiTheme="minorHAnsi" w:hAnsiTheme="minorHAnsi"/>
        </w:rPr>
        <w:t xml:space="preserve">or cost-saving </w:t>
      </w:r>
      <w:r>
        <w:rPr>
          <w:rFonts w:asciiTheme="minorHAnsi" w:hAnsiTheme="minorHAnsi"/>
        </w:rPr>
        <w:t>to the PB</w:t>
      </w:r>
      <w:r w:rsidR="00B118B0">
        <w:rPr>
          <w:rFonts w:asciiTheme="minorHAnsi" w:hAnsiTheme="minorHAnsi"/>
        </w:rPr>
        <w:t xml:space="preserve">S. </w:t>
      </w:r>
      <w:r>
        <w:rPr>
          <w:rFonts w:asciiTheme="minorHAnsi" w:hAnsiTheme="minorHAnsi"/>
        </w:rPr>
        <w:t>The exception was</w:t>
      </w:r>
      <w:r w:rsidR="00B118B0">
        <w:rPr>
          <w:rFonts w:asciiTheme="minorHAnsi" w:hAnsiTheme="minorHAnsi"/>
        </w:rPr>
        <w:t xml:space="preserve"> </w:t>
      </w:r>
      <w:r>
        <w:rPr>
          <w:rFonts w:asciiTheme="minorHAnsi" w:hAnsiTheme="minorHAnsi"/>
        </w:rPr>
        <w:t>a</w:t>
      </w:r>
      <w:r w:rsidR="007252A1">
        <w:rPr>
          <w:rFonts w:asciiTheme="minorHAnsi" w:hAnsiTheme="minorHAnsi"/>
        </w:rPr>
        <w:t>n</w:t>
      </w:r>
      <w:r w:rsidR="00735151">
        <w:rPr>
          <w:rFonts w:asciiTheme="minorHAnsi" w:hAnsiTheme="minorHAnsi"/>
        </w:rPr>
        <w:t xml:space="preserve"> </w:t>
      </w:r>
      <w:r>
        <w:rPr>
          <w:rFonts w:asciiTheme="minorHAnsi" w:hAnsiTheme="minorHAnsi"/>
        </w:rPr>
        <w:t xml:space="preserve">increase in </w:t>
      </w:r>
      <w:r w:rsidR="00E84EAC">
        <w:rPr>
          <w:rFonts w:asciiTheme="minorHAnsi" w:hAnsiTheme="minorHAnsi"/>
        </w:rPr>
        <w:t xml:space="preserve">net </w:t>
      </w:r>
      <w:r>
        <w:rPr>
          <w:rFonts w:asciiTheme="minorHAnsi" w:hAnsiTheme="minorHAnsi"/>
        </w:rPr>
        <w:t xml:space="preserve">cost to the PBS </w:t>
      </w:r>
      <w:r w:rsidR="00B118B0">
        <w:rPr>
          <w:rFonts w:asciiTheme="minorHAnsi" w:hAnsiTheme="minorHAnsi"/>
        </w:rPr>
        <w:t>with the listing of</w:t>
      </w:r>
      <w:r w:rsidR="00E84EAC">
        <w:rPr>
          <w:rFonts w:asciiTheme="minorHAnsi" w:hAnsiTheme="minorHAnsi"/>
        </w:rPr>
        <w:t xml:space="preserve"> the</w:t>
      </w:r>
      <w:r w:rsidR="00B118B0">
        <w:rPr>
          <w:rFonts w:asciiTheme="minorHAnsi" w:hAnsiTheme="minorHAnsi"/>
        </w:rPr>
        <w:t xml:space="preserve"> exenatide once weekly formulation</w:t>
      </w:r>
      <w:r w:rsidR="007252A1">
        <w:rPr>
          <w:rFonts w:asciiTheme="minorHAnsi" w:hAnsiTheme="minorHAnsi"/>
        </w:rPr>
        <w:t>, for which the cost to government was partially offset by a reduction in needle use</w:t>
      </w:r>
      <w:r w:rsidR="00E84EAC">
        <w:rPr>
          <w:rFonts w:asciiTheme="minorHAnsi" w:hAnsiTheme="minorHAnsi"/>
        </w:rPr>
        <w:t>.</w:t>
      </w:r>
    </w:p>
    <w:p w:rsidR="000366B0" w:rsidRDefault="000366B0" w:rsidP="00813FF0">
      <w:pPr>
        <w:pStyle w:val="BodyText1"/>
        <w:spacing w:after="200" w:line="240" w:lineRule="auto"/>
        <w:rPr>
          <w:rFonts w:asciiTheme="minorHAnsi" w:hAnsiTheme="minorHAnsi"/>
        </w:rPr>
      </w:pPr>
      <w:r>
        <w:rPr>
          <w:rFonts w:asciiTheme="minorHAnsi" w:hAnsiTheme="minorHAnsi"/>
        </w:rPr>
        <w:t>Part 5 of the PMR report</w:t>
      </w:r>
      <w:r>
        <w:rPr>
          <w:rStyle w:val="FootnoteReference"/>
          <w:rFonts w:asciiTheme="minorHAnsi" w:hAnsiTheme="minorHAnsi"/>
        </w:rPr>
        <w:footnoteReference w:id="3"/>
      </w:r>
      <w:r>
        <w:rPr>
          <w:rFonts w:asciiTheme="minorHAnsi" w:hAnsiTheme="minorHAnsi"/>
        </w:rPr>
        <w:t xml:space="preserve"> (PBS listing of Type 2 Diabetes Medicines) gives details of  changes to the listings in the period before that covered in Table </w:t>
      </w:r>
      <w:r w:rsidR="00630D5B">
        <w:rPr>
          <w:rFonts w:asciiTheme="minorHAnsi" w:hAnsiTheme="minorHAnsi"/>
        </w:rPr>
        <w:t>1</w:t>
      </w:r>
      <w:r>
        <w:rPr>
          <w:rFonts w:asciiTheme="minorHAnsi" w:hAnsiTheme="minorHAnsi"/>
        </w:rPr>
        <w:t>.  It</w:t>
      </w:r>
      <w:r w:rsidR="00630D5B">
        <w:rPr>
          <w:rFonts w:asciiTheme="minorHAnsi" w:hAnsiTheme="minorHAnsi"/>
        </w:rPr>
        <w:t xml:space="preserve"> also</w:t>
      </w:r>
      <w:r>
        <w:rPr>
          <w:rFonts w:asciiTheme="minorHAnsi" w:hAnsiTheme="minorHAnsi"/>
        </w:rPr>
        <w:t xml:space="preserve"> includes information about TGA indications and a history of PBAC recommended submissions for dual and triple therapy.</w:t>
      </w:r>
    </w:p>
    <w:p w:rsidR="000366B0" w:rsidRPr="009C1E36" w:rsidRDefault="000366B0" w:rsidP="00813FF0">
      <w:pPr>
        <w:spacing w:afterLines="200" w:after="480"/>
      </w:pPr>
      <w:r w:rsidRPr="009C1E36">
        <w:t xml:space="preserve">Full wording of the restrictions, including notes, can be found at </w:t>
      </w:r>
      <w:r w:rsidRPr="00CC6457">
        <w:rPr>
          <w:rFonts w:cs="Baskerville"/>
        </w:rPr>
        <w:t>www.pbs.gov.au</w:t>
      </w:r>
    </w:p>
    <w:p w:rsidR="00D74A55" w:rsidRPr="003507AA" w:rsidRDefault="00940732" w:rsidP="00813FF0">
      <w:pPr>
        <w:pStyle w:val="Heading2"/>
        <w:rPr>
          <w:sz w:val="28"/>
        </w:rPr>
      </w:pPr>
      <w:r w:rsidRPr="00CC6C89">
        <w:rPr>
          <w:sz w:val="28"/>
        </w:rPr>
        <w:lastRenderedPageBreak/>
        <w:t xml:space="preserve">Current </w:t>
      </w:r>
      <w:r w:rsidR="00DC2911">
        <w:rPr>
          <w:sz w:val="28"/>
        </w:rPr>
        <w:t>PBS restrictions (abridged)</w:t>
      </w:r>
    </w:p>
    <w:p w:rsidR="00940732" w:rsidRDefault="00940732" w:rsidP="00813FF0">
      <w:r w:rsidRPr="00940732">
        <w:t xml:space="preserve">Metformin, </w:t>
      </w:r>
      <w:r w:rsidR="00493B74">
        <w:t>sulfonylurea</w:t>
      </w:r>
      <w:r w:rsidRPr="00940732">
        <w:t xml:space="preserve">s, </w:t>
      </w:r>
      <w:proofErr w:type="spellStart"/>
      <w:r w:rsidRPr="00940732">
        <w:t>acarbose</w:t>
      </w:r>
      <w:proofErr w:type="spellEnd"/>
      <w:r w:rsidRPr="00940732">
        <w:t xml:space="preserve"> and most </w:t>
      </w:r>
      <w:proofErr w:type="spellStart"/>
      <w:r w:rsidRPr="00940732">
        <w:t>insulins</w:t>
      </w:r>
      <w:proofErr w:type="spellEnd"/>
      <w:r w:rsidR="007D065F">
        <w:t xml:space="preserve"> and analogues</w:t>
      </w:r>
      <w:r w:rsidRPr="00940732">
        <w:t xml:space="preserve"> have unrestricted PBS listings.</w:t>
      </w:r>
    </w:p>
    <w:p w:rsidR="00940732" w:rsidRDefault="00940732" w:rsidP="00813FF0">
      <w:r w:rsidRPr="00940732">
        <w:t xml:space="preserve">Insulin </w:t>
      </w:r>
      <w:proofErr w:type="spellStart"/>
      <w:r w:rsidRPr="00940732">
        <w:t>detemir</w:t>
      </w:r>
      <w:proofErr w:type="spellEnd"/>
      <w:r w:rsidRPr="00940732">
        <w:t xml:space="preserve"> has a restricted benefit listing for type 1 diab</w:t>
      </w:r>
      <w:r>
        <w:t>e</w:t>
      </w:r>
      <w:r w:rsidRPr="00940732">
        <w:t>tes</w:t>
      </w:r>
      <w:r w:rsidR="007D065F">
        <w:t xml:space="preserve">. Bovine </w:t>
      </w:r>
      <w:proofErr w:type="spellStart"/>
      <w:r w:rsidR="007D065F">
        <w:t>insulins</w:t>
      </w:r>
      <w:proofErr w:type="spellEnd"/>
      <w:r w:rsidR="007D065F">
        <w:t xml:space="preserve"> are </w:t>
      </w:r>
      <w:r w:rsidR="00395367">
        <w:t>A</w:t>
      </w:r>
      <w:r w:rsidR="007D065F">
        <w:t xml:space="preserve">uthority </w:t>
      </w:r>
      <w:proofErr w:type="gramStart"/>
      <w:r w:rsidR="00395367">
        <w:t>R</w:t>
      </w:r>
      <w:r w:rsidR="007D065F">
        <w:t>equired</w:t>
      </w:r>
      <w:proofErr w:type="gramEnd"/>
      <w:r w:rsidR="007D065F">
        <w:t xml:space="preserve"> for diabetes mellitus where the patient is intolerant to human insulin.</w:t>
      </w:r>
    </w:p>
    <w:p w:rsidR="00B00D55" w:rsidRPr="00B00D55" w:rsidRDefault="00940732" w:rsidP="00813FF0">
      <w:r w:rsidRPr="00940732">
        <w:t xml:space="preserve">The </w:t>
      </w:r>
      <w:proofErr w:type="spellStart"/>
      <w:r w:rsidRPr="00940732">
        <w:t>gliptins</w:t>
      </w:r>
      <w:proofErr w:type="spellEnd"/>
      <w:r w:rsidRPr="00940732">
        <w:t xml:space="preserve">, </w:t>
      </w:r>
      <w:proofErr w:type="spellStart"/>
      <w:r w:rsidRPr="00940732">
        <w:t>flozins</w:t>
      </w:r>
      <w:proofErr w:type="spellEnd"/>
      <w:r w:rsidRPr="00940732">
        <w:t xml:space="preserve">, GLP-1 analogues and pioglitazone have Authority </w:t>
      </w:r>
      <w:r w:rsidR="00B00D55">
        <w:t>R</w:t>
      </w:r>
      <w:r w:rsidRPr="00940732">
        <w:t>equired (</w:t>
      </w:r>
      <w:r w:rsidR="00395367">
        <w:t>STREAMLINED</w:t>
      </w:r>
      <w:r w:rsidRPr="00940732">
        <w:t>) listings for patients meeting certain criteria and for use in combination with specified medicines.</w:t>
      </w:r>
      <w:r w:rsidR="00C7650C">
        <w:t xml:space="preserve"> </w:t>
      </w:r>
      <w:r w:rsidRPr="00940732">
        <w:t xml:space="preserve">Rosiglitazone has an Authority </w:t>
      </w:r>
      <w:proofErr w:type="gramStart"/>
      <w:r w:rsidR="00B00D55">
        <w:t>R</w:t>
      </w:r>
      <w:r w:rsidRPr="00940732">
        <w:t>equired</w:t>
      </w:r>
      <w:proofErr w:type="gramEnd"/>
      <w:r w:rsidRPr="00940732">
        <w:t xml:space="preserve"> (telephone) listing for patients meeting certain criteria and in combination with other specified medicines</w:t>
      </w:r>
      <w:r w:rsidR="00B00D55">
        <w:t xml:space="preserve"> because of safety concerns</w:t>
      </w:r>
      <w:r w:rsidRPr="00940732">
        <w:t>.</w:t>
      </w:r>
      <w:r w:rsidR="00B7047B">
        <w:t xml:space="preserve"> Init</w:t>
      </w:r>
      <w:r w:rsidR="00395367">
        <w:t>i</w:t>
      </w:r>
      <w:r w:rsidR="00B7047B">
        <w:t xml:space="preserve">ation on any of these medicines </w:t>
      </w:r>
      <w:r w:rsidR="002759C1">
        <w:t xml:space="preserve">requires patients to have, or have had, </w:t>
      </w:r>
      <w:proofErr w:type="gramStart"/>
      <w:r w:rsidR="002759C1">
        <w:t>a</w:t>
      </w:r>
      <w:proofErr w:type="gramEnd"/>
      <w:r w:rsidR="002759C1">
        <w:t xml:space="preserve"> HbA1c measurement greater than 7% despite treatment with </w:t>
      </w:r>
      <w:r w:rsidR="007D1A02">
        <w:t>specified medicines</w:t>
      </w:r>
      <w:r w:rsidR="002759C1">
        <w:t>; OR if HbA1c measurement i</w:t>
      </w:r>
      <w:r w:rsidR="00335018">
        <w:t>s</w:t>
      </w:r>
      <w:r w:rsidR="002759C1">
        <w:t xml:space="preserve"> c</w:t>
      </w:r>
      <w:r w:rsidR="00B00D55">
        <w:t>l</w:t>
      </w:r>
      <w:r w:rsidR="002759C1">
        <w:t>inically inappropr</w:t>
      </w:r>
      <w:r w:rsidR="00335018">
        <w:t>i</w:t>
      </w:r>
      <w:r w:rsidR="002759C1">
        <w:t xml:space="preserve">ate, blood glucose levels above 10 </w:t>
      </w:r>
      <w:proofErr w:type="spellStart"/>
      <w:r w:rsidR="002759C1">
        <w:t>mmol</w:t>
      </w:r>
      <w:proofErr w:type="spellEnd"/>
      <w:r w:rsidR="002759C1">
        <w:t xml:space="preserve"> per L in more than 20% of tests over a 2 week period despite treatment with </w:t>
      </w:r>
      <w:r w:rsidR="007D1A02">
        <w:t xml:space="preserve">specified medicines. </w:t>
      </w:r>
      <w:r w:rsidR="00B00D55">
        <w:t>F</w:t>
      </w:r>
      <w:r w:rsidR="00B00D55" w:rsidRPr="00B00D55">
        <w:t xml:space="preserve">ull details of the PBS eligibility criteria are available from </w:t>
      </w:r>
      <w:r w:rsidR="00B00D55" w:rsidRPr="00CC6457">
        <w:t>www.pbs.gov.au</w:t>
      </w:r>
    </w:p>
    <w:p w:rsidR="007D1A02" w:rsidRDefault="00DC2911" w:rsidP="00813FF0">
      <w:r>
        <w:t xml:space="preserve">Table </w:t>
      </w:r>
      <w:r w:rsidR="00B00D55">
        <w:t>2</w:t>
      </w:r>
      <w:r>
        <w:t xml:space="preserve"> provide</w:t>
      </w:r>
      <w:r w:rsidR="007D1A02">
        <w:t>s</w:t>
      </w:r>
      <w:r>
        <w:t xml:space="preserve"> an overview of the current PBS restrictions for </w:t>
      </w:r>
      <w:r w:rsidR="00B00D55">
        <w:t xml:space="preserve">the Authority </w:t>
      </w:r>
      <w:proofErr w:type="gramStart"/>
      <w:r w:rsidR="00395367">
        <w:t>R</w:t>
      </w:r>
      <w:r w:rsidR="00B00D55">
        <w:t>equired</w:t>
      </w:r>
      <w:proofErr w:type="gramEnd"/>
      <w:r w:rsidR="00B00D55">
        <w:t xml:space="preserve"> </w:t>
      </w:r>
      <w:r>
        <w:t>diabetes medicines</w:t>
      </w:r>
      <w:r w:rsidR="00940732">
        <w:t xml:space="preserve"> (as at </w:t>
      </w:r>
      <w:r w:rsidR="00386D98">
        <w:t xml:space="preserve">1 </w:t>
      </w:r>
      <w:r w:rsidR="00940732">
        <w:t>November 2016)</w:t>
      </w:r>
      <w:r>
        <w:t xml:space="preserve">. </w:t>
      </w:r>
    </w:p>
    <w:p w:rsidR="00FC474B" w:rsidRDefault="00FC474B" w:rsidP="00813FF0">
      <w:pPr>
        <w:spacing w:line="276" w:lineRule="auto"/>
        <w:rPr>
          <w:b/>
        </w:rPr>
      </w:pPr>
      <w:r>
        <w:rPr>
          <w:b/>
        </w:rPr>
        <w:br w:type="page"/>
      </w:r>
    </w:p>
    <w:p w:rsidR="00B00D55" w:rsidRPr="003B5833" w:rsidRDefault="00B00D55" w:rsidP="00813FF0">
      <w:pPr>
        <w:rPr>
          <w:b/>
        </w:rPr>
      </w:pPr>
      <w:r w:rsidRPr="003B5833">
        <w:rPr>
          <w:b/>
        </w:rPr>
        <w:lastRenderedPageBreak/>
        <w:t>Table 2: PBS restrictions</w:t>
      </w:r>
      <w:r>
        <w:rPr>
          <w:b/>
        </w:rPr>
        <w:t xml:space="preserve"> (abridged)</w:t>
      </w:r>
      <w:r w:rsidRPr="003B5833">
        <w:rPr>
          <w:b/>
        </w:rPr>
        <w:t xml:space="preserve"> for Author</w:t>
      </w:r>
      <w:r>
        <w:rPr>
          <w:b/>
        </w:rPr>
        <w:t>ity</w:t>
      </w:r>
      <w:r w:rsidRPr="003B5833">
        <w:rPr>
          <w:b/>
        </w:rPr>
        <w:t xml:space="preserve"> required (streamlined or telephone</w:t>
      </w:r>
      <w:proofErr w:type="gramStart"/>
      <w:r w:rsidRPr="003B5833">
        <w:rPr>
          <w:b/>
        </w:rPr>
        <w:t>)</w:t>
      </w:r>
      <w:r w:rsidR="00335018">
        <w:rPr>
          <w:b/>
        </w:rPr>
        <w:t>^</w:t>
      </w:r>
      <w:proofErr w:type="gramEnd"/>
      <w:r w:rsidRPr="003B5833">
        <w:rPr>
          <w:b/>
        </w:rPr>
        <w:t xml:space="preserve"> medicines, excluding bovine insulin.</w:t>
      </w:r>
    </w:p>
    <w:tbl>
      <w:tblPr>
        <w:tblStyle w:val="TableGrid"/>
        <w:tblW w:w="0" w:type="auto"/>
        <w:tblLook w:val="04A0" w:firstRow="1" w:lastRow="0" w:firstColumn="1" w:lastColumn="0" w:noHBand="0" w:noVBand="1"/>
        <w:tblCaption w:val="PBS restrictions for authority required medicines excluding bovine insulin"/>
        <w:tblDescription w:val="There are four columns. In the first column, the gliptins, flozins, thiozolidiones and GLP-1 analgoes are listed. The other columns either have ticks or crosses indicating whether the drug is permitted to be used as dual oral therapy with metformin or sulfonylurea; triple therapy with metformin and a sulfonylurea; or with insulin."/>
      </w:tblPr>
      <w:tblGrid>
        <w:gridCol w:w="2235"/>
        <w:gridCol w:w="2220"/>
        <w:gridCol w:w="2221"/>
        <w:gridCol w:w="2221"/>
      </w:tblGrid>
      <w:tr w:rsidR="007D1A02" w:rsidRPr="005D469A" w:rsidTr="00F74A76">
        <w:trPr>
          <w:trHeight w:val="340"/>
          <w:tblHeader/>
        </w:trPr>
        <w:tc>
          <w:tcPr>
            <w:tcW w:w="2235" w:type="dxa"/>
            <w:tcBorders>
              <w:bottom w:val="single" w:sz="4" w:space="0" w:color="auto"/>
            </w:tcBorders>
            <w:vAlign w:val="center"/>
          </w:tcPr>
          <w:p w:rsidR="007D1A02" w:rsidRPr="005D469A" w:rsidRDefault="007D1A02" w:rsidP="005D469A">
            <w:pPr>
              <w:rPr>
                <w:b/>
                <w:sz w:val="20"/>
                <w:szCs w:val="20"/>
              </w:rPr>
            </w:pPr>
          </w:p>
        </w:tc>
        <w:tc>
          <w:tcPr>
            <w:tcW w:w="2220" w:type="dxa"/>
            <w:tcBorders>
              <w:bottom w:val="single" w:sz="4" w:space="0" w:color="auto"/>
            </w:tcBorders>
            <w:vAlign w:val="center"/>
          </w:tcPr>
          <w:p w:rsidR="007D1A02" w:rsidRPr="005D469A" w:rsidRDefault="007D1A02" w:rsidP="005D469A">
            <w:pPr>
              <w:jc w:val="center"/>
              <w:rPr>
                <w:b/>
                <w:sz w:val="20"/>
                <w:szCs w:val="20"/>
              </w:rPr>
            </w:pPr>
            <w:r w:rsidRPr="005D469A">
              <w:rPr>
                <w:b/>
                <w:sz w:val="20"/>
                <w:szCs w:val="20"/>
              </w:rPr>
              <w:t>Dual oral with met or SU</w:t>
            </w:r>
          </w:p>
        </w:tc>
        <w:tc>
          <w:tcPr>
            <w:tcW w:w="2221" w:type="dxa"/>
            <w:tcBorders>
              <w:bottom w:val="single" w:sz="4" w:space="0" w:color="auto"/>
            </w:tcBorders>
            <w:vAlign w:val="center"/>
          </w:tcPr>
          <w:p w:rsidR="007D1A02" w:rsidRPr="005D469A" w:rsidRDefault="007D1A02" w:rsidP="005D469A">
            <w:pPr>
              <w:jc w:val="center"/>
              <w:rPr>
                <w:b/>
                <w:sz w:val="20"/>
                <w:szCs w:val="20"/>
              </w:rPr>
            </w:pPr>
            <w:r w:rsidRPr="005D469A">
              <w:rPr>
                <w:b/>
                <w:sz w:val="20"/>
                <w:szCs w:val="20"/>
              </w:rPr>
              <w:t>Triple therapy with met + SU</w:t>
            </w:r>
          </w:p>
        </w:tc>
        <w:tc>
          <w:tcPr>
            <w:tcW w:w="2221" w:type="dxa"/>
            <w:tcBorders>
              <w:bottom w:val="single" w:sz="4" w:space="0" w:color="auto"/>
            </w:tcBorders>
            <w:vAlign w:val="center"/>
          </w:tcPr>
          <w:p w:rsidR="007D1A02" w:rsidRPr="005D469A" w:rsidRDefault="007D1A02" w:rsidP="005D469A">
            <w:pPr>
              <w:jc w:val="center"/>
              <w:rPr>
                <w:b/>
                <w:sz w:val="20"/>
                <w:szCs w:val="20"/>
              </w:rPr>
            </w:pPr>
            <w:r w:rsidRPr="005D469A">
              <w:rPr>
                <w:b/>
                <w:sz w:val="20"/>
                <w:szCs w:val="20"/>
              </w:rPr>
              <w:t>With insulin</w:t>
            </w:r>
            <w:r w:rsidRPr="005D469A">
              <w:rPr>
                <w:b/>
                <w:sz w:val="20"/>
                <w:szCs w:val="20"/>
                <w:vertAlign w:val="superscript"/>
              </w:rPr>
              <w:t>#</w:t>
            </w:r>
          </w:p>
        </w:tc>
      </w:tr>
      <w:tr w:rsidR="007D1A02" w:rsidRPr="005D469A" w:rsidTr="005D469A">
        <w:trPr>
          <w:trHeight w:val="340"/>
        </w:trPr>
        <w:tc>
          <w:tcPr>
            <w:tcW w:w="2235" w:type="dxa"/>
            <w:shd w:val="pct12" w:color="auto" w:fill="auto"/>
            <w:vAlign w:val="center"/>
          </w:tcPr>
          <w:p w:rsidR="007D1A02" w:rsidRPr="005D469A" w:rsidRDefault="007D1A02" w:rsidP="005D469A">
            <w:pPr>
              <w:rPr>
                <w:b/>
                <w:i/>
                <w:sz w:val="20"/>
                <w:szCs w:val="20"/>
              </w:rPr>
            </w:pPr>
            <w:proofErr w:type="spellStart"/>
            <w:r w:rsidRPr="005D469A">
              <w:rPr>
                <w:b/>
                <w:i/>
                <w:sz w:val="20"/>
                <w:szCs w:val="20"/>
              </w:rPr>
              <w:t>Gliptins</w:t>
            </w:r>
            <w:proofErr w:type="spellEnd"/>
          </w:p>
        </w:tc>
        <w:tc>
          <w:tcPr>
            <w:tcW w:w="2220" w:type="dxa"/>
            <w:shd w:val="pct12" w:color="auto" w:fill="auto"/>
            <w:vAlign w:val="center"/>
          </w:tcPr>
          <w:p w:rsidR="007D1A02" w:rsidRPr="005D469A" w:rsidRDefault="007D1A02" w:rsidP="005D469A">
            <w:pPr>
              <w:jc w:val="center"/>
              <w:rPr>
                <w:b/>
                <w:i/>
                <w:sz w:val="20"/>
                <w:szCs w:val="20"/>
              </w:rPr>
            </w:pPr>
          </w:p>
        </w:tc>
        <w:tc>
          <w:tcPr>
            <w:tcW w:w="2221" w:type="dxa"/>
            <w:shd w:val="pct12" w:color="auto" w:fill="auto"/>
            <w:vAlign w:val="center"/>
          </w:tcPr>
          <w:p w:rsidR="007D1A02" w:rsidRPr="005D469A" w:rsidRDefault="007D1A02" w:rsidP="005D469A">
            <w:pPr>
              <w:jc w:val="center"/>
              <w:rPr>
                <w:b/>
                <w:i/>
                <w:sz w:val="20"/>
                <w:szCs w:val="20"/>
              </w:rPr>
            </w:pPr>
          </w:p>
        </w:tc>
        <w:tc>
          <w:tcPr>
            <w:tcW w:w="2221" w:type="dxa"/>
            <w:shd w:val="pct12" w:color="auto" w:fill="auto"/>
            <w:vAlign w:val="center"/>
          </w:tcPr>
          <w:p w:rsidR="007D1A02" w:rsidRPr="005D469A" w:rsidRDefault="007D1A02" w:rsidP="005D469A">
            <w:pPr>
              <w:jc w:val="center"/>
              <w:rPr>
                <w:b/>
                <w:i/>
                <w:sz w:val="20"/>
                <w:szCs w:val="20"/>
              </w:rPr>
            </w:pPr>
          </w:p>
        </w:tc>
      </w:tr>
      <w:tr w:rsidR="007D1A02" w:rsidRPr="005D469A" w:rsidTr="005D469A">
        <w:trPr>
          <w:trHeight w:val="340"/>
        </w:trPr>
        <w:tc>
          <w:tcPr>
            <w:tcW w:w="2235" w:type="dxa"/>
            <w:vAlign w:val="center"/>
          </w:tcPr>
          <w:p w:rsidR="007D1A02" w:rsidRPr="005D469A" w:rsidRDefault="007D1A02" w:rsidP="005D469A">
            <w:pPr>
              <w:rPr>
                <w:sz w:val="20"/>
                <w:szCs w:val="20"/>
              </w:rPr>
            </w:pPr>
            <w:proofErr w:type="spellStart"/>
            <w:r w:rsidRPr="005D469A">
              <w:rPr>
                <w:sz w:val="20"/>
                <w:szCs w:val="20"/>
              </w:rPr>
              <w:t>Alogliptin</w:t>
            </w:r>
            <w:proofErr w:type="spellEnd"/>
            <w:r w:rsidRPr="005D469A">
              <w:rPr>
                <w:sz w:val="20"/>
                <w:szCs w:val="20"/>
                <w:vertAlign w:val="superscript"/>
              </w:rPr>
              <w:t>+</w:t>
            </w:r>
          </w:p>
        </w:tc>
        <w:tc>
          <w:tcPr>
            <w:tcW w:w="2220" w:type="dxa"/>
            <w:vAlign w:val="center"/>
          </w:tcPr>
          <w:p w:rsidR="007D1A02" w:rsidRPr="005D469A" w:rsidRDefault="007D1A02" w:rsidP="005D469A">
            <w:pPr>
              <w:jc w:val="center"/>
              <w:rPr>
                <w:sz w:val="20"/>
                <w:szCs w:val="20"/>
              </w:rPr>
            </w:pPr>
            <w:r w:rsidRPr="005D469A">
              <w:rPr>
                <w:sz w:val="20"/>
                <w:szCs w:val="20"/>
              </w:rPr>
              <w:sym w:font="Wingdings 2" w:char="F050"/>
            </w:r>
          </w:p>
        </w:tc>
        <w:tc>
          <w:tcPr>
            <w:tcW w:w="2221" w:type="dxa"/>
            <w:vAlign w:val="center"/>
          </w:tcPr>
          <w:p w:rsidR="007D1A02" w:rsidRPr="005D469A" w:rsidRDefault="00395367" w:rsidP="005D469A">
            <w:pPr>
              <w:jc w:val="center"/>
              <w:rPr>
                <w:sz w:val="20"/>
                <w:szCs w:val="20"/>
              </w:rPr>
            </w:pPr>
            <w:r w:rsidRPr="005D469A">
              <w:rPr>
                <w:sz w:val="20"/>
                <w:szCs w:val="20"/>
              </w:rPr>
              <w:t>X</w:t>
            </w:r>
          </w:p>
        </w:tc>
        <w:tc>
          <w:tcPr>
            <w:tcW w:w="2221" w:type="dxa"/>
            <w:vAlign w:val="center"/>
          </w:tcPr>
          <w:p w:rsidR="007D1A02" w:rsidRPr="005D469A" w:rsidRDefault="00395367" w:rsidP="005D469A">
            <w:pPr>
              <w:jc w:val="center"/>
              <w:rPr>
                <w:sz w:val="20"/>
                <w:szCs w:val="20"/>
              </w:rPr>
            </w:pPr>
            <w:r w:rsidRPr="005D469A">
              <w:rPr>
                <w:sz w:val="20"/>
                <w:szCs w:val="20"/>
              </w:rPr>
              <w:t>X</w:t>
            </w:r>
          </w:p>
        </w:tc>
      </w:tr>
      <w:tr w:rsidR="007D1A02" w:rsidRPr="005D469A" w:rsidTr="005D469A">
        <w:trPr>
          <w:trHeight w:val="340"/>
        </w:trPr>
        <w:tc>
          <w:tcPr>
            <w:tcW w:w="2235" w:type="dxa"/>
            <w:vAlign w:val="center"/>
          </w:tcPr>
          <w:p w:rsidR="007D1A02" w:rsidRPr="005D469A" w:rsidRDefault="007D1A02" w:rsidP="005D469A">
            <w:pPr>
              <w:rPr>
                <w:sz w:val="20"/>
                <w:szCs w:val="20"/>
              </w:rPr>
            </w:pPr>
            <w:r w:rsidRPr="005D469A">
              <w:rPr>
                <w:sz w:val="20"/>
                <w:szCs w:val="20"/>
              </w:rPr>
              <w:t>Linagliptin</w:t>
            </w:r>
            <w:r w:rsidRPr="005D469A">
              <w:rPr>
                <w:sz w:val="20"/>
                <w:szCs w:val="20"/>
                <w:vertAlign w:val="superscript"/>
              </w:rPr>
              <w:t>+</w:t>
            </w:r>
          </w:p>
        </w:tc>
        <w:tc>
          <w:tcPr>
            <w:tcW w:w="2220" w:type="dxa"/>
            <w:vAlign w:val="center"/>
          </w:tcPr>
          <w:p w:rsidR="007D1A02" w:rsidRPr="005D469A" w:rsidRDefault="007D1A02" w:rsidP="005D469A">
            <w:pPr>
              <w:jc w:val="center"/>
              <w:rPr>
                <w:sz w:val="20"/>
                <w:szCs w:val="20"/>
              </w:rPr>
            </w:pPr>
            <w:r w:rsidRPr="005D469A">
              <w:rPr>
                <w:sz w:val="20"/>
                <w:szCs w:val="20"/>
              </w:rPr>
              <w:sym w:font="Wingdings 2" w:char="F050"/>
            </w:r>
          </w:p>
        </w:tc>
        <w:tc>
          <w:tcPr>
            <w:tcW w:w="2221" w:type="dxa"/>
            <w:vAlign w:val="center"/>
          </w:tcPr>
          <w:p w:rsidR="007D1A02" w:rsidRPr="005D469A" w:rsidRDefault="007D1A02" w:rsidP="005D469A">
            <w:pPr>
              <w:jc w:val="center"/>
              <w:rPr>
                <w:sz w:val="20"/>
                <w:szCs w:val="20"/>
              </w:rPr>
            </w:pPr>
            <w:r w:rsidRPr="005D469A">
              <w:rPr>
                <w:sz w:val="20"/>
                <w:szCs w:val="20"/>
              </w:rPr>
              <w:sym w:font="Wingdings 2" w:char="F050"/>
            </w:r>
          </w:p>
        </w:tc>
        <w:tc>
          <w:tcPr>
            <w:tcW w:w="2221" w:type="dxa"/>
            <w:vAlign w:val="center"/>
          </w:tcPr>
          <w:p w:rsidR="007D1A02" w:rsidRPr="005D469A" w:rsidRDefault="007D1A02" w:rsidP="005D469A">
            <w:pPr>
              <w:jc w:val="center"/>
              <w:rPr>
                <w:sz w:val="20"/>
                <w:szCs w:val="20"/>
              </w:rPr>
            </w:pPr>
            <w:r w:rsidRPr="005D469A">
              <w:rPr>
                <w:sz w:val="20"/>
                <w:szCs w:val="20"/>
              </w:rPr>
              <w:sym w:font="Wingdings 2" w:char="F050"/>
            </w:r>
          </w:p>
        </w:tc>
      </w:tr>
      <w:tr w:rsidR="007D1A02" w:rsidRPr="005D469A" w:rsidTr="005D469A">
        <w:trPr>
          <w:trHeight w:val="340"/>
        </w:trPr>
        <w:tc>
          <w:tcPr>
            <w:tcW w:w="2235" w:type="dxa"/>
            <w:vAlign w:val="center"/>
          </w:tcPr>
          <w:p w:rsidR="007D1A02" w:rsidRPr="005D469A" w:rsidRDefault="007D1A02" w:rsidP="005D469A">
            <w:pPr>
              <w:rPr>
                <w:sz w:val="20"/>
                <w:szCs w:val="20"/>
              </w:rPr>
            </w:pPr>
            <w:r w:rsidRPr="005D469A">
              <w:rPr>
                <w:sz w:val="20"/>
                <w:szCs w:val="20"/>
              </w:rPr>
              <w:t>Saxagliptin</w:t>
            </w:r>
            <w:r w:rsidRPr="005D469A">
              <w:rPr>
                <w:sz w:val="20"/>
                <w:szCs w:val="20"/>
                <w:vertAlign w:val="superscript"/>
              </w:rPr>
              <w:t>+</w:t>
            </w:r>
          </w:p>
        </w:tc>
        <w:tc>
          <w:tcPr>
            <w:tcW w:w="2220" w:type="dxa"/>
            <w:vAlign w:val="center"/>
          </w:tcPr>
          <w:p w:rsidR="007D1A02" w:rsidRPr="005D469A" w:rsidRDefault="007D1A02" w:rsidP="005D469A">
            <w:pPr>
              <w:jc w:val="center"/>
              <w:rPr>
                <w:sz w:val="20"/>
                <w:szCs w:val="20"/>
              </w:rPr>
            </w:pPr>
            <w:r w:rsidRPr="005D469A">
              <w:rPr>
                <w:sz w:val="20"/>
                <w:szCs w:val="20"/>
              </w:rPr>
              <w:sym w:font="Wingdings 2" w:char="F050"/>
            </w:r>
          </w:p>
        </w:tc>
        <w:tc>
          <w:tcPr>
            <w:tcW w:w="2221" w:type="dxa"/>
            <w:vAlign w:val="center"/>
          </w:tcPr>
          <w:p w:rsidR="007D1A02" w:rsidRPr="005D469A" w:rsidRDefault="007D1A02" w:rsidP="005D469A">
            <w:pPr>
              <w:jc w:val="center"/>
              <w:rPr>
                <w:sz w:val="20"/>
                <w:szCs w:val="20"/>
              </w:rPr>
            </w:pPr>
            <w:r w:rsidRPr="005D469A">
              <w:rPr>
                <w:sz w:val="20"/>
                <w:szCs w:val="20"/>
              </w:rPr>
              <w:sym w:font="Wingdings 2" w:char="F050"/>
            </w:r>
          </w:p>
        </w:tc>
        <w:tc>
          <w:tcPr>
            <w:tcW w:w="2221" w:type="dxa"/>
            <w:vAlign w:val="center"/>
          </w:tcPr>
          <w:p w:rsidR="007D1A02" w:rsidRPr="005D469A" w:rsidRDefault="00395367" w:rsidP="005D469A">
            <w:pPr>
              <w:jc w:val="center"/>
              <w:rPr>
                <w:sz w:val="20"/>
                <w:szCs w:val="20"/>
              </w:rPr>
            </w:pPr>
            <w:r w:rsidRPr="005D469A">
              <w:rPr>
                <w:sz w:val="20"/>
                <w:szCs w:val="20"/>
              </w:rPr>
              <w:t>X</w:t>
            </w:r>
          </w:p>
        </w:tc>
      </w:tr>
      <w:tr w:rsidR="007D1A02" w:rsidRPr="005D469A" w:rsidTr="005D469A">
        <w:trPr>
          <w:trHeight w:val="340"/>
        </w:trPr>
        <w:tc>
          <w:tcPr>
            <w:tcW w:w="2235" w:type="dxa"/>
            <w:tcBorders>
              <w:bottom w:val="single" w:sz="4" w:space="0" w:color="auto"/>
            </w:tcBorders>
            <w:vAlign w:val="center"/>
          </w:tcPr>
          <w:p w:rsidR="007D1A02" w:rsidRPr="005D469A" w:rsidRDefault="007D1A02" w:rsidP="005D469A">
            <w:pPr>
              <w:rPr>
                <w:sz w:val="20"/>
                <w:szCs w:val="20"/>
              </w:rPr>
            </w:pPr>
            <w:r w:rsidRPr="005D469A">
              <w:rPr>
                <w:sz w:val="20"/>
                <w:szCs w:val="20"/>
              </w:rPr>
              <w:t>Sitagliptin</w:t>
            </w:r>
            <w:r w:rsidRPr="005D469A">
              <w:rPr>
                <w:sz w:val="20"/>
                <w:szCs w:val="20"/>
                <w:vertAlign w:val="superscript"/>
              </w:rPr>
              <w:t>+</w:t>
            </w:r>
          </w:p>
        </w:tc>
        <w:tc>
          <w:tcPr>
            <w:tcW w:w="2220" w:type="dxa"/>
            <w:tcBorders>
              <w:bottom w:val="single" w:sz="4" w:space="0" w:color="auto"/>
            </w:tcBorders>
            <w:vAlign w:val="center"/>
          </w:tcPr>
          <w:p w:rsidR="007D1A02" w:rsidRPr="005D469A" w:rsidRDefault="007D1A02" w:rsidP="005D469A">
            <w:pPr>
              <w:jc w:val="center"/>
              <w:rPr>
                <w:sz w:val="20"/>
                <w:szCs w:val="20"/>
              </w:rPr>
            </w:pPr>
            <w:r w:rsidRPr="005D469A">
              <w:rPr>
                <w:sz w:val="20"/>
                <w:szCs w:val="20"/>
              </w:rPr>
              <w:sym w:font="Wingdings 2" w:char="F050"/>
            </w:r>
          </w:p>
        </w:tc>
        <w:tc>
          <w:tcPr>
            <w:tcW w:w="2221" w:type="dxa"/>
            <w:tcBorders>
              <w:bottom w:val="single" w:sz="4" w:space="0" w:color="auto"/>
            </w:tcBorders>
            <w:vAlign w:val="center"/>
          </w:tcPr>
          <w:p w:rsidR="007D1A02" w:rsidRPr="005D469A" w:rsidRDefault="007D1A02" w:rsidP="005D469A">
            <w:pPr>
              <w:jc w:val="center"/>
              <w:rPr>
                <w:sz w:val="20"/>
                <w:szCs w:val="20"/>
              </w:rPr>
            </w:pPr>
            <w:r w:rsidRPr="005D469A">
              <w:rPr>
                <w:sz w:val="20"/>
                <w:szCs w:val="20"/>
              </w:rPr>
              <w:sym w:font="Wingdings 2" w:char="F050"/>
            </w:r>
          </w:p>
        </w:tc>
        <w:tc>
          <w:tcPr>
            <w:tcW w:w="2221" w:type="dxa"/>
            <w:tcBorders>
              <w:bottom w:val="single" w:sz="4" w:space="0" w:color="auto"/>
            </w:tcBorders>
            <w:vAlign w:val="center"/>
          </w:tcPr>
          <w:p w:rsidR="007D1A02" w:rsidRPr="005D469A" w:rsidRDefault="007D1A02" w:rsidP="005D469A">
            <w:pPr>
              <w:jc w:val="center"/>
              <w:rPr>
                <w:sz w:val="20"/>
                <w:szCs w:val="20"/>
              </w:rPr>
            </w:pPr>
            <w:r w:rsidRPr="005D469A">
              <w:rPr>
                <w:sz w:val="20"/>
                <w:szCs w:val="20"/>
              </w:rPr>
              <w:sym w:font="Wingdings 2" w:char="F050"/>
            </w:r>
          </w:p>
        </w:tc>
      </w:tr>
      <w:tr w:rsidR="007D1A02" w:rsidRPr="005D469A" w:rsidTr="005D469A">
        <w:trPr>
          <w:trHeight w:val="340"/>
        </w:trPr>
        <w:tc>
          <w:tcPr>
            <w:tcW w:w="2235" w:type="dxa"/>
            <w:shd w:val="clear" w:color="auto" w:fill="auto"/>
            <w:vAlign w:val="center"/>
          </w:tcPr>
          <w:p w:rsidR="007D1A02" w:rsidRPr="005D469A" w:rsidRDefault="007D1A02" w:rsidP="005D469A">
            <w:pPr>
              <w:rPr>
                <w:sz w:val="20"/>
                <w:szCs w:val="20"/>
              </w:rPr>
            </w:pPr>
            <w:r w:rsidRPr="005D469A">
              <w:rPr>
                <w:sz w:val="20"/>
                <w:szCs w:val="20"/>
              </w:rPr>
              <w:t>Vildagliptin</w:t>
            </w:r>
            <w:r w:rsidRPr="005D469A">
              <w:rPr>
                <w:sz w:val="20"/>
                <w:szCs w:val="20"/>
                <w:vertAlign w:val="superscript"/>
              </w:rPr>
              <w:t>+</w:t>
            </w:r>
          </w:p>
        </w:tc>
        <w:tc>
          <w:tcPr>
            <w:tcW w:w="2220" w:type="dxa"/>
            <w:shd w:val="clear" w:color="auto" w:fill="auto"/>
            <w:vAlign w:val="center"/>
          </w:tcPr>
          <w:p w:rsidR="007D1A02" w:rsidRPr="005D469A" w:rsidRDefault="007D1A02" w:rsidP="005D469A">
            <w:pPr>
              <w:jc w:val="center"/>
              <w:rPr>
                <w:sz w:val="20"/>
                <w:szCs w:val="20"/>
              </w:rPr>
            </w:pPr>
            <w:r w:rsidRPr="005D469A">
              <w:rPr>
                <w:sz w:val="20"/>
                <w:szCs w:val="20"/>
              </w:rPr>
              <w:sym w:font="Wingdings 2" w:char="F050"/>
            </w:r>
          </w:p>
        </w:tc>
        <w:tc>
          <w:tcPr>
            <w:tcW w:w="2221" w:type="dxa"/>
            <w:shd w:val="clear" w:color="auto" w:fill="auto"/>
            <w:vAlign w:val="center"/>
          </w:tcPr>
          <w:p w:rsidR="007D1A02" w:rsidRPr="005D469A" w:rsidRDefault="007D1A02" w:rsidP="005D469A">
            <w:pPr>
              <w:jc w:val="center"/>
              <w:rPr>
                <w:sz w:val="20"/>
                <w:szCs w:val="20"/>
              </w:rPr>
            </w:pPr>
            <w:r w:rsidRPr="005D469A">
              <w:rPr>
                <w:sz w:val="20"/>
                <w:szCs w:val="20"/>
              </w:rPr>
              <w:sym w:font="Wingdings 2" w:char="F050"/>
            </w:r>
          </w:p>
        </w:tc>
        <w:tc>
          <w:tcPr>
            <w:tcW w:w="2221" w:type="dxa"/>
            <w:shd w:val="clear" w:color="auto" w:fill="auto"/>
            <w:vAlign w:val="center"/>
          </w:tcPr>
          <w:p w:rsidR="007D1A02" w:rsidRPr="005D469A" w:rsidRDefault="00395367" w:rsidP="005D469A">
            <w:pPr>
              <w:jc w:val="center"/>
              <w:rPr>
                <w:sz w:val="20"/>
                <w:szCs w:val="20"/>
              </w:rPr>
            </w:pPr>
            <w:r w:rsidRPr="005D469A">
              <w:rPr>
                <w:sz w:val="20"/>
                <w:szCs w:val="20"/>
              </w:rPr>
              <w:t>X</w:t>
            </w:r>
          </w:p>
        </w:tc>
      </w:tr>
      <w:tr w:rsidR="007D1A02" w:rsidRPr="005D469A" w:rsidTr="005D469A">
        <w:trPr>
          <w:trHeight w:val="340"/>
        </w:trPr>
        <w:tc>
          <w:tcPr>
            <w:tcW w:w="2235" w:type="dxa"/>
            <w:shd w:val="pct12" w:color="auto" w:fill="auto"/>
            <w:vAlign w:val="center"/>
          </w:tcPr>
          <w:p w:rsidR="007D1A02" w:rsidRPr="005D469A" w:rsidRDefault="007D1A02" w:rsidP="005D469A">
            <w:pPr>
              <w:rPr>
                <w:b/>
                <w:i/>
                <w:sz w:val="20"/>
                <w:szCs w:val="20"/>
              </w:rPr>
            </w:pPr>
            <w:proofErr w:type="spellStart"/>
            <w:r w:rsidRPr="005D469A">
              <w:rPr>
                <w:b/>
                <w:i/>
                <w:sz w:val="20"/>
                <w:szCs w:val="20"/>
              </w:rPr>
              <w:t>Flozins</w:t>
            </w:r>
            <w:proofErr w:type="spellEnd"/>
          </w:p>
        </w:tc>
        <w:tc>
          <w:tcPr>
            <w:tcW w:w="2220" w:type="dxa"/>
            <w:shd w:val="pct12" w:color="auto" w:fill="auto"/>
            <w:vAlign w:val="center"/>
          </w:tcPr>
          <w:p w:rsidR="007D1A02" w:rsidRPr="005D469A" w:rsidRDefault="007D1A02" w:rsidP="005D469A">
            <w:pPr>
              <w:jc w:val="center"/>
              <w:rPr>
                <w:b/>
                <w:i/>
                <w:sz w:val="20"/>
                <w:szCs w:val="20"/>
              </w:rPr>
            </w:pPr>
          </w:p>
        </w:tc>
        <w:tc>
          <w:tcPr>
            <w:tcW w:w="2221" w:type="dxa"/>
            <w:shd w:val="pct12" w:color="auto" w:fill="auto"/>
            <w:vAlign w:val="center"/>
          </w:tcPr>
          <w:p w:rsidR="007D1A02" w:rsidRPr="005D469A" w:rsidRDefault="007D1A02" w:rsidP="005D469A">
            <w:pPr>
              <w:jc w:val="center"/>
              <w:rPr>
                <w:b/>
                <w:i/>
                <w:sz w:val="20"/>
                <w:szCs w:val="20"/>
              </w:rPr>
            </w:pPr>
          </w:p>
        </w:tc>
        <w:tc>
          <w:tcPr>
            <w:tcW w:w="2221" w:type="dxa"/>
            <w:shd w:val="pct12" w:color="auto" w:fill="auto"/>
            <w:vAlign w:val="center"/>
          </w:tcPr>
          <w:p w:rsidR="007D1A02" w:rsidRPr="005D469A" w:rsidRDefault="007D1A02" w:rsidP="005D469A">
            <w:pPr>
              <w:jc w:val="center"/>
              <w:rPr>
                <w:b/>
                <w:i/>
                <w:sz w:val="20"/>
                <w:szCs w:val="20"/>
              </w:rPr>
            </w:pPr>
          </w:p>
        </w:tc>
      </w:tr>
      <w:tr w:rsidR="007D1A02" w:rsidRPr="005D469A" w:rsidTr="005D469A">
        <w:trPr>
          <w:trHeight w:val="340"/>
        </w:trPr>
        <w:tc>
          <w:tcPr>
            <w:tcW w:w="2235" w:type="dxa"/>
            <w:vAlign w:val="center"/>
          </w:tcPr>
          <w:p w:rsidR="007D1A02" w:rsidRPr="005D469A" w:rsidRDefault="007D1A02" w:rsidP="005D469A">
            <w:pPr>
              <w:rPr>
                <w:sz w:val="20"/>
                <w:szCs w:val="20"/>
              </w:rPr>
            </w:pPr>
            <w:proofErr w:type="spellStart"/>
            <w:r w:rsidRPr="005D469A">
              <w:rPr>
                <w:sz w:val="20"/>
                <w:szCs w:val="20"/>
              </w:rPr>
              <w:t>Dapagliflozin</w:t>
            </w:r>
            <w:proofErr w:type="spellEnd"/>
            <w:r w:rsidRPr="005D469A">
              <w:rPr>
                <w:sz w:val="20"/>
                <w:szCs w:val="20"/>
                <w:vertAlign w:val="superscript"/>
              </w:rPr>
              <w:t>+</w:t>
            </w:r>
          </w:p>
        </w:tc>
        <w:tc>
          <w:tcPr>
            <w:tcW w:w="2220" w:type="dxa"/>
            <w:vAlign w:val="center"/>
          </w:tcPr>
          <w:p w:rsidR="007D1A02" w:rsidRPr="005D469A" w:rsidRDefault="007D1A02" w:rsidP="005D469A">
            <w:pPr>
              <w:jc w:val="center"/>
              <w:rPr>
                <w:sz w:val="20"/>
                <w:szCs w:val="20"/>
              </w:rPr>
            </w:pPr>
            <w:r w:rsidRPr="005D469A">
              <w:rPr>
                <w:sz w:val="20"/>
                <w:szCs w:val="20"/>
              </w:rPr>
              <w:sym w:font="Wingdings 2" w:char="F050"/>
            </w:r>
          </w:p>
        </w:tc>
        <w:tc>
          <w:tcPr>
            <w:tcW w:w="2221" w:type="dxa"/>
            <w:vAlign w:val="center"/>
          </w:tcPr>
          <w:p w:rsidR="007D1A02" w:rsidRPr="005D469A" w:rsidRDefault="007D1A02" w:rsidP="005D469A">
            <w:pPr>
              <w:jc w:val="center"/>
              <w:rPr>
                <w:sz w:val="20"/>
                <w:szCs w:val="20"/>
              </w:rPr>
            </w:pPr>
            <w:r w:rsidRPr="005D469A">
              <w:rPr>
                <w:sz w:val="20"/>
                <w:szCs w:val="20"/>
              </w:rPr>
              <w:sym w:font="Wingdings 2" w:char="F050"/>
            </w:r>
          </w:p>
        </w:tc>
        <w:tc>
          <w:tcPr>
            <w:tcW w:w="2221" w:type="dxa"/>
            <w:vAlign w:val="center"/>
          </w:tcPr>
          <w:p w:rsidR="007D1A02" w:rsidRPr="005D469A" w:rsidRDefault="007D1A02" w:rsidP="005D469A">
            <w:pPr>
              <w:jc w:val="center"/>
              <w:rPr>
                <w:sz w:val="20"/>
                <w:szCs w:val="20"/>
              </w:rPr>
            </w:pPr>
            <w:r w:rsidRPr="005D469A">
              <w:rPr>
                <w:sz w:val="20"/>
                <w:szCs w:val="20"/>
              </w:rPr>
              <w:sym w:font="Wingdings 2" w:char="F050"/>
            </w:r>
          </w:p>
        </w:tc>
      </w:tr>
      <w:tr w:rsidR="007D1A02" w:rsidRPr="005D469A" w:rsidTr="005D469A">
        <w:trPr>
          <w:trHeight w:val="340"/>
        </w:trPr>
        <w:tc>
          <w:tcPr>
            <w:tcW w:w="2235" w:type="dxa"/>
            <w:tcBorders>
              <w:bottom w:val="single" w:sz="4" w:space="0" w:color="auto"/>
            </w:tcBorders>
            <w:vAlign w:val="center"/>
          </w:tcPr>
          <w:p w:rsidR="007D1A02" w:rsidRPr="005D469A" w:rsidRDefault="007D1A02" w:rsidP="005D469A">
            <w:pPr>
              <w:rPr>
                <w:sz w:val="20"/>
                <w:szCs w:val="20"/>
              </w:rPr>
            </w:pPr>
            <w:proofErr w:type="spellStart"/>
            <w:r w:rsidRPr="005D469A">
              <w:rPr>
                <w:sz w:val="20"/>
                <w:szCs w:val="20"/>
              </w:rPr>
              <w:t>Empagliflozin</w:t>
            </w:r>
            <w:proofErr w:type="spellEnd"/>
            <w:r w:rsidRPr="005D469A">
              <w:rPr>
                <w:sz w:val="20"/>
                <w:szCs w:val="20"/>
                <w:vertAlign w:val="superscript"/>
              </w:rPr>
              <w:t>+</w:t>
            </w:r>
          </w:p>
        </w:tc>
        <w:tc>
          <w:tcPr>
            <w:tcW w:w="2220" w:type="dxa"/>
            <w:tcBorders>
              <w:bottom w:val="single" w:sz="4" w:space="0" w:color="auto"/>
            </w:tcBorders>
            <w:vAlign w:val="center"/>
          </w:tcPr>
          <w:p w:rsidR="007D1A02" w:rsidRPr="005D469A" w:rsidRDefault="007D1A02" w:rsidP="005D469A">
            <w:pPr>
              <w:jc w:val="center"/>
              <w:rPr>
                <w:sz w:val="20"/>
                <w:szCs w:val="20"/>
              </w:rPr>
            </w:pPr>
            <w:r w:rsidRPr="005D469A">
              <w:rPr>
                <w:sz w:val="20"/>
                <w:szCs w:val="20"/>
              </w:rPr>
              <w:sym w:font="Wingdings 2" w:char="F050"/>
            </w:r>
          </w:p>
        </w:tc>
        <w:tc>
          <w:tcPr>
            <w:tcW w:w="2221" w:type="dxa"/>
            <w:tcBorders>
              <w:bottom w:val="single" w:sz="4" w:space="0" w:color="auto"/>
            </w:tcBorders>
            <w:vAlign w:val="center"/>
          </w:tcPr>
          <w:p w:rsidR="007D1A02" w:rsidRPr="005D469A" w:rsidRDefault="007D1A02" w:rsidP="005D469A">
            <w:pPr>
              <w:jc w:val="center"/>
              <w:rPr>
                <w:sz w:val="20"/>
                <w:szCs w:val="20"/>
              </w:rPr>
            </w:pPr>
            <w:r w:rsidRPr="005D469A">
              <w:rPr>
                <w:sz w:val="20"/>
                <w:szCs w:val="20"/>
              </w:rPr>
              <w:sym w:font="Wingdings 2" w:char="F050"/>
            </w:r>
          </w:p>
        </w:tc>
        <w:tc>
          <w:tcPr>
            <w:tcW w:w="2221" w:type="dxa"/>
            <w:tcBorders>
              <w:bottom w:val="single" w:sz="4" w:space="0" w:color="auto"/>
            </w:tcBorders>
            <w:vAlign w:val="center"/>
          </w:tcPr>
          <w:p w:rsidR="007D1A02" w:rsidRPr="005D469A" w:rsidRDefault="007D1A02" w:rsidP="005D469A">
            <w:pPr>
              <w:jc w:val="center"/>
              <w:rPr>
                <w:sz w:val="20"/>
                <w:szCs w:val="20"/>
              </w:rPr>
            </w:pPr>
            <w:r w:rsidRPr="005D469A">
              <w:rPr>
                <w:sz w:val="20"/>
                <w:szCs w:val="20"/>
              </w:rPr>
              <w:sym w:font="Wingdings 2" w:char="F050"/>
            </w:r>
          </w:p>
        </w:tc>
      </w:tr>
      <w:tr w:rsidR="007D1A02" w:rsidRPr="005D469A" w:rsidTr="005D469A">
        <w:trPr>
          <w:trHeight w:val="340"/>
        </w:trPr>
        <w:tc>
          <w:tcPr>
            <w:tcW w:w="2235" w:type="dxa"/>
            <w:shd w:val="pct12" w:color="auto" w:fill="auto"/>
            <w:vAlign w:val="center"/>
          </w:tcPr>
          <w:p w:rsidR="007D1A02" w:rsidRPr="005D469A" w:rsidRDefault="007D1A02" w:rsidP="005D469A">
            <w:pPr>
              <w:rPr>
                <w:b/>
                <w:i/>
                <w:sz w:val="20"/>
                <w:szCs w:val="20"/>
              </w:rPr>
            </w:pPr>
            <w:proofErr w:type="spellStart"/>
            <w:r w:rsidRPr="005D469A">
              <w:rPr>
                <w:b/>
                <w:i/>
                <w:sz w:val="20"/>
                <w:szCs w:val="20"/>
              </w:rPr>
              <w:t>Thiozolidioines</w:t>
            </w:r>
            <w:proofErr w:type="spellEnd"/>
          </w:p>
        </w:tc>
        <w:tc>
          <w:tcPr>
            <w:tcW w:w="2220" w:type="dxa"/>
            <w:shd w:val="pct12" w:color="auto" w:fill="auto"/>
            <w:vAlign w:val="center"/>
          </w:tcPr>
          <w:p w:rsidR="007D1A02" w:rsidRPr="005D469A" w:rsidRDefault="007D1A02" w:rsidP="005D469A">
            <w:pPr>
              <w:jc w:val="center"/>
              <w:rPr>
                <w:b/>
                <w:i/>
                <w:sz w:val="20"/>
                <w:szCs w:val="20"/>
              </w:rPr>
            </w:pPr>
          </w:p>
        </w:tc>
        <w:tc>
          <w:tcPr>
            <w:tcW w:w="2221" w:type="dxa"/>
            <w:shd w:val="pct12" w:color="auto" w:fill="auto"/>
            <w:vAlign w:val="center"/>
          </w:tcPr>
          <w:p w:rsidR="007D1A02" w:rsidRPr="005D469A" w:rsidRDefault="007D1A02" w:rsidP="005D469A">
            <w:pPr>
              <w:jc w:val="center"/>
              <w:rPr>
                <w:b/>
                <w:i/>
                <w:sz w:val="20"/>
                <w:szCs w:val="20"/>
              </w:rPr>
            </w:pPr>
          </w:p>
        </w:tc>
        <w:tc>
          <w:tcPr>
            <w:tcW w:w="2221" w:type="dxa"/>
            <w:shd w:val="pct12" w:color="auto" w:fill="auto"/>
            <w:vAlign w:val="center"/>
          </w:tcPr>
          <w:p w:rsidR="007D1A02" w:rsidRPr="005D469A" w:rsidRDefault="007D1A02" w:rsidP="005D469A">
            <w:pPr>
              <w:jc w:val="center"/>
              <w:rPr>
                <w:b/>
                <w:i/>
                <w:sz w:val="20"/>
                <w:szCs w:val="20"/>
              </w:rPr>
            </w:pPr>
          </w:p>
        </w:tc>
      </w:tr>
      <w:tr w:rsidR="007D1A02" w:rsidRPr="005D469A" w:rsidTr="005D469A">
        <w:trPr>
          <w:trHeight w:val="340"/>
        </w:trPr>
        <w:tc>
          <w:tcPr>
            <w:tcW w:w="2235" w:type="dxa"/>
            <w:vAlign w:val="center"/>
          </w:tcPr>
          <w:p w:rsidR="007D1A02" w:rsidRPr="005D469A" w:rsidRDefault="007D1A02" w:rsidP="005D469A">
            <w:pPr>
              <w:rPr>
                <w:sz w:val="20"/>
                <w:szCs w:val="20"/>
              </w:rPr>
            </w:pPr>
            <w:r w:rsidRPr="005D469A">
              <w:rPr>
                <w:sz w:val="20"/>
                <w:szCs w:val="20"/>
              </w:rPr>
              <w:t>Pioglitazone</w:t>
            </w:r>
          </w:p>
        </w:tc>
        <w:tc>
          <w:tcPr>
            <w:tcW w:w="2220" w:type="dxa"/>
            <w:vAlign w:val="center"/>
          </w:tcPr>
          <w:p w:rsidR="007D1A02" w:rsidRPr="005D469A" w:rsidRDefault="007D1A02" w:rsidP="005D469A">
            <w:pPr>
              <w:jc w:val="center"/>
              <w:rPr>
                <w:sz w:val="20"/>
                <w:szCs w:val="20"/>
              </w:rPr>
            </w:pPr>
            <w:r w:rsidRPr="005D469A">
              <w:rPr>
                <w:sz w:val="20"/>
                <w:szCs w:val="20"/>
              </w:rPr>
              <w:sym w:font="Wingdings 2" w:char="F050"/>
            </w:r>
            <w:r w:rsidRPr="005D469A">
              <w:rPr>
                <w:sz w:val="20"/>
                <w:szCs w:val="20"/>
              </w:rPr>
              <w:t>*</w:t>
            </w:r>
          </w:p>
        </w:tc>
        <w:tc>
          <w:tcPr>
            <w:tcW w:w="2221" w:type="dxa"/>
            <w:vAlign w:val="center"/>
          </w:tcPr>
          <w:p w:rsidR="007D1A02" w:rsidRPr="005D469A" w:rsidRDefault="007D1A02" w:rsidP="005D469A">
            <w:pPr>
              <w:jc w:val="center"/>
              <w:rPr>
                <w:sz w:val="20"/>
                <w:szCs w:val="20"/>
              </w:rPr>
            </w:pPr>
            <w:r w:rsidRPr="005D469A">
              <w:rPr>
                <w:sz w:val="20"/>
                <w:szCs w:val="20"/>
              </w:rPr>
              <w:sym w:font="Wingdings 2" w:char="F050"/>
            </w:r>
          </w:p>
        </w:tc>
        <w:tc>
          <w:tcPr>
            <w:tcW w:w="2221" w:type="dxa"/>
            <w:vAlign w:val="center"/>
          </w:tcPr>
          <w:p w:rsidR="007D1A02" w:rsidRPr="005D469A" w:rsidRDefault="007D1A02" w:rsidP="005D469A">
            <w:pPr>
              <w:jc w:val="center"/>
              <w:rPr>
                <w:sz w:val="20"/>
                <w:szCs w:val="20"/>
              </w:rPr>
            </w:pPr>
            <w:r w:rsidRPr="005D469A">
              <w:rPr>
                <w:sz w:val="20"/>
                <w:szCs w:val="20"/>
              </w:rPr>
              <w:sym w:font="Wingdings 2" w:char="F050"/>
            </w:r>
          </w:p>
        </w:tc>
      </w:tr>
      <w:tr w:rsidR="007D1A02" w:rsidRPr="005D469A" w:rsidTr="005D469A">
        <w:trPr>
          <w:trHeight w:val="340"/>
        </w:trPr>
        <w:tc>
          <w:tcPr>
            <w:tcW w:w="2235" w:type="dxa"/>
            <w:tcBorders>
              <w:bottom w:val="single" w:sz="4" w:space="0" w:color="auto"/>
            </w:tcBorders>
            <w:vAlign w:val="center"/>
          </w:tcPr>
          <w:p w:rsidR="007D1A02" w:rsidRPr="005D469A" w:rsidRDefault="007D1A02" w:rsidP="005D469A">
            <w:pPr>
              <w:rPr>
                <w:sz w:val="20"/>
                <w:szCs w:val="20"/>
              </w:rPr>
            </w:pPr>
            <w:r w:rsidRPr="005D469A">
              <w:rPr>
                <w:sz w:val="20"/>
                <w:szCs w:val="20"/>
              </w:rPr>
              <w:t>Rosiglitazone</w:t>
            </w:r>
            <w:r w:rsidRPr="005D469A">
              <w:rPr>
                <w:sz w:val="20"/>
                <w:szCs w:val="20"/>
                <w:vertAlign w:val="superscript"/>
              </w:rPr>
              <w:t>+</w:t>
            </w:r>
          </w:p>
        </w:tc>
        <w:tc>
          <w:tcPr>
            <w:tcW w:w="2220" w:type="dxa"/>
            <w:tcBorders>
              <w:bottom w:val="single" w:sz="4" w:space="0" w:color="auto"/>
            </w:tcBorders>
            <w:vAlign w:val="center"/>
          </w:tcPr>
          <w:p w:rsidR="007D1A02" w:rsidRPr="005D469A" w:rsidRDefault="007D1A02" w:rsidP="005D469A">
            <w:pPr>
              <w:jc w:val="center"/>
              <w:rPr>
                <w:sz w:val="20"/>
                <w:szCs w:val="20"/>
              </w:rPr>
            </w:pPr>
            <w:r w:rsidRPr="005D469A">
              <w:rPr>
                <w:sz w:val="20"/>
                <w:szCs w:val="20"/>
              </w:rPr>
              <w:sym w:font="Wingdings 2" w:char="F050"/>
            </w:r>
            <w:r w:rsidRPr="005D469A">
              <w:rPr>
                <w:sz w:val="20"/>
                <w:szCs w:val="20"/>
              </w:rPr>
              <w:t>*</w:t>
            </w:r>
          </w:p>
        </w:tc>
        <w:tc>
          <w:tcPr>
            <w:tcW w:w="2221" w:type="dxa"/>
            <w:tcBorders>
              <w:bottom w:val="single" w:sz="4" w:space="0" w:color="auto"/>
            </w:tcBorders>
            <w:vAlign w:val="center"/>
          </w:tcPr>
          <w:p w:rsidR="007D1A02" w:rsidRPr="005D469A" w:rsidRDefault="007D1A02" w:rsidP="005D469A">
            <w:pPr>
              <w:jc w:val="center"/>
              <w:rPr>
                <w:sz w:val="20"/>
                <w:szCs w:val="20"/>
              </w:rPr>
            </w:pPr>
            <w:r w:rsidRPr="005D469A">
              <w:rPr>
                <w:sz w:val="20"/>
                <w:szCs w:val="20"/>
              </w:rPr>
              <w:t>X</w:t>
            </w:r>
          </w:p>
        </w:tc>
        <w:tc>
          <w:tcPr>
            <w:tcW w:w="2221" w:type="dxa"/>
            <w:tcBorders>
              <w:bottom w:val="single" w:sz="4" w:space="0" w:color="auto"/>
            </w:tcBorders>
            <w:vAlign w:val="center"/>
          </w:tcPr>
          <w:p w:rsidR="007D1A02" w:rsidRPr="005D469A" w:rsidRDefault="007D1A02" w:rsidP="005D469A">
            <w:pPr>
              <w:jc w:val="center"/>
              <w:rPr>
                <w:sz w:val="20"/>
                <w:szCs w:val="20"/>
              </w:rPr>
            </w:pPr>
            <w:r w:rsidRPr="005D469A">
              <w:rPr>
                <w:sz w:val="20"/>
                <w:szCs w:val="20"/>
              </w:rPr>
              <w:t>X</w:t>
            </w:r>
          </w:p>
        </w:tc>
      </w:tr>
      <w:tr w:rsidR="007D1A02" w:rsidRPr="005D469A" w:rsidTr="005D469A">
        <w:trPr>
          <w:trHeight w:val="340"/>
        </w:trPr>
        <w:tc>
          <w:tcPr>
            <w:tcW w:w="2235" w:type="dxa"/>
            <w:shd w:val="pct12" w:color="auto" w:fill="auto"/>
            <w:vAlign w:val="center"/>
          </w:tcPr>
          <w:p w:rsidR="007D1A02" w:rsidRPr="005D469A" w:rsidRDefault="007D1A02" w:rsidP="005D469A">
            <w:pPr>
              <w:rPr>
                <w:b/>
                <w:i/>
                <w:sz w:val="20"/>
                <w:szCs w:val="20"/>
              </w:rPr>
            </w:pPr>
            <w:r w:rsidRPr="005D469A">
              <w:rPr>
                <w:b/>
                <w:i/>
                <w:sz w:val="20"/>
                <w:szCs w:val="20"/>
              </w:rPr>
              <w:t>GLP-1 analogues</w:t>
            </w:r>
          </w:p>
        </w:tc>
        <w:tc>
          <w:tcPr>
            <w:tcW w:w="2220" w:type="dxa"/>
            <w:shd w:val="pct12" w:color="auto" w:fill="auto"/>
            <w:vAlign w:val="center"/>
          </w:tcPr>
          <w:p w:rsidR="007D1A02" w:rsidRPr="005D469A" w:rsidRDefault="007D1A02" w:rsidP="005D469A">
            <w:pPr>
              <w:jc w:val="center"/>
              <w:rPr>
                <w:b/>
                <w:i/>
                <w:sz w:val="20"/>
                <w:szCs w:val="20"/>
              </w:rPr>
            </w:pPr>
          </w:p>
        </w:tc>
        <w:tc>
          <w:tcPr>
            <w:tcW w:w="2221" w:type="dxa"/>
            <w:shd w:val="pct12" w:color="auto" w:fill="auto"/>
            <w:vAlign w:val="center"/>
          </w:tcPr>
          <w:p w:rsidR="007D1A02" w:rsidRPr="005D469A" w:rsidRDefault="007D1A02" w:rsidP="005D469A">
            <w:pPr>
              <w:jc w:val="center"/>
              <w:rPr>
                <w:b/>
                <w:i/>
                <w:sz w:val="20"/>
                <w:szCs w:val="20"/>
              </w:rPr>
            </w:pPr>
          </w:p>
        </w:tc>
        <w:tc>
          <w:tcPr>
            <w:tcW w:w="2221" w:type="dxa"/>
            <w:shd w:val="pct12" w:color="auto" w:fill="auto"/>
            <w:vAlign w:val="center"/>
          </w:tcPr>
          <w:p w:rsidR="007D1A02" w:rsidRPr="005D469A" w:rsidRDefault="007D1A02" w:rsidP="005D469A">
            <w:pPr>
              <w:jc w:val="center"/>
              <w:rPr>
                <w:b/>
                <w:i/>
                <w:sz w:val="20"/>
                <w:szCs w:val="20"/>
              </w:rPr>
            </w:pPr>
          </w:p>
        </w:tc>
      </w:tr>
      <w:tr w:rsidR="007D1A02" w:rsidRPr="005D469A" w:rsidTr="005D469A">
        <w:trPr>
          <w:trHeight w:val="340"/>
        </w:trPr>
        <w:tc>
          <w:tcPr>
            <w:tcW w:w="2235" w:type="dxa"/>
            <w:vAlign w:val="center"/>
          </w:tcPr>
          <w:p w:rsidR="007D1A02" w:rsidRPr="005D469A" w:rsidRDefault="007D1A02" w:rsidP="005D469A">
            <w:pPr>
              <w:rPr>
                <w:sz w:val="20"/>
                <w:szCs w:val="20"/>
              </w:rPr>
            </w:pPr>
            <w:proofErr w:type="spellStart"/>
            <w:r w:rsidRPr="005D469A">
              <w:rPr>
                <w:sz w:val="20"/>
                <w:szCs w:val="20"/>
              </w:rPr>
              <w:t>Exenatide</w:t>
            </w:r>
            <w:proofErr w:type="spellEnd"/>
          </w:p>
        </w:tc>
        <w:tc>
          <w:tcPr>
            <w:tcW w:w="2220" w:type="dxa"/>
            <w:vAlign w:val="center"/>
          </w:tcPr>
          <w:p w:rsidR="007D1A02" w:rsidRPr="005D469A" w:rsidRDefault="007D1A02" w:rsidP="005D469A">
            <w:pPr>
              <w:jc w:val="center"/>
              <w:rPr>
                <w:sz w:val="20"/>
                <w:szCs w:val="20"/>
              </w:rPr>
            </w:pPr>
            <w:r w:rsidRPr="005D469A">
              <w:rPr>
                <w:sz w:val="20"/>
                <w:szCs w:val="20"/>
              </w:rPr>
              <w:sym w:font="Wingdings 2" w:char="F050"/>
            </w:r>
            <w:r w:rsidRPr="005D469A">
              <w:rPr>
                <w:sz w:val="20"/>
                <w:szCs w:val="20"/>
              </w:rPr>
              <w:t>*</w:t>
            </w:r>
          </w:p>
        </w:tc>
        <w:tc>
          <w:tcPr>
            <w:tcW w:w="2221" w:type="dxa"/>
            <w:vAlign w:val="center"/>
          </w:tcPr>
          <w:p w:rsidR="007D1A02" w:rsidRPr="005D469A" w:rsidRDefault="007D1A02" w:rsidP="005D469A">
            <w:pPr>
              <w:jc w:val="center"/>
              <w:rPr>
                <w:sz w:val="20"/>
                <w:szCs w:val="20"/>
              </w:rPr>
            </w:pPr>
            <w:r w:rsidRPr="005D469A">
              <w:rPr>
                <w:sz w:val="20"/>
                <w:szCs w:val="20"/>
              </w:rPr>
              <w:sym w:font="Wingdings 2" w:char="F050"/>
            </w:r>
          </w:p>
        </w:tc>
        <w:tc>
          <w:tcPr>
            <w:tcW w:w="2221" w:type="dxa"/>
            <w:vAlign w:val="center"/>
          </w:tcPr>
          <w:p w:rsidR="007D1A02" w:rsidRPr="005D469A" w:rsidRDefault="007D1A02" w:rsidP="005D469A">
            <w:pPr>
              <w:jc w:val="center"/>
              <w:rPr>
                <w:sz w:val="20"/>
                <w:szCs w:val="20"/>
              </w:rPr>
            </w:pPr>
            <w:r w:rsidRPr="005D469A">
              <w:rPr>
                <w:sz w:val="20"/>
                <w:szCs w:val="20"/>
              </w:rPr>
              <w:sym w:font="Wingdings 2" w:char="F050"/>
            </w:r>
          </w:p>
        </w:tc>
      </w:tr>
    </w:tbl>
    <w:p w:rsidR="00DD108C" w:rsidRPr="00CE518D" w:rsidRDefault="00335018" w:rsidP="00813FF0">
      <w:pPr>
        <w:rPr>
          <w:sz w:val="20"/>
          <w:szCs w:val="20"/>
        </w:rPr>
      </w:pPr>
      <w:r w:rsidRPr="00CE518D">
        <w:rPr>
          <w:sz w:val="20"/>
          <w:szCs w:val="20"/>
        </w:rPr>
        <w:t>^</w:t>
      </w:r>
      <w:r w:rsidR="00FC474B" w:rsidRPr="00CE518D">
        <w:rPr>
          <w:sz w:val="20"/>
          <w:szCs w:val="20"/>
        </w:rPr>
        <w:t xml:space="preserve"> </w:t>
      </w:r>
      <w:r w:rsidR="007D1A02" w:rsidRPr="00CE518D">
        <w:rPr>
          <w:sz w:val="20"/>
          <w:szCs w:val="20"/>
        </w:rPr>
        <w:t>All are Authority required (streamlined) except rosiglitazone (telephone)</w:t>
      </w:r>
      <w:r w:rsidR="00CE518D">
        <w:rPr>
          <w:sz w:val="20"/>
          <w:szCs w:val="20"/>
        </w:rPr>
        <w:t>.</w:t>
      </w:r>
      <w:r w:rsidR="00CE518D">
        <w:rPr>
          <w:sz w:val="20"/>
          <w:szCs w:val="20"/>
        </w:rPr>
        <w:br/>
      </w:r>
      <w:r w:rsidR="007D1A02" w:rsidRPr="00CE518D">
        <w:rPr>
          <w:sz w:val="20"/>
          <w:szCs w:val="20"/>
        </w:rPr>
        <w:t>*</w:t>
      </w:r>
      <w:r w:rsidR="00FC474B" w:rsidRPr="00CE518D">
        <w:rPr>
          <w:sz w:val="20"/>
          <w:szCs w:val="20"/>
        </w:rPr>
        <w:t xml:space="preserve"> O</w:t>
      </w:r>
      <w:r w:rsidR="007D1A02" w:rsidRPr="00CE518D">
        <w:rPr>
          <w:sz w:val="20"/>
          <w:szCs w:val="20"/>
        </w:rPr>
        <w:t>nly if the patient is contraindicated or intolerant t</w:t>
      </w:r>
      <w:r w:rsidR="00CE518D">
        <w:rPr>
          <w:sz w:val="20"/>
          <w:szCs w:val="20"/>
        </w:rPr>
        <w:t xml:space="preserve">o metformin and a </w:t>
      </w:r>
      <w:r w:rsidR="00493B74">
        <w:rPr>
          <w:sz w:val="20"/>
          <w:szCs w:val="20"/>
        </w:rPr>
        <w:t>sulfonylurea</w:t>
      </w:r>
      <w:r w:rsidR="00CE518D">
        <w:rPr>
          <w:sz w:val="20"/>
          <w:szCs w:val="20"/>
        </w:rPr>
        <w:t>.</w:t>
      </w:r>
      <w:r w:rsidR="00CE518D">
        <w:rPr>
          <w:sz w:val="20"/>
          <w:szCs w:val="20"/>
        </w:rPr>
        <w:br/>
      </w:r>
      <w:r w:rsidR="007D1A02" w:rsidRPr="00CE518D">
        <w:rPr>
          <w:sz w:val="20"/>
          <w:szCs w:val="20"/>
          <w:vertAlign w:val="superscript"/>
        </w:rPr>
        <w:t>+</w:t>
      </w:r>
      <w:r w:rsidR="007D1A02" w:rsidRPr="00CE518D">
        <w:rPr>
          <w:sz w:val="20"/>
          <w:szCs w:val="20"/>
        </w:rPr>
        <w:t xml:space="preserve"> Fixed dose combination products with metformin are also available for these medicines and listed for </w:t>
      </w:r>
      <w:r w:rsidR="00FC474B" w:rsidRPr="00CE518D">
        <w:rPr>
          <w:sz w:val="20"/>
          <w:szCs w:val="20"/>
        </w:rPr>
        <w:t xml:space="preserve">the </w:t>
      </w:r>
      <w:r w:rsidR="007D1A02" w:rsidRPr="00CE518D">
        <w:rPr>
          <w:sz w:val="20"/>
          <w:szCs w:val="20"/>
        </w:rPr>
        <w:t>same indications. FDCs are not subsidised for initial therapy.</w:t>
      </w:r>
      <w:r w:rsidR="00CE518D">
        <w:rPr>
          <w:sz w:val="20"/>
          <w:szCs w:val="20"/>
        </w:rPr>
        <w:br/>
      </w:r>
      <w:r w:rsidR="00DD108C" w:rsidRPr="00CE518D">
        <w:rPr>
          <w:sz w:val="20"/>
          <w:szCs w:val="20"/>
        </w:rPr>
        <w:t xml:space="preserve"># </w:t>
      </w:r>
      <w:proofErr w:type="gramStart"/>
      <w:r w:rsidR="00EC2534" w:rsidRPr="00CE518D">
        <w:rPr>
          <w:rFonts w:cs="Calibri"/>
          <w:color w:val="000000"/>
          <w:sz w:val="20"/>
          <w:szCs w:val="20"/>
        </w:rPr>
        <w:t>despite</w:t>
      </w:r>
      <w:proofErr w:type="gramEnd"/>
      <w:r w:rsidR="00EC2534" w:rsidRPr="00CE518D">
        <w:rPr>
          <w:rFonts w:cs="Calibri"/>
          <w:color w:val="000000"/>
          <w:sz w:val="20"/>
          <w:szCs w:val="20"/>
        </w:rPr>
        <w:t xml:space="preserve"> treatment with insulin and oral </w:t>
      </w:r>
      <w:proofErr w:type="spellStart"/>
      <w:r w:rsidR="00EC2534" w:rsidRPr="00CE518D">
        <w:rPr>
          <w:rFonts w:cs="Calibri"/>
          <w:color w:val="000000"/>
          <w:sz w:val="20"/>
          <w:szCs w:val="20"/>
        </w:rPr>
        <w:t>antidiabetic</w:t>
      </w:r>
      <w:proofErr w:type="spellEnd"/>
      <w:r w:rsidR="00EC2534" w:rsidRPr="00CE518D">
        <w:rPr>
          <w:rFonts w:cs="Calibri"/>
          <w:color w:val="000000"/>
          <w:sz w:val="20"/>
          <w:szCs w:val="20"/>
        </w:rPr>
        <w:t xml:space="preserve"> agents, or insulin alone where metformin is contraindicated</w:t>
      </w:r>
      <w:r w:rsidR="00CE518D">
        <w:rPr>
          <w:rFonts w:cs="Calibri"/>
          <w:color w:val="000000"/>
          <w:sz w:val="20"/>
          <w:szCs w:val="20"/>
        </w:rPr>
        <w:t>.</w:t>
      </w:r>
    </w:p>
    <w:p w:rsidR="00940732" w:rsidRDefault="007D1A02" w:rsidP="00813FF0">
      <w:r w:rsidRPr="007D1A02">
        <w:t xml:space="preserve">None of the above four classes of medicines are currently PBS subsidised for use in combination with one another. Nor are they available for use as </w:t>
      </w:r>
      <w:proofErr w:type="spellStart"/>
      <w:r w:rsidRPr="007D1A02">
        <w:t>monotherapy</w:t>
      </w:r>
      <w:proofErr w:type="spellEnd"/>
      <w:r w:rsidRPr="007D1A02">
        <w:t xml:space="preserve">. </w:t>
      </w:r>
      <w:r w:rsidR="00235D4B">
        <w:t xml:space="preserve">An alternative presentation </w:t>
      </w:r>
      <w:r w:rsidR="00FC474B">
        <w:t xml:space="preserve">of the restrictions, </w:t>
      </w:r>
      <w:r w:rsidR="00C60295">
        <w:t>outlining all of the</w:t>
      </w:r>
      <w:r w:rsidR="00235D4B">
        <w:t xml:space="preserve"> combinations of medicines that are eligible for PBS subsidy</w:t>
      </w:r>
      <w:r w:rsidR="00FC474B">
        <w:t>,</w:t>
      </w:r>
      <w:r w:rsidR="00235D4B">
        <w:t xml:space="preserve"> is provided in Appendix </w:t>
      </w:r>
      <w:r w:rsidR="00FC474B">
        <w:t>A</w:t>
      </w:r>
      <w:r w:rsidR="00235D4B">
        <w:t xml:space="preserve">. </w:t>
      </w:r>
    </w:p>
    <w:p w:rsidR="003B5833" w:rsidRDefault="003B5833" w:rsidP="00813FF0">
      <w:pPr>
        <w:spacing w:line="276" w:lineRule="auto"/>
      </w:pPr>
      <w:r>
        <w:br w:type="page"/>
      </w:r>
    </w:p>
    <w:p w:rsidR="00D95AD5" w:rsidRPr="00CC6C89" w:rsidRDefault="00D95AD5" w:rsidP="00813FF0">
      <w:pPr>
        <w:pStyle w:val="Heading2"/>
        <w:rPr>
          <w:sz w:val="28"/>
        </w:rPr>
      </w:pPr>
      <w:r w:rsidRPr="00CC6C89">
        <w:rPr>
          <w:sz w:val="28"/>
        </w:rPr>
        <w:lastRenderedPageBreak/>
        <w:t>Clinical Guidelines</w:t>
      </w:r>
    </w:p>
    <w:p w:rsidR="00D95AD5" w:rsidRDefault="00D95AD5" w:rsidP="00813FF0">
      <w:r>
        <w:t>Several clinical guidance and position statements are available for both type 1 and type 2 diabetes, including:</w:t>
      </w:r>
    </w:p>
    <w:p w:rsidR="00D95AD5" w:rsidRDefault="00D95AD5" w:rsidP="00813FF0">
      <w:pPr>
        <w:ind w:left="284" w:hanging="284"/>
      </w:pPr>
      <w:r>
        <w:t>•</w:t>
      </w:r>
      <w:r>
        <w:tab/>
        <w:t xml:space="preserve">National Evidence-Based Clinical Care Guidelines for Type 1 Diabetes for Children, Adolescents and Adults developed by the Australasian Paediatric Endocrine Group and the Australian Diabetes Society. These </w:t>
      </w:r>
      <w:r w:rsidR="00B70C48">
        <w:t>guidelines</w:t>
      </w:r>
      <w:r>
        <w:t xml:space="preserve"> are approved by the National Health and Medical Research Council (NHMRC).</w:t>
      </w:r>
    </w:p>
    <w:p w:rsidR="00D95AD5" w:rsidRDefault="00D95AD5" w:rsidP="00813FF0">
      <w:pPr>
        <w:ind w:left="284" w:hanging="284"/>
      </w:pPr>
      <w:r>
        <w:t>•</w:t>
      </w:r>
      <w:r>
        <w:tab/>
        <w:t xml:space="preserve">A new blood glucose management algorithm for type 2 diabetes: a position statement of the Australian Diabetes Society. This algorithm has been incorporated into General practice management of type 2 diabetes: 2016–18. </w:t>
      </w:r>
    </w:p>
    <w:p w:rsidR="00D95AD5" w:rsidRDefault="00D95AD5" w:rsidP="00813FF0">
      <w:pPr>
        <w:ind w:left="284" w:hanging="284"/>
      </w:pPr>
      <w:r>
        <w:t>•</w:t>
      </w:r>
      <w:r>
        <w:tab/>
        <w:t xml:space="preserve">Therapeutic </w:t>
      </w:r>
      <w:r w:rsidR="00B70C48">
        <w:t>Guidelines</w:t>
      </w:r>
      <w:r>
        <w:t xml:space="preserve"> (</w:t>
      </w:r>
      <w:proofErr w:type="spellStart"/>
      <w:r>
        <w:t>eTG</w:t>
      </w:r>
      <w:proofErr w:type="spellEnd"/>
      <w:r>
        <w:t xml:space="preserve">): endocrinology. </w:t>
      </w:r>
    </w:p>
    <w:p w:rsidR="00D95AD5" w:rsidRDefault="00B70C48" w:rsidP="00813FF0">
      <w:r>
        <w:t xml:space="preserve">These clinical guidance documents provide evidence-based algorithms to assist in the selection of medicines or combinations of medicines to manage blood glucose. </w:t>
      </w:r>
      <w:r w:rsidR="00D95AD5">
        <w:t xml:space="preserve">The guidelines also highlight that patient-centred treatment may mean that deviations from the </w:t>
      </w:r>
      <w:r>
        <w:t>algorithm</w:t>
      </w:r>
      <w:r w:rsidR="00D95AD5">
        <w:t xml:space="preserve"> need to be considered on a case</w:t>
      </w:r>
      <w:r w:rsidR="00395367">
        <w:t>-</w:t>
      </w:r>
      <w:r w:rsidR="00D95AD5">
        <w:t>by</w:t>
      </w:r>
      <w:r w:rsidR="00395367">
        <w:t>-</w:t>
      </w:r>
      <w:r w:rsidR="00D95AD5">
        <w:t xml:space="preserve">case basis. </w:t>
      </w:r>
    </w:p>
    <w:p w:rsidR="00D95AD5" w:rsidRDefault="00D95AD5" w:rsidP="00813FF0">
      <w:r>
        <w:t>The guidelines also advise or provide links for prescribers to consult the PBS schedule for restrictions and eligibility criteria.</w:t>
      </w:r>
    </w:p>
    <w:p w:rsidR="009C1E36" w:rsidRPr="003E2D98" w:rsidRDefault="009C1E36" w:rsidP="00813FF0">
      <w:pPr>
        <w:pStyle w:val="Heading3"/>
        <w:rPr>
          <w:i w:val="0"/>
          <w:sz w:val="28"/>
        </w:rPr>
      </w:pPr>
      <w:r w:rsidRPr="003E2D98">
        <w:rPr>
          <w:i w:val="0"/>
          <w:sz w:val="28"/>
        </w:rPr>
        <w:t>Approach taken to estimate utilisation</w:t>
      </w:r>
    </w:p>
    <w:p w:rsidR="009C1E36" w:rsidRPr="00E76570" w:rsidRDefault="001C27E0" w:rsidP="00813FF0">
      <w:pPr>
        <w:rPr>
          <w:b/>
          <w:i/>
        </w:rPr>
      </w:pPr>
      <w:proofErr w:type="spellStart"/>
      <w:r w:rsidRPr="00E76570">
        <w:rPr>
          <w:b/>
          <w:i/>
        </w:rPr>
        <w:t>Dapagliflozin</w:t>
      </w:r>
      <w:proofErr w:type="spellEnd"/>
      <w:r w:rsidR="001F7FD5" w:rsidRPr="00E76570">
        <w:rPr>
          <w:b/>
          <w:i/>
        </w:rPr>
        <w:t xml:space="preserve"> – dual oral </w:t>
      </w:r>
      <w:r w:rsidR="00E76570" w:rsidRPr="00E76570">
        <w:rPr>
          <w:b/>
          <w:i/>
        </w:rPr>
        <w:t>therapy</w:t>
      </w:r>
      <w:r w:rsidR="00E76570">
        <w:rPr>
          <w:b/>
          <w:i/>
        </w:rPr>
        <w:t xml:space="preserve"> </w:t>
      </w:r>
      <w:r w:rsidR="00E76570" w:rsidRPr="00E76570">
        <w:rPr>
          <w:b/>
          <w:i/>
        </w:rPr>
        <w:t>(July 2013 PBAC, listed December 2013)</w:t>
      </w:r>
    </w:p>
    <w:p w:rsidR="009C1E36" w:rsidRDefault="006D3226" w:rsidP="00813FF0">
      <w:r>
        <w:t xml:space="preserve">The utilisation </w:t>
      </w:r>
      <w:r w:rsidR="009C171C">
        <w:t xml:space="preserve">estimates </w:t>
      </w:r>
      <w:r>
        <w:t xml:space="preserve">were </w:t>
      </w:r>
      <w:r w:rsidR="009C171C">
        <w:t xml:space="preserve">based on a market share approach. The </w:t>
      </w:r>
      <w:r w:rsidR="009C171C" w:rsidRPr="009C171C">
        <w:t>DPP-4</w:t>
      </w:r>
      <w:r w:rsidR="009C171C">
        <w:t xml:space="preserve"> and TZD markets were projected from 2012 prescription utilisation data using the average growth rate of each market over the previous 3 years.</w:t>
      </w:r>
    </w:p>
    <w:p w:rsidR="005C650D" w:rsidRPr="00CC6457" w:rsidRDefault="005C650D" w:rsidP="00813FF0">
      <w:r>
        <w:t xml:space="preserve">DUSC </w:t>
      </w:r>
      <w:r w:rsidR="006F7774">
        <w:t xml:space="preserve">considered </w:t>
      </w:r>
      <w:r w:rsidR="007F15D1">
        <w:t xml:space="preserve">an earlier submission to the March 2012 PBAC for the same indication. The </w:t>
      </w:r>
      <w:r>
        <w:t xml:space="preserve">advice </w:t>
      </w:r>
      <w:r w:rsidR="007F15D1">
        <w:t xml:space="preserve">it provided </w:t>
      </w:r>
      <w:r>
        <w:t xml:space="preserve">to </w:t>
      </w:r>
      <w:r w:rsidR="007F15D1">
        <w:t xml:space="preserve">the </w:t>
      </w:r>
      <w:r>
        <w:t>PBAC</w:t>
      </w:r>
      <w:r w:rsidR="007F15D1">
        <w:t xml:space="preserve"> was that</w:t>
      </w:r>
      <w:r w:rsidR="00C2227D">
        <w:t xml:space="preserve"> </w:t>
      </w:r>
      <w:r w:rsidR="006E3967">
        <w:t xml:space="preserve">there </w:t>
      </w:r>
      <w:r w:rsidR="00C2227D">
        <w:t xml:space="preserve">was potential for utilisation to be greater </w:t>
      </w:r>
      <w:r w:rsidR="00C2227D" w:rsidRPr="003F2904">
        <w:t>than anticipated in the submission</w:t>
      </w:r>
      <w:r w:rsidR="00C2227D" w:rsidRPr="00FD09FC">
        <w:rPr>
          <w:shd w:val="clear" w:color="auto" w:fill="FFFFFF" w:themeFill="background1"/>
        </w:rPr>
        <w:t>. In response</w:t>
      </w:r>
      <w:r w:rsidR="00810A5B" w:rsidRPr="00FD09FC">
        <w:rPr>
          <w:shd w:val="clear" w:color="auto" w:fill="FFFFFF" w:themeFill="background1"/>
        </w:rPr>
        <w:t>,</w:t>
      </w:r>
      <w:r w:rsidR="00C2227D" w:rsidRPr="00FD09FC">
        <w:rPr>
          <w:shd w:val="clear" w:color="auto" w:fill="FFFFFF" w:themeFill="background1"/>
        </w:rPr>
        <w:t xml:space="preserve"> the estimates in the July 2013 submission were higher.</w:t>
      </w:r>
      <w:r w:rsidR="00784616">
        <w:rPr>
          <w:shd w:val="clear" w:color="auto" w:fill="FFFFFF" w:themeFill="background1"/>
        </w:rPr>
        <w:t xml:space="preserve"> </w:t>
      </w:r>
      <w:r w:rsidR="00C2227D" w:rsidRPr="00FD09FC">
        <w:rPr>
          <w:shd w:val="clear" w:color="auto" w:fill="FFFFFF" w:themeFill="background1"/>
        </w:rPr>
        <w:t xml:space="preserve">Table 3 shows these estimates and also the final estimates </w:t>
      </w:r>
      <w:r w:rsidR="00AC6951" w:rsidRPr="00FD09FC">
        <w:rPr>
          <w:shd w:val="clear" w:color="auto" w:fill="FFFFFF" w:themeFill="background1"/>
        </w:rPr>
        <w:t xml:space="preserve">agreed </w:t>
      </w:r>
      <w:r w:rsidR="00C2227D" w:rsidRPr="00FD09FC">
        <w:rPr>
          <w:shd w:val="clear" w:color="auto" w:fill="FFFFFF" w:themeFill="background1"/>
        </w:rPr>
        <w:t>with the sponsor.</w:t>
      </w:r>
    </w:p>
    <w:p w:rsidR="00C2227D" w:rsidRPr="006C4550" w:rsidRDefault="00C2227D" w:rsidP="00813FF0">
      <w:pPr>
        <w:spacing w:after="0"/>
        <w:rPr>
          <w:b/>
        </w:rPr>
      </w:pPr>
      <w:r w:rsidRPr="006C4550">
        <w:rPr>
          <w:b/>
        </w:rPr>
        <w:t xml:space="preserve">Table 3: </w:t>
      </w:r>
      <w:proofErr w:type="spellStart"/>
      <w:r w:rsidRPr="006C4550">
        <w:rPr>
          <w:b/>
        </w:rPr>
        <w:t>Dapagliflozin</w:t>
      </w:r>
      <w:proofErr w:type="spellEnd"/>
      <w:r w:rsidRPr="006C4550">
        <w:rPr>
          <w:b/>
        </w:rPr>
        <w:t xml:space="preserve"> prescription estimates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1134"/>
        <w:gridCol w:w="1275"/>
        <w:gridCol w:w="1276"/>
        <w:gridCol w:w="1134"/>
        <w:gridCol w:w="1275"/>
      </w:tblGrid>
      <w:tr w:rsidR="00C2227D" w:rsidRPr="003F2904" w:rsidTr="006D3226">
        <w:trPr>
          <w:cantSplit/>
          <w:trHeight w:val="20"/>
          <w:tblHeader/>
        </w:trPr>
        <w:tc>
          <w:tcPr>
            <w:tcW w:w="2978" w:type="dxa"/>
            <w:shd w:val="clear" w:color="auto" w:fill="BFBFBF" w:themeFill="background1" w:themeFillShade="BF"/>
            <w:vAlign w:val="center"/>
          </w:tcPr>
          <w:p w:rsidR="00C2227D" w:rsidRPr="00CC6457" w:rsidRDefault="00C2227D" w:rsidP="00813FF0">
            <w:pPr>
              <w:spacing w:after="0"/>
              <w:rPr>
                <w:sz w:val="20"/>
                <w:szCs w:val="20"/>
              </w:rPr>
            </w:pPr>
          </w:p>
        </w:tc>
        <w:tc>
          <w:tcPr>
            <w:tcW w:w="1134" w:type="dxa"/>
            <w:shd w:val="clear" w:color="auto" w:fill="BFBFBF" w:themeFill="background1" w:themeFillShade="BF"/>
            <w:vAlign w:val="center"/>
          </w:tcPr>
          <w:p w:rsidR="00C2227D" w:rsidRPr="00CC6457" w:rsidRDefault="00CC6457" w:rsidP="00813FF0">
            <w:pPr>
              <w:spacing w:after="0"/>
              <w:jc w:val="center"/>
              <w:rPr>
                <w:b/>
                <w:sz w:val="20"/>
                <w:szCs w:val="20"/>
                <w:highlight w:val="black"/>
              </w:rPr>
            </w:pPr>
            <w:r>
              <w:rPr>
                <w:b/>
                <w:noProof/>
                <w:color w:val="000000"/>
                <w:sz w:val="20"/>
                <w:szCs w:val="20"/>
                <w:highlight w:val="black"/>
              </w:rPr>
              <w:t>'''''''' '''</w:t>
            </w:r>
          </w:p>
        </w:tc>
        <w:tc>
          <w:tcPr>
            <w:tcW w:w="1275" w:type="dxa"/>
            <w:shd w:val="clear" w:color="auto" w:fill="BFBFBF" w:themeFill="background1" w:themeFillShade="BF"/>
            <w:vAlign w:val="center"/>
          </w:tcPr>
          <w:p w:rsidR="00C2227D" w:rsidRPr="00CC6457" w:rsidRDefault="00CC6457" w:rsidP="00813FF0">
            <w:pPr>
              <w:spacing w:after="0"/>
              <w:jc w:val="center"/>
              <w:rPr>
                <w:b/>
                <w:sz w:val="20"/>
                <w:szCs w:val="20"/>
                <w:highlight w:val="black"/>
              </w:rPr>
            </w:pPr>
            <w:r>
              <w:rPr>
                <w:b/>
                <w:noProof/>
                <w:color w:val="000000"/>
                <w:sz w:val="20"/>
                <w:szCs w:val="20"/>
                <w:highlight w:val="black"/>
              </w:rPr>
              <w:t>''''''''' '''</w:t>
            </w:r>
          </w:p>
        </w:tc>
        <w:tc>
          <w:tcPr>
            <w:tcW w:w="1276" w:type="dxa"/>
            <w:shd w:val="clear" w:color="auto" w:fill="BFBFBF" w:themeFill="background1" w:themeFillShade="BF"/>
            <w:vAlign w:val="center"/>
          </w:tcPr>
          <w:p w:rsidR="00C2227D" w:rsidRPr="00CC6457" w:rsidRDefault="00CC6457" w:rsidP="00813FF0">
            <w:pPr>
              <w:spacing w:after="0"/>
              <w:jc w:val="center"/>
              <w:rPr>
                <w:b/>
                <w:sz w:val="20"/>
                <w:szCs w:val="20"/>
                <w:highlight w:val="black"/>
              </w:rPr>
            </w:pPr>
            <w:r>
              <w:rPr>
                <w:b/>
                <w:noProof/>
                <w:color w:val="000000"/>
                <w:sz w:val="20"/>
                <w:szCs w:val="20"/>
                <w:highlight w:val="black"/>
              </w:rPr>
              <w:t>'''''''' '''</w:t>
            </w:r>
          </w:p>
        </w:tc>
        <w:tc>
          <w:tcPr>
            <w:tcW w:w="1134" w:type="dxa"/>
            <w:shd w:val="clear" w:color="auto" w:fill="BFBFBF" w:themeFill="background1" w:themeFillShade="BF"/>
            <w:vAlign w:val="center"/>
          </w:tcPr>
          <w:p w:rsidR="00C2227D" w:rsidRPr="00CC6457" w:rsidRDefault="00CC6457" w:rsidP="00813FF0">
            <w:pPr>
              <w:spacing w:after="0"/>
              <w:jc w:val="center"/>
              <w:rPr>
                <w:b/>
                <w:sz w:val="20"/>
                <w:szCs w:val="20"/>
                <w:highlight w:val="black"/>
              </w:rPr>
            </w:pPr>
            <w:r>
              <w:rPr>
                <w:b/>
                <w:noProof/>
                <w:color w:val="000000"/>
                <w:sz w:val="20"/>
                <w:szCs w:val="20"/>
                <w:highlight w:val="black"/>
              </w:rPr>
              <w:t>'''''''' '''</w:t>
            </w:r>
          </w:p>
        </w:tc>
        <w:tc>
          <w:tcPr>
            <w:tcW w:w="1275" w:type="dxa"/>
            <w:shd w:val="clear" w:color="auto" w:fill="BFBFBF" w:themeFill="background1" w:themeFillShade="BF"/>
            <w:vAlign w:val="center"/>
          </w:tcPr>
          <w:p w:rsidR="00C2227D" w:rsidRPr="00CC6457" w:rsidRDefault="00CC6457" w:rsidP="00813FF0">
            <w:pPr>
              <w:spacing w:after="0"/>
              <w:jc w:val="center"/>
              <w:rPr>
                <w:b/>
                <w:sz w:val="20"/>
                <w:szCs w:val="20"/>
                <w:highlight w:val="black"/>
              </w:rPr>
            </w:pPr>
            <w:r>
              <w:rPr>
                <w:b/>
                <w:noProof/>
                <w:color w:val="000000"/>
                <w:sz w:val="20"/>
                <w:szCs w:val="20"/>
                <w:highlight w:val="black"/>
              </w:rPr>
              <w:t>'''''''' '''</w:t>
            </w:r>
          </w:p>
        </w:tc>
      </w:tr>
      <w:tr w:rsidR="00C2227D" w:rsidRPr="003F2904" w:rsidTr="009B5A5A">
        <w:trPr>
          <w:trHeight w:val="2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C2227D" w:rsidRPr="00CC6457" w:rsidRDefault="00CC6457" w:rsidP="00813FF0">
            <w:pPr>
              <w:spacing w:after="0"/>
              <w:rPr>
                <w:sz w:val="20"/>
                <w:szCs w:val="20"/>
                <w:highlight w:val="black"/>
              </w:rPr>
            </w:pPr>
            <w:r>
              <w:rPr>
                <w:noProof/>
                <w:color w:val="000000"/>
                <w:sz w:val="20"/>
                <w:szCs w:val="20"/>
                <w:highlight w:val="black"/>
              </w:rPr>
              <w:t>'''''''''''''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227D" w:rsidRPr="00CC6457" w:rsidRDefault="00CC6457" w:rsidP="00813FF0">
            <w:pPr>
              <w:spacing w:after="0"/>
              <w:jc w:val="center"/>
              <w:rPr>
                <w:sz w:val="20"/>
                <w:szCs w:val="20"/>
                <w:highlight w:val="black"/>
              </w:rPr>
            </w:pPr>
            <w:r>
              <w:rPr>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227D" w:rsidRPr="00CC6457" w:rsidRDefault="00CC6457" w:rsidP="00813FF0">
            <w:pPr>
              <w:spacing w:after="0"/>
              <w:jc w:val="center"/>
              <w:rPr>
                <w:sz w:val="20"/>
                <w:szCs w:val="20"/>
                <w:highlight w:val="black"/>
              </w:rPr>
            </w:pPr>
            <w:r>
              <w:rPr>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227D" w:rsidRPr="00CC6457" w:rsidRDefault="00CC6457" w:rsidP="00813FF0">
            <w:pPr>
              <w:spacing w:after="0"/>
              <w:jc w:val="center"/>
              <w:rPr>
                <w:sz w:val="20"/>
                <w:szCs w:val="20"/>
                <w:highlight w:val="black"/>
              </w:rPr>
            </w:pPr>
            <w:r>
              <w:rPr>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227D" w:rsidRPr="00CC6457" w:rsidRDefault="00CC6457" w:rsidP="00813FF0">
            <w:pPr>
              <w:spacing w:after="0"/>
              <w:jc w:val="center"/>
              <w:rPr>
                <w:sz w:val="20"/>
                <w:szCs w:val="20"/>
                <w:highlight w:val="black"/>
              </w:rPr>
            </w:pPr>
            <w:r>
              <w:rPr>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227D" w:rsidRPr="00CC6457" w:rsidRDefault="00CC6457" w:rsidP="00813FF0">
            <w:pPr>
              <w:spacing w:after="0"/>
              <w:jc w:val="center"/>
              <w:rPr>
                <w:sz w:val="20"/>
                <w:szCs w:val="20"/>
                <w:highlight w:val="black"/>
              </w:rPr>
            </w:pPr>
            <w:r>
              <w:rPr>
                <w:noProof/>
                <w:color w:val="000000"/>
                <w:sz w:val="20"/>
                <w:szCs w:val="20"/>
                <w:highlight w:val="black"/>
              </w:rPr>
              <w:t>'''''''''''''''''</w:t>
            </w:r>
          </w:p>
        </w:tc>
      </w:tr>
      <w:tr w:rsidR="00B81E04" w:rsidRPr="003F2904" w:rsidTr="009B5A5A">
        <w:trPr>
          <w:trHeight w:val="2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B81E04" w:rsidRPr="00CC6457" w:rsidRDefault="00CC6457" w:rsidP="00813FF0">
            <w:pPr>
              <w:spacing w:after="0"/>
              <w:rPr>
                <w:sz w:val="20"/>
                <w:szCs w:val="20"/>
                <w:highlight w:val="black"/>
              </w:rPr>
            </w:pPr>
            <w:r>
              <w:rPr>
                <w:noProof/>
                <w:color w:val="000000"/>
                <w:sz w:val="20"/>
                <w:szCs w:val="20"/>
                <w:highlight w:val="black"/>
              </w:rPr>
              <w:t>'''''''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E04" w:rsidRPr="00CC6457" w:rsidRDefault="00CC6457" w:rsidP="00813FF0">
            <w:pPr>
              <w:spacing w:after="0"/>
              <w:jc w:val="center"/>
              <w:rPr>
                <w:sz w:val="20"/>
                <w:szCs w:val="20"/>
                <w:highlight w:val="black"/>
              </w:rPr>
            </w:pPr>
            <w:r>
              <w:rPr>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E04" w:rsidRPr="00CC6457" w:rsidRDefault="00CC6457" w:rsidP="00813FF0">
            <w:pPr>
              <w:spacing w:after="0"/>
              <w:jc w:val="center"/>
              <w:rPr>
                <w:sz w:val="20"/>
                <w:szCs w:val="20"/>
                <w:highlight w:val="black"/>
              </w:rPr>
            </w:pPr>
            <w:r>
              <w:rPr>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E04" w:rsidRPr="00CC6457" w:rsidRDefault="00CC6457" w:rsidP="00813FF0">
            <w:pPr>
              <w:spacing w:after="0"/>
              <w:jc w:val="center"/>
              <w:rPr>
                <w:sz w:val="20"/>
                <w:szCs w:val="20"/>
                <w:highlight w:val="black"/>
              </w:rPr>
            </w:pPr>
            <w:r>
              <w:rPr>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E04" w:rsidRPr="00CC6457" w:rsidRDefault="00CC6457" w:rsidP="00813FF0">
            <w:pPr>
              <w:spacing w:after="0"/>
              <w:jc w:val="center"/>
              <w:rPr>
                <w:sz w:val="20"/>
                <w:szCs w:val="20"/>
                <w:highlight w:val="black"/>
              </w:rPr>
            </w:pPr>
            <w:r>
              <w:rPr>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E04" w:rsidRPr="00CC6457" w:rsidRDefault="00CC6457" w:rsidP="00813FF0">
            <w:pPr>
              <w:spacing w:after="0"/>
              <w:jc w:val="center"/>
              <w:rPr>
                <w:sz w:val="20"/>
                <w:szCs w:val="20"/>
                <w:highlight w:val="black"/>
              </w:rPr>
            </w:pPr>
            <w:r>
              <w:rPr>
                <w:noProof/>
                <w:color w:val="000000"/>
                <w:sz w:val="20"/>
                <w:szCs w:val="20"/>
                <w:highlight w:val="black"/>
              </w:rPr>
              <w:t>'''''''''''''''</w:t>
            </w:r>
          </w:p>
        </w:tc>
      </w:tr>
      <w:tr w:rsidR="00B81E04" w:rsidRPr="003F2904" w:rsidTr="009B5A5A">
        <w:trPr>
          <w:trHeight w:val="2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B81E04" w:rsidRPr="00CC6457" w:rsidRDefault="00CC6457" w:rsidP="00813FF0">
            <w:pPr>
              <w:spacing w:after="0"/>
              <w:rPr>
                <w:sz w:val="20"/>
                <w:szCs w:val="20"/>
                <w:highlight w:val="black"/>
              </w:rPr>
            </w:pPr>
            <w:r>
              <w:rPr>
                <w:noProof/>
                <w:color w:val="000000"/>
                <w:sz w:val="20"/>
                <w:szCs w:val="20"/>
                <w:highlight w:val="black"/>
              </w:rPr>
              <w:t>'''''''' '''''''''''''' ''''''''''''''''' '''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E04" w:rsidRPr="00CC6457" w:rsidRDefault="00CC6457" w:rsidP="00813FF0">
            <w:pPr>
              <w:spacing w:after="0"/>
              <w:jc w:val="center"/>
              <w:rPr>
                <w:sz w:val="20"/>
                <w:szCs w:val="20"/>
                <w:highlight w:val="black"/>
              </w:rPr>
            </w:pPr>
            <w:r>
              <w:rPr>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E04" w:rsidRPr="00CC6457" w:rsidRDefault="00CC6457" w:rsidP="00813FF0">
            <w:pPr>
              <w:spacing w:after="0"/>
              <w:jc w:val="center"/>
              <w:rPr>
                <w:sz w:val="20"/>
                <w:szCs w:val="20"/>
                <w:highlight w:val="black"/>
              </w:rPr>
            </w:pPr>
            <w:r>
              <w:rPr>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E04" w:rsidRPr="00CC6457" w:rsidRDefault="00CC6457" w:rsidP="00813FF0">
            <w:pPr>
              <w:spacing w:after="0"/>
              <w:jc w:val="center"/>
              <w:rPr>
                <w:sz w:val="20"/>
                <w:szCs w:val="20"/>
                <w:highlight w:val="black"/>
              </w:rPr>
            </w:pPr>
            <w:r>
              <w:rPr>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E04" w:rsidRPr="00CC6457" w:rsidRDefault="00CC6457" w:rsidP="00813FF0">
            <w:pPr>
              <w:spacing w:after="0"/>
              <w:jc w:val="center"/>
              <w:rPr>
                <w:sz w:val="20"/>
                <w:szCs w:val="20"/>
                <w:highlight w:val="black"/>
              </w:rPr>
            </w:pPr>
            <w:r>
              <w:rPr>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E04" w:rsidRPr="00CC6457" w:rsidRDefault="00CC6457" w:rsidP="00813FF0">
            <w:pPr>
              <w:spacing w:after="0"/>
              <w:jc w:val="center"/>
              <w:rPr>
                <w:sz w:val="20"/>
                <w:szCs w:val="20"/>
                <w:highlight w:val="black"/>
              </w:rPr>
            </w:pPr>
            <w:r>
              <w:rPr>
                <w:noProof/>
                <w:color w:val="000000"/>
                <w:sz w:val="20"/>
                <w:szCs w:val="20"/>
                <w:highlight w:val="black"/>
              </w:rPr>
              <w:t>'''''''''''''''</w:t>
            </w:r>
          </w:p>
        </w:tc>
      </w:tr>
    </w:tbl>
    <w:p w:rsidR="00AD009A" w:rsidRPr="00CC6457" w:rsidRDefault="00CC6457" w:rsidP="00813FF0">
      <w:pPr>
        <w:rPr>
          <w:sz w:val="20"/>
          <w:highlight w:val="black"/>
        </w:rPr>
      </w:pPr>
      <w:r>
        <w:rPr>
          <w:noProof/>
          <w:color w:val="000000"/>
          <w:sz w:val="20"/>
          <w:highlight w:val="black"/>
        </w:rPr>
        <w:t>'''''''''' '''''''' ''' ''' '''''''''''''''''' ''''''''' ''''' ''''''''''''''''''''' ''''''''''''</w:t>
      </w:r>
    </w:p>
    <w:p w:rsidR="00F81D84" w:rsidRPr="00AD42C3" w:rsidRDefault="00F81D84" w:rsidP="00813FF0">
      <w:pPr>
        <w:rPr>
          <w:b/>
          <w:i/>
        </w:rPr>
      </w:pPr>
      <w:proofErr w:type="spellStart"/>
      <w:r>
        <w:rPr>
          <w:b/>
          <w:i/>
        </w:rPr>
        <w:t>Canagliflozin</w:t>
      </w:r>
      <w:proofErr w:type="spellEnd"/>
      <w:r w:rsidR="001F7FD5">
        <w:rPr>
          <w:b/>
          <w:i/>
        </w:rPr>
        <w:t xml:space="preserve"> – dual oral therapy</w:t>
      </w:r>
      <w:r w:rsidR="00E76570">
        <w:rPr>
          <w:b/>
          <w:i/>
        </w:rPr>
        <w:t xml:space="preserve"> </w:t>
      </w:r>
      <w:r w:rsidR="00E76570" w:rsidRPr="00E76570">
        <w:rPr>
          <w:b/>
          <w:i/>
        </w:rPr>
        <w:t>(July 2013 PBAC, listed December 2013)</w:t>
      </w:r>
    </w:p>
    <w:p w:rsidR="00E76570" w:rsidRPr="003F2904" w:rsidRDefault="00F81D84" w:rsidP="00813FF0">
      <w:r w:rsidRPr="00F81D84">
        <w:t xml:space="preserve">The </w:t>
      </w:r>
      <w:proofErr w:type="spellStart"/>
      <w:r w:rsidRPr="00F81D84">
        <w:t>canagliflozin</w:t>
      </w:r>
      <w:proofErr w:type="spellEnd"/>
      <w:r w:rsidRPr="00F81D84">
        <w:t xml:space="preserve"> submission for dual oral therapy was recommended at the July 2013 PBAC</w:t>
      </w:r>
      <w:r w:rsidR="00565C06">
        <w:t xml:space="preserve">, the same meeting as </w:t>
      </w:r>
      <w:proofErr w:type="spellStart"/>
      <w:r w:rsidR="00565C06">
        <w:t>dapagliflozin</w:t>
      </w:r>
      <w:proofErr w:type="spellEnd"/>
      <w:r w:rsidRPr="00F81D84">
        <w:t>.</w:t>
      </w:r>
      <w:r>
        <w:t xml:space="preserve"> Thus in the final agreed estimates both drugs </w:t>
      </w:r>
      <w:r>
        <w:lastRenderedPageBreak/>
        <w:t xml:space="preserve">were </w:t>
      </w:r>
      <w:r w:rsidR="00E76570">
        <w:t xml:space="preserve">estimated to have 50% of the SGLT2 inhibitor market. The prescription numbers for </w:t>
      </w:r>
      <w:proofErr w:type="spellStart"/>
      <w:r w:rsidR="00E76570">
        <w:t>canagliflozin</w:t>
      </w:r>
      <w:proofErr w:type="spellEnd"/>
      <w:r w:rsidR="00E76570">
        <w:t xml:space="preserve"> </w:t>
      </w:r>
      <w:r w:rsidR="00E76570" w:rsidRPr="003F2904">
        <w:t xml:space="preserve">were slightly lower as it has a pack size of 30 tablets, compared to 28 tablets for </w:t>
      </w:r>
      <w:proofErr w:type="spellStart"/>
      <w:r w:rsidR="00E76570" w:rsidRPr="003F2904">
        <w:t>dapagliflozin</w:t>
      </w:r>
      <w:proofErr w:type="spellEnd"/>
      <w:r w:rsidR="00E76570" w:rsidRPr="003F2904">
        <w:t>.</w:t>
      </w:r>
    </w:p>
    <w:p w:rsidR="00E76570" w:rsidRPr="003F2904" w:rsidRDefault="00E76570" w:rsidP="00813FF0">
      <w:pPr>
        <w:spacing w:after="0"/>
        <w:rPr>
          <w:b/>
        </w:rPr>
      </w:pPr>
      <w:r w:rsidRPr="003F2904">
        <w:rPr>
          <w:b/>
        </w:rPr>
        <w:t xml:space="preserve">Table </w:t>
      </w:r>
      <w:r w:rsidR="008F0386" w:rsidRPr="003F2904">
        <w:rPr>
          <w:b/>
        </w:rPr>
        <w:t>4</w:t>
      </w:r>
      <w:r w:rsidRPr="003F2904">
        <w:rPr>
          <w:b/>
        </w:rPr>
        <w:t>: Prescription estimates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1134"/>
        <w:gridCol w:w="1275"/>
        <w:gridCol w:w="1276"/>
        <w:gridCol w:w="1134"/>
        <w:gridCol w:w="1275"/>
      </w:tblGrid>
      <w:tr w:rsidR="00E76570" w:rsidRPr="003F2904" w:rsidTr="00805235">
        <w:trPr>
          <w:cantSplit/>
          <w:trHeight w:val="20"/>
          <w:tblHeader/>
        </w:trPr>
        <w:tc>
          <w:tcPr>
            <w:tcW w:w="2978" w:type="dxa"/>
            <w:shd w:val="clear" w:color="auto" w:fill="BFBFBF" w:themeFill="background1" w:themeFillShade="BF"/>
            <w:vAlign w:val="center"/>
          </w:tcPr>
          <w:p w:rsidR="00E76570" w:rsidRPr="003F2904" w:rsidRDefault="00E76570" w:rsidP="00813FF0">
            <w:pPr>
              <w:spacing w:after="0"/>
              <w:rPr>
                <w:sz w:val="20"/>
                <w:szCs w:val="20"/>
              </w:rPr>
            </w:pPr>
          </w:p>
        </w:tc>
        <w:tc>
          <w:tcPr>
            <w:tcW w:w="1134" w:type="dxa"/>
            <w:shd w:val="clear" w:color="auto" w:fill="BFBFBF" w:themeFill="background1" w:themeFillShade="BF"/>
            <w:vAlign w:val="center"/>
          </w:tcPr>
          <w:p w:rsidR="00E76570" w:rsidRPr="003F2904" w:rsidRDefault="00E76570" w:rsidP="00813FF0">
            <w:pPr>
              <w:spacing w:after="0"/>
              <w:jc w:val="center"/>
              <w:rPr>
                <w:b/>
                <w:sz w:val="20"/>
                <w:szCs w:val="20"/>
              </w:rPr>
            </w:pPr>
            <w:r w:rsidRPr="003F2904">
              <w:rPr>
                <w:b/>
                <w:sz w:val="20"/>
                <w:szCs w:val="20"/>
              </w:rPr>
              <w:t>Year 1</w:t>
            </w:r>
          </w:p>
        </w:tc>
        <w:tc>
          <w:tcPr>
            <w:tcW w:w="1275" w:type="dxa"/>
            <w:shd w:val="clear" w:color="auto" w:fill="BFBFBF" w:themeFill="background1" w:themeFillShade="BF"/>
            <w:vAlign w:val="center"/>
          </w:tcPr>
          <w:p w:rsidR="00E76570" w:rsidRPr="003F2904" w:rsidRDefault="00E76570" w:rsidP="00813FF0">
            <w:pPr>
              <w:spacing w:after="0"/>
              <w:jc w:val="center"/>
              <w:rPr>
                <w:b/>
                <w:sz w:val="20"/>
                <w:szCs w:val="20"/>
              </w:rPr>
            </w:pPr>
            <w:r w:rsidRPr="003F2904">
              <w:rPr>
                <w:b/>
                <w:sz w:val="20"/>
                <w:szCs w:val="20"/>
              </w:rPr>
              <w:t>Year 2</w:t>
            </w:r>
          </w:p>
        </w:tc>
        <w:tc>
          <w:tcPr>
            <w:tcW w:w="1276" w:type="dxa"/>
            <w:shd w:val="clear" w:color="auto" w:fill="BFBFBF" w:themeFill="background1" w:themeFillShade="BF"/>
            <w:vAlign w:val="center"/>
          </w:tcPr>
          <w:p w:rsidR="00E76570" w:rsidRPr="003F2904" w:rsidRDefault="00E76570" w:rsidP="00813FF0">
            <w:pPr>
              <w:spacing w:after="0"/>
              <w:jc w:val="center"/>
              <w:rPr>
                <w:b/>
                <w:sz w:val="20"/>
                <w:szCs w:val="20"/>
              </w:rPr>
            </w:pPr>
            <w:r w:rsidRPr="003F2904">
              <w:rPr>
                <w:b/>
                <w:sz w:val="20"/>
                <w:szCs w:val="20"/>
              </w:rPr>
              <w:t>Year 3</w:t>
            </w:r>
          </w:p>
        </w:tc>
        <w:tc>
          <w:tcPr>
            <w:tcW w:w="1134" w:type="dxa"/>
            <w:shd w:val="clear" w:color="auto" w:fill="BFBFBF" w:themeFill="background1" w:themeFillShade="BF"/>
            <w:vAlign w:val="center"/>
          </w:tcPr>
          <w:p w:rsidR="00E76570" w:rsidRPr="003F2904" w:rsidRDefault="00E76570" w:rsidP="00813FF0">
            <w:pPr>
              <w:spacing w:after="0"/>
              <w:jc w:val="center"/>
              <w:rPr>
                <w:b/>
                <w:sz w:val="20"/>
                <w:szCs w:val="20"/>
              </w:rPr>
            </w:pPr>
            <w:r w:rsidRPr="003F2904">
              <w:rPr>
                <w:b/>
                <w:sz w:val="20"/>
                <w:szCs w:val="20"/>
              </w:rPr>
              <w:t>Year 4</w:t>
            </w:r>
          </w:p>
        </w:tc>
        <w:tc>
          <w:tcPr>
            <w:tcW w:w="1275" w:type="dxa"/>
            <w:shd w:val="clear" w:color="auto" w:fill="BFBFBF" w:themeFill="background1" w:themeFillShade="BF"/>
            <w:vAlign w:val="center"/>
          </w:tcPr>
          <w:p w:rsidR="00E76570" w:rsidRPr="003F2904" w:rsidRDefault="00E76570" w:rsidP="00813FF0">
            <w:pPr>
              <w:spacing w:after="0"/>
              <w:jc w:val="center"/>
              <w:rPr>
                <w:b/>
                <w:sz w:val="20"/>
                <w:szCs w:val="20"/>
              </w:rPr>
            </w:pPr>
            <w:r w:rsidRPr="003F2904">
              <w:rPr>
                <w:b/>
                <w:sz w:val="20"/>
                <w:szCs w:val="20"/>
              </w:rPr>
              <w:t>Year 5</w:t>
            </w:r>
          </w:p>
        </w:tc>
      </w:tr>
      <w:tr w:rsidR="009B5A5A" w:rsidRPr="003F2904" w:rsidTr="009B5A5A">
        <w:trPr>
          <w:trHeight w:val="2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B5A5A" w:rsidRPr="00CC6457" w:rsidRDefault="00CC6457" w:rsidP="00813FF0">
            <w:pPr>
              <w:spacing w:after="0"/>
              <w:rPr>
                <w:sz w:val="20"/>
                <w:szCs w:val="20"/>
                <w:highlight w:val="black"/>
              </w:rPr>
            </w:pPr>
            <w:r>
              <w:rPr>
                <w:noProof/>
                <w:color w:val="000000"/>
                <w:sz w:val="20"/>
                <w:szCs w:val="20"/>
                <w:highlight w:val="black"/>
              </w:rPr>
              <w:t>''''''''' '''''''''''' ''''''''''''''''' '''''' ''''''''''''''''''''' ''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B5A5A" w:rsidRPr="00CC6457" w:rsidRDefault="00CC6457" w:rsidP="00813FF0">
            <w:pPr>
              <w:spacing w:after="0"/>
              <w:jc w:val="center"/>
              <w:rPr>
                <w:sz w:val="20"/>
                <w:szCs w:val="20"/>
                <w:highlight w:val="black"/>
              </w:rPr>
            </w:pPr>
            <w:r>
              <w:rPr>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B5A5A" w:rsidRPr="00CC6457" w:rsidRDefault="00CC6457" w:rsidP="00813FF0">
            <w:pPr>
              <w:spacing w:after="0"/>
              <w:jc w:val="center"/>
              <w:rPr>
                <w:sz w:val="20"/>
                <w:szCs w:val="20"/>
                <w:highlight w:val="black"/>
              </w:rPr>
            </w:pPr>
            <w:r>
              <w:rPr>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B5A5A" w:rsidRPr="00CC6457" w:rsidRDefault="00CC6457" w:rsidP="00813FF0">
            <w:pPr>
              <w:spacing w:after="0"/>
              <w:jc w:val="center"/>
              <w:rPr>
                <w:sz w:val="20"/>
                <w:szCs w:val="20"/>
                <w:highlight w:val="black"/>
              </w:rPr>
            </w:pPr>
            <w:r>
              <w:rPr>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B5A5A" w:rsidRPr="00CC6457" w:rsidRDefault="00CC6457" w:rsidP="00813FF0">
            <w:pPr>
              <w:spacing w:after="0"/>
              <w:jc w:val="center"/>
              <w:rPr>
                <w:sz w:val="20"/>
                <w:szCs w:val="20"/>
                <w:highlight w:val="black"/>
              </w:rPr>
            </w:pPr>
            <w:r>
              <w:rPr>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B5A5A" w:rsidRPr="00CC6457" w:rsidRDefault="00CC6457" w:rsidP="00813FF0">
            <w:pPr>
              <w:spacing w:after="0"/>
              <w:jc w:val="center"/>
              <w:rPr>
                <w:sz w:val="20"/>
                <w:szCs w:val="20"/>
                <w:highlight w:val="black"/>
              </w:rPr>
            </w:pPr>
            <w:r>
              <w:rPr>
                <w:noProof/>
                <w:color w:val="000000"/>
                <w:sz w:val="20"/>
                <w:szCs w:val="20"/>
                <w:highlight w:val="black"/>
              </w:rPr>
              <w:t>'''''''''''''''''</w:t>
            </w:r>
          </w:p>
        </w:tc>
      </w:tr>
      <w:tr w:rsidR="009B5A5A" w:rsidRPr="003F2904" w:rsidTr="009B5A5A">
        <w:trPr>
          <w:trHeight w:val="2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B5A5A" w:rsidRPr="00CC6457" w:rsidRDefault="00CC6457" w:rsidP="00813FF0">
            <w:pPr>
              <w:spacing w:after="0"/>
              <w:rPr>
                <w:sz w:val="20"/>
                <w:szCs w:val="20"/>
                <w:highlight w:val="black"/>
              </w:rPr>
            </w:pPr>
            <w:r>
              <w:rPr>
                <w:noProof/>
                <w:color w:val="000000"/>
                <w:sz w:val="20"/>
                <w:szCs w:val="20"/>
                <w:highlight w:val="black"/>
              </w:rPr>
              <w:t>''''''''''''''''' '''''' '''''''''''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B5A5A" w:rsidRPr="00CC6457" w:rsidRDefault="00CC6457" w:rsidP="00813FF0">
            <w:pPr>
              <w:spacing w:after="0"/>
              <w:jc w:val="center"/>
              <w:rPr>
                <w:sz w:val="20"/>
                <w:szCs w:val="20"/>
                <w:highlight w:val="black"/>
              </w:rPr>
            </w:pPr>
            <w:r>
              <w:rPr>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B5A5A" w:rsidRPr="00CC6457" w:rsidRDefault="00CC6457" w:rsidP="00813FF0">
            <w:pPr>
              <w:spacing w:after="0"/>
              <w:jc w:val="center"/>
              <w:rPr>
                <w:sz w:val="20"/>
                <w:szCs w:val="20"/>
                <w:highlight w:val="black"/>
              </w:rPr>
            </w:pPr>
            <w:r>
              <w:rPr>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B5A5A" w:rsidRPr="00CC6457" w:rsidRDefault="00CC6457" w:rsidP="00813FF0">
            <w:pPr>
              <w:spacing w:after="0"/>
              <w:jc w:val="center"/>
              <w:rPr>
                <w:sz w:val="20"/>
                <w:szCs w:val="20"/>
                <w:highlight w:val="black"/>
              </w:rPr>
            </w:pPr>
            <w:r>
              <w:rPr>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B5A5A" w:rsidRPr="00CC6457" w:rsidRDefault="00CC6457" w:rsidP="00813FF0">
            <w:pPr>
              <w:spacing w:after="0"/>
              <w:jc w:val="center"/>
              <w:rPr>
                <w:sz w:val="20"/>
                <w:szCs w:val="20"/>
                <w:highlight w:val="black"/>
              </w:rPr>
            </w:pPr>
            <w:r>
              <w:rPr>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B5A5A" w:rsidRPr="00CC6457" w:rsidRDefault="00CC6457" w:rsidP="00813FF0">
            <w:pPr>
              <w:spacing w:after="0"/>
              <w:jc w:val="center"/>
              <w:rPr>
                <w:sz w:val="20"/>
                <w:szCs w:val="20"/>
                <w:highlight w:val="black"/>
              </w:rPr>
            </w:pPr>
            <w:r>
              <w:rPr>
                <w:noProof/>
                <w:color w:val="000000"/>
                <w:sz w:val="20"/>
                <w:szCs w:val="20"/>
                <w:highlight w:val="black"/>
              </w:rPr>
              <w:t>''''''''''''''''''</w:t>
            </w:r>
          </w:p>
        </w:tc>
      </w:tr>
    </w:tbl>
    <w:p w:rsidR="00AD009A" w:rsidRPr="003F2904" w:rsidRDefault="00AD009A" w:rsidP="00813FF0">
      <w:pPr>
        <w:rPr>
          <w:sz w:val="20"/>
        </w:rPr>
      </w:pPr>
      <w:r w:rsidRPr="003F2904">
        <w:rPr>
          <w:sz w:val="20"/>
        </w:rPr>
        <w:t>Note: Year 1 is December 2013 to November 2014.</w:t>
      </w:r>
    </w:p>
    <w:p w:rsidR="00912AC3" w:rsidRPr="003F2904" w:rsidRDefault="00912AC3" w:rsidP="00813FF0">
      <w:pPr>
        <w:rPr>
          <w:sz w:val="20"/>
          <w:szCs w:val="20"/>
        </w:rPr>
      </w:pPr>
      <w:r w:rsidRPr="003F2904">
        <w:t xml:space="preserve">There was a Risk Share Agreement (RSA) put in place for </w:t>
      </w:r>
      <w:r w:rsidR="009B5A5A" w:rsidRPr="003F2904">
        <w:t xml:space="preserve">the SGLT2 inhibitor market. However, this lapsed in December 2014 when the price and </w:t>
      </w:r>
      <w:r w:rsidR="00320280" w:rsidRPr="003F2904">
        <w:t xml:space="preserve">restriction of </w:t>
      </w:r>
      <w:proofErr w:type="spellStart"/>
      <w:r w:rsidR="00320280" w:rsidRPr="003F2904">
        <w:t>dapagliflozin</w:t>
      </w:r>
      <w:proofErr w:type="spellEnd"/>
      <w:r w:rsidR="00320280" w:rsidRPr="003F2904">
        <w:t xml:space="preserve"> were</w:t>
      </w:r>
      <w:r w:rsidR="009B5A5A" w:rsidRPr="003F2904">
        <w:t xml:space="preserve"> changed.</w:t>
      </w:r>
    </w:p>
    <w:p w:rsidR="0017354A" w:rsidRPr="003F2904" w:rsidRDefault="00B70C48" w:rsidP="00813FF0">
      <w:pPr>
        <w:rPr>
          <w:b/>
          <w:i/>
        </w:rPr>
      </w:pPr>
      <w:proofErr w:type="spellStart"/>
      <w:r w:rsidRPr="003F2904">
        <w:rPr>
          <w:b/>
          <w:i/>
        </w:rPr>
        <w:t>Empagliflozin</w:t>
      </w:r>
      <w:proofErr w:type="spellEnd"/>
      <w:r w:rsidRPr="003F2904">
        <w:rPr>
          <w:b/>
          <w:i/>
        </w:rPr>
        <w:t xml:space="preserve"> - dual oral therapy (July 2014 PBAC, listed January 2015)</w:t>
      </w:r>
    </w:p>
    <w:p w:rsidR="0017354A" w:rsidRPr="006C4550" w:rsidRDefault="0017354A" w:rsidP="00813FF0">
      <w:r w:rsidRPr="006C4550">
        <w:t>The estimates were based on a market share approach</w:t>
      </w:r>
      <w:r w:rsidR="00461276" w:rsidRPr="006C4550">
        <w:t>. The submission stated</w:t>
      </w:r>
      <w:r w:rsidR="00A257CF" w:rsidRPr="006C4550">
        <w:t>,</w:t>
      </w:r>
      <w:r w:rsidR="00461276" w:rsidRPr="006C4550">
        <w:t xml:space="preserve"> “Given that </w:t>
      </w:r>
      <w:proofErr w:type="spellStart"/>
      <w:r w:rsidR="00461276" w:rsidRPr="006C4550">
        <w:t>empagliflozin</w:t>
      </w:r>
      <w:proofErr w:type="spellEnd"/>
      <w:r w:rsidR="00461276" w:rsidRPr="006C4550">
        <w:t xml:space="preserve"> is a pharmacological analogue of the two other SGLT2 inhibitors that are currently available on the PBS (</w:t>
      </w:r>
      <w:proofErr w:type="spellStart"/>
      <w:r w:rsidR="00461276" w:rsidRPr="006C4550">
        <w:t>dapagliflozin</w:t>
      </w:r>
      <w:proofErr w:type="spellEnd"/>
      <w:r w:rsidR="00461276" w:rsidRPr="006C4550">
        <w:t xml:space="preserve"> and </w:t>
      </w:r>
      <w:proofErr w:type="spellStart"/>
      <w:r w:rsidR="00461276" w:rsidRPr="006C4550">
        <w:t>canagliflozin</w:t>
      </w:r>
      <w:proofErr w:type="spellEnd"/>
      <w:r w:rsidR="00461276" w:rsidRPr="006C4550">
        <w:t xml:space="preserve">), </w:t>
      </w:r>
      <w:proofErr w:type="spellStart"/>
      <w:r w:rsidR="00461276" w:rsidRPr="006C4550">
        <w:t>empagliflozin</w:t>
      </w:r>
      <w:proofErr w:type="spellEnd"/>
      <w:r w:rsidR="00461276" w:rsidRPr="006C4550">
        <w:t xml:space="preserve"> would substitute prescriptions that would have otherwise been attributed to </w:t>
      </w:r>
      <w:proofErr w:type="spellStart"/>
      <w:r w:rsidR="00461276" w:rsidRPr="006C4550">
        <w:t>canagliflozin</w:t>
      </w:r>
      <w:proofErr w:type="spellEnd"/>
      <w:r w:rsidR="00461276" w:rsidRPr="006C4550">
        <w:t xml:space="preserve"> or </w:t>
      </w:r>
      <w:proofErr w:type="spellStart"/>
      <w:r w:rsidR="00461276" w:rsidRPr="006C4550">
        <w:t>dapagliflozin</w:t>
      </w:r>
      <w:proofErr w:type="spellEnd"/>
      <w:r w:rsidR="00461276" w:rsidRPr="006C4550">
        <w:t>, with no increase in the overall SGLT2 inhibitor market size as a consequence of listing”</w:t>
      </w:r>
      <w:r w:rsidR="00A264C0" w:rsidRPr="006C4550">
        <w:t xml:space="preserve">. The final agreed estimates (September 2014) were 30% less than those in the July 2014 submission (see Table </w:t>
      </w:r>
      <w:r w:rsidR="00657DE9" w:rsidRPr="006C4550">
        <w:t>5</w:t>
      </w:r>
      <w:r w:rsidR="00A264C0" w:rsidRPr="006C4550">
        <w:t>)</w:t>
      </w:r>
      <w:r w:rsidR="00720B54" w:rsidRPr="006C4550">
        <w:t>.</w:t>
      </w:r>
    </w:p>
    <w:p w:rsidR="00461276" w:rsidRPr="006C4550" w:rsidRDefault="00461276" w:rsidP="00813FF0">
      <w:pPr>
        <w:spacing w:after="0"/>
        <w:rPr>
          <w:b/>
        </w:rPr>
      </w:pPr>
      <w:r w:rsidRPr="006C4550">
        <w:rPr>
          <w:b/>
        </w:rPr>
        <w:t xml:space="preserve">Table </w:t>
      </w:r>
      <w:r w:rsidR="00657DE9" w:rsidRPr="006C4550">
        <w:rPr>
          <w:b/>
        </w:rPr>
        <w:t>5</w:t>
      </w:r>
      <w:r w:rsidRPr="006C4550">
        <w:rPr>
          <w:b/>
        </w:rPr>
        <w:t xml:space="preserve">: Prescription estimates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162"/>
        <w:gridCol w:w="1162"/>
        <w:gridCol w:w="1162"/>
        <w:gridCol w:w="1162"/>
        <w:gridCol w:w="1163"/>
      </w:tblGrid>
      <w:tr w:rsidR="00461276" w:rsidRPr="003F2904" w:rsidTr="00A264C0">
        <w:trPr>
          <w:cantSplit/>
          <w:trHeight w:val="20"/>
          <w:tblHeader/>
        </w:trPr>
        <w:tc>
          <w:tcPr>
            <w:tcW w:w="3261" w:type="dxa"/>
            <w:shd w:val="clear" w:color="auto" w:fill="BFBFBF" w:themeFill="background1" w:themeFillShade="BF"/>
            <w:vAlign w:val="center"/>
          </w:tcPr>
          <w:p w:rsidR="00461276" w:rsidRPr="00CC6457" w:rsidRDefault="00461276" w:rsidP="00813FF0">
            <w:pPr>
              <w:spacing w:after="0"/>
              <w:rPr>
                <w:sz w:val="20"/>
                <w:szCs w:val="20"/>
              </w:rPr>
            </w:pPr>
          </w:p>
        </w:tc>
        <w:tc>
          <w:tcPr>
            <w:tcW w:w="1162" w:type="dxa"/>
            <w:shd w:val="clear" w:color="auto" w:fill="BFBFBF" w:themeFill="background1" w:themeFillShade="BF"/>
            <w:vAlign w:val="center"/>
          </w:tcPr>
          <w:p w:rsidR="00461276" w:rsidRPr="00CC6457" w:rsidRDefault="00CC6457" w:rsidP="00813FF0">
            <w:pPr>
              <w:spacing w:after="0"/>
              <w:jc w:val="center"/>
              <w:rPr>
                <w:b/>
                <w:sz w:val="20"/>
                <w:szCs w:val="20"/>
                <w:highlight w:val="black"/>
              </w:rPr>
            </w:pPr>
            <w:r>
              <w:rPr>
                <w:b/>
                <w:noProof/>
                <w:color w:val="000000"/>
                <w:sz w:val="20"/>
                <w:szCs w:val="20"/>
                <w:highlight w:val="black"/>
              </w:rPr>
              <w:t>''''''''' '''</w:t>
            </w:r>
          </w:p>
        </w:tc>
        <w:tc>
          <w:tcPr>
            <w:tcW w:w="1162" w:type="dxa"/>
            <w:shd w:val="clear" w:color="auto" w:fill="BFBFBF" w:themeFill="background1" w:themeFillShade="BF"/>
            <w:vAlign w:val="center"/>
          </w:tcPr>
          <w:p w:rsidR="00461276" w:rsidRPr="00CC6457" w:rsidRDefault="00CC6457" w:rsidP="00813FF0">
            <w:pPr>
              <w:spacing w:after="0"/>
              <w:jc w:val="center"/>
              <w:rPr>
                <w:b/>
                <w:sz w:val="20"/>
                <w:szCs w:val="20"/>
                <w:highlight w:val="black"/>
              </w:rPr>
            </w:pPr>
            <w:r>
              <w:rPr>
                <w:b/>
                <w:noProof/>
                <w:color w:val="000000"/>
                <w:sz w:val="20"/>
                <w:szCs w:val="20"/>
                <w:highlight w:val="black"/>
              </w:rPr>
              <w:t>'''''''' '''</w:t>
            </w:r>
          </w:p>
        </w:tc>
        <w:tc>
          <w:tcPr>
            <w:tcW w:w="1162" w:type="dxa"/>
            <w:shd w:val="clear" w:color="auto" w:fill="BFBFBF" w:themeFill="background1" w:themeFillShade="BF"/>
            <w:vAlign w:val="center"/>
          </w:tcPr>
          <w:p w:rsidR="00461276" w:rsidRPr="00CC6457" w:rsidRDefault="00CC6457" w:rsidP="00813FF0">
            <w:pPr>
              <w:spacing w:after="0"/>
              <w:jc w:val="center"/>
              <w:rPr>
                <w:b/>
                <w:sz w:val="20"/>
                <w:szCs w:val="20"/>
                <w:highlight w:val="black"/>
              </w:rPr>
            </w:pPr>
            <w:r>
              <w:rPr>
                <w:b/>
                <w:noProof/>
                <w:color w:val="000000"/>
                <w:sz w:val="20"/>
                <w:szCs w:val="20"/>
                <w:highlight w:val="black"/>
              </w:rPr>
              <w:t>'''''''' '''</w:t>
            </w:r>
          </w:p>
        </w:tc>
        <w:tc>
          <w:tcPr>
            <w:tcW w:w="1162" w:type="dxa"/>
            <w:shd w:val="clear" w:color="auto" w:fill="BFBFBF" w:themeFill="background1" w:themeFillShade="BF"/>
            <w:vAlign w:val="center"/>
          </w:tcPr>
          <w:p w:rsidR="00461276" w:rsidRPr="00CC6457" w:rsidRDefault="00CC6457" w:rsidP="00813FF0">
            <w:pPr>
              <w:spacing w:after="0"/>
              <w:jc w:val="center"/>
              <w:rPr>
                <w:b/>
                <w:sz w:val="20"/>
                <w:szCs w:val="20"/>
                <w:highlight w:val="black"/>
              </w:rPr>
            </w:pPr>
            <w:r>
              <w:rPr>
                <w:b/>
                <w:noProof/>
                <w:color w:val="000000"/>
                <w:sz w:val="20"/>
                <w:szCs w:val="20"/>
                <w:highlight w:val="black"/>
              </w:rPr>
              <w:t>'''''''' '''</w:t>
            </w:r>
          </w:p>
        </w:tc>
        <w:tc>
          <w:tcPr>
            <w:tcW w:w="1163" w:type="dxa"/>
            <w:shd w:val="clear" w:color="auto" w:fill="BFBFBF" w:themeFill="background1" w:themeFillShade="BF"/>
            <w:vAlign w:val="center"/>
          </w:tcPr>
          <w:p w:rsidR="00461276" w:rsidRPr="00CC6457" w:rsidRDefault="00CC6457" w:rsidP="00813FF0">
            <w:pPr>
              <w:spacing w:after="0"/>
              <w:jc w:val="center"/>
              <w:rPr>
                <w:b/>
                <w:sz w:val="20"/>
                <w:szCs w:val="20"/>
                <w:highlight w:val="black"/>
              </w:rPr>
            </w:pPr>
            <w:r>
              <w:rPr>
                <w:b/>
                <w:noProof/>
                <w:color w:val="000000"/>
                <w:sz w:val="20"/>
                <w:szCs w:val="20"/>
                <w:highlight w:val="black"/>
              </w:rPr>
              <w:t>'''''''' '''</w:t>
            </w:r>
          </w:p>
        </w:tc>
      </w:tr>
      <w:tr w:rsidR="00461276" w:rsidRPr="003F2904" w:rsidTr="00A264C0">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61276" w:rsidRPr="00CC6457" w:rsidRDefault="00CC6457" w:rsidP="00813FF0">
            <w:pPr>
              <w:spacing w:after="0"/>
              <w:rPr>
                <w:sz w:val="20"/>
                <w:szCs w:val="20"/>
                <w:highlight w:val="black"/>
              </w:rPr>
            </w:pPr>
            <w:r>
              <w:rPr>
                <w:noProof/>
                <w:color w:val="000000"/>
                <w:sz w:val="20"/>
                <w:szCs w:val="20"/>
                <w:highlight w:val="black"/>
              </w:rPr>
              <w:t>'''''''''''''''''''' '''''''''''''''''''''''''  '''''' ''''''''''''''''''''''''''' '''''''' ''''''''''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61276" w:rsidRPr="00CC6457" w:rsidRDefault="00CC6457" w:rsidP="00813FF0">
            <w:pPr>
              <w:pStyle w:val="TableText0"/>
              <w:jc w:val="center"/>
              <w:rPr>
                <w:rFonts w:asciiTheme="minorHAnsi" w:hAnsiTheme="minorHAnsi"/>
                <w:sz w:val="20"/>
                <w:highlight w:val="black"/>
              </w:rPr>
            </w:pPr>
            <w:r>
              <w:rPr>
                <w:rFonts w:asciiTheme="minorHAnsi" w:hAnsiTheme="minorHAnsi"/>
                <w:noProof/>
                <w:color w:val="000000"/>
                <w:sz w:val="20"/>
                <w:highlight w:val="black"/>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61276" w:rsidRPr="00CC6457" w:rsidRDefault="00CC6457" w:rsidP="00813FF0">
            <w:pPr>
              <w:pStyle w:val="TableText0"/>
              <w:jc w:val="center"/>
              <w:rPr>
                <w:rFonts w:asciiTheme="minorHAnsi" w:hAnsiTheme="minorHAnsi"/>
                <w:sz w:val="20"/>
                <w:highlight w:val="black"/>
              </w:rPr>
            </w:pPr>
            <w:r>
              <w:rPr>
                <w:rFonts w:asciiTheme="minorHAnsi" w:hAnsiTheme="minorHAnsi"/>
                <w:noProof/>
                <w:color w:val="000000"/>
                <w:sz w:val="20"/>
                <w:highlight w:val="black"/>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61276" w:rsidRPr="00CC6457" w:rsidRDefault="00CC6457" w:rsidP="00813FF0">
            <w:pPr>
              <w:pStyle w:val="TableText0"/>
              <w:jc w:val="center"/>
              <w:rPr>
                <w:rFonts w:asciiTheme="minorHAnsi" w:hAnsiTheme="minorHAnsi"/>
                <w:sz w:val="20"/>
                <w:highlight w:val="black"/>
              </w:rPr>
            </w:pPr>
            <w:r>
              <w:rPr>
                <w:rFonts w:asciiTheme="minorHAnsi" w:hAnsiTheme="minorHAnsi"/>
                <w:noProof/>
                <w:color w:val="000000"/>
                <w:sz w:val="20"/>
                <w:highlight w:val="black"/>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61276" w:rsidRPr="00CC6457" w:rsidRDefault="00CC6457" w:rsidP="00813FF0">
            <w:pPr>
              <w:pStyle w:val="TableText0"/>
              <w:jc w:val="center"/>
              <w:rPr>
                <w:rFonts w:asciiTheme="minorHAnsi" w:hAnsiTheme="minorHAnsi"/>
                <w:sz w:val="20"/>
                <w:highlight w:val="black"/>
              </w:rPr>
            </w:pPr>
            <w:r>
              <w:rPr>
                <w:rFonts w:asciiTheme="minorHAnsi" w:hAnsiTheme="minorHAnsi"/>
                <w:noProof/>
                <w:color w:val="000000"/>
                <w:sz w:val="20"/>
                <w:highlight w:val="black"/>
              </w:rPr>
              <w: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461276" w:rsidRPr="00CC6457" w:rsidRDefault="00CC6457" w:rsidP="00813FF0">
            <w:pPr>
              <w:pStyle w:val="TableText0"/>
              <w:jc w:val="center"/>
              <w:rPr>
                <w:rFonts w:asciiTheme="minorHAnsi" w:hAnsiTheme="minorHAnsi"/>
                <w:sz w:val="20"/>
                <w:highlight w:val="black"/>
              </w:rPr>
            </w:pPr>
            <w:r>
              <w:rPr>
                <w:rFonts w:asciiTheme="minorHAnsi" w:hAnsiTheme="minorHAnsi"/>
                <w:noProof/>
                <w:color w:val="000000"/>
                <w:sz w:val="20"/>
                <w:highlight w:val="black"/>
              </w:rPr>
              <w:t>''''''''''''''</w:t>
            </w:r>
          </w:p>
        </w:tc>
      </w:tr>
      <w:tr w:rsidR="00A264C0" w:rsidRPr="003F2904" w:rsidTr="00A264C0">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spacing w:after="0"/>
              <w:rPr>
                <w:sz w:val="20"/>
                <w:szCs w:val="20"/>
                <w:highlight w:val="black"/>
              </w:rPr>
            </w:pPr>
            <w:r>
              <w:rPr>
                <w:noProof/>
                <w:color w:val="000000"/>
                <w:sz w:val="20"/>
                <w:szCs w:val="20"/>
                <w:highlight w:val="black"/>
              </w:rPr>
              <w:t xml:space="preserve">'''''''''''''''''''' ''''''''''''''''''''''  '''''' '''''''''''''''''''''''''' </w:t>
            </w:r>
          </w:p>
          <w:p w:rsidR="00A264C0" w:rsidRPr="00CC6457" w:rsidRDefault="00CC6457" w:rsidP="00813FF0">
            <w:pPr>
              <w:spacing w:after="0"/>
              <w:rPr>
                <w:sz w:val="20"/>
                <w:szCs w:val="20"/>
                <w:highlight w:val="black"/>
              </w:rPr>
            </w:pPr>
            <w:r>
              <w:rPr>
                <w:noProof/>
                <w:color w:val="000000"/>
                <w:sz w:val="20"/>
                <w:szCs w:val="20"/>
                <w:highlight w:val="black"/>
              </w:rPr>
              <w:t>'''''''''''' ''''''''''''''' '''''''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pStyle w:val="TableText0"/>
              <w:jc w:val="center"/>
              <w:rPr>
                <w:rFonts w:asciiTheme="minorHAnsi" w:hAnsiTheme="minorHAnsi"/>
                <w:sz w:val="20"/>
                <w:highlight w:val="black"/>
              </w:rPr>
            </w:pPr>
            <w:r>
              <w:rPr>
                <w:rFonts w:asciiTheme="minorHAnsi" w:hAnsiTheme="minorHAnsi"/>
                <w:noProof/>
                <w:color w:val="000000"/>
                <w:sz w:val="20"/>
                <w:highlight w:val="black"/>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pStyle w:val="TableText0"/>
              <w:jc w:val="center"/>
              <w:rPr>
                <w:rFonts w:asciiTheme="minorHAnsi" w:hAnsiTheme="minorHAnsi"/>
                <w:sz w:val="20"/>
                <w:highlight w:val="black"/>
              </w:rPr>
            </w:pPr>
            <w:r>
              <w:rPr>
                <w:rFonts w:asciiTheme="minorHAnsi" w:hAnsiTheme="minorHAnsi"/>
                <w:noProof/>
                <w:color w:val="000000"/>
                <w:sz w:val="20"/>
                <w:highlight w:val="black"/>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pStyle w:val="TableText0"/>
              <w:jc w:val="center"/>
              <w:rPr>
                <w:rFonts w:asciiTheme="minorHAnsi" w:hAnsiTheme="minorHAnsi"/>
                <w:sz w:val="20"/>
                <w:highlight w:val="black"/>
              </w:rPr>
            </w:pPr>
            <w:r>
              <w:rPr>
                <w:rFonts w:asciiTheme="minorHAnsi" w:hAnsiTheme="minorHAnsi"/>
                <w:noProof/>
                <w:color w:val="000000"/>
                <w:sz w:val="20"/>
                <w:highlight w:val="black"/>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pStyle w:val="TableText0"/>
              <w:jc w:val="center"/>
              <w:rPr>
                <w:rFonts w:asciiTheme="minorHAnsi" w:hAnsiTheme="minorHAnsi"/>
                <w:sz w:val="20"/>
                <w:highlight w:val="black"/>
              </w:rPr>
            </w:pPr>
            <w:r>
              <w:rPr>
                <w:rFonts w:asciiTheme="minorHAnsi" w:hAnsiTheme="minorHAnsi"/>
                <w:noProof/>
                <w:color w:val="000000"/>
                <w:sz w:val="20"/>
                <w:highlight w:val="black"/>
              </w:rPr>
              <w: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pStyle w:val="TableText0"/>
              <w:jc w:val="center"/>
              <w:rPr>
                <w:rFonts w:asciiTheme="minorHAnsi" w:hAnsiTheme="minorHAnsi"/>
                <w:sz w:val="20"/>
                <w:highlight w:val="black"/>
              </w:rPr>
            </w:pPr>
            <w:r>
              <w:rPr>
                <w:rFonts w:asciiTheme="minorHAnsi" w:hAnsiTheme="minorHAnsi"/>
                <w:noProof/>
                <w:color w:val="000000"/>
                <w:sz w:val="20"/>
                <w:highlight w:val="black"/>
              </w:rPr>
              <w:t>'''''''''''''''''</w:t>
            </w:r>
          </w:p>
        </w:tc>
      </w:tr>
      <w:tr w:rsidR="00A264C0" w:rsidRPr="003F2904" w:rsidTr="00A264C0">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spacing w:after="0"/>
              <w:rPr>
                <w:sz w:val="20"/>
                <w:szCs w:val="20"/>
                <w:highlight w:val="black"/>
              </w:rPr>
            </w:pPr>
            <w:r>
              <w:rPr>
                <w:noProof/>
                <w:color w:val="000000"/>
                <w:sz w:val="20"/>
                <w:szCs w:val="20"/>
                <w:highlight w:val="black"/>
              </w:rPr>
              <w:t>''''''''''''''''' '''''''''''''''''''' ''''''''''''''''''''''''''  '''''' ''''''''''''' '''''''''''''''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spacing w:after="0"/>
              <w:jc w:val="center"/>
              <w:rPr>
                <w:sz w:val="20"/>
                <w:szCs w:val="20"/>
                <w:highlight w:val="black"/>
              </w:rPr>
            </w:pPr>
            <w:r>
              <w:rPr>
                <w:noProof/>
                <w:color w:val="000000"/>
                <w:sz w:val="20"/>
                <w:szCs w:val="20"/>
                <w:highlight w:val="black"/>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spacing w:after="0"/>
              <w:jc w:val="center"/>
              <w:rPr>
                <w:sz w:val="20"/>
                <w:szCs w:val="20"/>
                <w:highlight w:val="black"/>
              </w:rPr>
            </w:pPr>
            <w:r>
              <w:rPr>
                <w:noProof/>
                <w:color w:val="000000"/>
                <w:sz w:val="20"/>
                <w:szCs w:val="20"/>
                <w:highlight w:val="black"/>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spacing w:after="0"/>
              <w:jc w:val="center"/>
              <w:rPr>
                <w:sz w:val="20"/>
                <w:szCs w:val="20"/>
                <w:highlight w:val="black"/>
              </w:rPr>
            </w:pPr>
            <w:r>
              <w:rPr>
                <w:noProof/>
                <w:color w:val="000000"/>
                <w:sz w:val="20"/>
                <w:szCs w:val="20"/>
                <w:highlight w:val="black"/>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spacing w:after="0"/>
              <w:jc w:val="center"/>
              <w:rPr>
                <w:sz w:val="20"/>
                <w:szCs w:val="20"/>
                <w:highlight w:val="black"/>
              </w:rPr>
            </w:pPr>
            <w:r>
              <w:rPr>
                <w:noProof/>
                <w:color w:val="000000"/>
                <w:sz w:val="20"/>
                <w:szCs w:val="20"/>
                <w:highlight w:val="black"/>
              </w:rPr>
              <w: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spacing w:after="0"/>
              <w:jc w:val="center"/>
              <w:rPr>
                <w:sz w:val="20"/>
                <w:szCs w:val="20"/>
                <w:highlight w:val="black"/>
              </w:rPr>
            </w:pPr>
            <w:r>
              <w:rPr>
                <w:noProof/>
                <w:color w:val="000000"/>
                <w:sz w:val="20"/>
                <w:szCs w:val="20"/>
                <w:highlight w:val="black"/>
              </w:rPr>
              <w:t>'''</w:t>
            </w:r>
          </w:p>
        </w:tc>
      </w:tr>
      <w:tr w:rsidR="00A264C0" w:rsidRPr="003F2904" w:rsidTr="00A264C0">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spacing w:after="0"/>
              <w:rPr>
                <w:sz w:val="20"/>
                <w:szCs w:val="20"/>
                <w:highlight w:val="black"/>
              </w:rPr>
            </w:pPr>
            <w:r>
              <w:rPr>
                <w:noProof/>
                <w:color w:val="000000"/>
                <w:sz w:val="20"/>
                <w:szCs w:val="20"/>
                <w:highlight w:val="black"/>
              </w:rPr>
              <w:t>''''''''''''''''' ''''''''''''''''''''''  ''''' ''''''''''''' ''''''''''''''''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pStyle w:val="TableText0"/>
              <w:jc w:val="center"/>
              <w:rPr>
                <w:rFonts w:asciiTheme="minorHAnsi" w:hAnsiTheme="minorHAnsi"/>
                <w:sz w:val="20"/>
                <w:highlight w:val="black"/>
              </w:rPr>
            </w:pPr>
            <w:r>
              <w:rPr>
                <w:rFonts w:asciiTheme="minorHAnsi" w:hAnsiTheme="minorHAnsi"/>
                <w:noProof/>
                <w:color w:val="000000"/>
                <w:sz w:val="20"/>
                <w:highlight w:val="black"/>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pStyle w:val="TableText0"/>
              <w:jc w:val="center"/>
              <w:rPr>
                <w:rFonts w:asciiTheme="minorHAnsi" w:hAnsiTheme="minorHAnsi"/>
                <w:sz w:val="20"/>
                <w:highlight w:val="black"/>
              </w:rPr>
            </w:pPr>
            <w:r>
              <w:rPr>
                <w:rFonts w:asciiTheme="minorHAnsi" w:hAnsiTheme="minorHAnsi"/>
                <w:noProof/>
                <w:color w:val="000000"/>
                <w:sz w:val="20"/>
                <w:highlight w:val="black"/>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pStyle w:val="TableText0"/>
              <w:jc w:val="center"/>
              <w:rPr>
                <w:rFonts w:asciiTheme="minorHAnsi" w:hAnsiTheme="minorHAnsi"/>
                <w:sz w:val="20"/>
                <w:highlight w:val="black"/>
              </w:rPr>
            </w:pPr>
            <w:r>
              <w:rPr>
                <w:rFonts w:asciiTheme="minorHAnsi" w:hAnsiTheme="minorHAnsi"/>
                <w:noProof/>
                <w:color w:val="000000"/>
                <w:sz w:val="20"/>
                <w:highlight w:val="black"/>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pStyle w:val="TableText0"/>
              <w:jc w:val="center"/>
              <w:rPr>
                <w:rFonts w:asciiTheme="minorHAnsi" w:hAnsiTheme="minorHAnsi"/>
                <w:sz w:val="20"/>
                <w:highlight w:val="black"/>
              </w:rPr>
            </w:pPr>
            <w:r>
              <w:rPr>
                <w:rFonts w:asciiTheme="minorHAnsi" w:hAnsiTheme="minorHAnsi"/>
                <w:noProof/>
                <w:color w:val="000000"/>
                <w:sz w:val="20"/>
                <w:highlight w:val="black"/>
              </w:rPr>
              <w: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pStyle w:val="TableText0"/>
              <w:jc w:val="center"/>
              <w:rPr>
                <w:rFonts w:asciiTheme="minorHAnsi" w:hAnsiTheme="minorHAnsi"/>
                <w:sz w:val="20"/>
                <w:highlight w:val="black"/>
              </w:rPr>
            </w:pPr>
            <w:r>
              <w:rPr>
                <w:rFonts w:asciiTheme="minorHAnsi" w:hAnsiTheme="minorHAnsi"/>
                <w:noProof/>
                <w:color w:val="000000"/>
                <w:sz w:val="20"/>
                <w:highlight w:val="black"/>
              </w:rPr>
              <w:t>''''''''''''''''''</w:t>
            </w:r>
          </w:p>
        </w:tc>
      </w:tr>
      <w:tr w:rsidR="00A264C0" w:rsidRPr="003F2904" w:rsidTr="00A264C0">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spacing w:after="0"/>
              <w:rPr>
                <w:sz w:val="20"/>
                <w:szCs w:val="20"/>
                <w:highlight w:val="black"/>
              </w:rPr>
            </w:pPr>
            <w:r>
              <w:rPr>
                <w:noProof/>
                <w:color w:val="000000"/>
                <w:sz w:val="20"/>
                <w:szCs w:val="20"/>
                <w:highlight w:val="black"/>
              </w:rPr>
              <w:t>'''''''''''''''''''' '''''''''''''''''''''''''  '''''' '''''''''''' ''''''''''''''' '''''''''''''''</w:t>
            </w:r>
          </w:p>
          <w:p w:rsidR="00A264C0" w:rsidRPr="00CC6457" w:rsidRDefault="00CC6457" w:rsidP="00813FF0">
            <w:pPr>
              <w:spacing w:after="0"/>
              <w:rPr>
                <w:sz w:val="20"/>
                <w:szCs w:val="20"/>
                <w:highlight w:val="black"/>
              </w:rPr>
            </w:pPr>
            <w:r>
              <w:rPr>
                <w:noProof/>
                <w:color w:val="000000"/>
                <w:sz w:val="20"/>
                <w:szCs w:val="20"/>
                <w:highlight w:val="black"/>
              </w:rPr>
              <w:t>'''''''''' ''''''''''''' ''''''''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pStyle w:val="TableText0"/>
              <w:jc w:val="center"/>
              <w:rPr>
                <w:rFonts w:asciiTheme="minorHAnsi" w:hAnsiTheme="minorHAnsi"/>
                <w:sz w:val="20"/>
                <w:highlight w:val="black"/>
              </w:rPr>
            </w:pPr>
            <w:r>
              <w:rPr>
                <w:rFonts w:asciiTheme="minorHAnsi" w:hAnsiTheme="minorHAnsi"/>
                <w:noProof/>
                <w:color w:val="000000"/>
                <w:sz w:val="20"/>
                <w:highlight w:val="black"/>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pStyle w:val="TableText0"/>
              <w:jc w:val="center"/>
              <w:rPr>
                <w:rFonts w:asciiTheme="minorHAnsi" w:hAnsiTheme="minorHAnsi"/>
                <w:sz w:val="20"/>
                <w:highlight w:val="black"/>
              </w:rPr>
            </w:pPr>
            <w:r>
              <w:rPr>
                <w:rFonts w:asciiTheme="minorHAnsi" w:hAnsiTheme="minorHAnsi"/>
                <w:noProof/>
                <w:color w:val="000000"/>
                <w:sz w:val="20"/>
                <w:highlight w:val="black"/>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pStyle w:val="TableText0"/>
              <w:jc w:val="center"/>
              <w:rPr>
                <w:rFonts w:asciiTheme="minorHAnsi" w:hAnsiTheme="minorHAnsi"/>
                <w:sz w:val="20"/>
                <w:highlight w:val="black"/>
              </w:rPr>
            </w:pPr>
            <w:r>
              <w:rPr>
                <w:rFonts w:asciiTheme="minorHAnsi" w:hAnsiTheme="minorHAnsi"/>
                <w:noProof/>
                <w:color w:val="000000"/>
                <w:sz w:val="20"/>
                <w:highlight w:val="black"/>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pStyle w:val="TableText0"/>
              <w:jc w:val="center"/>
              <w:rPr>
                <w:rFonts w:asciiTheme="minorHAnsi" w:hAnsiTheme="minorHAnsi"/>
                <w:sz w:val="20"/>
                <w:highlight w:val="black"/>
              </w:rPr>
            </w:pPr>
            <w:r>
              <w:rPr>
                <w:rFonts w:asciiTheme="minorHAnsi" w:hAnsiTheme="minorHAnsi"/>
                <w:noProof/>
                <w:color w:val="000000"/>
                <w:sz w:val="20"/>
                <w:highlight w:val="black"/>
              </w:rPr>
              <w: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A264C0" w:rsidRPr="00CC6457" w:rsidRDefault="00CC6457" w:rsidP="00813FF0">
            <w:pPr>
              <w:pStyle w:val="TableText0"/>
              <w:jc w:val="center"/>
              <w:rPr>
                <w:rFonts w:asciiTheme="minorHAnsi" w:hAnsiTheme="minorHAnsi"/>
                <w:sz w:val="20"/>
                <w:highlight w:val="black"/>
              </w:rPr>
            </w:pPr>
            <w:r>
              <w:rPr>
                <w:rFonts w:asciiTheme="minorHAnsi" w:hAnsiTheme="minorHAnsi"/>
                <w:noProof/>
                <w:color w:val="000000"/>
                <w:sz w:val="20"/>
                <w:highlight w:val="black"/>
              </w:rPr>
              <w:t>''''''''''''''''''</w:t>
            </w:r>
          </w:p>
        </w:tc>
      </w:tr>
    </w:tbl>
    <w:p w:rsidR="008F0386" w:rsidRPr="00CC6457" w:rsidRDefault="00CC6457" w:rsidP="00A257CF">
      <w:pPr>
        <w:pStyle w:val="Notes"/>
        <w:rPr>
          <w:highlight w:val="black"/>
        </w:rPr>
      </w:pPr>
      <w:r>
        <w:rPr>
          <w:noProof/>
          <w:color w:val="000000"/>
          <w:highlight w:val="black"/>
        </w:rPr>
        <w:t xml:space="preserve">'''''''''''' ''''''''' ''' ''' '''''''''''''''' ''''' ''''''''''''''''' '''''''''''' </w:t>
      </w:r>
    </w:p>
    <w:p w:rsidR="00657DE9" w:rsidRPr="003F2904" w:rsidRDefault="00657DE9" w:rsidP="00813FF0">
      <w:pPr>
        <w:rPr>
          <w:b/>
          <w:i/>
        </w:rPr>
      </w:pPr>
      <w:proofErr w:type="spellStart"/>
      <w:r w:rsidRPr="003F2904">
        <w:rPr>
          <w:b/>
          <w:i/>
        </w:rPr>
        <w:t>Dapagliflozin</w:t>
      </w:r>
      <w:proofErr w:type="spellEnd"/>
      <w:r w:rsidRPr="003F2904">
        <w:rPr>
          <w:b/>
          <w:i/>
        </w:rPr>
        <w:t xml:space="preserve"> –</w:t>
      </w:r>
      <w:r w:rsidR="00CA6E98" w:rsidRPr="003F2904">
        <w:rPr>
          <w:b/>
          <w:i/>
        </w:rPr>
        <w:t xml:space="preserve"> </w:t>
      </w:r>
      <w:r w:rsidRPr="003F2904">
        <w:rPr>
          <w:b/>
          <w:i/>
        </w:rPr>
        <w:t>therapy with insulin (November 2014 PBAC, listed April 2015)</w:t>
      </w:r>
    </w:p>
    <w:p w:rsidR="00657DE9" w:rsidRPr="006C4550" w:rsidRDefault="00657DE9" w:rsidP="00813FF0">
      <w:r w:rsidRPr="006C4550">
        <w:t xml:space="preserve">The submission for triple therapy with insulin was based on a market share approach. The estimates were based on the pack volumes in the SGLT2 inhibitor market caps in the RSA. The estimated additional </w:t>
      </w:r>
      <w:proofErr w:type="spellStart"/>
      <w:r w:rsidRPr="006C4550">
        <w:t>dapaglifozin</w:t>
      </w:r>
      <w:proofErr w:type="spellEnd"/>
      <w:r w:rsidRPr="006C4550">
        <w:t xml:space="preserve"> prescriptions are shown in Table 6. The November</w:t>
      </w:r>
      <w:r w:rsidR="00AC6951" w:rsidRPr="006C4550">
        <w:t> </w:t>
      </w:r>
      <w:r w:rsidRPr="006C4550">
        <w:t>2014 submission estimates and the final agreed estimates were the same.</w:t>
      </w:r>
    </w:p>
    <w:p w:rsidR="00072182" w:rsidRPr="003F2904" w:rsidRDefault="00072182" w:rsidP="00813FF0">
      <w:pPr>
        <w:spacing w:line="276" w:lineRule="auto"/>
        <w:rPr>
          <w:b/>
        </w:rPr>
      </w:pPr>
      <w:r w:rsidRPr="003F2904">
        <w:rPr>
          <w:b/>
        </w:rPr>
        <w:br w:type="page"/>
      </w:r>
    </w:p>
    <w:p w:rsidR="00657DE9" w:rsidRPr="006C4550" w:rsidRDefault="00657DE9" w:rsidP="00813FF0">
      <w:pPr>
        <w:spacing w:after="0"/>
      </w:pPr>
      <w:r w:rsidRPr="006C4550">
        <w:rPr>
          <w:b/>
        </w:rPr>
        <w:lastRenderedPageBreak/>
        <w:t xml:space="preserve">Table 6: Additional </w:t>
      </w:r>
      <w:proofErr w:type="spellStart"/>
      <w:r w:rsidRPr="006C4550">
        <w:rPr>
          <w:b/>
        </w:rPr>
        <w:t>dapagliflozin</w:t>
      </w:r>
      <w:proofErr w:type="spellEnd"/>
      <w:r w:rsidRPr="006C4550">
        <w:rPr>
          <w:b/>
        </w:rPr>
        <w:t xml:space="preserve"> prescription estimates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1134"/>
        <w:gridCol w:w="1275"/>
        <w:gridCol w:w="1276"/>
        <w:gridCol w:w="1134"/>
        <w:gridCol w:w="1275"/>
      </w:tblGrid>
      <w:tr w:rsidR="00657DE9" w:rsidRPr="003F2904" w:rsidTr="00805235">
        <w:trPr>
          <w:cantSplit/>
          <w:trHeight w:val="20"/>
          <w:tblHeader/>
        </w:trPr>
        <w:tc>
          <w:tcPr>
            <w:tcW w:w="2978" w:type="dxa"/>
            <w:shd w:val="clear" w:color="auto" w:fill="BFBFBF" w:themeFill="background1" w:themeFillShade="BF"/>
            <w:vAlign w:val="center"/>
          </w:tcPr>
          <w:p w:rsidR="00657DE9" w:rsidRPr="00CC6457" w:rsidRDefault="00657DE9" w:rsidP="00813FF0">
            <w:pPr>
              <w:spacing w:after="0"/>
              <w:rPr>
                <w:sz w:val="20"/>
                <w:szCs w:val="20"/>
              </w:rPr>
            </w:pPr>
          </w:p>
        </w:tc>
        <w:tc>
          <w:tcPr>
            <w:tcW w:w="1134" w:type="dxa"/>
            <w:shd w:val="clear" w:color="auto" w:fill="BFBFBF" w:themeFill="background1" w:themeFillShade="BF"/>
            <w:vAlign w:val="center"/>
          </w:tcPr>
          <w:p w:rsidR="00657DE9" w:rsidRPr="00CC6457" w:rsidRDefault="00CC6457" w:rsidP="00813FF0">
            <w:pPr>
              <w:spacing w:after="0"/>
              <w:jc w:val="center"/>
              <w:rPr>
                <w:b/>
                <w:sz w:val="20"/>
                <w:szCs w:val="20"/>
                <w:highlight w:val="black"/>
              </w:rPr>
            </w:pPr>
            <w:r>
              <w:rPr>
                <w:b/>
                <w:noProof/>
                <w:color w:val="000000"/>
                <w:sz w:val="20"/>
                <w:szCs w:val="20"/>
                <w:highlight w:val="black"/>
              </w:rPr>
              <w:t>'''''''' '''</w:t>
            </w:r>
          </w:p>
        </w:tc>
        <w:tc>
          <w:tcPr>
            <w:tcW w:w="1275" w:type="dxa"/>
            <w:shd w:val="clear" w:color="auto" w:fill="BFBFBF" w:themeFill="background1" w:themeFillShade="BF"/>
            <w:vAlign w:val="center"/>
          </w:tcPr>
          <w:p w:rsidR="00657DE9" w:rsidRPr="00CC6457" w:rsidRDefault="00CC6457" w:rsidP="00813FF0">
            <w:pPr>
              <w:spacing w:after="0"/>
              <w:jc w:val="center"/>
              <w:rPr>
                <w:b/>
                <w:sz w:val="20"/>
                <w:szCs w:val="20"/>
                <w:highlight w:val="black"/>
              </w:rPr>
            </w:pPr>
            <w:r>
              <w:rPr>
                <w:b/>
                <w:noProof/>
                <w:color w:val="000000"/>
                <w:sz w:val="20"/>
                <w:szCs w:val="20"/>
                <w:highlight w:val="black"/>
              </w:rPr>
              <w:t>''''''''' '''</w:t>
            </w:r>
          </w:p>
        </w:tc>
        <w:tc>
          <w:tcPr>
            <w:tcW w:w="1276" w:type="dxa"/>
            <w:shd w:val="clear" w:color="auto" w:fill="BFBFBF" w:themeFill="background1" w:themeFillShade="BF"/>
            <w:vAlign w:val="center"/>
          </w:tcPr>
          <w:p w:rsidR="00657DE9" w:rsidRPr="00CC6457" w:rsidRDefault="00CC6457" w:rsidP="00813FF0">
            <w:pPr>
              <w:spacing w:after="0"/>
              <w:jc w:val="center"/>
              <w:rPr>
                <w:b/>
                <w:sz w:val="20"/>
                <w:szCs w:val="20"/>
                <w:highlight w:val="black"/>
              </w:rPr>
            </w:pPr>
            <w:r>
              <w:rPr>
                <w:b/>
                <w:noProof/>
                <w:color w:val="000000"/>
                <w:sz w:val="20"/>
                <w:szCs w:val="20"/>
                <w:highlight w:val="black"/>
              </w:rPr>
              <w:t>'''''''' '''</w:t>
            </w:r>
          </w:p>
        </w:tc>
        <w:tc>
          <w:tcPr>
            <w:tcW w:w="1134" w:type="dxa"/>
            <w:shd w:val="clear" w:color="auto" w:fill="BFBFBF" w:themeFill="background1" w:themeFillShade="BF"/>
            <w:vAlign w:val="center"/>
          </w:tcPr>
          <w:p w:rsidR="00657DE9" w:rsidRPr="00CC6457" w:rsidRDefault="00CC6457" w:rsidP="00813FF0">
            <w:pPr>
              <w:spacing w:after="0"/>
              <w:jc w:val="center"/>
              <w:rPr>
                <w:b/>
                <w:sz w:val="20"/>
                <w:szCs w:val="20"/>
                <w:highlight w:val="black"/>
              </w:rPr>
            </w:pPr>
            <w:r>
              <w:rPr>
                <w:b/>
                <w:noProof/>
                <w:color w:val="000000"/>
                <w:sz w:val="20"/>
                <w:szCs w:val="20"/>
                <w:highlight w:val="black"/>
              </w:rPr>
              <w:t>''''''''' '''</w:t>
            </w:r>
          </w:p>
        </w:tc>
        <w:tc>
          <w:tcPr>
            <w:tcW w:w="1275" w:type="dxa"/>
            <w:shd w:val="clear" w:color="auto" w:fill="BFBFBF" w:themeFill="background1" w:themeFillShade="BF"/>
            <w:vAlign w:val="center"/>
          </w:tcPr>
          <w:p w:rsidR="00657DE9" w:rsidRPr="00CC6457" w:rsidRDefault="00CC6457" w:rsidP="00813FF0">
            <w:pPr>
              <w:spacing w:after="0"/>
              <w:jc w:val="center"/>
              <w:rPr>
                <w:b/>
                <w:sz w:val="20"/>
                <w:szCs w:val="20"/>
                <w:highlight w:val="black"/>
              </w:rPr>
            </w:pPr>
            <w:r>
              <w:rPr>
                <w:b/>
                <w:noProof/>
                <w:color w:val="000000"/>
                <w:sz w:val="20"/>
                <w:szCs w:val="20"/>
                <w:highlight w:val="black"/>
              </w:rPr>
              <w:t>'''''''' '''</w:t>
            </w:r>
          </w:p>
        </w:tc>
      </w:tr>
      <w:tr w:rsidR="00657DE9" w:rsidRPr="003F2904" w:rsidTr="00805235">
        <w:trPr>
          <w:trHeight w:val="2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657DE9" w:rsidRPr="00CC6457" w:rsidRDefault="00CC6457" w:rsidP="00813FF0">
            <w:pPr>
              <w:spacing w:after="0"/>
              <w:rPr>
                <w:sz w:val="20"/>
                <w:szCs w:val="20"/>
                <w:highlight w:val="black"/>
              </w:rPr>
            </w:pPr>
            <w:r>
              <w:rPr>
                <w:noProof/>
                <w:color w:val="000000"/>
                <w:sz w:val="20"/>
                <w:szCs w:val="20"/>
                <w:highlight w:val="black"/>
              </w:rPr>
              <w:t>''''''''' ''''''''''''' ''''''''''''''''' '''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7DE9" w:rsidRPr="00CC6457" w:rsidRDefault="00CC6457" w:rsidP="00813FF0">
            <w:pPr>
              <w:pStyle w:val="TableText0"/>
              <w:keepNext/>
              <w:keepLines/>
              <w:spacing w:before="40" w:after="40"/>
              <w:jc w:val="center"/>
              <w:rPr>
                <w:rFonts w:asciiTheme="minorHAnsi" w:hAnsiTheme="minorHAnsi"/>
                <w:sz w:val="20"/>
                <w:highlight w:val="black"/>
              </w:rPr>
            </w:pPr>
            <w:r>
              <w:rPr>
                <w:rFonts w:asciiTheme="minorHAnsi" w:hAnsiTheme="minorHAnsi"/>
                <w:noProof/>
                <w:color w:val="000000"/>
                <w:sz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7DE9" w:rsidRPr="00CC6457" w:rsidRDefault="00CC6457" w:rsidP="00813FF0">
            <w:pPr>
              <w:pStyle w:val="TableText0"/>
              <w:keepNext/>
              <w:keepLines/>
              <w:spacing w:before="40" w:after="40"/>
              <w:jc w:val="center"/>
              <w:rPr>
                <w:rFonts w:asciiTheme="minorHAnsi" w:hAnsiTheme="minorHAnsi"/>
                <w:sz w:val="20"/>
                <w:highlight w:val="black"/>
              </w:rPr>
            </w:pPr>
            <w:r>
              <w:rPr>
                <w:rFonts w:asciiTheme="minorHAnsi" w:hAnsiTheme="minorHAnsi"/>
                <w:noProof/>
                <w:color w:val="000000"/>
                <w:sz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7DE9" w:rsidRPr="00CC6457" w:rsidRDefault="00CC6457" w:rsidP="00813FF0">
            <w:pPr>
              <w:pStyle w:val="TableText0"/>
              <w:keepNext/>
              <w:keepLines/>
              <w:spacing w:before="40" w:after="40"/>
              <w:jc w:val="center"/>
              <w:rPr>
                <w:rFonts w:asciiTheme="minorHAnsi" w:hAnsiTheme="minorHAnsi"/>
                <w:sz w:val="20"/>
                <w:highlight w:val="black"/>
              </w:rPr>
            </w:pPr>
            <w:r>
              <w:rPr>
                <w:rFonts w:asciiTheme="minorHAnsi" w:hAnsiTheme="minorHAnsi"/>
                <w:noProof/>
                <w:color w:val="000000"/>
                <w:sz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7DE9" w:rsidRPr="00CC6457" w:rsidRDefault="00CC6457" w:rsidP="00813FF0">
            <w:pPr>
              <w:pStyle w:val="TableText0"/>
              <w:keepNext/>
              <w:keepLines/>
              <w:spacing w:before="40" w:after="40"/>
              <w:jc w:val="center"/>
              <w:rPr>
                <w:rFonts w:asciiTheme="minorHAnsi" w:hAnsiTheme="minorHAnsi"/>
                <w:sz w:val="20"/>
                <w:highlight w:val="black"/>
              </w:rPr>
            </w:pPr>
            <w:r>
              <w:rPr>
                <w:rFonts w:asciiTheme="minorHAnsi" w:hAnsiTheme="minorHAnsi"/>
                <w:noProof/>
                <w:color w:val="000000"/>
                <w:sz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7DE9" w:rsidRPr="00CC6457" w:rsidRDefault="00CC6457" w:rsidP="00813FF0">
            <w:pPr>
              <w:pStyle w:val="TableText0"/>
              <w:keepNext/>
              <w:keepLines/>
              <w:spacing w:before="40" w:after="40"/>
              <w:jc w:val="center"/>
              <w:rPr>
                <w:rFonts w:asciiTheme="minorHAnsi" w:hAnsiTheme="minorHAnsi"/>
                <w:sz w:val="20"/>
                <w:highlight w:val="black"/>
              </w:rPr>
            </w:pPr>
            <w:r>
              <w:rPr>
                <w:rFonts w:asciiTheme="minorHAnsi" w:hAnsiTheme="minorHAnsi"/>
                <w:noProof/>
                <w:color w:val="000000"/>
                <w:sz w:val="20"/>
                <w:highlight w:val="black"/>
              </w:rPr>
              <w:t>'''''''''''''''</w:t>
            </w:r>
          </w:p>
        </w:tc>
      </w:tr>
    </w:tbl>
    <w:p w:rsidR="00657DE9" w:rsidRPr="00CC6457" w:rsidRDefault="00CC6457" w:rsidP="00A257CF">
      <w:pPr>
        <w:pStyle w:val="Notes"/>
        <w:rPr>
          <w:highlight w:val="black"/>
        </w:rPr>
      </w:pPr>
      <w:r>
        <w:rPr>
          <w:noProof/>
          <w:color w:val="000000"/>
          <w:highlight w:val="black"/>
        </w:rPr>
        <w:t>''''''''''' ''''''''' ''' ''' ''''''''' ''''''''' '''' ''''''''''' '''''''''''</w:t>
      </w:r>
    </w:p>
    <w:p w:rsidR="00887ACD" w:rsidRPr="00CC6457" w:rsidRDefault="00CC6457" w:rsidP="00813FF0">
      <w:pPr>
        <w:rPr>
          <w:b/>
          <w:i/>
          <w:highlight w:val="black"/>
        </w:rPr>
      </w:pPr>
      <w:r>
        <w:rPr>
          <w:noProof/>
          <w:color w:val="000000"/>
          <w:highlight w:val="black"/>
        </w:rPr>
        <w:t>'''''''''''' '''' '''''' '''''''''''''''''' '''''''''''''''''''''' ''''''''''' ''' '''''''' ''' ''''''''''' '''''''''' '''' ''''''''''''' ''''''''''' ''''' '''''''''' '' '''''' ''''' '''''''''''''''''' ''''''' ''''''''' '' ''''''''' '''''''''' '''' '''''''' ''''''''''' ''''' '''''' '''''''''''''''''' '''''''''' '''''''''''''' '''' '''''' '''''''''''''''''' ''''' ''''''''''''' ''''''''''''''' '''' '''''''' ''''''''''''''</w:t>
      </w:r>
    </w:p>
    <w:p w:rsidR="00565C06" w:rsidRPr="003F2904" w:rsidRDefault="00565C06" w:rsidP="00813FF0">
      <w:pPr>
        <w:rPr>
          <w:b/>
          <w:i/>
        </w:rPr>
      </w:pPr>
      <w:proofErr w:type="spellStart"/>
      <w:r w:rsidRPr="003F2904">
        <w:rPr>
          <w:b/>
          <w:i/>
        </w:rPr>
        <w:t>Dapagliflozin</w:t>
      </w:r>
      <w:proofErr w:type="spellEnd"/>
      <w:r w:rsidRPr="003F2904">
        <w:rPr>
          <w:b/>
          <w:i/>
        </w:rPr>
        <w:t xml:space="preserve"> – triple oral therapy</w:t>
      </w:r>
      <w:r w:rsidR="009B5A5A" w:rsidRPr="003F2904">
        <w:rPr>
          <w:b/>
          <w:i/>
        </w:rPr>
        <w:t xml:space="preserve"> (March 2015 PBAC, listed July 2015)</w:t>
      </w:r>
    </w:p>
    <w:p w:rsidR="002679C3" w:rsidRPr="006C4550" w:rsidRDefault="002679C3" w:rsidP="00813FF0">
      <w:r w:rsidRPr="006C4550">
        <w:t xml:space="preserve">The </w:t>
      </w:r>
      <w:r w:rsidR="0017354A" w:rsidRPr="006C4550">
        <w:t>estimates</w:t>
      </w:r>
      <w:r w:rsidRPr="006C4550">
        <w:t xml:space="preserve"> were based on a market share approach</w:t>
      </w:r>
      <w:r w:rsidR="002F6BBC" w:rsidRPr="006C4550">
        <w:t>.</w:t>
      </w:r>
    </w:p>
    <w:p w:rsidR="002679C3" w:rsidRPr="006C4550" w:rsidRDefault="002679C3" w:rsidP="00813FF0">
      <w:pPr>
        <w:spacing w:after="0"/>
      </w:pPr>
      <w:r w:rsidRPr="006C4550">
        <w:rPr>
          <w:b/>
        </w:rPr>
        <w:t xml:space="preserve">Table </w:t>
      </w:r>
      <w:r w:rsidR="00CB0850" w:rsidRPr="006C4550">
        <w:rPr>
          <w:b/>
        </w:rPr>
        <w:t>7</w:t>
      </w:r>
      <w:r w:rsidRPr="006C4550">
        <w:rPr>
          <w:b/>
        </w:rPr>
        <w:t xml:space="preserve">: Additional </w:t>
      </w:r>
      <w:proofErr w:type="spellStart"/>
      <w:r w:rsidRPr="006C4550">
        <w:rPr>
          <w:b/>
        </w:rPr>
        <w:t>dapagliflozin</w:t>
      </w:r>
      <w:proofErr w:type="spellEnd"/>
      <w:r w:rsidRPr="006C4550">
        <w:rPr>
          <w:b/>
        </w:rPr>
        <w:t xml:space="preserve"> prescription estimates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1134"/>
        <w:gridCol w:w="1275"/>
        <w:gridCol w:w="1276"/>
        <w:gridCol w:w="1134"/>
        <w:gridCol w:w="1275"/>
      </w:tblGrid>
      <w:tr w:rsidR="002679C3" w:rsidRPr="003F2904" w:rsidTr="00805235">
        <w:trPr>
          <w:cantSplit/>
          <w:trHeight w:val="20"/>
          <w:tblHeader/>
        </w:trPr>
        <w:tc>
          <w:tcPr>
            <w:tcW w:w="2978" w:type="dxa"/>
            <w:shd w:val="clear" w:color="auto" w:fill="BFBFBF" w:themeFill="background1" w:themeFillShade="BF"/>
            <w:vAlign w:val="center"/>
          </w:tcPr>
          <w:p w:rsidR="002679C3" w:rsidRPr="00CC6457" w:rsidRDefault="002679C3" w:rsidP="00813FF0">
            <w:pPr>
              <w:spacing w:after="0"/>
              <w:rPr>
                <w:sz w:val="20"/>
                <w:szCs w:val="20"/>
              </w:rPr>
            </w:pPr>
          </w:p>
        </w:tc>
        <w:tc>
          <w:tcPr>
            <w:tcW w:w="1134" w:type="dxa"/>
            <w:shd w:val="clear" w:color="auto" w:fill="BFBFBF" w:themeFill="background1" w:themeFillShade="BF"/>
            <w:vAlign w:val="center"/>
          </w:tcPr>
          <w:p w:rsidR="002679C3" w:rsidRPr="00CC6457" w:rsidRDefault="00CC6457" w:rsidP="00813FF0">
            <w:pPr>
              <w:spacing w:after="0"/>
              <w:jc w:val="center"/>
              <w:rPr>
                <w:b/>
                <w:sz w:val="20"/>
                <w:szCs w:val="20"/>
                <w:highlight w:val="black"/>
              </w:rPr>
            </w:pPr>
            <w:r>
              <w:rPr>
                <w:b/>
                <w:noProof/>
                <w:color w:val="000000"/>
                <w:sz w:val="20"/>
                <w:szCs w:val="20"/>
                <w:highlight w:val="black"/>
              </w:rPr>
              <w:t>''''''''' '''</w:t>
            </w:r>
          </w:p>
        </w:tc>
        <w:tc>
          <w:tcPr>
            <w:tcW w:w="1275" w:type="dxa"/>
            <w:shd w:val="clear" w:color="auto" w:fill="BFBFBF" w:themeFill="background1" w:themeFillShade="BF"/>
            <w:vAlign w:val="center"/>
          </w:tcPr>
          <w:p w:rsidR="002679C3" w:rsidRPr="00CC6457" w:rsidRDefault="00CC6457" w:rsidP="00813FF0">
            <w:pPr>
              <w:spacing w:after="0"/>
              <w:jc w:val="center"/>
              <w:rPr>
                <w:b/>
                <w:sz w:val="20"/>
                <w:szCs w:val="20"/>
                <w:highlight w:val="black"/>
              </w:rPr>
            </w:pPr>
            <w:r>
              <w:rPr>
                <w:b/>
                <w:noProof/>
                <w:color w:val="000000"/>
                <w:sz w:val="20"/>
                <w:szCs w:val="20"/>
                <w:highlight w:val="black"/>
              </w:rPr>
              <w:t>''''''''' '''</w:t>
            </w:r>
          </w:p>
        </w:tc>
        <w:tc>
          <w:tcPr>
            <w:tcW w:w="1276" w:type="dxa"/>
            <w:shd w:val="clear" w:color="auto" w:fill="BFBFBF" w:themeFill="background1" w:themeFillShade="BF"/>
            <w:vAlign w:val="center"/>
          </w:tcPr>
          <w:p w:rsidR="002679C3" w:rsidRPr="00CC6457" w:rsidRDefault="00CC6457" w:rsidP="00813FF0">
            <w:pPr>
              <w:spacing w:after="0"/>
              <w:jc w:val="center"/>
              <w:rPr>
                <w:b/>
                <w:sz w:val="20"/>
                <w:szCs w:val="20"/>
                <w:highlight w:val="black"/>
              </w:rPr>
            </w:pPr>
            <w:r>
              <w:rPr>
                <w:b/>
                <w:noProof/>
                <w:color w:val="000000"/>
                <w:sz w:val="20"/>
                <w:szCs w:val="20"/>
                <w:highlight w:val="black"/>
              </w:rPr>
              <w:t>'''''''' '''</w:t>
            </w:r>
          </w:p>
        </w:tc>
        <w:tc>
          <w:tcPr>
            <w:tcW w:w="1134" w:type="dxa"/>
            <w:shd w:val="clear" w:color="auto" w:fill="BFBFBF" w:themeFill="background1" w:themeFillShade="BF"/>
            <w:vAlign w:val="center"/>
          </w:tcPr>
          <w:p w:rsidR="002679C3" w:rsidRPr="00CC6457" w:rsidRDefault="00CC6457" w:rsidP="00813FF0">
            <w:pPr>
              <w:spacing w:after="0"/>
              <w:jc w:val="center"/>
              <w:rPr>
                <w:b/>
                <w:sz w:val="20"/>
                <w:szCs w:val="20"/>
                <w:highlight w:val="black"/>
              </w:rPr>
            </w:pPr>
            <w:r>
              <w:rPr>
                <w:b/>
                <w:noProof/>
                <w:color w:val="000000"/>
                <w:sz w:val="20"/>
                <w:szCs w:val="20"/>
                <w:highlight w:val="black"/>
              </w:rPr>
              <w:t>'''''''' '''</w:t>
            </w:r>
          </w:p>
        </w:tc>
        <w:tc>
          <w:tcPr>
            <w:tcW w:w="1275" w:type="dxa"/>
            <w:shd w:val="clear" w:color="auto" w:fill="BFBFBF" w:themeFill="background1" w:themeFillShade="BF"/>
            <w:vAlign w:val="center"/>
          </w:tcPr>
          <w:p w:rsidR="002679C3" w:rsidRPr="00CC6457" w:rsidRDefault="00CC6457" w:rsidP="00813FF0">
            <w:pPr>
              <w:spacing w:after="0"/>
              <w:jc w:val="center"/>
              <w:rPr>
                <w:b/>
                <w:sz w:val="20"/>
                <w:szCs w:val="20"/>
                <w:highlight w:val="black"/>
              </w:rPr>
            </w:pPr>
            <w:r>
              <w:rPr>
                <w:b/>
                <w:noProof/>
                <w:color w:val="000000"/>
                <w:sz w:val="20"/>
                <w:szCs w:val="20"/>
                <w:highlight w:val="black"/>
              </w:rPr>
              <w:t>''''''''' ''</w:t>
            </w:r>
          </w:p>
        </w:tc>
      </w:tr>
      <w:tr w:rsidR="002679C3" w:rsidRPr="003F2904" w:rsidTr="00805235">
        <w:trPr>
          <w:trHeight w:val="2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2679C3" w:rsidRPr="00CC6457" w:rsidRDefault="00CC6457" w:rsidP="00813FF0">
            <w:pPr>
              <w:spacing w:after="0"/>
              <w:rPr>
                <w:sz w:val="20"/>
                <w:szCs w:val="20"/>
                <w:highlight w:val="black"/>
              </w:rPr>
            </w:pPr>
            <w:r>
              <w:rPr>
                <w:noProof/>
                <w:color w:val="000000"/>
                <w:sz w:val="20"/>
                <w:szCs w:val="20"/>
                <w:highlight w:val="black"/>
              </w:rPr>
              <w:t>''''''''''''' '''''''''''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679C3" w:rsidRPr="00CC6457" w:rsidRDefault="00CC6457" w:rsidP="00813FF0">
            <w:pPr>
              <w:pStyle w:val="TableText0"/>
              <w:keepNext/>
              <w:keepLines/>
              <w:spacing w:before="40" w:after="40"/>
              <w:jc w:val="center"/>
              <w:rPr>
                <w:rFonts w:asciiTheme="minorHAnsi" w:hAnsiTheme="minorHAnsi"/>
                <w:sz w:val="20"/>
                <w:highlight w:val="black"/>
              </w:rPr>
            </w:pPr>
            <w:r>
              <w:rPr>
                <w:rFonts w:asciiTheme="minorHAnsi" w:hAnsiTheme="minorHAnsi"/>
                <w:noProof/>
                <w:color w:val="000000"/>
                <w:sz w:val="20"/>
                <w:highlight w:val="black"/>
              </w:rPr>
              <w:t xml:space="preserve"> '''''''''''''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679C3" w:rsidRPr="00CC6457" w:rsidRDefault="00CC6457" w:rsidP="00813FF0">
            <w:pPr>
              <w:pStyle w:val="TableText0"/>
              <w:keepNext/>
              <w:keepLines/>
              <w:spacing w:before="40" w:after="40"/>
              <w:jc w:val="center"/>
              <w:rPr>
                <w:rFonts w:asciiTheme="minorHAnsi" w:hAnsiTheme="minorHAnsi"/>
                <w:sz w:val="20"/>
                <w:highlight w:val="black"/>
              </w:rPr>
            </w:pPr>
            <w:r>
              <w:rPr>
                <w:rFonts w:asciiTheme="minorHAnsi" w:hAnsiTheme="minorHAnsi"/>
                <w:noProof/>
                <w:color w:val="000000"/>
                <w:sz w:val="20"/>
                <w:highlight w:val="black"/>
              </w:rPr>
              <w:t xml:space="preserve"> ''''''''''''''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679C3" w:rsidRPr="00CC6457" w:rsidRDefault="00CC6457" w:rsidP="00813FF0">
            <w:pPr>
              <w:pStyle w:val="TableText0"/>
              <w:keepNext/>
              <w:keepLines/>
              <w:spacing w:before="40" w:after="40"/>
              <w:jc w:val="center"/>
              <w:rPr>
                <w:rFonts w:asciiTheme="minorHAnsi" w:hAnsiTheme="minorHAnsi"/>
                <w:sz w:val="20"/>
                <w:highlight w:val="black"/>
              </w:rPr>
            </w:pPr>
            <w:r>
              <w:rPr>
                <w:rFonts w:asciiTheme="minorHAnsi" w:hAnsiTheme="minorHAnsi"/>
                <w:noProof/>
                <w:color w:val="000000"/>
                <w:sz w:val="20"/>
                <w:highlight w:val="black"/>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679C3" w:rsidRPr="00CC6457" w:rsidRDefault="00CC6457" w:rsidP="00813FF0">
            <w:pPr>
              <w:pStyle w:val="TableText0"/>
              <w:keepNext/>
              <w:keepLines/>
              <w:spacing w:before="40" w:after="40"/>
              <w:jc w:val="center"/>
              <w:rPr>
                <w:rFonts w:asciiTheme="minorHAnsi" w:hAnsiTheme="minorHAnsi"/>
                <w:sz w:val="20"/>
                <w:highlight w:val="black"/>
              </w:rPr>
            </w:pPr>
            <w:r>
              <w:rPr>
                <w:rFonts w:asciiTheme="minorHAnsi" w:hAnsiTheme="minorHAnsi"/>
                <w:noProof/>
                <w:color w:val="000000"/>
                <w:sz w:val="20"/>
                <w:highlight w:val="black"/>
              </w:rPr>
              <w:t xml:space="preserve"> ''''''''''''''''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679C3" w:rsidRPr="00CC6457" w:rsidRDefault="00CC6457" w:rsidP="00813FF0">
            <w:pPr>
              <w:pStyle w:val="TableText0"/>
              <w:keepNext/>
              <w:keepLines/>
              <w:spacing w:before="40" w:after="40"/>
              <w:jc w:val="center"/>
              <w:rPr>
                <w:rFonts w:asciiTheme="minorHAnsi" w:hAnsiTheme="minorHAnsi"/>
                <w:sz w:val="20"/>
                <w:highlight w:val="black"/>
              </w:rPr>
            </w:pPr>
            <w:r>
              <w:rPr>
                <w:rFonts w:asciiTheme="minorHAnsi" w:hAnsiTheme="minorHAnsi"/>
                <w:noProof/>
                <w:color w:val="000000"/>
                <w:sz w:val="20"/>
                <w:highlight w:val="black"/>
              </w:rPr>
              <w:t xml:space="preserve"> ''''''''''''''' </w:t>
            </w:r>
          </w:p>
        </w:tc>
      </w:tr>
    </w:tbl>
    <w:p w:rsidR="002679C3" w:rsidRPr="00CC6457" w:rsidRDefault="00CC6457" w:rsidP="00813FF0">
      <w:pPr>
        <w:rPr>
          <w:sz w:val="20"/>
          <w:highlight w:val="black"/>
        </w:rPr>
      </w:pPr>
      <w:r>
        <w:rPr>
          <w:noProof/>
          <w:color w:val="000000"/>
          <w:sz w:val="20"/>
          <w:highlight w:val="black"/>
        </w:rPr>
        <w:t>''''''''''' '''''''''' ''' ''' '''''''' '''''''''' ''''' ''''''''' ''''''''''''</w:t>
      </w:r>
    </w:p>
    <w:p w:rsidR="00AD009A" w:rsidRPr="00CC6457" w:rsidRDefault="00CC6457" w:rsidP="00813FF0">
      <w:pPr>
        <w:rPr>
          <w:highlight w:val="black"/>
        </w:rPr>
      </w:pPr>
      <w:r>
        <w:rPr>
          <w:noProof/>
          <w:color w:val="000000"/>
          <w:highlight w:val="black"/>
        </w:rPr>
        <w:t>''''''''''''' '''''''''' '''' ''''''' '''''''''''''''''' '''''''''''''''''''''''' '''''''''''' '''' ''''''''' ''' ''''''''' '''''''''' '''' ''''''''' ''''''''''' ''''' ''''''''''' ''' ''''''' ''''' ''''''''''''''''''' '''''''' '''''''' ''' '''''''' ''''''''' '''' ''''''' ''''''''''' '''' '''''' ''''''''''''''''' ''''''''''' ''''''''''''''' ''''''''''''' '''' '''''' ''''''''''''''''' '''' '''''''''''' ''''''''''''' '''' '''''' ''''''''''''''</w:t>
      </w:r>
    </w:p>
    <w:p w:rsidR="003C6EE6" w:rsidRPr="003F2904" w:rsidRDefault="003C6EE6" w:rsidP="00813FF0">
      <w:pPr>
        <w:rPr>
          <w:b/>
          <w:i/>
        </w:rPr>
      </w:pPr>
      <w:proofErr w:type="spellStart"/>
      <w:r w:rsidRPr="003F2904">
        <w:rPr>
          <w:b/>
          <w:i/>
        </w:rPr>
        <w:t>Empagliflozin</w:t>
      </w:r>
      <w:proofErr w:type="spellEnd"/>
      <w:r w:rsidRPr="003F2904">
        <w:rPr>
          <w:b/>
          <w:i/>
        </w:rPr>
        <w:t xml:space="preserve"> –</w:t>
      </w:r>
      <w:r w:rsidR="00CA6E98" w:rsidRPr="003F2904">
        <w:rPr>
          <w:b/>
          <w:i/>
        </w:rPr>
        <w:t xml:space="preserve"> </w:t>
      </w:r>
      <w:r w:rsidRPr="003F2904">
        <w:rPr>
          <w:b/>
          <w:i/>
        </w:rPr>
        <w:t>therapy with insulin</w:t>
      </w:r>
      <w:r w:rsidR="00EE3EDF" w:rsidRPr="003F2904">
        <w:rPr>
          <w:b/>
          <w:i/>
        </w:rPr>
        <w:t xml:space="preserve"> </w:t>
      </w:r>
      <w:r w:rsidRPr="003F2904">
        <w:rPr>
          <w:b/>
          <w:i/>
        </w:rPr>
        <w:t xml:space="preserve">&amp; triple oral </w:t>
      </w:r>
      <w:r w:rsidR="00B70C48" w:rsidRPr="003F2904">
        <w:rPr>
          <w:b/>
          <w:i/>
        </w:rPr>
        <w:t>therapy (</w:t>
      </w:r>
      <w:r w:rsidRPr="003F2904">
        <w:rPr>
          <w:b/>
          <w:i/>
        </w:rPr>
        <w:t>November 2015 PBAC, listed March 2016)</w:t>
      </w:r>
    </w:p>
    <w:p w:rsidR="003C6EE6" w:rsidRPr="006C4550" w:rsidRDefault="00CB0850" w:rsidP="00FD09FC">
      <w:r w:rsidRPr="006C4550">
        <w:t>As these two indications were already approve</w:t>
      </w:r>
      <w:r w:rsidR="00887ACD" w:rsidRPr="006C4550">
        <w:t>d</w:t>
      </w:r>
      <w:r w:rsidRPr="006C4550">
        <w:t xml:space="preserve"> for </w:t>
      </w:r>
      <w:proofErr w:type="spellStart"/>
      <w:r w:rsidRPr="006C4550">
        <w:t>dapagliflozin</w:t>
      </w:r>
      <w:proofErr w:type="spellEnd"/>
      <w:r w:rsidRPr="006C4550">
        <w:t xml:space="preserve">, it </w:t>
      </w:r>
      <w:r w:rsidR="009D38DC" w:rsidRPr="006C4550">
        <w:t>wa</w:t>
      </w:r>
      <w:r w:rsidR="00C63D35" w:rsidRPr="006C4550">
        <w:t>s</w:t>
      </w:r>
      <w:r w:rsidRPr="006C4550">
        <w:t xml:space="preserve"> assumed that this listing would not grow the </w:t>
      </w:r>
      <w:proofErr w:type="spellStart"/>
      <w:r w:rsidR="00CA6E98" w:rsidRPr="006C4550">
        <w:t>flozin</w:t>
      </w:r>
      <w:proofErr w:type="spellEnd"/>
      <w:r w:rsidR="00CA6E98" w:rsidRPr="006C4550">
        <w:t xml:space="preserve"> </w:t>
      </w:r>
      <w:r w:rsidRPr="006C4550">
        <w:t>market.</w:t>
      </w:r>
    </w:p>
    <w:p w:rsidR="001F7FD5" w:rsidRPr="003F2904" w:rsidRDefault="00CA6E98" w:rsidP="00813FF0">
      <w:pPr>
        <w:rPr>
          <w:b/>
          <w:i/>
        </w:rPr>
      </w:pPr>
      <w:proofErr w:type="spellStart"/>
      <w:r w:rsidRPr="003F2904">
        <w:rPr>
          <w:b/>
          <w:i/>
        </w:rPr>
        <w:t>Flozin</w:t>
      </w:r>
      <w:proofErr w:type="spellEnd"/>
      <w:r w:rsidR="00AE0CD6" w:rsidRPr="003F2904">
        <w:rPr>
          <w:b/>
          <w:i/>
        </w:rPr>
        <w:t xml:space="preserve"> </w:t>
      </w:r>
      <w:r w:rsidR="001F7FD5" w:rsidRPr="003F2904">
        <w:rPr>
          <w:b/>
          <w:i/>
        </w:rPr>
        <w:t>combination products</w:t>
      </w:r>
    </w:p>
    <w:p w:rsidR="00F81D84" w:rsidRPr="00456D54" w:rsidRDefault="00456D54" w:rsidP="00813FF0">
      <w:pPr>
        <w:pStyle w:val="Heading3"/>
        <w:rPr>
          <w:b w:val="0"/>
          <w:i w:val="0"/>
          <w:szCs w:val="24"/>
        </w:rPr>
      </w:pPr>
      <w:r w:rsidRPr="003F2904">
        <w:rPr>
          <w:b w:val="0"/>
          <w:i w:val="0"/>
          <w:szCs w:val="24"/>
        </w:rPr>
        <w:t xml:space="preserve">The listings of </w:t>
      </w:r>
      <w:proofErr w:type="spellStart"/>
      <w:r w:rsidRPr="003F2904">
        <w:rPr>
          <w:b w:val="0"/>
          <w:i w:val="0"/>
          <w:szCs w:val="24"/>
        </w:rPr>
        <w:t>dapagliflozin</w:t>
      </w:r>
      <w:proofErr w:type="spellEnd"/>
      <w:r w:rsidRPr="003F2904">
        <w:rPr>
          <w:b w:val="0"/>
          <w:i w:val="0"/>
          <w:szCs w:val="24"/>
        </w:rPr>
        <w:t xml:space="preserve"> with metformin FDC in October 2015 and of </w:t>
      </w:r>
      <w:proofErr w:type="spellStart"/>
      <w:r w:rsidR="007B694D" w:rsidRPr="003F2904">
        <w:rPr>
          <w:b w:val="0"/>
          <w:i w:val="0"/>
          <w:szCs w:val="24"/>
        </w:rPr>
        <w:t>empagliflozin</w:t>
      </w:r>
      <w:proofErr w:type="spellEnd"/>
      <w:r w:rsidR="007B694D" w:rsidRPr="003F2904">
        <w:rPr>
          <w:b w:val="0"/>
          <w:i w:val="0"/>
          <w:szCs w:val="24"/>
        </w:rPr>
        <w:t xml:space="preserve"> with</w:t>
      </w:r>
      <w:r w:rsidRPr="003F2904">
        <w:rPr>
          <w:b w:val="0"/>
          <w:i w:val="0"/>
          <w:szCs w:val="24"/>
        </w:rPr>
        <w:t xml:space="preserve"> metformin FDC in March </w:t>
      </w:r>
      <w:proofErr w:type="gramStart"/>
      <w:r w:rsidRPr="003F2904">
        <w:rPr>
          <w:b w:val="0"/>
          <w:i w:val="0"/>
          <w:szCs w:val="24"/>
        </w:rPr>
        <w:t>2016,</w:t>
      </w:r>
      <w:proofErr w:type="gramEnd"/>
      <w:r w:rsidRPr="003F2904">
        <w:rPr>
          <w:b w:val="0"/>
          <w:i w:val="0"/>
          <w:szCs w:val="24"/>
        </w:rPr>
        <w:t xml:space="preserve"> were not expected to impact</w:t>
      </w:r>
      <w:r>
        <w:rPr>
          <w:b w:val="0"/>
          <w:i w:val="0"/>
          <w:szCs w:val="24"/>
        </w:rPr>
        <w:t xml:space="preserve"> the size of the </w:t>
      </w:r>
      <w:r w:rsidRPr="00456D54">
        <w:rPr>
          <w:b w:val="0"/>
          <w:i w:val="0"/>
          <w:szCs w:val="24"/>
        </w:rPr>
        <w:t>SGLT2 inhibitor market</w:t>
      </w:r>
      <w:r w:rsidR="003C6EE6">
        <w:rPr>
          <w:b w:val="0"/>
          <w:i w:val="0"/>
          <w:szCs w:val="24"/>
        </w:rPr>
        <w:t>.</w:t>
      </w:r>
    </w:p>
    <w:p w:rsidR="009C1E36" w:rsidRPr="003E2D98" w:rsidRDefault="009C1E36" w:rsidP="00813FF0">
      <w:pPr>
        <w:pStyle w:val="Heading3"/>
        <w:rPr>
          <w:i w:val="0"/>
          <w:sz w:val="28"/>
        </w:rPr>
      </w:pPr>
      <w:r w:rsidRPr="003E2D98">
        <w:rPr>
          <w:i w:val="0"/>
          <w:sz w:val="28"/>
        </w:rPr>
        <w:t>Previous reviews by DUSC</w:t>
      </w:r>
    </w:p>
    <w:p w:rsidR="003E2D98" w:rsidRDefault="003E2D98" w:rsidP="00A257CF">
      <w:r w:rsidRPr="009C1E36">
        <w:t xml:space="preserve">Medicines for the treatment of </w:t>
      </w:r>
      <w:r w:rsidR="001C27E0">
        <w:t xml:space="preserve">diabetes </w:t>
      </w:r>
      <w:r w:rsidRPr="009C1E36">
        <w:t xml:space="preserve">were reviewed by DUSC at its </w:t>
      </w:r>
      <w:r w:rsidR="001C27E0">
        <w:t>meeting</w:t>
      </w:r>
      <w:r w:rsidR="00C52645">
        <w:t>s</w:t>
      </w:r>
      <w:r w:rsidR="001C27E0">
        <w:t xml:space="preserve"> in June and </w:t>
      </w:r>
      <w:r w:rsidRPr="009C1E36">
        <w:t xml:space="preserve">October 2012 </w:t>
      </w:r>
      <w:r>
        <w:t xml:space="preserve">and </w:t>
      </w:r>
      <w:r w:rsidR="001C27E0">
        <w:t>February 2013</w:t>
      </w:r>
      <w:r>
        <w:t>.</w:t>
      </w:r>
      <w:r w:rsidR="00C52645">
        <w:t xml:space="preserve"> The February 2013 analysis results were used in </w:t>
      </w:r>
      <w:r w:rsidR="002954C9">
        <w:t xml:space="preserve">the first and second terms of reference </w:t>
      </w:r>
      <w:r w:rsidR="00C52645">
        <w:t>of the Diabetes PMR report.</w:t>
      </w:r>
    </w:p>
    <w:p w:rsidR="00300A3C" w:rsidRDefault="00300A3C" w:rsidP="00813FF0">
      <w:pPr>
        <w:spacing w:line="276" w:lineRule="auto"/>
        <w:rPr>
          <w:b/>
          <w:sz w:val="32"/>
        </w:rPr>
      </w:pPr>
      <w:r>
        <w:rPr>
          <w:sz w:val="32"/>
        </w:rPr>
        <w:br w:type="page"/>
      </w:r>
    </w:p>
    <w:p w:rsidR="009C1E36" w:rsidRPr="00300A3C" w:rsidRDefault="009C1E36" w:rsidP="00813FF0">
      <w:pPr>
        <w:pStyle w:val="Heading2"/>
        <w:rPr>
          <w:sz w:val="28"/>
        </w:rPr>
      </w:pPr>
      <w:r w:rsidRPr="00300A3C">
        <w:rPr>
          <w:sz w:val="32"/>
        </w:rPr>
        <w:lastRenderedPageBreak/>
        <w:t>Methods</w:t>
      </w:r>
    </w:p>
    <w:p w:rsidR="00D0080F" w:rsidRDefault="007F57A3" w:rsidP="00813FF0">
      <w:r>
        <w:t xml:space="preserve">Patient drug regimens were estimated from </w:t>
      </w:r>
      <w:r w:rsidR="009C1E36" w:rsidRPr="009C1E36">
        <w:t xml:space="preserve">prescriptions </w:t>
      </w:r>
      <w:r>
        <w:t xml:space="preserve">extracted </w:t>
      </w:r>
      <w:r w:rsidR="009C1E36" w:rsidRPr="009C1E36">
        <w:t xml:space="preserve">from the Department of Human Services (DHS) </w:t>
      </w:r>
      <w:r w:rsidR="00677771">
        <w:t>PBS prescription claim database for pre</w:t>
      </w:r>
      <w:r>
        <w:t>scriptions supplied from July</w:t>
      </w:r>
      <w:r w:rsidR="00677771">
        <w:t xml:space="preserve"> 201</w:t>
      </w:r>
      <w:r>
        <w:t>1</w:t>
      </w:r>
      <w:r w:rsidR="00677771">
        <w:t xml:space="preserve"> </w:t>
      </w:r>
      <w:r>
        <w:t xml:space="preserve">to September </w:t>
      </w:r>
      <w:r w:rsidR="00677771" w:rsidRPr="009C1E36">
        <w:t>201</w:t>
      </w:r>
      <w:r>
        <w:t>6</w:t>
      </w:r>
      <w:r w:rsidR="00677771" w:rsidRPr="009C1E36">
        <w:t>, inclusive</w:t>
      </w:r>
      <w:r w:rsidR="00677771">
        <w:t>.</w:t>
      </w:r>
    </w:p>
    <w:p w:rsidR="007F57A3" w:rsidRDefault="007F57A3" w:rsidP="00A257CF">
      <w:r>
        <w:t>Prior to April 2012 under co-payment prescription</w:t>
      </w:r>
      <w:r w:rsidR="00CA6E98">
        <w:t>s were</w:t>
      </w:r>
      <w:r>
        <w:t xml:space="preserve"> missing from these data. These missing prescriptions are estimated in the DUSC database, but are not used in this analysis as they do not have a patient ID for each script and so cannot be used for patient level analysis (</w:t>
      </w:r>
      <w:proofErr w:type="spellStart"/>
      <w:r>
        <w:t>eg</w:t>
      </w:r>
      <w:proofErr w:type="spellEnd"/>
      <w:r>
        <w:t>. estimating drug regimens).</w:t>
      </w:r>
    </w:p>
    <w:p w:rsidR="007F57A3" w:rsidRDefault="007F57A3" w:rsidP="00813FF0">
      <w:r>
        <w:t>The prescriptions were supplied from July 2011 to September 2016. However the resulting drug regimens are only estimated from September 2012 to the end of July 2016. This is because the estimates from July 2011 to August 2012 are inaccurate because;</w:t>
      </w:r>
    </w:p>
    <w:p w:rsidR="007F57A3" w:rsidRDefault="007F57A3" w:rsidP="00813FF0">
      <w:pPr>
        <w:pStyle w:val="ListParagraph"/>
        <w:numPr>
          <w:ilvl w:val="0"/>
          <w:numId w:val="9"/>
        </w:numPr>
      </w:pPr>
      <w:r>
        <w:t>the data prior to April 2012 is missing patient level under co-payment scripts, and</w:t>
      </w:r>
    </w:p>
    <w:p w:rsidR="007F57A3" w:rsidRDefault="007F57A3" w:rsidP="00813FF0">
      <w:pPr>
        <w:pStyle w:val="ListParagraph"/>
        <w:numPr>
          <w:ilvl w:val="0"/>
          <w:numId w:val="9"/>
        </w:numPr>
      </w:pPr>
      <w:r>
        <w:t xml:space="preserve">drug regimens require a “run in” period to stabilise because some prescriptions are infrequent and the true drug regimen is only evident after </w:t>
      </w:r>
      <w:r w:rsidR="001B348B">
        <w:t>prescriptions of all the drugs in the regimen have been supplied.</w:t>
      </w:r>
    </w:p>
    <w:p w:rsidR="007F57A3" w:rsidRDefault="007F57A3" w:rsidP="00813FF0">
      <w:r>
        <w:t>Also the estimated drug regimen</w:t>
      </w:r>
      <w:r w:rsidR="00CA6E98">
        <w:t>s</w:t>
      </w:r>
      <w:r>
        <w:t xml:space="preserve"> w</w:t>
      </w:r>
      <w:r w:rsidR="00CA6E98">
        <w:t>ere</w:t>
      </w:r>
      <w:r>
        <w:t xml:space="preserve"> inaccurate near the end of the data period (</w:t>
      </w:r>
      <w:proofErr w:type="spellStart"/>
      <w:r>
        <w:t>ie</w:t>
      </w:r>
      <w:proofErr w:type="spellEnd"/>
      <w:r>
        <w:t xml:space="preserve">. August and September 2016) because there is greater uncertainty </w:t>
      </w:r>
      <w:r w:rsidR="001B348B">
        <w:t xml:space="preserve">in this period </w:t>
      </w:r>
      <w:r>
        <w:t>whether or not patient treatment is on-going</w:t>
      </w:r>
      <w:r w:rsidR="00E27308">
        <w:t xml:space="preserve"> </w:t>
      </w:r>
      <w:r w:rsidR="00E27308" w:rsidRPr="004E05E6">
        <w:rPr>
          <w:rFonts w:cstheme="minorHAnsi"/>
        </w:rPr>
        <w:t>after their last script</w:t>
      </w:r>
      <w:r>
        <w:t>.</w:t>
      </w:r>
    </w:p>
    <w:p w:rsidR="001B348B" w:rsidRDefault="001B348B" w:rsidP="00813FF0">
      <w:r>
        <w:t xml:space="preserve">For more details on the method used to estimate patient drug regimens see </w:t>
      </w:r>
      <w:r w:rsidR="002E02FE">
        <w:t xml:space="preserve">Appendix </w:t>
      </w:r>
      <w:r w:rsidR="000E77FF">
        <w:t>B</w:t>
      </w:r>
      <w:r>
        <w:t>.</w:t>
      </w:r>
    </w:p>
    <w:p w:rsidR="007F57A3" w:rsidRDefault="007F57A3" w:rsidP="00813FF0">
      <w:r>
        <w:t xml:space="preserve">Diabetes </w:t>
      </w:r>
      <w:r w:rsidRPr="009C1E36">
        <w:t>medicines listed on the PBS</w:t>
      </w:r>
      <w:r>
        <w:t xml:space="preserve"> were defined as all PBS items with a WHO or PBS ATC code starting with A10 (Drugs used in diabetes).</w:t>
      </w:r>
    </w:p>
    <w:p w:rsidR="00A93154" w:rsidRDefault="00A93154" w:rsidP="00813FF0">
      <w:r w:rsidRPr="00AF6ACC">
        <w:rPr>
          <w:rFonts w:eastAsia="Calibri" w:cs="Times New Roman"/>
        </w:rPr>
        <w:t xml:space="preserve">Data </w:t>
      </w:r>
      <w:r>
        <w:rPr>
          <w:rFonts w:eastAsia="Calibri" w:cs="Times New Roman"/>
        </w:rPr>
        <w:t xml:space="preserve">analysis </w:t>
      </w:r>
      <w:r w:rsidRPr="00AF6ACC">
        <w:rPr>
          <w:rFonts w:eastAsia="Calibri" w:cs="Times New Roman"/>
        </w:rPr>
        <w:t>was undertaken using SAS.</w:t>
      </w:r>
    </w:p>
    <w:p w:rsidR="007D5EB9" w:rsidRPr="007D5EB9" w:rsidRDefault="007D5EB9" w:rsidP="00813FF0">
      <w:pPr>
        <w:rPr>
          <w:b/>
          <w:bCs/>
          <w:i/>
        </w:rPr>
      </w:pPr>
      <w:r w:rsidRPr="007D5EB9">
        <w:rPr>
          <w:b/>
          <w:bCs/>
          <w:i/>
        </w:rPr>
        <w:t>Difference</w:t>
      </w:r>
      <w:r w:rsidR="004A7565">
        <w:rPr>
          <w:b/>
          <w:bCs/>
          <w:i/>
        </w:rPr>
        <w:t>s</w:t>
      </w:r>
      <w:r w:rsidRPr="007D5EB9">
        <w:rPr>
          <w:b/>
          <w:bCs/>
          <w:i/>
        </w:rPr>
        <w:t xml:space="preserve"> from previous reports:</w:t>
      </w:r>
    </w:p>
    <w:p w:rsidR="002667C2" w:rsidRDefault="0036211E" w:rsidP="00A257CF">
      <w:pPr>
        <w:pStyle w:val="ListParagraph"/>
        <w:numPr>
          <w:ilvl w:val="0"/>
          <w:numId w:val="18"/>
        </w:numPr>
        <w:ind w:left="284" w:hanging="284"/>
        <w:contextualSpacing w:val="0"/>
      </w:pPr>
      <w:r>
        <w:t>This</w:t>
      </w:r>
      <w:r w:rsidR="007D5EB9">
        <w:t xml:space="preserve"> report covers us</w:t>
      </w:r>
      <w:r w:rsidR="002667C2">
        <w:t>e of medicines for people with Type 1 and T</w:t>
      </w:r>
      <w:r w:rsidR="007D5EB9">
        <w:t xml:space="preserve">ype 2 diabetes. People taking insulin </w:t>
      </w:r>
      <w:proofErr w:type="spellStart"/>
      <w:r w:rsidR="00A67AF8">
        <w:t>monotherapy</w:t>
      </w:r>
      <w:proofErr w:type="spellEnd"/>
      <w:r w:rsidR="007D5EB9">
        <w:t xml:space="preserve"> are </w:t>
      </w:r>
      <w:r>
        <w:t>included</w:t>
      </w:r>
      <w:r w:rsidR="007D5EB9">
        <w:t xml:space="preserve"> in medicine regimen analyses. The </w:t>
      </w:r>
      <w:r w:rsidR="00234F4B">
        <w:t xml:space="preserve">February 2013 DUSC diabetes medicines analysis </w:t>
      </w:r>
      <w:r>
        <w:t xml:space="preserve">also included these patients but </w:t>
      </w:r>
      <w:r w:rsidR="007D5EB9">
        <w:t xml:space="preserve">focussed on </w:t>
      </w:r>
      <w:r w:rsidR="009D38DC">
        <w:t>T</w:t>
      </w:r>
      <w:r w:rsidR="007D5EB9">
        <w:t>ype 2 diabetes medicines.</w:t>
      </w:r>
      <w:r w:rsidR="002667C2">
        <w:t xml:space="preserve"> The aim of Analysis 1 </w:t>
      </w:r>
      <w:r w:rsidR="009D38DC">
        <w:t xml:space="preserve">in that report </w:t>
      </w:r>
      <w:r w:rsidR="002667C2">
        <w:t>was “</w:t>
      </w:r>
      <w:r w:rsidR="002667C2" w:rsidRPr="00A257CF">
        <w:t xml:space="preserve">Assessing the extent that </w:t>
      </w:r>
      <w:proofErr w:type="spellStart"/>
      <w:r w:rsidR="002667C2" w:rsidRPr="00A257CF">
        <w:t>gliptins</w:t>
      </w:r>
      <w:proofErr w:type="spellEnd"/>
      <w:r w:rsidR="002667C2" w:rsidRPr="00A257CF">
        <w:t xml:space="preserve">, </w:t>
      </w:r>
      <w:proofErr w:type="spellStart"/>
      <w:r w:rsidR="002667C2" w:rsidRPr="00A257CF">
        <w:t>glitazones</w:t>
      </w:r>
      <w:proofErr w:type="spellEnd"/>
      <w:r w:rsidR="002667C2" w:rsidRPr="00A257CF">
        <w:t xml:space="preserve"> and </w:t>
      </w:r>
      <w:proofErr w:type="spellStart"/>
      <w:r w:rsidR="002667C2" w:rsidRPr="00A257CF">
        <w:t>exenatide</w:t>
      </w:r>
      <w:proofErr w:type="spellEnd"/>
      <w:r w:rsidR="002667C2" w:rsidRPr="00A257CF">
        <w:t xml:space="preserve"> supplied through the PBS meet the restrictions with regard to the co-administration of other medicines for type 2 diabetes</w:t>
      </w:r>
      <w:r w:rsidR="002667C2">
        <w:t>”. This analysis included</w:t>
      </w:r>
      <w:r w:rsidR="002667C2" w:rsidRPr="002667C2">
        <w:t xml:space="preserve"> all drugs used in diabetes (</w:t>
      </w:r>
      <w:proofErr w:type="spellStart"/>
      <w:r w:rsidR="002667C2" w:rsidRPr="002667C2">
        <w:t>ie</w:t>
      </w:r>
      <w:proofErr w:type="spellEnd"/>
      <w:r w:rsidR="002667C2" w:rsidRPr="002667C2">
        <w:t xml:space="preserve">. ATC=A10) and so regimens for </w:t>
      </w:r>
      <w:r w:rsidR="000B1241">
        <w:t>Type 1</w:t>
      </w:r>
      <w:r w:rsidR="002667C2" w:rsidRPr="002667C2">
        <w:t xml:space="preserve"> diabetes </w:t>
      </w:r>
      <w:r w:rsidR="002667C2">
        <w:t>patients were</w:t>
      </w:r>
      <w:r w:rsidR="002667C2" w:rsidRPr="002667C2">
        <w:t xml:space="preserve"> also included</w:t>
      </w:r>
      <w:r w:rsidR="002667C2">
        <w:t xml:space="preserve"> in Figures 7.4.3 to 7.4.6. However</w:t>
      </w:r>
      <w:r w:rsidR="002667C2" w:rsidRPr="002667C2">
        <w:t xml:space="preserve"> </w:t>
      </w:r>
      <w:r w:rsidR="002667C2">
        <w:t xml:space="preserve">Analysis 1 </w:t>
      </w:r>
      <w:r w:rsidR="002667C2" w:rsidRPr="002667C2">
        <w:t>Figure</w:t>
      </w:r>
      <w:r w:rsidR="002667C2">
        <w:t xml:space="preserve">s </w:t>
      </w:r>
      <w:r w:rsidR="002667C2" w:rsidRPr="002667C2">
        <w:t xml:space="preserve">7.4.7 </w:t>
      </w:r>
      <w:r w:rsidR="002667C2">
        <w:t xml:space="preserve">to 7.4.13 </w:t>
      </w:r>
      <w:r w:rsidR="002667C2" w:rsidRPr="002667C2">
        <w:t>include</w:t>
      </w:r>
      <w:r w:rsidR="002667C2">
        <w:t>d</w:t>
      </w:r>
      <w:r w:rsidR="002667C2" w:rsidRPr="002667C2">
        <w:t xml:space="preserve"> only regimens </w:t>
      </w:r>
      <w:r w:rsidR="002667C2">
        <w:t xml:space="preserve">which contained </w:t>
      </w:r>
      <w:proofErr w:type="spellStart"/>
      <w:r w:rsidR="002667C2" w:rsidRPr="002667C2">
        <w:t>gliptins</w:t>
      </w:r>
      <w:proofErr w:type="spellEnd"/>
      <w:r w:rsidR="002667C2" w:rsidRPr="002667C2">
        <w:t xml:space="preserve">, </w:t>
      </w:r>
      <w:proofErr w:type="spellStart"/>
      <w:r w:rsidR="002667C2" w:rsidRPr="002667C2">
        <w:t>glitazones</w:t>
      </w:r>
      <w:proofErr w:type="spellEnd"/>
      <w:r w:rsidR="002667C2" w:rsidRPr="002667C2">
        <w:t xml:space="preserve"> and </w:t>
      </w:r>
      <w:proofErr w:type="spellStart"/>
      <w:r w:rsidR="002667C2" w:rsidRPr="002667C2">
        <w:t>exe</w:t>
      </w:r>
      <w:r w:rsidR="002667C2">
        <w:t>natide</w:t>
      </w:r>
      <w:proofErr w:type="spellEnd"/>
      <w:r w:rsidR="002667C2">
        <w:t xml:space="preserve"> which are applicable to T</w:t>
      </w:r>
      <w:r w:rsidR="002667C2" w:rsidRPr="002667C2">
        <w:t>ype 2 diabetes only.</w:t>
      </w:r>
      <w:r w:rsidR="002667C2">
        <w:t xml:space="preserve"> The aim of Analysis 2 in the February 2013 analysis was “</w:t>
      </w:r>
      <w:r w:rsidR="002667C2" w:rsidRPr="00A257CF">
        <w:t xml:space="preserve">To determine the proportion of patients who receive a supply of metformin and a sulfonylurea prior to initiating therapy with a </w:t>
      </w:r>
      <w:proofErr w:type="spellStart"/>
      <w:r w:rsidR="002667C2" w:rsidRPr="00A257CF">
        <w:t>gliptin</w:t>
      </w:r>
      <w:proofErr w:type="spellEnd"/>
      <w:r w:rsidR="002667C2" w:rsidRPr="00A257CF">
        <w:t xml:space="preserve">, </w:t>
      </w:r>
      <w:proofErr w:type="spellStart"/>
      <w:r w:rsidR="002667C2" w:rsidRPr="00A257CF">
        <w:t>glitazone</w:t>
      </w:r>
      <w:proofErr w:type="spellEnd"/>
      <w:r w:rsidR="002667C2" w:rsidRPr="00A257CF">
        <w:t xml:space="preserve"> or </w:t>
      </w:r>
      <w:proofErr w:type="spellStart"/>
      <w:r w:rsidR="002667C2" w:rsidRPr="00A257CF">
        <w:t>exenatide</w:t>
      </w:r>
      <w:proofErr w:type="spellEnd"/>
      <w:r w:rsidR="002667C2">
        <w:t xml:space="preserve">”. Thus this analysis only included </w:t>
      </w:r>
      <w:r w:rsidR="007A5378">
        <w:t>Type 2 diabetes patients.</w:t>
      </w:r>
    </w:p>
    <w:p w:rsidR="00A257CF" w:rsidRDefault="007D5EB9" w:rsidP="00A257CF">
      <w:pPr>
        <w:pStyle w:val="ListParagraph"/>
        <w:numPr>
          <w:ilvl w:val="0"/>
          <w:numId w:val="18"/>
        </w:numPr>
        <w:ind w:left="284" w:hanging="284"/>
        <w:contextualSpacing w:val="0"/>
      </w:pPr>
      <w:r>
        <w:lastRenderedPageBreak/>
        <w:t xml:space="preserve">The method used to estimate regimens (and thereby differentiate add on, switch, cessation of a medicine) has been </w:t>
      </w:r>
      <w:r w:rsidRPr="00234F4B">
        <w:t>updated</w:t>
      </w:r>
      <w:r>
        <w:t xml:space="preserve"> </w:t>
      </w:r>
      <w:r w:rsidR="00C45BCF">
        <w:t>since</w:t>
      </w:r>
      <w:r>
        <w:t xml:space="preserve"> the 2013 report. </w:t>
      </w:r>
      <w:r w:rsidR="00554E45">
        <w:br/>
        <w:t xml:space="preserve">The </w:t>
      </w:r>
      <w:r>
        <w:t>key</w:t>
      </w:r>
      <w:r w:rsidR="00BA157E">
        <w:t xml:space="preserve"> </w:t>
      </w:r>
      <w:r>
        <w:t>differences</w:t>
      </w:r>
      <w:r w:rsidR="00554E45">
        <w:t xml:space="preserve"> are:</w:t>
      </w:r>
    </w:p>
    <w:p w:rsidR="00A257CF" w:rsidRDefault="00374A32" w:rsidP="00A257CF">
      <w:pPr>
        <w:pStyle w:val="ListParagraph"/>
        <w:numPr>
          <w:ilvl w:val="0"/>
          <w:numId w:val="21"/>
        </w:numPr>
        <w:contextualSpacing w:val="0"/>
      </w:pPr>
      <w:r>
        <w:t>The 2013 report only included “concessional only” patients because of the possibility of missing under co-payment scripts (</w:t>
      </w:r>
      <w:proofErr w:type="spellStart"/>
      <w:r>
        <w:t>eg</w:t>
      </w:r>
      <w:proofErr w:type="spellEnd"/>
      <w:r>
        <w:t xml:space="preserve">. metformin) for general patients. This analysis includes all patients as there </w:t>
      </w:r>
      <w:r w:rsidR="00345597">
        <w:t>are</w:t>
      </w:r>
      <w:r>
        <w:t xml:space="preserve"> now sufficient data </w:t>
      </w:r>
      <w:r w:rsidR="00345597">
        <w:t xml:space="preserve">since the collection of under co-payment prescription data (which started in April 2012) to estimate 4 years’ worth </w:t>
      </w:r>
      <w:proofErr w:type="gramStart"/>
      <w:r w:rsidR="00345597">
        <w:t xml:space="preserve">of </w:t>
      </w:r>
      <w:r w:rsidR="00C60295">
        <w:t xml:space="preserve"> </w:t>
      </w:r>
      <w:r w:rsidR="00345597">
        <w:t>drug</w:t>
      </w:r>
      <w:proofErr w:type="gramEnd"/>
      <w:r w:rsidR="00345597">
        <w:t xml:space="preserve"> regimens for</w:t>
      </w:r>
      <w:r w:rsidR="00C60295">
        <w:t xml:space="preserve"> PBS supplied medicines for</w:t>
      </w:r>
      <w:r w:rsidR="00345597">
        <w:t xml:space="preserve"> all patients.</w:t>
      </w:r>
    </w:p>
    <w:p w:rsidR="007D5EB9" w:rsidRDefault="00374A32" w:rsidP="00A257CF">
      <w:pPr>
        <w:pStyle w:val="ListParagraph"/>
        <w:numPr>
          <w:ilvl w:val="0"/>
          <w:numId w:val="21"/>
        </w:numPr>
        <w:contextualSpacing w:val="0"/>
      </w:pPr>
      <w:r>
        <w:t>U</w:t>
      </w:r>
      <w:r w:rsidR="00554E45">
        <w:t xml:space="preserve">sing drug specific </w:t>
      </w:r>
      <w:r w:rsidR="00687C09">
        <w:t>Standard Coverage Days (</w:t>
      </w:r>
      <w:r w:rsidR="00554E45">
        <w:t>SCDs</w:t>
      </w:r>
      <w:r w:rsidR="00687C09">
        <w:t>)</w:t>
      </w:r>
      <w:r w:rsidR="00554E45">
        <w:t xml:space="preserve"> to distinguish between </w:t>
      </w:r>
      <w:proofErr w:type="gramStart"/>
      <w:r w:rsidR="00554E45">
        <w:t>an add</w:t>
      </w:r>
      <w:proofErr w:type="gramEnd"/>
      <w:r w:rsidR="00554E45">
        <w:t xml:space="preserve"> and a switch (see point 2 in Appendix </w:t>
      </w:r>
      <w:r w:rsidR="000E77FF">
        <w:t>B</w:t>
      </w:r>
      <w:r w:rsidR="00554E45">
        <w:t>). In the 2013 report a drug coverage overlap of less than 5 weeks was deemed to be a switch (</w:t>
      </w:r>
      <w:proofErr w:type="spellStart"/>
      <w:r w:rsidR="00554E45">
        <w:t>ie</w:t>
      </w:r>
      <w:proofErr w:type="spellEnd"/>
      <w:r w:rsidR="00554E45">
        <w:t>. there was no real drug overlap). In this report the 5 week period was replaced by the drug specific SCD of the prior drug. Th</w:t>
      </w:r>
      <w:r w:rsidR="00536EA4">
        <w:t>at is,</w:t>
      </w:r>
      <w:r w:rsidR="00554E45">
        <w:t xml:space="preserve"> if the apparent drug overlap does not last longer than the SCD of the prior drug, then the prior drug most likely ceased when the new drug was added (</w:t>
      </w:r>
      <w:proofErr w:type="spellStart"/>
      <w:r w:rsidR="00554E45">
        <w:t>ie</w:t>
      </w:r>
      <w:proofErr w:type="spellEnd"/>
      <w:r w:rsidR="00554E45">
        <w:t xml:space="preserve">. it was a switch). This is an improvement in the method as </w:t>
      </w:r>
      <w:proofErr w:type="spellStart"/>
      <w:r w:rsidR="00554E45">
        <w:t>insulins</w:t>
      </w:r>
      <w:proofErr w:type="spellEnd"/>
      <w:r w:rsidR="00554E45">
        <w:t xml:space="preserve"> have much longer SCDs than the other diabetes drugs so </w:t>
      </w:r>
      <w:r>
        <w:t xml:space="preserve">switches are more accurately inferred when the </w:t>
      </w:r>
      <w:r w:rsidR="00687C09">
        <w:t xml:space="preserve">drug </w:t>
      </w:r>
      <w:r>
        <w:t>specific SCD is used.</w:t>
      </w:r>
    </w:p>
    <w:p w:rsidR="007F57A3" w:rsidRDefault="00CB1904" w:rsidP="00A257CF">
      <w:pPr>
        <w:pStyle w:val="ListParagraph"/>
        <w:numPr>
          <w:ilvl w:val="0"/>
          <w:numId w:val="18"/>
        </w:numPr>
        <w:ind w:left="284" w:hanging="284"/>
        <w:contextualSpacing w:val="0"/>
      </w:pPr>
      <w:r>
        <w:t xml:space="preserve">The </w:t>
      </w:r>
      <w:r w:rsidR="007D5EB9">
        <w:t>SCD</w:t>
      </w:r>
      <w:r w:rsidR="00687C09">
        <w:t>s</w:t>
      </w:r>
      <w:r>
        <w:t xml:space="preserve"> </w:t>
      </w:r>
      <w:r w:rsidR="00BA157E">
        <w:t xml:space="preserve">for drug groups in this </w:t>
      </w:r>
      <w:r>
        <w:t xml:space="preserve">analysis </w:t>
      </w:r>
      <w:r w:rsidR="00BA157E">
        <w:t>have not changed</w:t>
      </w:r>
      <w:r w:rsidR="007D5EB9">
        <w:t xml:space="preserve"> </w:t>
      </w:r>
      <w:r w:rsidR="00BA157E">
        <w:t xml:space="preserve">appreciably since the 2013 </w:t>
      </w:r>
      <w:r w:rsidR="00234F4B">
        <w:t>report</w:t>
      </w:r>
      <w:r w:rsidR="00BA157E">
        <w:t xml:space="preserve">. See </w:t>
      </w:r>
      <w:r w:rsidR="00734D84">
        <w:t>Table B</w:t>
      </w:r>
      <w:r w:rsidR="00234F4B">
        <w:t xml:space="preserve">.2 in </w:t>
      </w:r>
      <w:r w:rsidR="00BA157E">
        <w:t xml:space="preserve">Appendix </w:t>
      </w:r>
      <w:r w:rsidR="000E77FF">
        <w:t>B</w:t>
      </w:r>
      <w:r w:rsidR="00BA157E">
        <w:t>.</w:t>
      </w:r>
    </w:p>
    <w:p w:rsidR="008250BC" w:rsidRDefault="008250BC" w:rsidP="00813FF0">
      <w:pPr>
        <w:rPr>
          <w:b/>
          <w:i/>
          <w:sz w:val="32"/>
          <w:szCs w:val="32"/>
        </w:rPr>
      </w:pPr>
      <w:r>
        <w:br w:type="page"/>
      </w:r>
    </w:p>
    <w:p w:rsidR="00903896" w:rsidRPr="008250BC" w:rsidRDefault="00903896" w:rsidP="00813FF0">
      <w:pPr>
        <w:pStyle w:val="Heading4"/>
        <w:rPr>
          <w:i w:val="0"/>
        </w:rPr>
      </w:pPr>
      <w:r w:rsidRPr="008250BC">
        <w:rPr>
          <w:i w:val="0"/>
        </w:rPr>
        <w:lastRenderedPageBreak/>
        <w:t>Results</w:t>
      </w:r>
    </w:p>
    <w:p w:rsidR="00755EC8" w:rsidRPr="00755EC8" w:rsidRDefault="00755EC8" w:rsidP="00813FF0">
      <w:r w:rsidRPr="00755EC8">
        <w:t>The number of people receiving PBS medicines for the treatment of diabetes has increas</w:t>
      </w:r>
      <w:r w:rsidR="00DE4106">
        <w:t>ed</w:t>
      </w:r>
      <w:r w:rsidRPr="00755EC8">
        <w:t xml:space="preserve"> gradually reaching </w:t>
      </w:r>
      <w:r>
        <w:t>approximately</w:t>
      </w:r>
      <w:r w:rsidRPr="00755EC8">
        <w:t xml:space="preserve"> 930,000 people in mid-2016 (Figure 1). </w:t>
      </w:r>
    </w:p>
    <w:p w:rsidR="004704F2" w:rsidRDefault="00D90373" w:rsidP="00813FF0">
      <w:pPr>
        <w:rPr>
          <w:b/>
        </w:rPr>
      </w:pPr>
      <w:r>
        <w:rPr>
          <w:noProof/>
        </w:rPr>
        <w:drawing>
          <wp:inline distT="0" distB="0" distL="0" distR="0" wp14:anchorId="655466B3" wp14:editId="71F4BE16">
            <wp:extent cx="5687695" cy="3413225"/>
            <wp:effectExtent l="0" t="0" r="27305" b="15875"/>
            <wp:docPr id="25" name="Chart 25" descr="A simple graph with one line. Patients are on the Y axis and the week is on the X. The time frame goes from 31 August 2012 to 22 July 2016." title="Number of patients estimated to be on a diabetes medicine by week"/>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4704F2" w:rsidRPr="001D4A77">
        <w:rPr>
          <w:b/>
        </w:rPr>
        <w:t xml:space="preserve">Figure </w:t>
      </w:r>
      <w:r w:rsidR="004704F2">
        <w:rPr>
          <w:b/>
        </w:rPr>
        <w:t>1:</w:t>
      </w:r>
      <w:r w:rsidR="004704F2" w:rsidRPr="001D4A77">
        <w:rPr>
          <w:b/>
        </w:rPr>
        <w:t xml:space="preserve"> </w:t>
      </w:r>
      <w:r w:rsidR="004704F2">
        <w:rPr>
          <w:b/>
        </w:rPr>
        <w:t xml:space="preserve">Number of patients estimated to be on </w:t>
      </w:r>
      <w:r w:rsidR="004704F2" w:rsidRPr="009D5583">
        <w:rPr>
          <w:b/>
        </w:rPr>
        <w:t xml:space="preserve">a diabetes </w:t>
      </w:r>
      <w:r w:rsidR="004704F2">
        <w:rPr>
          <w:b/>
        </w:rPr>
        <w:t xml:space="preserve">medicine </w:t>
      </w:r>
      <w:r w:rsidR="00023B5A">
        <w:rPr>
          <w:b/>
        </w:rPr>
        <w:t>by week</w:t>
      </w:r>
      <w:r w:rsidR="00023B5A">
        <w:rPr>
          <w:b/>
        </w:rPr>
        <w:br/>
      </w:r>
      <w:r w:rsidR="00023B5A" w:rsidRPr="00023B5A">
        <w:rPr>
          <w:sz w:val="20"/>
          <w:szCs w:val="20"/>
        </w:rPr>
        <w:t xml:space="preserve">Note: </w:t>
      </w:r>
      <w:r w:rsidR="00011DD5">
        <w:rPr>
          <w:sz w:val="20"/>
          <w:szCs w:val="20"/>
        </w:rPr>
        <w:t xml:space="preserve">The </w:t>
      </w:r>
      <w:r w:rsidR="00023B5A" w:rsidRPr="00023B5A">
        <w:rPr>
          <w:sz w:val="20"/>
          <w:szCs w:val="20"/>
        </w:rPr>
        <w:t>x axis shows starting da</w:t>
      </w:r>
      <w:r w:rsidR="00747717">
        <w:rPr>
          <w:sz w:val="20"/>
          <w:szCs w:val="20"/>
        </w:rPr>
        <w:t>te</w:t>
      </w:r>
      <w:r w:rsidR="00023B5A" w:rsidRPr="00023B5A">
        <w:rPr>
          <w:sz w:val="20"/>
          <w:szCs w:val="20"/>
        </w:rPr>
        <w:t xml:space="preserve"> of week</w:t>
      </w:r>
    </w:p>
    <w:p w:rsidR="00D17E49" w:rsidRDefault="00DE4106" w:rsidP="00813FF0">
      <w:r>
        <w:t>The data in Figure 1 represent the point prevalence of patients treated with diabetes medicines</w:t>
      </w:r>
      <w:r w:rsidR="00D17E49">
        <w:t xml:space="preserve"> through the PBS</w:t>
      </w:r>
      <w:r>
        <w:t xml:space="preserve">. </w:t>
      </w:r>
      <w:r w:rsidR="00F10C78">
        <w:t>In mid-2016,</w:t>
      </w:r>
      <w:r w:rsidR="00D17E49">
        <w:t xml:space="preserve"> </w:t>
      </w:r>
      <w:r w:rsidR="002E5B02">
        <w:t>3.85</w:t>
      </w:r>
      <w:r w:rsidR="00D17E49">
        <w:t>%</w:t>
      </w:r>
      <w:r w:rsidR="003D0E82" w:rsidRPr="003D0E82">
        <w:rPr>
          <w:vertAlign w:val="superscript"/>
        </w:rPr>
        <w:footnoteReference w:id="4"/>
      </w:r>
      <w:r w:rsidR="00D17E49">
        <w:t xml:space="preserve"> of the Australian population</w:t>
      </w:r>
      <w:r w:rsidR="004E0486">
        <w:t xml:space="preserve"> (928,561 </w:t>
      </w:r>
      <w:r w:rsidR="003D0E82">
        <w:t>people</w:t>
      </w:r>
      <w:r w:rsidR="002E5B02">
        <w:t>)</w:t>
      </w:r>
      <w:r w:rsidR="00D17E49">
        <w:t xml:space="preserve"> were estimated to be receiving diabetes medicines</w:t>
      </w:r>
      <w:r w:rsidR="004153D9">
        <w:t xml:space="preserve">, compared </w:t>
      </w:r>
      <w:r w:rsidR="004153D9" w:rsidRPr="003D0E82">
        <w:t xml:space="preserve">with </w:t>
      </w:r>
      <w:r w:rsidR="004E0486" w:rsidRPr="00CC6C89">
        <w:t>3.57</w:t>
      </w:r>
      <w:r w:rsidR="004153D9" w:rsidRPr="00CC6C89">
        <w:t>%</w:t>
      </w:r>
      <w:r w:rsidR="003D0E82" w:rsidRPr="003D0E82">
        <w:rPr>
          <w:vertAlign w:val="superscript"/>
        </w:rPr>
        <w:footnoteReference w:id="5"/>
      </w:r>
      <w:r w:rsidR="004153D9">
        <w:t xml:space="preserve"> </w:t>
      </w:r>
      <w:r w:rsidR="004E0486">
        <w:t xml:space="preserve">(811,009 </w:t>
      </w:r>
      <w:r w:rsidR="003D0E82">
        <w:t>people</w:t>
      </w:r>
      <w:r w:rsidR="004E0486">
        <w:t xml:space="preserve">) </w:t>
      </w:r>
      <w:r w:rsidR="004153D9">
        <w:t>in mid-2012.</w:t>
      </w:r>
    </w:p>
    <w:p w:rsidR="00B23D0F" w:rsidRDefault="00DE4106" w:rsidP="00813FF0">
      <w:r>
        <w:t>Alternative measures of prevalenc</w:t>
      </w:r>
      <w:r w:rsidR="00F10C78">
        <w:t>e can provide different results.</w:t>
      </w:r>
      <w:r>
        <w:t xml:space="preserve"> For example</w:t>
      </w:r>
      <w:r w:rsidR="00B23D0F">
        <w:t>:</w:t>
      </w:r>
    </w:p>
    <w:p w:rsidR="00D5621D" w:rsidRDefault="00DE4106" w:rsidP="00813FF0">
      <w:pPr>
        <w:pStyle w:val="ListParagraph"/>
        <w:numPr>
          <w:ilvl w:val="0"/>
          <w:numId w:val="18"/>
        </w:numPr>
        <w:ind w:left="284" w:hanging="284"/>
        <w:contextualSpacing w:val="0"/>
      </w:pPr>
      <w:r>
        <w:t xml:space="preserve">a count of patients dispensed at least </w:t>
      </w:r>
      <w:r w:rsidR="00F10C78">
        <w:t xml:space="preserve">one </w:t>
      </w:r>
      <w:r>
        <w:t xml:space="preserve">PBS medicine in a calendar year will give a higher estimate because patients commencing or ceasing treatment </w:t>
      </w:r>
      <w:r w:rsidR="00DB05B6">
        <w:t xml:space="preserve">(including due to patient death) </w:t>
      </w:r>
      <w:r>
        <w:t>partway through a year are counted in addition to patients</w:t>
      </w:r>
      <w:r w:rsidR="00F10C78">
        <w:t xml:space="preserve"> treated for the whole year (see Appendix </w:t>
      </w:r>
      <w:r w:rsidR="000E77FF">
        <w:t>C</w:t>
      </w:r>
      <w:r w:rsidR="00F10C78">
        <w:t xml:space="preserve">). </w:t>
      </w:r>
    </w:p>
    <w:p w:rsidR="00586497" w:rsidRDefault="00B23D0F" w:rsidP="00813FF0">
      <w:pPr>
        <w:pStyle w:val="ListParagraph"/>
        <w:numPr>
          <w:ilvl w:val="0"/>
          <w:numId w:val="18"/>
        </w:numPr>
        <w:ind w:left="284" w:hanging="284"/>
        <w:contextualSpacing w:val="0"/>
      </w:pPr>
      <w:proofErr w:type="gramStart"/>
      <w:r>
        <w:t>t</w:t>
      </w:r>
      <w:r w:rsidR="00F10C78">
        <w:t>he</w:t>
      </w:r>
      <w:proofErr w:type="gramEnd"/>
      <w:r w:rsidR="00F10C78">
        <w:t xml:space="preserve"> prevalence of diabetes reported in the Australian Health Survey</w:t>
      </w:r>
      <w:r w:rsidR="004153D9">
        <w:t xml:space="preserve"> 2014-15</w:t>
      </w:r>
      <w:r w:rsidR="00F10C78">
        <w:t xml:space="preserve"> represents all patients</w:t>
      </w:r>
      <w:r w:rsidR="004153D9" w:rsidRPr="004153D9">
        <w:t xml:space="preserve"> who reported having been told by a doctor or nurse that they had diabetes, irrespective of whether the person considered their diabetes to be current or long-term.</w:t>
      </w:r>
      <w:r w:rsidR="004153D9">
        <w:t xml:space="preserve"> </w:t>
      </w:r>
      <w:r w:rsidR="00D5621D">
        <w:t>It was</w:t>
      </w:r>
      <w:r w:rsidR="004153D9">
        <w:t xml:space="preserve"> estimated that in </w:t>
      </w:r>
      <w:r w:rsidR="004153D9" w:rsidRPr="004153D9">
        <w:t>2014-15, 5.1% of the Australian population (1.2 million people) had some type of diabetes, an increase from 4.5% in 2011-12. Data on the proportion of these people using medicines to treat their diabetes was not reported.</w:t>
      </w:r>
    </w:p>
    <w:p w:rsidR="004153D9" w:rsidRDefault="00586497" w:rsidP="00813FF0">
      <w:r>
        <w:lastRenderedPageBreak/>
        <w:t xml:space="preserve">Some patients receiving treatment for diabetes require multiple medicines. </w:t>
      </w:r>
      <w:r w:rsidRPr="00586497">
        <w:t xml:space="preserve">Figure 2 shows the </w:t>
      </w:r>
      <w:r>
        <w:t xml:space="preserve">number of medicines used </w:t>
      </w:r>
      <w:r w:rsidRPr="00586497">
        <w:t xml:space="preserve">for patients represented in Figure 1. </w:t>
      </w:r>
    </w:p>
    <w:tbl>
      <w:tblPr>
        <w:tblW w:w="0" w:type="auto"/>
        <w:tblBorders>
          <w:top w:val="nil"/>
          <w:left w:val="nil"/>
          <w:bottom w:val="nil"/>
          <w:right w:val="nil"/>
        </w:tblBorders>
        <w:tblLayout w:type="fixed"/>
        <w:tblLook w:val="0000" w:firstRow="0" w:lastRow="0" w:firstColumn="0" w:lastColumn="0" w:noHBand="0" w:noVBand="0"/>
      </w:tblPr>
      <w:tblGrid>
        <w:gridCol w:w="9758"/>
      </w:tblGrid>
      <w:tr w:rsidR="004153D9" w:rsidRPr="004153D9">
        <w:trPr>
          <w:trHeight w:val="327"/>
        </w:trPr>
        <w:tc>
          <w:tcPr>
            <w:tcW w:w="9758" w:type="dxa"/>
          </w:tcPr>
          <w:p w:rsidR="009368B1" w:rsidRPr="0062532C" w:rsidRDefault="00347EF4" w:rsidP="00A257CF">
            <w:pPr>
              <w:spacing w:line="276" w:lineRule="auto"/>
              <w:rPr>
                <w:b/>
              </w:rPr>
            </w:pPr>
            <w:r>
              <w:rPr>
                <w:noProof/>
              </w:rPr>
              <w:drawing>
                <wp:inline distT="0" distB="0" distL="0" distR="0" wp14:anchorId="4E3422CF" wp14:editId="40A7F4B7">
                  <wp:extent cx="5762625" cy="3495675"/>
                  <wp:effectExtent l="0" t="0" r="9525" b="9525"/>
                  <wp:docPr id="14" name="Picture 14" descr="A stacked line graph displaying the number of patients on the Y axis and the week on the X axis. The therapies that people were supplied include insulin monotheray, other monotherapy, dual, triple, quadruple or more than four therapies." title="Number of diabetes therapies used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2625" cy="3495675"/>
                          </a:xfrm>
                          <a:prstGeom prst="rect">
                            <a:avLst/>
                          </a:prstGeom>
                        </pic:spPr>
                      </pic:pic>
                    </a:graphicData>
                  </a:graphic>
                </wp:inline>
              </w:drawing>
            </w:r>
            <w:r w:rsidR="009368B1" w:rsidRPr="001D4A77">
              <w:rPr>
                <w:b/>
              </w:rPr>
              <w:t xml:space="preserve">Figure </w:t>
            </w:r>
            <w:r w:rsidR="00586497">
              <w:rPr>
                <w:b/>
              </w:rPr>
              <w:t>2</w:t>
            </w:r>
            <w:r w:rsidR="009368B1">
              <w:rPr>
                <w:b/>
              </w:rPr>
              <w:t>:</w:t>
            </w:r>
            <w:r w:rsidR="009368B1" w:rsidRPr="001D4A77">
              <w:rPr>
                <w:b/>
              </w:rPr>
              <w:t xml:space="preserve"> </w:t>
            </w:r>
            <w:r w:rsidR="009368B1">
              <w:rPr>
                <w:b/>
              </w:rPr>
              <w:t>Number of diabetes therapies used together</w:t>
            </w:r>
          </w:p>
          <w:p w:rsidR="001B0E82" w:rsidRDefault="009368B1" w:rsidP="00A257CF">
            <w:pPr>
              <w:spacing w:line="276" w:lineRule="auto"/>
              <w:ind w:right="611"/>
            </w:pPr>
            <w:r>
              <w:t xml:space="preserve">Figure </w:t>
            </w:r>
            <w:r w:rsidR="00586497">
              <w:t>2</w:t>
            </w:r>
            <w:r>
              <w:t xml:space="preserve"> </w:t>
            </w:r>
            <w:proofErr w:type="gramStart"/>
            <w:r>
              <w:t>shows</w:t>
            </w:r>
            <w:proofErr w:type="gramEnd"/>
            <w:r>
              <w:t xml:space="preserve"> that </w:t>
            </w:r>
            <w:r w:rsidR="00285D3C">
              <w:t>in mid-</w:t>
            </w:r>
            <w:r w:rsidR="003D0E82">
              <w:t xml:space="preserve">2016 </w:t>
            </w:r>
            <w:r w:rsidR="00586497">
              <w:t>about half</w:t>
            </w:r>
            <w:r w:rsidR="009814F3">
              <w:t xml:space="preserve"> </w:t>
            </w:r>
            <w:r w:rsidR="00586497">
              <w:t xml:space="preserve">of </w:t>
            </w:r>
            <w:r w:rsidR="00DB05B6">
              <w:t xml:space="preserve">all </w:t>
            </w:r>
            <w:r w:rsidR="00586497">
              <w:t xml:space="preserve">patients </w:t>
            </w:r>
            <w:r w:rsidR="00FB4897">
              <w:t>received</w:t>
            </w:r>
            <w:r w:rsidR="00586497">
              <w:t xml:space="preserve"> </w:t>
            </w:r>
            <w:proofErr w:type="spellStart"/>
            <w:r w:rsidR="00586497">
              <w:t>monotherapy</w:t>
            </w:r>
            <w:proofErr w:type="spellEnd"/>
            <w:r w:rsidR="00586497">
              <w:t xml:space="preserve">. Of these, </w:t>
            </w:r>
            <w:r w:rsidR="003D4D3F">
              <w:t>24.1%</w:t>
            </w:r>
            <w:r w:rsidR="00586497">
              <w:t xml:space="preserve"> use</w:t>
            </w:r>
            <w:r w:rsidR="00FB4897">
              <w:t>d</w:t>
            </w:r>
            <w:r w:rsidR="00586497">
              <w:t xml:space="preserve"> insulin </w:t>
            </w:r>
            <w:proofErr w:type="spellStart"/>
            <w:r w:rsidR="00A67AF8">
              <w:t>monotherapy</w:t>
            </w:r>
            <w:proofErr w:type="spellEnd"/>
            <w:r w:rsidR="00FB4897">
              <w:t>;</w:t>
            </w:r>
            <w:r w:rsidR="00586497">
              <w:t xml:space="preserve"> the majority of these patients are likely to have type 1</w:t>
            </w:r>
            <w:r w:rsidR="001B0E82">
              <w:t xml:space="preserve"> </w:t>
            </w:r>
            <w:r w:rsidR="00586497">
              <w:t xml:space="preserve">diabetes. The remaining patients would mostly comprise </w:t>
            </w:r>
            <w:r w:rsidR="003D0E82">
              <w:t xml:space="preserve">those with </w:t>
            </w:r>
            <w:r w:rsidR="00586497">
              <w:t xml:space="preserve">type 2 diabetes. </w:t>
            </w:r>
            <w:r w:rsidR="00072182">
              <w:t>Of these patients</w:t>
            </w:r>
            <w:r w:rsidR="00DB05B6">
              <w:t>,</w:t>
            </w:r>
            <w:r w:rsidR="00072182">
              <w:t xml:space="preserve"> a</w:t>
            </w:r>
            <w:r w:rsidR="00586497">
              <w:t xml:space="preserve">bout half </w:t>
            </w:r>
            <w:r w:rsidR="003D4D3F">
              <w:t xml:space="preserve">(46.5%) </w:t>
            </w:r>
            <w:r w:rsidR="00072182">
              <w:t>were</w:t>
            </w:r>
            <w:r w:rsidR="00586497">
              <w:t xml:space="preserve"> treated with a single medicine, about a third </w:t>
            </w:r>
            <w:r w:rsidR="003D4D3F">
              <w:t xml:space="preserve">(36.8%) </w:t>
            </w:r>
            <w:r w:rsidR="00586497">
              <w:t xml:space="preserve">with dual </w:t>
            </w:r>
            <w:r w:rsidR="00D31E2D">
              <w:t>therapy</w:t>
            </w:r>
            <w:r w:rsidR="00586497">
              <w:t xml:space="preserve">, and </w:t>
            </w:r>
            <w:r w:rsidR="003D4D3F">
              <w:t xml:space="preserve">a </w:t>
            </w:r>
            <w:r w:rsidR="00586497">
              <w:t>smaller proportion on three or more medicines</w:t>
            </w:r>
            <w:r w:rsidR="003D4D3F">
              <w:t xml:space="preserve"> (16.7%)</w:t>
            </w:r>
            <w:r w:rsidR="00586497">
              <w:t>.</w:t>
            </w:r>
          </w:p>
          <w:p w:rsidR="009368B1" w:rsidRDefault="001B0E82" w:rsidP="00A257CF">
            <w:pPr>
              <w:spacing w:line="276" w:lineRule="auto"/>
              <w:ind w:right="611"/>
            </w:pPr>
            <w:r>
              <w:t>T</w:t>
            </w:r>
            <w:r w:rsidR="000E0A13">
              <w:t xml:space="preserve">here has been growth in the number of patients treated with single and multiple therapies, </w:t>
            </w:r>
            <w:r w:rsidR="00E16124">
              <w:t xml:space="preserve">but </w:t>
            </w:r>
            <w:r w:rsidR="000E0A13">
              <w:t xml:space="preserve">most of the </w:t>
            </w:r>
            <w:r w:rsidR="000E0A13" w:rsidRPr="000E0A13">
              <w:t>growth across the period has been mainly in triple and quadruple therapy</w:t>
            </w:r>
            <w:r w:rsidR="000E0A13">
              <w:t xml:space="preserve"> (Table </w:t>
            </w:r>
            <w:r w:rsidR="00412A7D">
              <w:t>8</w:t>
            </w:r>
            <w:r w:rsidR="000E0A13">
              <w:t>)</w:t>
            </w:r>
            <w:r w:rsidR="000E0A13" w:rsidRPr="000E0A13">
              <w:t>.</w:t>
            </w:r>
            <w:r w:rsidR="000E0A13">
              <w:t xml:space="preserve"> </w:t>
            </w:r>
          </w:p>
          <w:p w:rsidR="009368B1" w:rsidRPr="00FC18FC" w:rsidRDefault="009368B1" w:rsidP="00A257CF">
            <w:pPr>
              <w:spacing w:after="0"/>
              <w:rPr>
                <w:b/>
              </w:rPr>
            </w:pPr>
            <w:r>
              <w:rPr>
                <w:b/>
              </w:rPr>
              <w:t xml:space="preserve">Table </w:t>
            </w:r>
            <w:r w:rsidR="00412A7D">
              <w:rPr>
                <w:b/>
              </w:rPr>
              <w:t>8</w:t>
            </w:r>
            <w:r w:rsidRPr="00FC18FC">
              <w:rPr>
                <w:b/>
              </w:rPr>
              <w:t xml:space="preserve">: </w:t>
            </w:r>
            <w:r w:rsidR="003D4D3F">
              <w:rPr>
                <w:b/>
              </w:rPr>
              <w:t>P</w:t>
            </w:r>
            <w:r>
              <w:rPr>
                <w:b/>
              </w:rPr>
              <w:t>atients by number of diabetes therapies used together</w:t>
            </w:r>
          </w:p>
          <w:tbl>
            <w:tblPr>
              <w:tblStyle w:val="TableGrid"/>
              <w:tblW w:w="0" w:type="auto"/>
              <w:tblLayout w:type="fixed"/>
              <w:tblLook w:val="04A0" w:firstRow="1" w:lastRow="0" w:firstColumn="1" w:lastColumn="0" w:noHBand="0" w:noVBand="1"/>
              <w:tblCaption w:val="Patients by number of diabetes therapies used together"/>
              <w:tblDescription w:val="A table with eight columns and six rows. There are two calendar weeks presented and the corresponding number of patients who were supplied insulin monotherapy, other monotherapy, dual, triple, quadruple or more than four therapies; plus the total. This is also presented as percentage of patients."/>
            </w:tblPr>
            <w:tblGrid>
              <w:gridCol w:w="1455"/>
              <w:gridCol w:w="1077"/>
              <w:gridCol w:w="1077"/>
              <w:gridCol w:w="1077"/>
              <w:gridCol w:w="1077"/>
              <w:gridCol w:w="1134"/>
              <w:gridCol w:w="1077"/>
              <w:gridCol w:w="1077"/>
            </w:tblGrid>
            <w:tr w:rsidR="009368B1" w:rsidRPr="00841796" w:rsidTr="00F74A76">
              <w:trPr>
                <w:trHeight w:val="255"/>
                <w:tblHeader/>
              </w:trPr>
              <w:tc>
                <w:tcPr>
                  <w:tcW w:w="1455" w:type="dxa"/>
                  <w:shd w:val="clear" w:color="auto" w:fill="BFBFBF" w:themeFill="background1" w:themeFillShade="BF"/>
                  <w:noWrap/>
                  <w:vAlign w:val="center"/>
                  <w:hideMark/>
                </w:tcPr>
                <w:p w:rsidR="009368B1" w:rsidRPr="00841796" w:rsidRDefault="009368B1" w:rsidP="00A257CF">
                  <w:pPr>
                    <w:spacing w:line="276" w:lineRule="auto"/>
                    <w:jc w:val="center"/>
                    <w:rPr>
                      <w:b/>
                      <w:sz w:val="20"/>
                      <w:szCs w:val="20"/>
                    </w:rPr>
                  </w:pPr>
                  <w:r w:rsidRPr="00841796">
                    <w:rPr>
                      <w:b/>
                      <w:sz w:val="20"/>
                      <w:szCs w:val="20"/>
                    </w:rPr>
                    <w:t>Calendar week</w:t>
                  </w:r>
                </w:p>
              </w:tc>
              <w:tc>
                <w:tcPr>
                  <w:tcW w:w="1077" w:type="dxa"/>
                  <w:shd w:val="clear" w:color="auto" w:fill="BFBFBF" w:themeFill="background1" w:themeFillShade="BF"/>
                  <w:noWrap/>
                  <w:vAlign w:val="center"/>
                  <w:hideMark/>
                </w:tcPr>
                <w:p w:rsidR="009368B1" w:rsidRPr="00841796" w:rsidRDefault="009368B1" w:rsidP="00A257CF">
                  <w:pPr>
                    <w:spacing w:line="276" w:lineRule="auto"/>
                    <w:jc w:val="center"/>
                    <w:rPr>
                      <w:b/>
                      <w:sz w:val="20"/>
                      <w:szCs w:val="20"/>
                    </w:rPr>
                  </w:pPr>
                  <w:r w:rsidRPr="00841796">
                    <w:rPr>
                      <w:b/>
                      <w:sz w:val="20"/>
                      <w:szCs w:val="20"/>
                    </w:rPr>
                    <w:t>Mono - Insulin</w:t>
                  </w:r>
                </w:p>
              </w:tc>
              <w:tc>
                <w:tcPr>
                  <w:tcW w:w="1077" w:type="dxa"/>
                  <w:shd w:val="clear" w:color="auto" w:fill="BFBFBF" w:themeFill="background1" w:themeFillShade="BF"/>
                  <w:noWrap/>
                  <w:vAlign w:val="center"/>
                  <w:hideMark/>
                </w:tcPr>
                <w:p w:rsidR="009368B1" w:rsidRPr="00841796" w:rsidRDefault="009368B1" w:rsidP="00A257CF">
                  <w:pPr>
                    <w:spacing w:line="276" w:lineRule="auto"/>
                    <w:jc w:val="center"/>
                    <w:rPr>
                      <w:b/>
                      <w:sz w:val="20"/>
                      <w:szCs w:val="20"/>
                    </w:rPr>
                  </w:pPr>
                  <w:r w:rsidRPr="00841796">
                    <w:rPr>
                      <w:b/>
                      <w:sz w:val="20"/>
                      <w:szCs w:val="20"/>
                    </w:rPr>
                    <w:t>Mono - Other</w:t>
                  </w:r>
                </w:p>
              </w:tc>
              <w:tc>
                <w:tcPr>
                  <w:tcW w:w="1077" w:type="dxa"/>
                  <w:shd w:val="clear" w:color="auto" w:fill="BFBFBF" w:themeFill="background1" w:themeFillShade="BF"/>
                  <w:noWrap/>
                  <w:vAlign w:val="center"/>
                  <w:hideMark/>
                </w:tcPr>
                <w:p w:rsidR="009368B1" w:rsidRPr="00841796" w:rsidRDefault="009368B1" w:rsidP="00A257CF">
                  <w:pPr>
                    <w:spacing w:line="276" w:lineRule="auto"/>
                    <w:jc w:val="center"/>
                    <w:rPr>
                      <w:b/>
                      <w:sz w:val="20"/>
                      <w:szCs w:val="20"/>
                    </w:rPr>
                  </w:pPr>
                  <w:r w:rsidRPr="00841796">
                    <w:rPr>
                      <w:b/>
                      <w:sz w:val="20"/>
                      <w:szCs w:val="20"/>
                    </w:rPr>
                    <w:t>Dual</w:t>
                  </w:r>
                </w:p>
              </w:tc>
              <w:tc>
                <w:tcPr>
                  <w:tcW w:w="1077" w:type="dxa"/>
                  <w:shd w:val="clear" w:color="auto" w:fill="BFBFBF" w:themeFill="background1" w:themeFillShade="BF"/>
                  <w:noWrap/>
                  <w:vAlign w:val="center"/>
                  <w:hideMark/>
                </w:tcPr>
                <w:p w:rsidR="009368B1" w:rsidRPr="00841796" w:rsidRDefault="009368B1" w:rsidP="00A257CF">
                  <w:pPr>
                    <w:spacing w:line="276" w:lineRule="auto"/>
                    <w:jc w:val="center"/>
                    <w:rPr>
                      <w:b/>
                      <w:sz w:val="20"/>
                      <w:szCs w:val="20"/>
                    </w:rPr>
                  </w:pPr>
                  <w:r w:rsidRPr="00841796">
                    <w:rPr>
                      <w:b/>
                      <w:sz w:val="20"/>
                      <w:szCs w:val="20"/>
                    </w:rPr>
                    <w:t>Triple</w:t>
                  </w:r>
                </w:p>
              </w:tc>
              <w:tc>
                <w:tcPr>
                  <w:tcW w:w="1134" w:type="dxa"/>
                  <w:shd w:val="clear" w:color="auto" w:fill="BFBFBF" w:themeFill="background1" w:themeFillShade="BF"/>
                  <w:noWrap/>
                  <w:vAlign w:val="center"/>
                  <w:hideMark/>
                </w:tcPr>
                <w:p w:rsidR="009368B1" w:rsidRPr="00841796" w:rsidRDefault="009368B1" w:rsidP="00A257CF">
                  <w:pPr>
                    <w:spacing w:line="276" w:lineRule="auto"/>
                    <w:jc w:val="center"/>
                    <w:rPr>
                      <w:b/>
                      <w:sz w:val="20"/>
                      <w:szCs w:val="20"/>
                    </w:rPr>
                  </w:pPr>
                  <w:r w:rsidRPr="00841796">
                    <w:rPr>
                      <w:b/>
                      <w:sz w:val="20"/>
                      <w:szCs w:val="20"/>
                    </w:rPr>
                    <w:t>Quadruple</w:t>
                  </w:r>
                </w:p>
              </w:tc>
              <w:tc>
                <w:tcPr>
                  <w:tcW w:w="1077" w:type="dxa"/>
                  <w:shd w:val="clear" w:color="auto" w:fill="BFBFBF" w:themeFill="background1" w:themeFillShade="BF"/>
                  <w:noWrap/>
                  <w:vAlign w:val="center"/>
                  <w:hideMark/>
                </w:tcPr>
                <w:p w:rsidR="009368B1" w:rsidRPr="00841796" w:rsidRDefault="00A257CF" w:rsidP="00A257CF">
                  <w:pPr>
                    <w:spacing w:line="276" w:lineRule="auto"/>
                    <w:jc w:val="center"/>
                    <w:rPr>
                      <w:b/>
                      <w:sz w:val="20"/>
                      <w:szCs w:val="20"/>
                    </w:rPr>
                  </w:pPr>
                  <w:r>
                    <w:rPr>
                      <w:b/>
                      <w:sz w:val="20"/>
                      <w:szCs w:val="20"/>
                    </w:rPr>
                    <w:t>More than</w:t>
                  </w:r>
                  <w:r w:rsidR="009368B1" w:rsidRPr="00841796">
                    <w:rPr>
                      <w:b/>
                      <w:sz w:val="20"/>
                      <w:szCs w:val="20"/>
                    </w:rPr>
                    <w:t xml:space="preserve"> 4 therapies</w:t>
                  </w:r>
                </w:p>
              </w:tc>
              <w:tc>
                <w:tcPr>
                  <w:tcW w:w="1077" w:type="dxa"/>
                  <w:shd w:val="clear" w:color="auto" w:fill="BFBFBF" w:themeFill="background1" w:themeFillShade="BF"/>
                  <w:noWrap/>
                  <w:vAlign w:val="center"/>
                  <w:hideMark/>
                </w:tcPr>
                <w:p w:rsidR="009368B1" w:rsidRPr="00841796" w:rsidRDefault="009368B1" w:rsidP="00A257CF">
                  <w:pPr>
                    <w:spacing w:line="276" w:lineRule="auto"/>
                    <w:jc w:val="center"/>
                    <w:rPr>
                      <w:b/>
                      <w:sz w:val="20"/>
                      <w:szCs w:val="20"/>
                    </w:rPr>
                  </w:pPr>
                  <w:r w:rsidRPr="00841796">
                    <w:rPr>
                      <w:b/>
                      <w:sz w:val="20"/>
                      <w:szCs w:val="20"/>
                    </w:rPr>
                    <w:t>Total</w:t>
                  </w:r>
                </w:p>
              </w:tc>
            </w:tr>
            <w:tr w:rsidR="003D4D3F" w:rsidRPr="00841796" w:rsidTr="00A257CF">
              <w:trPr>
                <w:trHeight w:val="255"/>
              </w:trPr>
              <w:tc>
                <w:tcPr>
                  <w:tcW w:w="1455" w:type="dxa"/>
                  <w:noWrap/>
                  <w:vAlign w:val="bottom"/>
                </w:tcPr>
                <w:p w:rsidR="003D4D3F" w:rsidRPr="003D4D3F" w:rsidRDefault="003D4D3F" w:rsidP="00A257CF">
                  <w:pPr>
                    <w:spacing w:line="276" w:lineRule="auto"/>
                    <w:jc w:val="center"/>
                    <w:rPr>
                      <w:sz w:val="20"/>
                      <w:szCs w:val="20"/>
                    </w:rPr>
                  </w:pPr>
                  <w:r w:rsidRPr="003D4D3F">
                    <w:rPr>
                      <w:sz w:val="20"/>
                      <w:szCs w:val="20"/>
                    </w:rPr>
                    <w:t>31/08/2012</w:t>
                  </w:r>
                </w:p>
              </w:tc>
              <w:tc>
                <w:tcPr>
                  <w:tcW w:w="1077" w:type="dxa"/>
                  <w:noWrap/>
                  <w:vAlign w:val="bottom"/>
                </w:tcPr>
                <w:p w:rsidR="003D4D3F" w:rsidRPr="003D4D3F" w:rsidRDefault="003D4D3F" w:rsidP="00A257CF">
                  <w:pPr>
                    <w:spacing w:line="276" w:lineRule="auto"/>
                    <w:jc w:val="center"/>
                    <w:rPr>
                      <w:sz w:val="20"/>
                      <w:szCs w:val="20"/>
                    </w:rPr>
                  </w:pPr>
                  <w:r w:rsidRPr="003D4D3F">
                    <w:rPr>
                      <w:sz w:val="20"/>
                      <w:szCs w:val="20"/>
                    </w:rPr>
                    <w:t>119</w:t>
                  </w:r>
                  <w:r>
                    <w:rPr>
                      <w:sz w:val="20"/>
                      <w:szCs w:val="20"/>
                    </w:rPr>
                    <w:t>,</w:t>
                  </w:r>
                  <w:r w:rsidRPr="003D4D3F">
                    <w:rPr>
                      <w:sz w:val="20"/>
                      <w:szCs w:val="20"/>
                    </w:rPr>
                    <w:t>718</w:t>
                  </w:r>
                </w:p>
              </w:tc>
              <w:tc>
                <w:tcPr>
                  <w:tcW w:w="1077" w:type="dxa"/>
                  <w:noWrap/>
                  <w:vAlign w:val="bottom"/>
                </w:tcPr>
                <w:p w:rsidR="003D4D3F" w:rsidRPr="003D4D3F" w:rsidRDefault="003D4D3F" w:rsidP="00A257CF">
                  <w:pPr>
                    <w:spacing w:line="276" w:lineRule="auto"/>
                    <w:jc w:val="center"/>
                    <w:rPr>
                      <w:sz w:val="20"/>
                      <w:szCs w:val="20"/>
                    </w:rPr>
                  </w:pPr>
                  <w:r w:rsidRPr="003D4D3F">
                    <w:rPr>
                      <w:sz w:val="20"/>
                      <w:szCs w:val="20"/>
                    </w:rPr>
                    <w:t>341</w:t>
                  </w:r>
                  <w:r>
                    <w:rPr>
                      <w:sz w:val="20"/>
                      <w:szCs w:val="20"/>
                    </w:rPr>
                    <w:t>,</w:t>
                  </w:r>
                  <w:r w:rsidRPr="003D4D3F">
                    <w:rPr>
                      <w:sz w:val="20"/>
                      <w:szCs w:val="20"/>
                    </w:rPr>
                    <w:t>829</w:t>
                  </w:r>
                </w:p>
              </w:tc>
              <w:tc>
                <w:tcPr>
                  <w:tcW w:w="1077" w:type="dxa"/>
                  <w:noWrap/>
                  <w:vAlign w:val="bottom"/>
                </w:tcPr>
                <w:p w:rsidR="003D4D3F" w:rsidRPr="003D4D3F" w:rsidRDefault="003D4D3F" w:rsidP="00A257CF">
                  <w:pPr>
                    <w:spacing w:line="276" w:lineRule="auto"/>
                    <w:jc w:val="center"/>
                    <w:rPr>
                      <w:sz w:val="20"/>
                      <w:szCs w:val="20"/>
                    </w:rPr>
                  </w:pPr>
                  <w:r w:rsidRPr="003D4D3F">
                    <w:rPr>
                      <w:sz w:val="20"/>
                      <w:szCs w:val="20"/>
                    </w:rPr>
                    <w:t>270</w:t>
                  </w:r>
                  <w:r>
                    <w:rPr>
                      <w:sz w:val="20"/>
                      <w:szCs w:val="20"/>
                    </w:rPr>
                    <w:t>,</w:t>
                  </w:r>
                  <w:r w:rsidRPr="003D4D3F">
                    <w:rPr>
                      <w:sz w:val="20"/>
                      <w:szCs w:val="20"/>
                    </w:rPr>
                    <w:t>625</w:t>
                  </w:r>
                </w:p>
              </w:tc>
              <w:tc>
                <w:tcPr>
                  <w:tcW w:w="1077" w:type="dxa"/>
                  <w:noWrap/>
                  <w:vAlign w:val="bottom"/>
                </w:tcPr>
                <w:p w:rsidR="003D4D3F" w:rsidRPr="003D4D3F" w:rsidRDefault="003D4D3F" w:rsidP="00A257CF">
                  <w:pPr>
                    <w:spacing w:line="276" w:lineRule="auto"/>
                    <w:jc w:val="center"/>
                    <w:rPr>
                      <w:sz w:val="20"/>
                      <w:szCs w:val="20"/>
                    </w:rPr>
                  </w:pPr>
                  <w:r w:rsidRPr="003D4D3F">
                    <w:rPr>
                      <w:sz w:val="20"/>
                      <w:szCs w:val="20"/>
                    </w:rPr>
                    <w:t>72</w:t>
                  </w:r>
                  <w:r>
                    <w:rPr>
                      <w:sz w:val="20"/>
                      <w:szCs w:val="20"/>
                    </w:rPr>
                    <w:t>,</w:t>
                  </w:r>
                  <w:r w:rsidRPr="003D4D3F">
                    <w:rPr>
                      <w:sz w:val="20"/>
                      <w:szCs w:val="20"/>
                    </w:rPr>
                    <w:t>469</w:t>
                  </w:r>
                </w:p>
              </w:tc>
              <w:tc>
                <w:tcPr>
                  <w:tcW w:w="1134" w:type="dxa"/>
                  <w:noWrap/>
                  <w:vAlign w:val="bottom"/>
                </w:tcPr>
                <w:p w:rsidR="003D4D3F" w:rsidRPr="003D4D3F" w:rsidRDefault="003D4D3F" w:rsidP="00A257CF">
                  <w:pPr>
                    <w:spacing w:line="276" w:lineRule="auto"/>
                    <w:jc w:val="center"/>
                    <w:rPr>
                      <w:sz w:val="20"/>
                      <w:szCs w:val="20"/>
                    </w:rPr>
                  </w:pPr>
                  <w:r w:rsidRPr="003D4D3F">
                    <w:rPr>
                      <w:sz w:val="20"/>
                      <w:szCs w:val="20"/>
                    </w:rPr>
                    <w:t>6</w:t>
                  </w:r>
                  <w:r>
                    <w:rPr>
                      <w:sz w:val="20"/>
                      <w:szCs w:val="20"/>
                    </w:rPr>
                    <w:t>,</w:t>
                  </w:r>
                  <w:r w:rsidRPr="003D4D3F">
                    <w:rPr>
                      <w:sz w:val="20"/>
                      <w:szCs w:val="20"/>
                    </w:rPr>
                    <w:t>028</w:t>
                  </w:r>
                </w:p>
              </w:tc>
              <w:tc>
                <w:tcPr>
                  <w:tcW w:w="1077" w:type="dxa"/>
                  <w:noWrap/>
                  <w:vAlign w:val="bottom"/>
                </w:tcPr>
                <w:p w:rsidR="003D4D3F" w:rsidRPr="003D4D3F" w:rsidRDefault="003D4D3F" w:rsidP="00A257CF">
                  <w:pPr>
                    <w:spacing w:line="276" w:lineRule="auto"/>
                    <w:jc w:val="center"/>
                    <w:rPr>
                      <w:sz w:val="20"/>
                      <w:szCs w:val="20"/>
                    </w:rPr>
                  </w:pPr>
                  <w:r w:rsidRPr="003D4D3F">
                    <w:rPr>
                      <w:sz w:val="20"/>
                      <w:szCs w:val="20"/>
                    </w:rPr>
                    <w:t>340</w:t>
                  </w:r>
                </w:p>
              </w:tc>
              <w:tc>
                <w:tcPr>
                  <w:tcW w:w="1077" w:type="dxa"/>
                  <w:noWrap/>
                  <w:vAlign w:val="bottom"/>
                </w:tcPr>
                <w:p w:rsidR="003D4D3F" w:rsidRPr="003D4D3F" w:rsidRDefault="003D4D3F" w:rsidP="00A257CF">
                  <w:pPr>
                    <w:spacing w:line="276" w:lineRule="auto"/>
                    <w:jc w:val="center"/>
                    <w:rPr>
                      <w:sz w:val="20"/>
                      <w:szCs w:val="20"/>
                    </w:rPr>
                  </w:pPr>
                  <w:r w:rsidRPr="003D4D3F">
                    <w:rPr>
                      <w:sz w:val="20"/>
                      <w:szCs w:val="20"/>
                    </w:rPr>
                    <w:t>811</w:t>
                  </w:r>
                  <w:r>
                    <w:rPr>
                      <w:sz w:val="20"/>
                      <w:szCs w:val="20"/>
                    </w:rPr>
                    <w:t>,</w:t>
                  </w:r>
                  <w:r w:rsidRPr="003D4D3F">
                    <w:rPr>
                      <w:sz w:val="20"/>
                      <w:szCs w:val="20"/>
                    </w:rPr>
                    <w:t>009</w:t>
                  </w:r>
                </w:p>
              </w:tc>
            </w:tr>
            <w:tr w:rsidR="003D4D3F" w:rsidRPr="00841796" w:rsidTr="00A257CF">
              <w:trPr>
                <w:trHeight w:val="255"/>
              </w:trPr>
              <w:tc>
                <w:tcPr>
                  <w:tcW w:w="1455" w:type="dxa"/>
                  <w:noWrap/>
                  <w:vAlign w:val="bottom"/>
                </w:tcPr>
                <w:p w:rsidR="003D4D3F" w:rsidRPr="003D4D3F" w:rsidRDefault="003D4D3F" w:rsidP="00A257CF">
                  <w:pPr>
                    <w:spacing w:line="276" w:lineRule="auto"/>
                    <w:jc w:val="center"/>
                    <w:rPr>
                      <w:sz w:val="20"/>
                      <w:szCs w:val="20"/>
                    </w:rPr>
                  </w:pPr>
                  <w:r w:rsidRPr="003D4D3F">
                    <w:rPr>
                      <w:sz w:val="20"/>
                      <w:szCs w:val="20"/>
                    </w:rPr>
                    <w:t>29/07/2016</w:t>
                  </w:r>
                </w:p>
              </w:tc>
              <w:tc>
                <w:tcPr>
                  <w:tcW w:w="1077" w:type="dxa"/>
                  <w:noWrap/>
                  <w:vAlign w:val="bottom"/>
                </w:tcPr>
                <w:p w:rsidR="003D4D3F" w:rsidRPr="003D4D3F" w:rsidRDefault="003D4D3F" w:rsidP="00A257CF">
                  <w:pPr>
                    <w:spacing w:line="276" w:lineRule="auto"/>
                    <w:jc w:val="center"/>
                    <w:rPr>
                      <w:sz w:val="20"/>
                      <w:szCs w:val="20"/>
                    </w:rPr>
                  </w:pPr>
                  <w:r w:rsidRPr="003D4D3F">
                    <w:rPr>
                      <w:sz w:val="20"/>
                      <w:szCs w:val="20"/>
                    </w:rPr>
                    <w:t>119</w:t>
                  </w:r>
                  <w:r>
                    <w:rPr>
                      <w:sz w:val="20"/>
                      <w:szCs w:val="20"/>
                    </w:rPr>
                    <w:t>,</w:t>
                  </w:r>
                  <w:r w:rsidRPr="003D4D3F">
                    <w:rPr>
                      <w:sz w:val="20"/>
                      <w:szCs w:val="20"/>
                    </w:rPr>
                    <w:t>234</w:t>
                  </w:r>
                </w:p>
              </w:tc>
              <w:tc>
                <w:tcPr>
                  <w:tcW w:w="1077" w:type="dxa"/>
                  <w:noWrap/>
                  <w:vAlign w:val="bottom"/>
                </w:tcPr>
                <w:p w:rsidR="003D4D3F" w:rsidRPr="003D4D3F" w:rsidRDefault="003D4D3F" w:rsidP="00A257CF">
                  <w:pPr>
                    <w:spacing w:line="276" w:lineRule="auto"/>
                    <w:jc w:val="center"/>
                    <w:rPr>
                      <w:sz w:val="20"/>
                      <w:szCs w:val="20"/>
                    </w:rPr>
                  </w:pPr>
                  <w:r w:rsidRPr="003D4D3F">
                    <w:rPr>
                      <w:sz w:val="20"/>
                      <w:szCs w:val="20"/>
                    </w:rPr>
                    <w:t>376</w:t>
                  </w:r>
                  <w:r>
                    <w:rPr>
                      <w:sz w:val="20"/>
                      <w:szCs w:val="20"/>
                    </w:rPr>
                    <w:t>,</w:t>
                  </w:r>
                  <w:r w:rsidRPr="003D4D3F">
                    <w:rPr>
                      <w:sz w:val="20"/>
                      <w:szCs w:val="20"/>
                    </w:rPr>
                    <w:t>411</w:t>
                  </w:r>
                </w:p>
              </w:tc>
              <w:tc>
                <w:tcPr>
                  <w:tcW w:w="1077" w:type="dxa"/>
                  <w:noWrap/>
                  <w:vAlign w:val="bottom"/>
                </w:tcPr>
                <w:p w:rsidR="003D4D3F" w:rsidRPr="003D4D3F" w:rsidRDefault="003D4D3F" w:rsidP="00A257CF">
                  <w:pPr>
                    <w:spacing w:line="276" w:lineRule="auto"/>
                    <w:jc w:val="center"/>
                    <w:rPr>
                      <w:sz w:val="20"/>
                      <w:szCs w:val="20"/>
                    </w:rPr>
                  </w:pPr>
                  <w:r w:rsidRPr="003D4D3F">
                    <w:rPr>
                      <w:sz w:val="20"/>
                      <w:szCs w:val="20"/>
                    </w:rPr>
                    <w:t>297</w:t>
                  </w:r>
                  <w:r>
                    <w:rPr>
                      <w:sz w:val="20"/>
                      <w:szCs w:val="20"/>
                    </w:rPr>
                    <w:t>,</w:t>
                  </w:r>
                  <w:r w:rsidRPr="003D4D3F">
                    <w:rPr>
                      <w:sz w:val="20"/>
                      <w:szCs w:val="20"/>
                    </w:rPr>
                    <w:t>976</w:t>
                  </w:r>
                </w:p>
              </w:tc>
              <w:tc>
                <w:tcPr>
                  <w:tcW w:w="1077" w:type="dxa"/>
                  <w:noWrap/>
                  <w:vAlign w:val="bottom"/>
                </w:tcPr>
                <w:p w:rsidR="003D4D3F" w:rsidRPr="003D4D3F" w:rsidRDefault="003D4D3F" w:rsidP="00A257CF">
                  <w:pPr>
                    <w:spacing w:line="276" w:lineRule="auto"/>
                    <w:jc w:val="center"/>
                    <w:rPr>
                      <w:sz w:val="20"/>
                      <w:szCs w:val="20"/>
                    </w:rPr>
                  </w:pPr>
                  <w:r w:rsidRPr="003D4D3F">
                    <w:rPr>
                      <w:sz w:val="20"/>
                      <w:szCs w:val="20"/>
                    </w:rPr>
                    <w:t>116</w:t>
                  </w:r>
                  <w:r>
                    <w:rPr>
                      <w:sz w:val="20"/>
                      <w:szCs w:val="20"/>
                    </w:rPr>
                    <w:t>,</w:t>
                  </w:r>
                  <w:r w:rsidRPr="003D4D3F">
                    <w:rPr>
                      <w:sz w:val="20"/>
                      <w:szCs w:val="20"/>
                    </w:rPr>
                    <w:t>738</w:t>
                  </w:r>
                </w:p>
              </w:tc>
              <w:tc>
                <w:tcPr>
                  <w:tcW w:w="1134" w:type="dxa"/>
                  <w:noWrap/>
                  <w:vAlign w:val="bottom"/>
                </w:tcPr>
                <w:p w:rsidR="003D4D3F" w:rsidRPr="003D4D3F" w:rsidRDefault="003D4D3F" w:rsidP="00A257CF">
                  <w:pPr>
                    <w:spacing w:line="276" w:lineRule="auto"/>
                    <w:jc w:val="center"/>
                    <w:rPr>
                      <w:sz w:val="20"/>
                      <w:szCs w:val="20"/>
                    </w:rPr>
                  </w:pPr>
                  <w:r w:rsidRPr="003D4D3F">
                    <w:rPr>
                      <w:sz w:val="20"/>
                      <w:szCs w:val="20"/>
                    </w:rPr>
                    <w:t>16</w:t>
                  </w:r>
                  <w:r>
                    <w:rPr>
                      <w:sz w:val="20"/>
                      <w:szCs w:val="20"/>
                    </w:rPr>
                    <w:t>,</w:t>
                  </w:r>
                  <w:r w:rsidRPr="003D4D3F">
                    <w:rPr>
                      <w:sz w:val="20"/>
                      <w:szCs w:val="20"/>
                    </w:rPr>
                    <w:t>705</w:t>
                  </w:r>
                </w:p>
              </w:tc>
              <w:tc>
                <w:tcPr>
                  <w:tcW w:w="1077" w:type="dxa"/>
                  <w:noWrap/>
                  <w:vAlign w:val="bottom"/>
                </w:tcPr>
                <w:p w:rsidR="003D4D3F" w:rsidRPr="003D4D3F" w:rsidRDefault="003D4D3F" w:rsidP="00A257CF">
                  <w:pPr>
                    <w:spacing w:line="276" w:lineRule="auto"/>
                    <w:jc w:val="center"/>
                    <w:rPr>
                      <w:sz w:val="20"/>
                      <w:szCs w:val="20"/>
                    </w:rPr>
                  </w:pPr>
                  <w:r w:rsidRPr="003D4D3F">
                    <w:rPr>
                      <w:sz w:val="20"/>
                      <w:szCs w:val="20"/>
                    </w:rPr>
                    <w:t>1</w:t>
                  </w:r>
                  <w:r>
                    <w:rPr>
                      <w:sz w:val="20"/>
                      <w:szCs w:val="20"/>
                    </w:rPr>
                    <w:t>,</w:t>
                  </w:r>
                  <w:r w:rsidRPr="003D4D3F">
                    <w:rPr>
                      <w:sz w:val="20"/>
                      <w:szCs w:val="20"/>
                    </w:rPr>
                    <w:t>497</w:t>
                  </w:r>
                </w:p>
              </w:tc>
              <w:tc>
                <w:tcPr>
                  <w:tcW w:w="1077" w:type="dxa"/>
                  <w:noWrap/>
                  <w:vAlign w:val="bottom"/>
                </w:tcPr>
                <w:p w:rsidR="003D4D3F" w:rsidRPr="003D4D3F" w:rsidRDefault="003D4D3F" w:rsidP="00A257CF">
                  <w:pPr>
                    <w:spacing w:line="276" w:lineRule="auto"/>
                    <w:jc w:val="center"/>
                    <w:rPr>
                      <w:sz w:val="20"/>
                      <w:szCs w:val="20"/>
                    </w:rPr>
                  </w:pPr>
                  <w:r w:rsidRPr="003D4D3F">
                    <w:rPr>
                      <w:sz w:val="20"/>
                      <w:szCs w:val="20"/>
                    </w:rPr>
                    <w:t>928</w:t>
                  </w:r>
                  <w:r>
                    <w:rPr>
                      <w:sz w:val="20"/>
                      <w:szCs w:val="20"/>
                    </w:rPr>
                    <w:t>,</w:t>
                  </w:r>
                  <w:r w:rsidRPr="003D4D3F">
                    <w:rPr>
                      <w:sz w:val="20"/>
                      <w:szCs w:val="20"/>
                    </w:rPr>
                    <w:t>561</w:t>
                  </w:r>
                </w:p>
              </w:tc>
            </w:tr>
            <w:tr w:rsidR="003D4D3F" w:rsidRPr="00841796" w:rsidTr="00A257CF">
              <w:trPr>
                <w:trHeight w:val="255"/>
              </w:trPr>
              <w:tc>
                <w:tcPr>
                  <w:tcW w:w="1455" w:type="dxa"/>
                  <w:shd w:val="clear" w:color="auto" w:fill="BFBFBF" w:themeFill="background1" w:themeFillShade="BF"/>
                  <w:noWrap/>
                  <w:vAlign w:val="center"/>
                </w:tcPr>
                <w:p w:rsidR="003D4D3F" w:rsidRPr="00841796" w:rsidRDefault="003D4D3F" w:rsidP="00A257CF">
                  <w:pPr>
                    <w:spacing w:line="276" w:lineRule="auto"/>
                    <w:rPr>
                      <w:sz w:val="20"/>
                      <w:szCs w:val="20"/>
                    </w:rPr>
                  </w:pPr>
                  <w:r>
                    <w:rPr>
                      <w:sz w:val="20"/>
                      <w:szCs w:val="20"/>
                    </w:rPr>
                    <w:t>% patients</w:t>
                  </w:r>
                </w:p>
              </w:tc>
              <w:tc>
                <w:tcPr>
                  <w:tcW w:w="1077" w:type="dxa"/>
                  <w:shd w:val="clear" w:color="auto" w:fill="BFBFBF" w:themeFill="background1" w:themeFillShade="BF"/>
                  <w:noWrap/>
                  <w:vAlign w:val="center"/>
                </w:tcPr>
                <w:p w:rsidR="003D4D3F" w:rsidRPr="00841796" w:rsidRDefault="003D4D3F" w:rsidP="00A257CF">
                  <w:pPr>
                    <w:spacing w:line="276" w:lineRule="auto"/>
                    <w:jc w:val="center"/>
                    <w:rPr>
                      <w:sz w:val="20"/>
                      <w:szCs w:val="20"/>
                    </w:rPr>
                  </w:pPr>
                </w:p>
              </w:tc>
              <w:tc>
                <w:tcPr>
                  <w:tcW w:w="1077" w:type="dxa"/>
                  <w:shd w:val="clear" w:color="auto" w:fill="BFBFBF" w:themeFill="background1" w:themeFillShade="BF"/>
                  <w:noWrap/>
                  <w:vAlign w:val="center"/>
                </w:tcPr>
                <w:p w:rsidR="003D4D3F" w:rsidRPr="00841796" w:rsidRDefault="003D4D3F" w:rsidP="00A257CF">
                  <w:pPr>
                    <w:spacing w:line="276" w:lineRule="auto"/>
                    <w:jc w:val="center"/>
                    <w:rPr>
                      <w:sz w:val="20"/>
                      <w:szCs w:val="20"/>
                    </w:rPr>
                  </w:pPr>
                </w:p>
              </w:tc>
              <w:tc>
                <w:tcPr>
                  <w:tcW w:w="1077" w:type="dxa"/>
                  <w:shd w:val="clear" w:color="auto" w:fill="BFBFBF" w:themeFill="background1" w:themeFillShade="BF"/>
                  <w:noWrap/>
                  <w:vAlign w:val="center"/>
                </w:tcPr>
                <w:p w:rsidR="003D4D3F" w:rsidRPr="00841796" w:rsidRDefault="003D4D3F" w:rsidP="00A257CF">
                  <w:pPr>
                    <w:spacing w:line="276" w:lineRule="auto"/>
                    <w:jc w:val="center"/>
                    <w:rPr>
                      <w:sz w:val="20"/>
                      <w:szCs w:val="20"/>
                    </w:rPr>
                  </w:pPr>
                </w:p>
              </w:tc>
              <w:tc>
                <w:tcPr>
                  <w:tcW w:w="1077" w:type="dxa"/>
                  <w:shd w:val="clear" w:color="auto" w:fill="BFBFBF" w:themeFill="background1" w:themeFillShade="BF"/>
                  <w:noWrap/>
                  <w:vAlign w:val="center"/>
                </w:tcPr>
                <w:p w:rsidR="003D4D3F" w:rsidRPr="00841796" w:rsidRDefault="003D4D3F" w:rsidP="00A257CF">
                  <w:pPr>
                    <w:spacing w:line="276" w:lineRule="auto"/>
                    <w:jc w:val="center"/>
                    <w:rPr>
                      <w:sz w:val="20"/>
                      <w:szCs w:val="20"/>
                    </w:rPr>
                  </w:pPr>
                </w:p>
              </w:tc>
              <w:tc>
                <w:tcPr>
                  <w:tcW w:w="1134" w:type="dxa"/>
                  <w:shd w:val="clear" w:color="auto" w:fill="BFBFBF" w:themeFill="background1" w:themeFillShade="BF"/>
                  <w:noWrap/>
                  <w:vAlign w:val="center"/>
                </w:tcPr>
                <w:p w:rsidR="003D4D3F" w:rsidRPr="00841796" w:rsidRDefault="003D4D3F" w:rsidP="00A257CF">
                  <w:pPr>
                    <w:spacing w:line="276" w:lineRule="auto"/>
                    <w:jc w:val="center"/>
                    <w:rPr>
                      <w:sz w:val="20"/>
                      <w:szCs w:val="20"/>
                    </w:rPr>
                  </w:pPr>
                </w:p>
              </w:tc>
              <w:tc>
                <w:tcPr>
                  <w:tcW w:w="1077" w:type="dxa"/>
                  <w:shd w:val="clear" w:color="auto" w:fill="BFBFBF" w:themeFill="background1" w:themeFillShade="BF"/>
                  <w:noWrap/>
                  <w:vAlign w:val="center"/>
                </w:tcPr>
                <w:p w:rsidR="003D4D3F" w:rsidRPr="00841796" w:rsidRDefault="003D4D3F" w:rsidP="00A257CF">
                  <w:pPr>
                    <w:spacing w:line="276" w:lineRule="auto"/>
                    <w:jc w:val="center"/>
                    <w:rPr>
                      <w:sz w:val="20"/>
                      <w:szCs w:val="20"/>
                    </w:rPr>
                  </w:pPr>
                </w:p>
              </w:tc>
              <w:tc>
                <w:tcPr>
                  <w:tcW w:w="1077" w:type="dxa"/>
                  <w:shd w:val="clear" w:color="auto" w:fill="BFBFBF" w:themeFill="background1" w:themeFillShade="BF"/>
                  <w:noWrap/>
                  <w:vAlign w:val="center"/>
                </w:tcPr>
                <w:p w:rsidR="003D4D3F" w:rsidRPr="00841796" w:rsidRDefault="003D4D3F" w:rsidP="00A257CF">
                  <w:pPr>
                    <w:spacing w:line="276" w:lineRule="auto"/>
                    <w:jc w:val="center"/>
                    <w:rPr>
                      <w:sz w:val="20"/>
                      <w:szCs w:val="20"/>
                    </w:rPr>
                  </w:pPr>
                </w:p>
              </w:tc>
            </w:tr>
            <w:tr w:rsidR="009368B1" w:rsidRPr="00841796" w:rsidTr="00A257CF">
              <w:trPr>
                <w:trHeight w:val="255"/>
              </w:trPr>
              <w:tc>
                <w:tcPr>
                  <w:tcW w:w="1455" w:type="dxa"/>
                  <w:noWrap/>
                  <w:vAlign w:val="center"/>
                  <w:hideMark/>
                </w:tcPr>
                <w:p w:rsidR="009368B1" w:rsidRPr="00841796" w:rsidRDefault="009368B1" w:rsidP="00A257CF">
                  <w:pPr>
                    <w:spacing w:line="276" w:lineRule="auto"/>
                    <w:jc w:val="center"/>
                    <w:rPr>
                      <w:sz w:val="20"/>
                      <w:szCs w:val="20"/>
                    </w:rPr>
                  </w:pPr>
                  <w:r w:rsidRPr="00841796">
                    <w:rPr>
                      <w:sz w:val="20"/>
                      <w:szCs w:val="20"/>
                    </w:rPr>
                    <w:t>31/08/2012</w:t>
                  </w:r>
                </w:p>
              </w:tc>
              <w:tc>
                <w:tcPr>
                  <w:tcW w:w="1077" w:type="dxa"/>
                  <w:noWrap/>
                  <w:vAlign w:val="center"/>
                  <w:hideMark/>
                </w:tcPr>
                <w:p w:rsidR="009368B1" w:rsidRPr="00841796" w:rsidRDefault="009368B1" w:rsidP="00A257CF">
                  <w:pPr>
                    <w:spacing w:line="276" w:lineRule="auto"/>
                    <w:jc w:val="center"/>
                    <w:rPr>
                      <w:sz w:val="20"/>
                      <w:szCs w:val="20"/>
                    </w:rPr>
                  </w:pPr>
                  <w:r w:rsidRPr="00841796">
                    <w:rPr>
                      <w:sz w:val="20"/>
                      <w:szCs w:val="20"/>
                    </w:rPr>
                    <w:t>14.76%</w:t>
                  </w:r>
                </w:p>
              </w:tc>
              <w:tc>
                <w:tcPr>
                  <w:tcW w:w="1077" w:type="dxa"/>
                  <w:noWrap/>
                  <w:vAlign w:val="center"/>
                  <w:hideMark/>
                </w:tcPr>
                <w:p w:rsidR="009368B1" w:rsidRPr="00841796" w:rsidRDefault="009368B1" w:rsidP="00A257CF">
                  <w:pPr>
                    <w:spacing w:line="276" w:lineRule="auto"/>
                    <w:jc w:val="center"/>
                    <w:rPr>
                      <w:sz w:val="20"/>
                      <w:szCs w:val="20"/>
                    </w:rPr>
                  </w:pPr>
                  <w:r w:rsidRPr="00841796">
                    <w:rPr>
                      <w:sz w:val="20"/>
                      <w:szCs w:val="20"/>
                    </w:rPr>
                    <w:t>42.15%</w:t>
                  </w:r>
                </w:p>
              </w:tc>
              <w:tc>
                <w:tcPr>
                  <w:tcW w:w="1077" w:type="dxa"/>
                  <w:noWrap/>
                  <w:vAlign w:val="center"/>
                  <w:hideMark/>
                </w:tcPr>
                <w:p w:rsidR="009368B1" w:rsidRPr="00841796" w:rsidRDefault="009368B1" w:rsidP="00A257CF">
                  <w:pPr>
                    <w:spacing w:line="276" w:lineRule="auto"/>
                    <w:jc w:val="center"/>
                    <w:rPr>
                      <w:sz w:val="20"/>
                      <w:szCs w:val="20"/>
                    </w:rPr>
                  </w:pPr>
                  <w:r w:rsidRPr="00841796">
                    <w:rPr>
                      <w:sz w:val="20"/>
                      <w:szCs w:val="20"/>
                    </w:rPr>
                    <w:t>33.37%</w:t>
                  </w:r>
                </w:p>
              </w:tc>
              <w:tc>
                <w:tcPr>
                  <w:tcW w:w="1077" w:type="dxa"/>
                  <w:noWrap/>
                  <w:vAlign w:val="center"/>
                  <w:hideMark/>
                </w:tcPr>
                <w:p w:rsidR="009368B1" w:rsidRPr="00841796" w:rsidRDefault="009368B1" w:rsidP="00A257CF">
                  <w:pPr>
                    <w:spacing w:line="276" w:lineRule="auto"/>
                    <w:jc w:val="center"/>
                    <w:rPr>
                      <w:sz w:val="20"/>
                      <w:szCs w:val="20"/>
                    </w:rPr>
                  </w:pPr>
                  <w:r w:rsidRPr="00841796">
                    <w:rPr>
                      <w:sz w:val="20"/>
                      <w:szCs w:val="20"/>
                    </w:rPr>
                    <w:t>8.94%</w:t>
                  </w:r>
                </w:p>
              </w:tc>
              <w:tc>
                <w:tcPr>
                  <w:tcW w:w="1134" w:type="dxa"/>
                  <w:noWrap/>
                  <w:vAlign w:val="center"/>
                  <w:hideMark/>
                </w:tcPr>
                <w:p w:rsidR="009368B1" w:rsidRPr="00841796" w:rsidRDefault="009368B1" w:rsidP="00A257CF">
                  <w:pPr>
                    <w:spacing w:line="276" w:lineRule="auto"/>
                    <w:jc w:val="center"/>
                    <w:rPr>
                      <w:sz w:val="20"/>
                      <w:szCs w:val="20"/>
                    </w:rPr>
                  </w:pPr>
                  <w:r w:rsidRPr="00841796">
                    <w:rPr>
                      <w:sz w:val="20"/>
                      <w:szCs w:val="20"/>
                    </w:rPr>
                    <w:t>0.74%</w:t>
                  </w:r>
                </w:p>
              </w:tc>
              <w:tc>
                <w:tcPr>
                  <w:tcW w:w="1077" w:type="dxa"/>
                  <w:noWrap/>
                  <w:vAlign w:val="center"/>
                  <w:hideMark/>
                </w:tcPr>
                <w:p w:rsidR="009368B1" w:rsidRPr="00841796" w:rsidRDefault="009368B1" w:rsidP="00A257CF">
                  <w:pPr>
                    <w:spacing w:line="276" w:lineRule="auto"/>
                    <w:jc w:val="center"/>
                    <w:rPr>
                      <w:sz w:val="20"/>
                      <w:szCs w:val="20"/>
                    </w:rPr>
                  </w:pPr>
                  <w:r w:rsidRPr="00841796">
                    <w:rPr>
                      <w:sz w:val="20"/>
                      <w:szCs w:val="20"/>
                    </w:rPr>
                    <w:t>0.04%</w:t>
                  </w:r>
                </w:p>
              </w:tc>
              <w:tc>
                <w:tcPr>
                  <w:tcW w:w="1077" w:type="dxa"/>
                  <w:noWrap/>
                  <w:vAlign w:val="center"/>
                  <w:hideMark/>
                </w:tcPr>
                <w:p w:rsidR="009368B1" w:rsidRPr="00841796" w:rsidRDefault="009368B1" w:rsidP="00A257CF">
                  <w:pPr>
                    <w:spacing w:line="276" w:lineRule="auto"/>
                    <w:jc w:val="center"/>
                    <w:rPr>
                      <w:sz w:val="20"/>
                      <w:szCs w:val="20"/>
                    </w:rPr>
                  </w:pPr>
                  <w:r w:rsidRPr="00841796">
                    <w:rPr>
                      <w:sz w:val="20"/>
                      <w:szCs w:val="20"/>
                    </w:rPr>
                    <w:t>100%</w:t>
                  </w:r>
                </w:p>
              </w:tc>
            </w:tr>
            <w:tr w:rsidR="009368B1" w:rsidRPr="00841796" w:rsidTr="00A257CF">
              <w:trPr>
                <w:trHeight w:val="255"/>
              </w:trPr>
              <w:tc>
                <w:tcPr>
                  <w:tcW w:w="1455" w:type="dxa"/>
                  <w:noWrap/>
                  <w:vAlign w:val="center"/>
                </w:tcPr>
                <w:p w:rsidR="009368B1" w:rsidRPr="00841796" w:rsidRDefault="009368B1" w:rsidP="00A257CF">
                  <w:pPr>
                    <w:jc w:val="center"/>
                    <w:rPr>
                      <w:sz w:val="20"/>
                      <w:szCs w:val="20"/>
                    </w:rPr>
                  </w:pPr>
                  <w:r w:rsidRPr="00841796">
                    <w:rPr>
                      <w:sz w:val="20"/>
                      <w:szCs w:val="20"/>
                    </w:rPr>
                    <w:t>29/07/2016</w:t>
                  </w:r>
                </w:p>
              </w:tc>
              <w:tc>
                <w:tcPr>
                  <w:tcW w:w="1077" w:type="dxa"/>
                  <w:noWrap/>
                  <w:vAlign w:val="center"/>
                </w:tcPr>
                <w:p w:rsidR="009368B1" w:rsidRPr="00841796" w:rsidRDefault="009368B1" w:rsidP="00A257CF">
                  <w:pPr>
                    <w:jc w:val="center"/>
                    <w:rPr>
                      <w:sz w:val="20"/>
                      <w:szCs w:val="20"/>
                    </w:rPr>
                  </w:pPr>
                  <w:r w:rsidRPr="00841796">
                    <w:rPr>
                      <w:sz w:val="20"/>
                      <w:szCs w:val="20"/>
                    </w:rPr>
                    <w:t>12.84%</w:t>
                  </w:r>
                </w:p>
              </w:tc>
              <w:tc>
                <w:tcPr>
                  <w:tcW w:w="1077" w:type="dxa"/>
                  <w:noWrap/>
                  <w:vAlign w:val="center"/>
                </w:tcPr>
                <w:p w:rsidR="009368B1" w:rsidRPr="00841796" w:rsidRDefault="009368B1" w:rsidP="00A257CF">
                  <w:pPr>
                    <w:jc w:val="center"/>
                    <w:rPr>
                      <w:sz w:val="20"/>
                      <w:szCs w:val="20"/>
                    </w:rPr>
                  </w:pPr>
                  <w:r w:rsidRPr="00841796">
                    <w:rPr>
                      <w:sz w:val="20"/>
                      <w:szCs w:val="20"/>
                    </w:rPr>
                    <w:t>40.54%</w:t>
                  </w:r>
                </w:p>
              </w:tc>
              <w:tc>
                <w:tcPr>
                  <w:tcW w:w="1077" w:type="dxa"/>
                  <w:noWrap/>
                  <w:vAlign w:val="center"/>
                </w:tcPr>
                <w:p w:rsidR="009368B1" w:rsidRPr="00841796" w:rsidRDefault="009368B1" w:rsidP="00A257CF">
                  <w:pPr>
                    <w:jc w:val="center"/>
                    <w:rPr>
                      <w:sz w:val="20"/>
                      <w:szCs w:val="20"/>
                    </w:rPr>
                  </w:pPr>
                  <w:r w:rsidRPr="00841796">
                    <w:rPr>
                      <w:sz w:val="20"/>
                      <w:szCs w:val="20"/>
                    </w:rPr>
                    <w:t>32.09%</w:t>
                  </w:r>
                </w:p>
              </w:tc>
              <w:tc>
                <w:tcPr>
                  <w:tcW w:w="1077" w:type="dxa"/>
                  <w:noWrap/>
                  <w:vAlign w:val="center"/>
                </w:tcPr>
                <w:p w:rsidR="009368B1" w:rsidRPr="00841796" w:rsidRDefault="009368B1" w:rsidP="00A257CF">
                  <w:pPr>
                    <w:jc w:val="center"/>
                    <w:rPr>
                      <w:sz w:val="20"/>
                      <w:szCs w:val="20"/>
                    </w:rPr>
                  </w:pPr>
                  <w:r w:rsidRPr="00841796">
                    <w:rPr>
                      <w:sz w:val="20"/>
                      <w:szCs w:val="20"/>
                    </w:rPr>
                    <w:t>12.57%</w:t>
                  </w:r>
                </w:p>
              </w:tc>
              <w:tc>
                <w:tcPr>
                  <w:tcW w:w="1134" w:type="dxa"/>
                  <w:noWrap/>
                  <w:vAlign w:val="center"/>
                </w:tcPr>
                <w:p w:rsidR="009368B1" w:rsidRPr="00841796" w:rsidRDefault="009368B1" w:rsidP="00A257CF">
                  <w:pPr>
                    <w:jc w:val="center"/>
                    <w:rPr>
                      <w:sz w:val="20"/>
                      <w:szCs w:val="20"/>
                    </w:rPr>
                  </w:pPr>
                  <w:r w:rsidRPr="00841796">
                    <w:rPr>
                      <w:sz w:val="20"/>
                      <w:szCs w:val="20"/>
                    </w:rPr>
                    <w:t>1.80%</w:t>
                  </w:r>
                </w:p>
              </w:tc>
              <w:tc>
                <w:tcPr>
                  <w:tcW w:w="1077" w:type="dxa"/>
                  <w:noWrap/>
                  <w:vAlign w:val="center"/>
                </w:tcPr>
                <w:p w:rsidR="009368B1" w:rsidRPr="00841796" w:rsidRDefault="009368B1" w:rsidP="00A257CF">
                  <w:pPr>
                    <w:jc w:val="center"/>
                    <w:rPr>
                      <w:sz w:val="20"/>
                      <w:szCs w:val="20"/>
                    </w:rPr>
                  </w:pPr>
                  <w:r w:rsidRPr="00841796">
                    <w:rPr>
                      <w:sz w:val="20"/>
                      <w:szCs w:val="20"/>
                    </w:rPr>
                    <w:t>0.16%</w:t>
                  </w:r>
                </w:p>
              </w:tc>
              <w:tc>
                <w:tcPr>
                  <w:tcW w:w="1077" w:type="dxa"/>
                  <w:noWrap/>
                  <w:vAlign w:val="center"/>
                </w:tcPr>
                <w:p w:rsidR="009368B1" w:rsidRPr="00841796" w:rsidRDefault="009368B1" w:rsidP="00A257CF">
                  <w:pPr>
                    <w:jc w:val="center"/>
                    <w:rPr>
                      <w:sz w:val="20"/>
                      <w:szCs w:val="20"/>
                    </w:rPr>
                  </w:pPr>
                  <w:r w:rsidRPr="00841796">
                    <w:rPr>
                      <w:sz w:val="20"/>
                      <w:szCs w:val="20"/>
                    </w:rPr>
                    <w:t>100%</w:t>
                  </w:r>
                </w:p>
              </w:tc>
            </w:tr>
          </w:tbl>
          <w:p w:rsidR="004153D9" w:rsidRPr="004153D9" w:rsidRDefault="004153D9" w:rsidP="00A257CF">
            <w:pPr>
              <w:spacing w:line="276" w:lineRule="auto"/>
            </w:pPr>
          </w:p>
        </w:tc>
      </w:tr>
    </w:tbl>
    <w:p w:rsidR="00347EF4" w:rsidRDefault="00347EF4" w:rsidP="00A257CF">
      <w:pPr>
        <w:spacing w:after="0"/>
      </w:pPr>
    </w:p>
    <w:p w:rsidR="00DE4106" w:rsidRDefault="00D5621D" w:rsidP="00A257CF">
      <w:pPr>
        <w:spacing w:after="0"/>
      </w:pPr>
      <w:r w:rsidRPr="00D5621D">
        <w:t xml:space="preserve">Figure </w:t>
      </w:r>
      <w:r w:rsidR="00DB7084">
        <w:t>3</w:t>
      </w:r>
      <w:r w:rsidRPr="00D5621D">
        <w:t xml:space="preserve"> shows the 10 </w:t>
      </w:r>
      <w:r>
        <w:t>most common diabetes medicine</w:t>
      </w:r>
      <w:r w:rsidRPr="00D5621D">
        <w:t xml:space="preserve"> regimens for patients represented in Figure</w:t>
      </w:r>
      <w:r w:rsidR="00DB7084">
        <w:t>s</w:t>
      </w:r>
      <w:r w:rsidRPr="00D5621D">
        <w:t xml:space="preserve"> 1</w:t>
      </w:r>
      <w:r w:rsidR="00DB7084">
        <w:t xml:space="preserve"> and 2</w:t>
      </w:r>
      <w:r w:rsidRPr="00D5621D">
        <w:t xml:space="preserve">. </w:t>
      </w:r>
    </w:p>
    <w:p w:rsidR="00347EF4" w:rsidRDefault="00347EF4" w:rsidP="00A257CF">
      <w:pPr>
        <w:spacing w:after="0"/>
      </w:pPr>
    </w:p>
    <w:p w:rsidR="00BE795B" w:rsidRPr="00937014" w:rsidRDefault="00347EF4" w:rsidP="00813FF0">
      <w:pPr>
        <w:rPr>
          <w:b/>
        </w:rPr>
      </w:pPr>
      <w:r>
        <w:rPr>
          <w:noProof/>
        </w:rPr>
        <w:drawing>
          <wp:inline distT="0" distB="0" distL="0" distR="0" wp14:anchorId="1ECAC6FA" wp14:editId="64403A50">
            <wp:extent cx="5687695" cy="3487210"/>
            <wp:effectExtent l="0" t="0" r="8255" b="0"/>
            <wp:docPr id="1" name="Picture 1" descr="A line graph with patients on the Y axis and the week on the X axis. " title="Top ten drug regimens for patients supplied a diabetes medicine by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87695" cy="3487210"/>
                    </a:xfrm>
                    <a:prstGeom prst="rect">
                      <a:avLst/>
                    </a:prstGeom>
                  </pic:spPr>
                </pic:pic>
              </a:graphicData>
            </a:graphic>
          </wp:inline>
        </w:drawing>
      </w:r>
      <w:r w:rsidR="00BE795B" w:rsidRPr="00AD6594">
        <w:rPr>
          <w:b/>
        </w:rPr>
        <w:t xml:space="preserve">Figure </w:t>
      </w:r>
      <w:r w:rsidR="00DB7084" w:rsidRPr="00AD6594">
        <w:rPr>
          <w:b/>
        </w:rPr>
        <w:t>3</w:t>
      </w:r>
      <w:r w:rsidR="00BE795B" w:rsidRPr="00AD6594">
        <w:rPr>
          <w:b/>
        </w:rPr>
        <w:t xml:space="preserve">: Top 10 </w:t>
      </w:r>
      <w:r w:rsidR="00BE795B" w:rsidRPr="00AD6594">
        <w:rPr>
          <w:b/>
          <w:bCs/>
        </w:rPr>
        <w:t>drug regimens f</w:t>
      </w:r>
      <w:r w:rsidR="00BE795B" w:rsidRPr="00AD6594">
        <w:rPr>
          <w:b/>
        </w:rPr>
        <w:t>or patients supplied a diabetes medicine by week</w:t>
      </w:r>
      <w:r w:rsidR="00BE795B">
        <w:rPr>
          <w:b/>
        </w:rPr>
        <w:br/>
      </w:r>
      <w:r w:rsidR="00BE795B" w:rsidRPr="00023B5A">
        <w:rPr>
          <w:sz w:val="20"/>
          <w:szCs w:val="20"/>
        </w:rPr>
        <w:t xml:space="preserve">Note: </w:t>
      </w:r>
      <w:r w:rsidR="00011DD5">
        <w:rPr>
          <w:sz w:val="20"/>
          <w:szCs w:val="20"/>
        </w:rPr>
        <w:t xml:space="preserve">The </w:t>
      </w:r>
      <w:r w:rsidR="00BE795B" w:rsidRPr="00023B5A">
        <w:rPr>
          <w:sz w:val="20"/>
          <w:szCs w:val="20"/>
        </w:rPr>
        <w:t>x axis shows starting da</w:t>
      </w:r>
      <w:r w:rsidR="00BE795B">
        <w:rPr>
          <w:sz w:val="20"/>
          <w:szCs w:val="20"/>
        </w:rPr>
        <w:t>te</w:t>
      </w:r>
      <w:r w:rsidR="00BE795B" w:rsidRPr="00023B5A">
        <w:rPr>
          <w:sz w:val="20"/>
          <w:szCs w:val="20"/>
        </w:rPr>
        <w:t xml:space="preserve"> of week</w:t>
      </w:r>
      <w:r w:rsidR="00BE795B">
        <w:rPr>
          <w:sz w:val="20"/>
          <w:szCs w:val="20"/>
        </w:rPr>
        <w:t>. Combination products are shown as plain constituents</w:t>
      </w:r>
    </w:p>
    <w:p w:rsidR="00BE795B" w:rsidRDefault="00BE795B" w:rsidP="00813FF0">
      <w:r>
        <w:t xml:space="preserve">The top three regimens over the period were </w:t>
      </w:r>
      <w:r w:rsidR="0046554D">
        <w:t>m</w:t>
      </w:r>
      <w:r w:rsidRPr="00EA2557">
        <w:t>etformin</w:t>
      </w:r>
      <w:r>
        <w:t xml:space="preserve"> </w:t>
      </w:r>
      <w:proofErr w:type="spellStart"/>
      <w:r w:rsidR="00A67AF8">
        <w:t>monotherapy</w:t>
      </w:r>
      <w:proofErr w:type="spellEnd"/>
      <w:r w:rsidRPr="00EA2557">
        <w:t xml:space="preserve">, </w:t>
      </w:r>
      <w:r w:rsidR="0046554D">
        <w:t>i</w:t>
      </w:r>
      <w:r w:rsidRPr="00EA2557">
        <w:t>nsulin</w:t>
      </w:r>
      <w:r>
        <w:t xml:space="preserve"> </w:t>
      </w:r>
      <w:proofErr w:type="spellStart"/>
      <w:r w:rsidR="00A67AF8">
        <w:t>monotherapy</w:t>
      </w:r>
      <w:proofErr w:type="spellEnd"/>
      <w:r>
        <w:t xml:space="preserve"> and </w:t>
      </w:r>
      <w:r w:rsidR="0046554D">
        <w:t>m</w:t>
      </w:r>
      <w:r>
        <w:t>etformin</w:t>
      </w:r>
      <w:r w:rsidR="0046554D">
        <w:t> </w:t>
      </w:r>
      <w:r>
        <w:t>+</w:t>
      </w:r>
      <w:r w:rsidR="0046554D">
        <w:t> s</w:t>
      </w:r>
      <w:r>
        <w:t>ulfonylurea</w:t>
      </w:r>
      <w:r w:rsidR="00E25F97">
        <w:t>,</w:t>
      </w:r>
      <w:r>
        <w:t xml:space="preserve"> respectively. The </w:t>
      </w:r>
      <w:r w:rsidR="00E25F97">
        <w:t xml:space="preserve">number of patients using </w:t>
      </w:r>
      <w:r w:rsidR="0046554D">
        <w:t>m</w:t>
      </w:r>
      <w:r>
        <w:t xml:space="preserve">etformin </w:t>
      </w:r>
      <w:proofErr w:type="spellStart"/>
      <w:r w:rsidR="00E25F97">
        <w:t>monotherapy</w:t>
      </w:r>
      <w:proofErr w:type="spellEnd"/>
      <w:r>
        <w:t xml:space="preserve"> has gradually increased, </w:t>
      </w:r>
      <w:r w:rsidR="0046554D">
        <w:t>i</w:t>
      </w:r>
      <w:r>
        <w:t xml:space="preserve">nsulin </w:t>
      </w:r>
      <w:proofErr w:type="spellStart"/>
      <w:r w:rsidR="00E25F97">
        <w:t>monotherapy</w:t>
      </w:r>
      <w:proofErr w:type="spellEnd"/>
      <w:r w:rsidR="00E25F97">
        <w:t xml:space="preserve"> </w:t>
      </w:r>
      <w:r>
        <w:t xml:space="preserve">was constant and the </w:t>
      </w:r>
      <w:r w:rsidR="00DB7084">
        <w:t>number</w:t>
      </w:r>
      <w:r w:rsidR="00E25F97">
        <w:t xml:space="preserve"> of people using </w:t>
      </w:r>
      <w:r w:rsidR="0046554D">
        <w:t>m</w:t>
      </w:r>
      <w:r>
        <w:t>etformin</w:t>
      </w:r>
      <w:r w:rsidR="0046554D">
        <w:t> </w:t>
      </w:r>
      <w:r>
        <w:t>+</w:t>
      </w:r>
      <w:r w:rsidR="0046554D">
        <w:t> s</w:t>
      </w:r>
      <w:r>
        <w:t xml:space="preserve">ulfonylurea declined. By the end of the period the </w:t>
      </w:r>
      <w:proofErr w:type="spellStart"/>
      <w:r w:rsidR="0046554D">
        <w:t>gliptin</w:t>
      </w:r>
      <w:proofErr w:type="spellEnd"/>
      <w:r w:rsidR="0046554D">
        <w:t> </w:t>
      </w:r>
      <w:r>
        <w:t>+</w:t>
      </w:r>
      <w:r w:rsidR="0046554D">
        <w:t> m</w:t>
      </w:r>
      <w:r>
        <w:t xml:space="preserve">etformin (including in FDC form) regimen became the </w:t>
      </w:r>
      <w:r w:rsidR="00600AE6">
        <w:t xml:space="preserve">third </w:t>
      </w:r>
      <w:r>
        <w:t xml:space="preserve">most common regimen. To enable examination of trends in the remaining regimens, the top 3 were removed and the results are shown in Figure </w:t>
      </w:r>
      <w:r w:rsidR="00DB7084">
        <w:t>4</w:t>
      </w:r>
      <w:r>
        <w:t>.</w:t>
      </w:r>
    </w:p>
    <w:p w:rsidR="00BE795B" w:rsidRPr="00AD6594" w:rsidRDefault="0062532C" w:rsidP="00813FF0">
      <w:pPr>
        <w:rPr>
          <w:b/>
        </w:rPr>
      </w:pPr>
      <w:r>
        <w:rPr>
          <w:noProof/>
        </w:rPr>
        <w:lastRenderedPageBreak/>
        <w:drawing>
          <wp:inline distT="0" distB="0" distL="0" distR="0" wp14:anchorId="563F32C0" wp14:editId="518AD580">
            <wp:extent cx="5687695" cy="3442552"/>
            <wp:effectExtent l="0" t="0" r="8255" b="5715"/>
            <wp:docPr id="16" name="Picture 16" descr="A line graph plotting patients on the Y axis and the week on the X axis." title="Drug regimens ranked from four to fourteen excluding the top three, by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87695" cy="3442552"/>
                    </a:xfrm>
                    <a:prstGeom prst="rect">
                      <a:avLst/>
                    </a:prstGeom>
                  </pic:spPr>
                </pic:pic>
              </a:graphicData>
            </a:graphic>
          </wp:inline>
        </w:drawing>
      </w:r>
      <w:r w:rsidR="00BE795B" w:rsidRPr="00AD6594">
        <w:rPr>
          <w:b/>
        </w:rPr>
        <w:t xml:space="preserve">Figure </w:t>
      </w:r>
      <w:r w:rsidR="00DB7084" w:rsidRPr="00AD6594">
        <w:rPr>
          <w:b/>
        </w:rPr>
        <w:t>4</w:t>
      </w:r>
      <w:r w:rsidR="00BE795B" w:rsidRPr="00AD6594">
        <w:rPr>
          <w:b/>
        </w:rPr>
        <w:t>: D</w:t>
      </w:r>
      <w:r w:rsidR="00BE795B" w:rsidRPr="00AD6594">
        <w:rPr>
          <w:b/>
          <w:bCs/>
        </w:rPr>
        <w:t>rug regimens ranked from 4 to 14 (</w:t>
      </w:r>
      <w:proofErr w:type="spellStart"/>
      <w:r w:rsidR="00BE795B" w:rsidRPr="00AD6594">
        <w:rPr>
          <w:b/>
          <w:bCs/>
        </w:rPr>
        <w:t>ie</w:t>
      </w:r>
      <w:proofErr w:type="spellEnd"/>
      <w:r w:rsidR="00BE795B" w:rsidRPr="00AD6594">
        <w:rPr>
          <w:b/>
          <w:bCs/>
        </w:rPr>
        <w:t xml:space="preserve">. excluding the top 3) </w:t>
      </w:r>
      <w:r w:rsidR="00BE795B" w:rsidRPr="00AD6594">
        <w:rPr>
          <w:b/>
        </w:rPr>
        <w:t>by week</w:t>
      </w:r>
      <w:r w:rsidR="00BE795B" w:rsidRPr="00AD6594">
        <w:rPr>
          <w:b/>
        </w:rPr>
        <w:br/>
      </w:r>
      <w:r w:rsidR="00BE795B" w:rsidRPr="00AD6594">
        <w:rPr>
          <w:sz w:val="20"/>
          <w:szCs w:val="20"/>
        </w:rPr>
        <w:t>Note: x axis shows starting date of week. Combination products are shown as plain constituents</w:t>
      </w:r>
    </w:p>
    <w:p w:rsidR="00BE795B" w:rsidRDefault="00BE795B" w:rsidP="00813FF0">
      <w:r w:rsidRPr="00AD6594">
        <w:t xml:space="preserve">Figure </w:t>
      </w:r>
      <w:r w:rsidR="00076BF9" w:rsidRPr="00AD6594">
        <w:t xml:space="preserve">4 </w:t>
      </w:r>
      <w:r w:rsidRPr="00AD6594">
        <w:t xml:space="preserve">shows that the </w:t>
      </w:r>
      <w:proofErr w:type="spellStart"/>
      <w:r w:rsidR="007B7060" w:rsidRPr="00AD6594">
        <w:t>g</w:t>
      </w:r>
      <w:r w:rsidRPr="00AD6594">
        <w:t>liptin</w:t>
      </w:r>
      <w:proofErr w:type="spellEnd"/>
      <w:r w:rsidR="007B7060" w:rsidRPr="00AD6594">
        <w:t> </w:t>
      </w:r>
      <w:r w:rsidRPr="00AD6594">
        <w:t>+</w:t>
      </w:r>
      <w:r w:rsidR="007B7060" w:rsidRPr="00AD6594">
        <w:t> m</w:t>
      </w:r>
      <w:r w:rsidRPr="00AD6594">
        <w:t>etformin</w:t>
      </w:r>
      <w:r w:rsidR="009B1574" w:rsidRPr="00AD6594">
        <w:t>,</w:t>
      </w:r>
      <w:r w:rsidRPr="00AD6594">
        <w:t xml:space="preserve"> </w:t>
      </w:r>
      <w:proofErr w:type="spellStart"/>
      <w:r w:rsidR="007B7060" w:rsidRPr="00AD6594">
        <w:t>g</w:t>
      </w:r>
      <w:r w:rsidRPr="00AD6594">
        <w:t>liptin</w:t>
      </w:r>
      <w:proofErr w:type="spellEnd"/>
      <w:r w:rsidR="007B7060" w:rsidRPr="00AD6594">
        <w:t> </w:t>
      </w:r>
      <w:r w:rsidRPr="00AD6594">
        <w:t>+</w:t>
      </w:r>
      <w:r w:rsidR="007B7060" w:rsidRPr="00AD6594">
        <w:t> m</w:t>
      </w:r>
      <w:r w:rsidRPr="00AD6594">
        <w:t>etformin</w:t>
      </w:r>
      <w:r w:rsidR="007B7060" w:rsidRPr="00AD6594">
        <w:t> </w:t>
      </w:r>
      <w:r w:rsidRPr="00AD6594">
        <w:t>+</w:t>
      </w:r>
      <w:r w:rsidR="007B7060" w:rsidRPr="00AD6594">
        <w:t> s</w:t>
      </w:r>
      <w:r w:rsidRPr="00AD6594">
        <w:t>ulfonylurea</w:t>
      </w:r>
      <w:r w:rsidR="009B1574" w:rsidRPr="00AD6594">
        <w:t xml:space="preserve">, </w:t>
      </w:r>
      <w:proofErr w:type="spellStart"/>
      <w:r w:rsidR="00F55E90" w:rsidRPr="00AD6594">
        <w:t>gliptin</w:t>
      </w:r>
      <w:proofErr w:type="spellEnd"/>
      <w:r w:rsidR="00F55E90" w:rsidRPr="00AD6594">
        <w:t xml:space="preserve"> + insulin + metformin, </w:t>
      </w:r>
      <w:proofErr w:type="spellStart"/>
      <w:r w:rsidR="007B7060" w:rsidRPr="00AD6594">
        <w:t>g</w:t>
      </w:r>
      <w:r w:rsidR="009B1574" w:rsidRPr="00AD6594">
        <w:t>liptin</w:t>
      </w:r>
      <w:proofErr w:type="spellEnd"/>
      <w:r w:rsidR="009B1574" w:rsidRPr="00AD6594">
        <w:t xml:space="preserve"> </w:t>
      </w:r>
      <w:proofErr w:type="spellStart"/>
      <w:r w:rsidR="007B7060" w:rsidRPr="00AD6594">
        <w:t>monotherapy</w:t>
      </w:r>
      <w:proofErr w:type="spellEnd"/>
      <w:r w:rsidR="007B7060" w:rsidRPr="00AD6594">
        <w:t xml:space="preserve"> </w:t>
      </w:r>
      <w:r w:rsidR="009B1574" w:rsidRPr="00AD6594">
        <w:t xml:space="preserve">and </w:t>
      </w:r>
      <w:proofErr w:type="spellStart"/>
      <w:r w:rsidR="007B7060" w:rsidRPr="00AD6594">
        <w:t>flozin</w:t>
      </w:r>
      <w:proofErr w:type="spellEnd"/>
      <w:r w:rsidR="007B7060" w:rsidRPr="00AD6594">
        <w:t> </w:t>
      </w:r>
      <w:r w:rsidR="009B1574" w:rsidRPr="00AD6594">
        <w:t>+</w:t>
      </w:r>
      <w:r w:rsidR="007B7060" w:rsidRPr="00AD6594">
        <w:t> m</w:t>
      </w:r>
      <w:r w:rsidR="009B1574" w:rsidRPr="00AD6594">
        <w:t xml:space="preserve">etformin </w:t>
      </w:r>
      <w:r w:rsidRPr="00AD6594">
        <w:t>regimens</w:t>
      </w:r>
      <w:r w:rsidRPr="00F55E90">
        <w:t xml:space="preserve"> </w:t>
      </w:r>
      <w:r>
        <w:t xml:space="preserve">increased over the period. </w:t>
      </w:r>
      <w:r w:rsidR="007B7060">
        <w:t>O</w:t>
      </w:r>
      <w:r>
        <w:t>ther regimens were either steady or decreased across the period. Insulin</w:t>
      </w:r>
      <w:r w:rsidR="007B7060">
        <w:t> </w:t>
      </w:r>
      <w:r>
        <w:t>+</w:t>
      </w:r>
      <w:r w:rsidR="007B7060">
        <w:t> m</w:t>
      </w:r>
      <w:r>
        <w:t xml:space="preserve">etformin increased up until the end of 2014 and </w:t>
      </w:r>
      <w:proofErr w:type="gramStart"/>
      <w:r>
        <w:t>has</w:t>
      </w:r>
      <w:proofErr w:type="gramEnd"/>
      <w:r>
        <w:t xml:space="preserve"> been decreasing since.</w:t>
      </w:r>
    </w:p>
    <w:p w:rsidR="00076BF9" w:rsidRDefault="00076BF9" w:rsidP="00813FF0">
      <w:r>
        <w:t xml:space="preserve">The majority of additions, extensions and changes to listing for diabetes medicines since the previous DUSC review in 2013 have involved </w:t>
      </w:r>
      <w:proofErr w:type="spellStart"/>
      <w:r>
        <w:t>gliptins</w:t>
      </w:r>
      <w:proofErr w:type="spellEnd"/>
      <w:r>
        <w:t xml:space="preserve">, </w:t>
      </w:r>
      <w:proofErr w:type="spellStart"/>
      <w:r>
        <w:t>flozins</w:t>
      </w:r>
      <w:proofErr w:type="spellEnd"/>
      <w:r>
        <w:t xml:space="preserve"> and GLP-1 agonists. The following section</w:t>
      </w:r>
      <w:r w:rsidR="00556653">
        <w:t>s</w:t>
      </w:r>
      <w:r>
        <w:t xml:space="preserve"> focus on changes in the use of these medicine groups, including prescription volume and the medicine regimens. </w:t>
      </w:r>
    </w:p>
    <w:p w:rsidR="00076BF9" w:rsidRDefault="00A26889" w:rsidP="00813FF0">
      <w:pPr>
        <w:rPr>
          <w:b/>
          <w:i/>
        </w:rPr>
      </w:pPr>
      <w:proofErr w:type="spellStart"/>
      <w:r>
        <w:rPr>
          <w:b/>
          <w:i/>
        </w:rPr>
        <w:t>Flozins</w:t>
      </w:r>
      <w:proofErr w:type="spellEnd"/>
    </w:p>
    <w:p w:rsidR="00076BF9" w:rsidRPr="00076BF9" w:rsidRDefault="00076BF9" w:rsidP="00813FF0">
      <w:r>
        <w:t xml:space="preserve">Figure </w:t>
      </w:r>
      <w:r w:rsidR="004755A9">
        <w:t>5</w:t>
      </w:r>
      <w:r>
        <w:t xml:space="preserve"> </w:t>
      </w:r>
      <w:r w:rsidR="00EE4BD0" w:rsidRPr="00EE4BD0">
        <w:t xml:space="preserve">shows the number of patients with a drug regimen containing a </w:t>
      </w:r>
      <w:proofErr w:type="spellStart"/>
      <w:r w:rsidR="00EE4BD0" w:rsidRPr="00EE4BD0">
        <w:t>flozin</w:t>
      </w:r>
      <w:proofErr w:type="spellEnd"/>
      <w:r w:rsidR="00EE4BD0" w:rsidRPr="00EE4BD0">
        <w:t>, in plain or FDC form, since</w:t>
      </w:r>
      <w:r w:rsidR="00EE4BD0">
        <w:t xml:space="preserve"> the listing of </w:t>
      </w:r>
      <w:proofErr w:type="spellStart"/>
      <w:r w:rsidR="00EE4BD0">
        <w:t>dap</w:t>
      </w:r>
      <w:r w:rsidR="00EE4BD0" w:rsidRPr="00EE4BD0">
        <w:t>agliflozin</w:t>
      </w:r>
      <w:proofErr w:type="spellEnd"/>
      <w:r w:rsidR="00EE4BD0" w:rsidRPr="00EE4BD0">
        <w:t xml:space="preserve"> and </w:t>
      </w:r>
      <w:proofErr w:type="spellStart"/>
      <w:r w:rsidR="00EE4BD0" w:rsidRPr="00EE4BD0">
        <w:t>canagliflozin</w:t>
      </w:r>
      <w:proofErr w:type="spellEnd"/>
      <w:r w:rsidR="00EE4BD0" w:rsidRPr="00EE4BD0">
        <w:t xml:space="preserve"> in December 2013.</w:t>
      </w:r>
      <w:r w:rsidR="00DB05B6">
        <w:t xml:space="preserve"> Overall, about 65,000 persons had a drug regimen than included a </w:t>
      </w:r>
      <w:proofErr w:type="spellStart"/>
      <w:r w:rsidR="00DB05B6">
        <w:t>flozin</w:t>
      </w:r>
      <w:proofErr w:type="spellEnd"/>
      <w:r w:rsidR="00DB05B6">
        <w:t xml:space="preserve"> by July 2016.</w:t>
      </w:r>
    </w:p>
    <w:p w:rsidR="007E61D7" w:rsidRDefault="009C25D5" w:rsidP="00813FF0">
      <w:pPr>
        <w:rPr>
          <w:b/>
        </w:rPr>
      </w:pPr>
      <w:r>
        <w:rPr>
          <w:noProof/>
        </w:rPr>
        <w:lastRenderedPageBreak/>
        <w:drawing>
          <wp:inline distT="0" distB="0" distL="0" distR="0" wp14:anchorId="64B1A8DA" wp14:editId="50EDE076">
            <wp:extent cx="5687695" cy="3438853"/>
            <wp:effectExtent l="0" t="0" r="8255" b="9525"/>
            <wp:docPr id="17" name="Picture 17" descr="A simple single line on a graph showing the number of patients supplied this regimen by week" title="Number of patients with a drug regimen containing a flozin, plain or in a F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87695" cy="3438853"/>
                    </a:xfrm>
                    <a:prstGeom prst="rect">
                      <a:avLst/>
                    </a:prstGeom>
                  </pic:spPr>
                </pic:pic>
              </a:graphicData>
            </a:graphic>
          </wp:inline>
        </w:drawing>
      </w:r>
      <w:r w:rsidR="007E61D7" w:rsidRPr="001D4A77">
        <w:rPr>
          <w:b/>
        </w:rPr>
        <w:t xml:space="preserve">Figure </w:t>
      </w:r>
      <w:r w:rsidR="00076BF9">
        <w:rPr>
          <w:b/>
        </w:rPr>
        <w:t>5</w:t>
      </w:r>
      <w:r w:rsidR="007E61D7">
        <w:rPr>
          <w:b/>
        </w:rPr>
        <w:t>:</w:t>
      </w:r>
      <w:r w:rsidR="007E61D7" w:rsidRPr="001D4A77">
        <w:rPr>
          <w:b/>
        </w:rPr>
        <w:t xml:space="preserve"> </w:t>
      </w:r>
      <w:r w:rsidR="007E61D7">
        <w:rPr>
          <w:b/>
        </w:rPr>
        <w:t xml:space="preserve">Number of patients with a drug regimen containing a </w:t>
      </w:r>
      <w:proofErr w:type="spellStart"/>
      <w:r w:rsidR="007E61D7">
        <w:rPr>
          <w:b/>
        </w:rPr>
        <w:t>flozin</w:t>
      </w:r>
      <w:proofErr w:type="spellEnd"/>
      <w:r w:rsidR="007E61D7">
        <w:rPr>
          <w:b/>
        </w:rPr>
        <w:t xml:space="preserve"> (plain or in a FDC)</w:t>
      </w:r>
    </w:p>
    <w:p w:rsidR="007E61D7" w:rsidRDefault="00EE4BD0" w:rsidP="00813FF0">
      <w:r>
        <w:t xml:space="preserve">Initial uptake </w:t>
      </w:r>
      <w:r w:rsidR="00A84212">
        <w:t xml:space="preserve">of </w:t>
      </w:r>
      <w:r>
        <w:t xml:space="preserve">was gradual </w:t>
      </w:r>
      <w:r w:rsidR="00A56C56">
        <w:t>and t</w:t>
      </w:r>
      <w:r w:rsidR="007E61D7">
        <w:t xml:space="preserve">here was a noticeable increase in the rate of growth </w:t>
      </w:r>
      <w:proofErr w:type="gramStart"/>
      <w:r w:rsidR="00A56C56">
        <w:t>around</w:t>
      </w:r>
      <w:r w:rsidR="00A84212">
        <w:t xml:space="preserve"> </w:t>
      </w:r>
      <w:r w:rsidR="00A56C56">
        <w:t xml:space="preserve"> </w:t>
      </w:r>
      <w:r w:rsidR="007E61D7">
        <w:t>April</w:t>
      </w:r>
      <w:proofErr w:type="gramEnd"/>
      <w:r w:rsidR="007E61D7">
        <w:t xml:space="preserve"> 2015</w:t>
      </w:r>
      <w:r w:rsidR="00A84212">
        <w:t>. There were several expansions to the listi</w:t>
      </w:r>
      <w:r w:rsidR="00D54329">
        <w:t xml:space="preserve">ng of </w:t>
      </w:r>
      <w:proofErr w:type="spellStart"/>
      <w:r w:rsidR="00D54329">
        <w:t>flozins</w:t>
      </w:r>
      <w:proofErr w:type="spellEnd"/>
      <w:r w:rsidR="00D54329">
        <w:t xml:space="preserve"> </w:t>
      </w:r>
      <w:r w:rsidR="00BF39CD">
        <w:t>around</w:t>
      </w:r>
      <w:r w:rsidR="00A84212">
        <w:t xml:space="preserve"> this time (see Table 1)</w:t>
      </w:r>
      <w:r w:rsidR="007E61D7">
        <w:t>.</w:t>
      </w:r>
    </w:p>
    <w:p w:rsidR="00A12349" w:rsidRDefault="00A12349" w:rsidP="00813FF0">
      <w:r>
        <w:t xml:space="preserve">Figure 6 shows the ten most common diabetes medicines regimens containing a </w:t>
      </w:r>
      <w:proofErr w:type="spellStart"/>
      <w:r>
        <w:t>flozin</w:t>
      </w:r>
      <w:proofErr w:type="spellEnd"/>
      <w:r>
        <w:t xml:space="preserve">. </w:t>
      </w:r>
    </w:p>
    <w:p w:rsidR="009C6A3A" w:rsidRPr="004755A9" w:rsidRDefault="009C25D5" w:rsidP="00813FF0">
      <w:pPr>
        <w:rPr>
          <w:b/>
        </w:rPr>
      </w:pPr>
      <w:r>
        <w:rPr>
          <w:noProof/>
        </w:rPr>
        <w:drawing>
          <wp:inline distT="0" distB="0" distL="0" distR="0" wp14:anchorId="10FED1B7" wp14:editId="567890C2">
            <wp:extent cx="5687695" cy="3457594"/>
            <wp:effectExtent l="0" t="0" r="8255" b="9525"/>
            <wp:docPr id="19" name="Picture 19" descr="A line graph displaying the number of patients on the Y axis and the week on the X axis. " title="Top 10 drug regimens containing a flozin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87695" cy="3457594"/>
                    </a:xfrm>
                    <a:prstGeom prst="rect">
                      <a:avLst/>
                    </a:prstGeom>
                  </pic:spPr>
                </pic:pic>
              </a:graphicData>
            </a:graphic>
          </wp:inline>
        </w:drawing>
      </w:r>
      <w:r w:rsidR="009C6A3A" w:rsidRPr="00AD6594">
        <w:rPr>
          <w:b/>
        </w:rPr>
        <w:t xml:space="preserve">Figure </w:t>
      </w:r>
      <w:r w:rsidR="00A12349" w:rsidRPr="00AD6594">
        <w:rPr>
          <w:b/>
        </w:rPr>
        <w:t>6</w:t>
      </w:r>
      <w:r w:rsidR="009C6A3A" w:rsidRPr="00AD6594">
        <w:rPr>
          <w:b/>
        </w:rPr>
        <w:t>: Top 10 d</w:t>
      </w:r>
      <w:r w:rsidR="009C6A3A" w:rsidRPr="00AD6594">
        <w:rPr>
          <w:b/>
          <w:bCs/>
        </w:rPr>
        <w:t xml:space="preserve">rug regimens containing a </w:t>
      </w:r>
      <w:proofErr w:type="spellStart"/>
      <w:r w:rsidR="009C6A3A" w:rsidRPr="00AD6594">
        <w:rPr>
          <w:b/>
          <w:bCs/>
        </w:rPr>
        <w:t>flozin</w:t>
      </w:r>
      <w:proofErr w:type="spellEnd"/>
      <w:r w:rsidR="009C6A3A" w:rsidRPr="00AD6594">
        <w:rPr>
          <w:b/>
          <w:bCs/>
        </w:rPr>
        <w:t xml:space="preserve"> medicine</w:t>
      </w:r>
    </w:p>
    <w:p w:rsidR="009C6A3A" w:rsidRDefault="009C6A3A" w:rsidP="00813FF0">
      <w:r>
        <w:lastRenderedPageBreak/>
        <w:t xml:space="preserve">Figure </w:t>
      </w:r>
      <w:r w:rsidR="00A12349">
        <w:t>6</w:t>
      </w:r>
      <w:r>
        <w:t xml:space="preserve"> shows:</w:t>
      </w:r>
    </w:p>
    <w:p w:rsidR="009C6A3A" w:rsidRDefault="009C6A3A" w:rsidP="00813FF0">
      <w:pPr>
        <w:pStyle w:val="ListParagraph"/>
        <w:numPr>
          <w:ilvl w:val="0"/>
          <w:numId w:val="7"/>
        </w:numPr>
      </w:pPr>
      <w:r>
        <w:t xml:space="preserve">A sharp increase in the number of patients on regimens containing insulin and a </w:t>
      </w:r>
      <w:proofErr w:type="spellStart"/>
      <w:r>
        <w:t>flozin</w:t>
      </w:r>
      <w:proofErr w:type="spellEnd"/>
      <w:r>
        <w:t xml:space="preserve"> (</w:t>
      </w:r>
      <w:proofErr w:type="spellStart"/>
      <w:r>
        <w:t>ie</w:t>
      </w:r>
      <w:proofErr w:type="spellEnd"/>
      <w:r>
        <w:t xml:space="preserve">. </w:t>
      </w:r>
      <w:proofErr w:type="spellStart"/>
      <w:r w:rsidR="00A12349">
        <w:t>f</w:t>
      </w:r>
      <w:r>
        <w:t>lozin</w:t>
      </w:r>
      <w:proofErr w:type="spellEnd"/>
      <w:r w:rsidR="00A12349">
        <w:t> </w:t>
      </w:r>
      <w:r>
        <w:t>+</w:t>
      </w:r>
      <w:r w:rsidR="00A12349">
        <w:t> i</w:t>
      </w:r>
      <w:r>
        <w:t>nsulin</w:t>
      </w:r>
      <w:r w:rsidR="00A12349">
        <w:t> </w:t>
      </w:r>
      <w:r>
        <w:t>+</w:t>
      </w:r>
      <w:r w:rsidR="00A12349">
        <w:t> m</w:t>
      </w:r>
      <w:r>
        <w:t xml:space="preserve">etformin, </w:t>
      </w:r>
      <w:proofErr w:type="spellStart"/>
      <w:r w:rsidR="00A12349">
        <w:t>f</w:t>
      </w:r>
      <w:r>
        <w:t>lozin</w:t>
      </w:r>
      <w:proofErr w:type="spellEnd"/>
      <w:r w:rsidR="00A12349">
        <w:t> </w:t>
      </w:r>
      <w:r>
        <w:t>+</w:t>
      </w:r>
      <w:r w:rsidR="00A12349">
        <w:t> i</w:t>
      </w:r>
      <w:r>
        <w:t xml:space="preserve">nsulin and </w:t>
      </w:r>
      <w:proofErr w:type="spellStart"/>
      <w:r w:rsidR="00A12349">
        <w:t>flozin</w:t>
      </w:r>
      <w:proofErr w:type="spellEnd"/>
      <w:r w:rsidR="00A12349">
        <w:t> </w:t>
      </w:r>
      <w:r>
        <w:t>+</w:t>
      </w:r>
      <w:r w:rsidR="00A12349">
        <w:t> i</w:t>
      </w:r>
      <w:r>
        <w:t>nsulin</w:t>
      </w:r>
      <w:r w:rsidR="00A12349">
        <w:t> </w:t>
      </w:r>
      <w:r>
        <w:t>+</w:t>
      </w:r>
      <w:r w:rsidR="00A12349">
        <w:t> m</w:t>
      </w:r>
      <w:r>
        <w:t>etformin</w:t>
      </w:r>
      <w:r w:rsidR="00A12349">
        <w:t> </w:t>
      </w:r>
      <w:r>
        <w:t>+</w:t>
      </w:r>
      <w:r w:rsidR="00A12349">
        <w:t> s</w:t>
      </w:r>
      <w:r>
        <w:t xml:space="preserve">ulfonylurea) began soon after April 2015 when the </w:t>
      </w:r>
      <w:proofErr w:type="spellStart"/>
      <w:r>
        <w:t>dapagliflozin</w:t>
      </w:r>
      <w:proofErr w:type="spellEnd"/>
      <w:r>
        <w:t xml:space="preserve"> restriction was changed to allow therapy with insulin</w:t>
      </w:r>
      <w:r w:rsidR="004755A9">
        <w:t xml:space="preserve"> </w:t>
      </w:r>
      <w:r>
        <w:t>(see Table</w:t>
      </w:r>
      <w:r w:rsidR="004755A9">
        <w:t xml:space="preserve"> 1</w:t>
      </w:r>
      <w:r>
        <w:t xml:space="preserve">). </w:t>
      </w:r>
    </w:p>
    <w:p w:rsidR="009C6A3A" w:rsidRDefault="009C6A3A" w:rsidP="00813FF0">
      <w:pPr>
        <w:pStyle w:val="ListParagraph"/>
        <w:numPr>
          <w:ilvl w:val="0"/>
          <w:numId w:val="7"/>
        </w:numPr>
      </w:pPr>
      <w:r>
        <w:t>A sharp increase in the number of patients on regimens containing triple oral therapy (</w:t>
      </w:r>
      <w:proofErr w:type="spellStart"/>
      <w:r>
        <w:t>ie</w:t>
      </w:r>
      <w:proofErr w:type="spellEnd"/>
      <w:r>
        <w:t xml:space="preserve">. </w:t>
      </w:r>
      <w:proofErr w:type="spellStart"/>
      <w:r w:rsidR="00967DA3">
        <w:t>flozin</w:t>
      </w:r>
      <w:proofErr w:type="spellEnd"/>
      <w:r w:rsidR="00967DA3">
        <w:t> </w:t>
      </w:r>
      <w:r>
        <w:t>+</w:t>
      </w:r>
      <w:r w:rsidR="00967DA3">
        <w:t> m</w:t>
      </w:r>
      <w:r>
        <w:t>etformin</w:t>
      </w:r>
      <w:r w:rsidR="00967DA3">
        <w:t> </w:t>
      </w:r>
      <w:r>
        <w:t>+</w:t>
      </w:r>
      <w:r w:rsidR="00967DA3">
        <w:t> s</w:t>
      </w:r>
      <w:r>
        <w:t xml:space="preserve">ulfonylurea) began in about July 2015 when the </w:t>
      </w:r>
      <w:proofErr w:type="spellStart"/>
      <w:r>
        <w:t>dapagliflozin</w:t>
      </w:r>
      <w:proofErr w:type="spellEnd"/>
      <w:r>
        <w:t xml:space="preserve"> restriction was changed to allow triple oral therapy (see Table </w:t>
      </w:r>
      <w:r w:rsidR="004755A9">
        <w:t>1</w:t>
      </w:r>
      <w:r>
        <w:t>).</w:t>
      </w:r>
    </w:p>
    <w:p w:rsidR="009C6A3A" w:rsidRDefault="009C6A3A" w:rsidP="00813FF0">
      <w:pPr>
        <w:pStyle w:val="ListParagraph"/>
        <w:numPr>
          <w:ilvl w:val="0"/>
          <w:numId w:val="7"/>
        </w:numPr>
      </w:pPr>
      <w:r>
        <w:t xml:space="preserve">There appears to be a growing number of patients on regimens that include both a </w:t>
      </w:r>
      <w:proofErr w:type="spellStart"/>
      <w:r>
        <w:t>flozin</w:t>
      </w:r>
      <w:proofErr w:type="spellEnd"/>
      <w:r>
        <w:t xml:space="preserve"> and a </w:t>
      </w:r>
      <w:proofErr w:type="spellStart"/>
      <w:r>
        <w:t>gliptin</w:t>
      </w:r>
      <w:proofErr w:type="spellEnd"/>
      <w:r>
        <w:t xml:space="preserve"> (</w:t>
      </w:r>
      <w:proofErr w:type="spellStart"/>
      <w:r>
        <w:t>ie</w:t>
      </w:r>
      <w:proofErr w:type="spellEnd"/>
      <w:r>
        <w:t xml:space="preserve">. </w:t>
      </w:r>
      <w:proofErr w:type="spellStart"/>
      <w:r w:rsidR="0025261C">
        <w:t>f</w:t>
      </w:r>
      <w:r>
        <w:t>lozin</w:t>
      </w:r>
      <w:proofErr w:type="spellEnd"/>
      <w:r w:rsidR="0025261C">
        <w:t> </w:t>
      </w:r>
      <w:r>
        <w:t>+</w:t>
      </w:r>
      <w:r w:rsidR="0025261C">
        <w:t> </w:t>
      </w:r>
      <w:proofErr w:type="spellStart"/>
      <w:r w:rsidR="0025261C">
        <w:t>g</w:t>
      </w:r>
      <w:r>
        <w:t>liptin</w:t>
      </w:r>
      <w:proofErr w:type="spellEnd"/>
      <w:r w:rsidR="0025261C">
        <w:t> </w:t>
      </w:r>
      <w:r>
        <w:t>+</w:t>
      </w:r>
      <w:r w:rsidR="0025261C">
        <w:t> m</w:t>
      </w:r>
      <w:r>
        <w:t xml:space="preserve">etformin and </w:t>
      </w:r>
      <w:proofErr w:type="spellStart"/>
      <w:r w:rsidR="0025261C">
        <w:t>f</w:t>
      </w:r>
      <w:r>
        <w:t>lozin</w:t>
      </w:r>
      <w:proofErr w:type="spellEnd"/>
      <w:r w:rsidR="0025261C">
        <w:t> </w:t>
      </w:r>
      <w:r>
        <w:t>+</w:t>
      </w:r>
      <w:r w:rsidR="0025261C">
        <w:t> </w:t>
      </w:r>
      <w:proofErr w:type="spellStart"/>
      <w:r w:rsidR="0025261C">
        <w:t>g</w:t>
      </w:r>
      <w:r>
        <w:t>liptin</w:t>
      </w:r>
      <w:proofErr w:type="spellEnd"/>
      <w:r w:rsidR="0025261C">
        <w:t> </w:t>
      </w:r>
      <w:r>
        <w:t>+</w:t>
      </w:r>
      <w:r w:rsidR="0025261C">
        <w:t> m</w:t>
      </w:r>
      <w:r>
        <w:t>etformin</w:t>
      </w:r>
      <w:r w:rsidR="0025261C">
        <w:t> </w:t>
      </w:r>
      <w:r>
        <w:t>+</w:t>
      </w:r>
      <w:r w:rsidR="0025261C">
        <w:t> s</w:t>
      </w:r>
      <w:r>
        <w:t xml:space="preserve">ulfonylurea), which is not allowed under current restrictions. </w:t>
      </w:r>
    </w:p>
    <w:p w:rsidR="009C6A3A" w:rsidRDefault="009C6A3A" w:rsidP="00813FF0">
      <w:pPr>
        <w:pStyle w:val="ListParagraph"/>
        <w:numPr>
          <w:ilvl w:val="0"/>
          <w:numId w:val="7"/>
        </w:numPr>
        <w:ind w:left="357" w:hanging="357"/>
      </w:pPr>
      <w:r>
        <w:t xml:space="preserve">There does not appear to have been a noticeable change in </w:t>
      </w:r>
      <w:r w:rsidR="005A262B">
        <w:t xml:space="preserve">the rising rate of </w:t>
      </w:r>
      <w:proofErr w:type="spellStart"/>
      <w:r>
        <w:t>flozin</w:t>
      </w:r>
      <w:proofErr w:type="spellEnd"/>
      <w:r>
        <w:t xml:space="preserve"> dual oral therapy regimens </w:t>
      </w:r>
      <w:r w:rsidR="00D8733D">
        <w:t xml:space="preserve">with metformin or sulfonylurea </w:t>
      </w:r>
      <w:r>
        <w:t xml:space="preserve">at the time the </w:t>
      </w:r>
      <w:proofErr w:type="spellStart"/>
      <w:r>
        <w:t>dapagliflozin</w:t>
      </w:r>
      <w:proofErr w:type="spellEnd"/>
      <w:r>
        <w:t xml:space="preserve"> restriction was changed in December 2014 (see Table </w:t>
      </w:r>
      <w:r w:rsidR="003D0E82">
        <w:t>1</w:t>
      </w:r>
      <w:r>
        <w:t xml:space="preserve">) to allow dual oral therapy with metformin or sulfonylurea without the requirement that “the condition must not be able to be adequately controlled by treatment with metformin </w:t>
      </w:r>
      <w:r w:rsidRPr="008E13DC">
        <w:rPr>
          <w:b/>
        </w:rPr>
        <w:t>and</w:t>
      </w:r>
      <w:r>
        <w:t xml:space="preserve"> a sulfonylurea”.</w:t>
      </w:r>
      <w:r w:rsidR="003C4609">
        <w:t xml:space="preserve"> This same restriction change was made </w:t>
      </w:r>
      <w:r w:rsidR="00D8733D">
        <w:t xml:space="preserve">to </w:t>
      </w:r>
      <w:proofErr w:type="spellStart"/>
      <w:r w:rsidR="003C4609">
        <w:t>empagliflozin</w:t>
      </w:r>
      <w:proofErr w:type="spellEnd"/>
      <w:r w:rsidR="003C4609">
        <w:t xml:space="preserve"> from April 2015, but again there does not appear to have been a noticeable change in </w:t>
      </w:r>
      <w:r w:rsidR="005A262B">
        <w:t xml:space="preserve">the rising rate of </w:t>
      </w:r>
      <w:proofErr w:type="spellStart"/>
      <w:r w:rsidR="003C4609">
        <w:t>flozin</w:t>
      </w:r>
      <w:proofErr w:type="spellEnd"/>
      <w:r w:rsidR="003C4609">
        <w:t xml:space="preserve"> dual oral therapy regimens </w:t>
      </w:r>
      <w:r w:rsidR="00D8733D">
        <w:t xml:space="preserve">with metformin or sulfonylurea </w:t>
      </w:r>
      <w:r w:rsidR="003C4609">
        <w:t>at that time.</w:t>
      </w:r>
    </w:p>
    <w:p w:rsidR="003E0437" w:rsidRDefault="003E0437" w:rsidP="00813FF0">
      <w:pPr>
        <w:pStyle w:val="ListParagraph"/>
        <w:numPr>
          <w:ilvl w:val="0"/>
          <w:numId w:val="7"/>
        </w:numPr>
        <w:ind w:left="357" w:hanging="357"/>
      </w:pPr>
      <w:r>
        <w:t xml:space="preserve">There is an increasing number of patients supplied </w:t>
      </w:r>
      <w:proofErr w:type="spellStart"/>
      <w:r>
        <w:t>flozin</w:t>
      </w:r>
      <w:proofErr w:type="spellEnd"/>
      <w:r>
        <w:t xml:space="preserve"> </w:t>
      </w:r>
      <w:proofErr w:type="spellStart"/>
      <w:r>
        <w:t>monotherapy</w:t>
      </w:r>
      <w:proofErr w:type="spellEnd"/>
      <w:r>
        <w:t xml:space="preserve"> which is outside the PBS restriction.</w:t>
      </w:r>
    </w:p>
    <w:p w:rsidR="00896011" w:rsidRDefault="00896011" w:rsidP="00813FF0">
      <w:pPr>
        <w:rPr>
          <w:b/>
          <w:i/>
        </w:rPr>
      </w:pPr>
      <w:proofErr w:type="spellStart"/>
      <w:r>
        <w:rPr>
          <w:b/>
          <w:i/>
        </w:rPr>
        <w:t>Gliptins</w:t>
      </w:r>
      <w:proofErr w:type="spellEnd"/>
    </w:p>
    <w:p w:rsidR="00C1216B" w:rsidRPr="00D90373" w:rsidRDefault="009C25D5" w:rsidP="00813FF0">
      <w:pPr>
        <w:rPr>
          <w:b/>
        </w:rPr>
      </w:pPr>
      <w:r>
        <w:rPr>
          <w:noProof/>
        </w:rPr>
        <w:drawing>
          <wp:inline distT="0" distB="0" distL="0" distR="0" wp14:anchorId="2B162185" wp14:editId="1B06FC9F">
            <wp:extent cx="5687695" cy="3466964"/>
            <wp:effectExtent l="0" t="0" r="8255" b="635"/>
            <wp:docPr id="20" name="Picture 20" descr="A simple line graph showing the number of patients by week on this therapy" title="Number of patients with a drug regimen containing a gliptin in plain form or in a F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87695" cy="3466964"/>
                    </a:xfrm>
                    <a:prstGeom prst="rect">
                      <a:avLst/>
                    </a:prstGeom>
                  </pic:spPr>
                </pic:pic>
              </a:graphicData>
            </a:graphic>
          </wp:inline>
        </w:drawing>
      </w:r>
      <w:r w:rsidR="00C1216B" w:rsidRPr="001D4A77">
        <w:rPr>
          <w:b/>
        </w:rPr>
        <w:t xml:space="preserve">Figure </w:t>
      </w:r>
      <w:r w:rsidR="003A1680">
        <w:rPr>
          <w:b/>
        </w:rPr>
        <w:t>7</w:t>
      </w:r>
      <w:r w:rsidR="00C1216B">
        <w:rPr>
          <w:b/>
        </w:rPr>
        <w:t>:</w:t>
      </w:r>
      <w:r w:rsidR="00C1216B" w:rsidRPr="001D4A77">
        <w:rPr>
          <w:b/>
        </w:rPr>
        <w:t xml:space="preserve"> </w:t>
      </w:r>
      <w:r w:rsidR="00C1216B">
        <w:rPr>
          <w:b/>
        </w:rPr>
        <w:t xml:space="preserve">Number of patients with a drug regimen containing a </w:t>
      </w:r>
      <w:proofErr w:type="spellStart"/>
      <w:r w:rsidR="00C1216B">
        <w:rPr>
          <w:b/>
        </w:rPr>
        <w:t>gliptin</w:t>
      </w:r>
      <w:proofErr w:type="spellEnd"/>
      <w:r w:rsidR="00C1216B">
        <w:rPr>
          <w:b/>
        </w:rPr>
        <w:t xml:space="preserve"> (plain or in a FDC)</w:t>
      </w:r>
    </w:p>
    <w:p w:rsidR="005402C5" w:rsidRDefault="007E61D7" w:rsidP="00813FF0">
      <w:r>
        <w:lastRenderedPageBreak/>
        <w:t xml:space="preserve">Figure </w:t>
      </w:r>
      <w:r w:rsidR="004755A9">
        <w:t>7</w:t>
      </w:r>
      <w:r w:rsidR="00D659D5">
        <w:t xml:space="preserve"> shows that the n</w:t>
      </w:r>
      <w:r w:rsidR="00D659D5" w:rsidRPr="00D659D5">
        <w:t xml:space="preserve">umber of patients with a drug regimen containing a </w:t>
      </w:r>
      <w:proofErr w:type="spellStart"/>
      <w:r w:rsidR="00D659D5" w:rsidRPr="00D659D5">
        <w:t>gliptin</w:t>
      </w:r>
      <w:proofErr w:type="spellEnd"/>
      <w:r w:rsidR="00BE2789">
        <w:t xml:space="preserve">, in plain </w:t>
      </w:r>
      <w:r w:rsidR="00C21381">
        <w:t xml:space="preserve">or FDC form, </w:t>
      </w:r>
      <w:r w:rsidR="00D659D5">
        <w:t>has increased steadily over the 4 year period.</w:t>
      </w:r>
      <w:r w:rsidR="005402C5">
        <w:t xml:space="preserve"> Overall, about 208,000 persons had a drug regimen containing a </w:t>
      </w:r>
      <w:proofErr w:type="spellStart"/>
      <w:r w:rsidR="005402C5">
        <w:t>gliptin</w:t>
      </w:r>
      <w:proofErr w:type="spellEnd"/>
      <w:r w:rsidR="005402C5">
        <w:t xml:space="preserve"> by July 2016. </w:t>
      </w:r>
    </w:p>
    <w:p w:rsidR="000E29D4" w:rsidRDefault="002C413F" w:rsidP="00813FF0">
      <w:pPr>
        <w:rPr>
          <w:b/>
        </w:rPr>
      </w:pPr>
      <w:r>
        <w:rPr>
          <w:noProof/>
        </w:rPr>
        <w:drawing>
          <wp:inline distT="0" distB="0" distL="0" distR="0" wp14:anchorId="7ADACAE7" wp14:editId="3D83509E">
            <wp:extent cx="5687695" cy="3455934"/>
            <wp:effectExtent l="0" t="0" r="8255" b="0"/>
            <wp:docPr id="22" name="Picture 22" descr="A line graph with the number of patients on the Y axis and the week on the X axis" title="Top 10 drug regimens containing a gliptin (plain or in a F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87695" cy="3455934"/>
                    </a:xfrm>
                    <a:prstGeom prst="rect">
                      <a:avLst/>
                    </a:prstGeom>
                  </pic:spPr>
                </pic:pic>
              </a:graphicData>
            </a:graphic>
          </wp:inline>
        </w:drawing>
      </w:r>
      <w:r w:rsidR="000E29D4" w:rsidRPr="00AD6594">
        <w:rPr>
          <w:b/>
        </w:rPr>
        <w:t xml:space="preserve">Figure </w:t>
      </w:r>
      <w:r w:rsidR="003A1680" w:rsidRPr="00AD6594">
        <w:rPr>
          <w:b/>
        </w:rPr>
        <w:t>8</w:t>
      </w:r>
      <w:r w:rsidR="000E29D4" w:rsidRPr="00AD6594">
        <w:rPr>
          <w:b/>
        </w:rPr>
        <w:t>: Top 10 d</w:t>
      </w:r>
      <w:r w:rsidR="000E29D4" w:rsidRPr="00AD6594">
        <w:rPr>
          <w:b/>
          <w:bCs/>
        </w:rPr>
        <w:t xml:space="preserve">rug regimens containing a </w:t>
      </w:r>
      <w:proofErr w:type="spellStart"/>
      <w:r w:rsidR="000E29D4" w:rsidRPr="00AD6594">
        <w:rPr>
          <w:b/>
          <w:bCs/>
        </w:rPr>
        <w:t>gliptin</w:t>
      </w:r>
      <w:proofErr w:type="spellEnd"/>
      <w:r w:rsidR="000E29D4" w:rsidRPr="00AD6594">
        <w:rPr>
          <w:b/>
          <w:bCs/>
        </w:rPr>
        <w:t xml:space="preserve"> </w:t>
      </w:r>
      <w:r w:rsidR="000E29D4" w:rsidRPr="00AD6594">
        <w:rPr>
          <w:b/>
        </w:rPr>
        <w:t>(plain or in a FDC)</w:t>
      </w:r>
    </w:p>
    <w:p w:rsidR="000E29D4" w:rsidRDefault="000E29D4" w:rsidP="00813FF0">
      <w:r>
        <w:t xml:space="preserve">Figure </w:t>
      </w:r>
      <w:r w:rsidR="004755A9">
        <w:t>8</w:t>
      </w:r>
      <w:r>
        <w:t xml:space="preserve"> shows that the </w:t>
      </w:r>
      <w:proofErr w:type="spellStart"/>
      <w:r w:rsidR="00BA7A6D">
        <w:t>g</w:t>
      </w:r>
      <w:r w:rsidRPr="00D659D5">
        <w:t>lip</w:t>
      </w:r>
      <w:r>
        <w:t>tin</w:t>
      </w:r>
      <w:proofErr w:type="spellEnd"/>
      <w:r w:rsidR="00BA7A6D">
        <w:t xml:space="preserve"> </w:t>
      </w:r>
      <w:r>
        <w:t>+</w:t>
      </w:r>
      <w:r w:rsidR="00BA7A6D">
        <w:t xml:space="preserve"> m</w:t>
      </w:r>
      <w:r>
        <w:t>etformin,</w:t>
      </w:r>
      <w:r w:rsidRPr="00D659D5">
        <w:t xml:space="preserve"> </w:t>
      </w:r>
      <w:proofErr w:type="spellStart"/>
      <w:r w:rsidR="00BA7A6D">
        <w:t>g</w:t>
      </w:r>
      <w:r w:rsidRPr="00D659D5">
        <w:t>lip</w:t>
      </w:r>
      <w:r>
        <w:t>tin</w:t>
      </w:r>
      <w:proofErr w:type="spellEnd"/>
      <w:r w:rsidR="00BA7A6D">
        <w:t xml:space="preserve"> </w:t>
      </w:r>
      <w:r>
        <w:t>+</w:t>
      </w:r>
      <w:r w:rsidR="00BA7A6D">
        <w:t xml:space="preserve"> m</w:t>
      </w:r>
      <w:r>
        <w:t>etformin</w:t>
      </w:r>
      <w:r w:rsidR="00BA7A6D">
        <w:t xml:space="preserve"> </w:t>
      </w:r>
      <w:r>
        <w:t>+</w:t>
      </w:r>
      <w:r w:rsidR="00BA7A6D">
        <w:t xml:space="preserve"> s</w:t>
      </w:r>
      <w:r>
        <w:t xml:space="preserve">ulfonylurea, </w:t>
      </w:r>
      <w:r w:rsidR="00BA7A6D">
        <w:t>i</w:t>
      </w:r>
      <w:r w:rsidRPr="00D659D5">
        <w:t>nsulin</w:t>
      </w:r>
      <w:r w:rsidR="00A67AF8">
        <w:t> </w:t>
      </w:r>
      <w:r w:rsidRPr="00D659D5">
        <w:t>+</w:t>
      </w:r>
      <w:r w:rsidR="00A67AF8">
        <w:t> </w:t>
      </w:r>
      <w:proofErr w:type="spellStart"/>
      <w:r w:rsidR="00BA7A6D">
        <w:t>g</w:t>
      </w:r>
      <w:r w:rsidRPr="00D659D5">
        <w:t>lip</w:t>
      </w:r>
      <w:r>
        <w:t>tin</w:t>
      </w:r>
      <w:proofErr w:type="spellEnd"/>
      <w:r w:rsidR="00BA7A6D">
        <w:t xml:space="preserve"> </w:t>
      </w:r>
      <w:r>
        <w:t>+</w:t>
      </w:r>
      <w:r w:rsidR="00BA7A6D">
        <w:t xml:space="preserve"> </w:t>
      </w:r>
      <w:r w:rsidR="00A67AF8">
        <w:t>m</w:t>
      </w:r>
      <w:r>
        <w:t>etformin,</w:t>
      </w:r>
      <w:r w:rsidRPr="00D659D5">
        <w:t xml:space="preserve"> </w:t>
      </w:r>
      <w:proofErr w:type="spellStart"/>
      <w:r w:rsidR="00A67AF8">
        <w:t>g</w:t>
      </w:r>
      <w:r>
        <w:t>liptin</w:t>
      </w:r>
      <w:proofErr w:type="spellEnd"/>
      <w:r>
        <w:t xml:space="preserve"> </w:t>
      </w:r>
      <w:proofErr w:type="spellStart"/>
      <w:r w:rsidR="00A67AF8">
        <w:t>monotherapy</w:t>
      </w:r>
      <w:proofErr w:type="spellEnd"/>
      <w:r>
        <w:t xml:space="preserve"> and </w:t>
      </w:r>
      <w:proofErr w:type="spellStart"/>
      <w:r w:rsidR="00A67AF8">
        <w:t>f</w:t>
      </w:r>
      <w:r>
        <w:t>lozin</w:t>
      </w:r>
      <w:proofErr w:type="spellEnd"/>
      <w:r w:rsidR="00A67AF8">
        <w:t xml:space="preserve"> </w:t>
      </w:r>
      <w:r w:rsidRPr="00D659D5">
        <w:t>+</w:t>
      </w:r>
      <w:r w:rsidR="00A67AF8">
        <w:t xml:space="preserve"> </w:t>
      </w:r>
      <w:proofErr w:type="spellStart"/>
      <w:r w:rsidR="00A67AF8">
        <w:t>g</w:t>
      </w:r>
      <w:r w:rsidRPr="00D659D5">
        <w:t>lip</w:t>
      </w:r>
      <w:r>
        <w:t>tin</w:t>
      </w:r>
      <w:proofErr w:type="spellEnd"/>
      <w:r w:rsidR="00A67AF8">
        <w:t xml:space="preserve"> </w:t>
      </w:r>
      <w:r>
        <w:t>+</w:t>
      </w:r>
      <w:r w:rsidR="00A67AF8">
        <w:t xml:space="preserve"> m</w:t>
      </w:r>
      <w:r>
        <w:t xml:space="preserve">etformin regimens are the ones that have contributed to the increase in </w:t>
      </w:r>
      <w:proofErr w:type="spellStart"/>
      <w:r>
        <w:t>gliptin</w:t>
      </w:r>
      <w:proofErr w:type="spellEnd"/>
      <w:r>
        <w:t xml:space="preserve"> containing regimens.</w:t>
      </w:r>
      <w:r w:rsidR="003E0437">
        <w:t xml:space="preserve"> </w:t>
      </w:r>
      <w:r w:rsidR="00F00C55">
        <w:t xml:space="preserve">The latter two of these are </w:t>
      </w:r>
      <w:r w:rsidR="003E0437">
        <w:t>outside the PBS restriction.</w:t>
      </w:r>
      <w:r w:rsidR="00072182">
        <w:t xml:space="preserve"> In the November</w:t>
      </w:r>
      <w:r w:rsidR="00A27149">
        <w:t xml:space="preserve"> </w:t>
      </w:r>
      <w:r w:rsidR="00072182">
        <w:t xml:space="preserve">2014 PBAC minutes regarding </w:t>
      </w:r>
      <w:r w:rsidR="00A27149">
        <w:t xml:space="preserve">the </w:t>
      </w:r>
      <w:r w:rsidR="00072182">
        <w:t>Post-Market Review of type 2 diabetes medicines</w:t>
      </w:r>
      <w:r w:rsidR="00072182">
        <w:rPr>
          <w:rStyle w:val="FootnoteReference"/>
        </w:rPr>
        <w:footnoteReference w:id="6"/>
      </w:r>
      <w:r w:rsidR="00072182">
        <w:t>, the PBAC noted that “</w:t>
      </w:r>
      <w:r w:rsidR="00072182" w:rsidRPr="00A27149">
        <w:rPr>
          <w:i/>
        </w:rPr>
        <w:t xml:space="preserve">there were limited treatment options for patients on dialysis. The PBAC noted that there is anecdotal evidence of off-label use of low dose DPP-4 inhibitors for this indication. It was considered that this may partly explain the DPP-4 inhibitor </w:t>
      </w:r>
      <w:proofErr w:type="spellStart"/>
      <w:r w:rsidR="00072182" w:rsidRPr="00A27149">
        <w:rPr>
          <w:i/>
        </w:rPr>
        <w:t>monotherapy</w:t>
      </w:r>
      <w:proofErr w:type="spellEnd"/>
      <w:r w:rsidR="00072182" w:rsidRPr="00A27149">
        <w:rPr>
          <w:i/>
        </w:rPr>
        <w:t xml:space="preserve"> use seen in the DUSC analysis of type 2 diabetes medicines utilisation</w:t>
      </w:r>
      <w:r w:rsidR="00856129">
        <w:rPr>
          <w:i/>
        </w:rPr>
        <w:t>.</w:t>
      </w:r>
      <w:r w:rsidR="00A27149">
        <w:t>”</w:t>
      </w:r>
    </w:p>
    <w:p w:rsidR="000E29D4" w:rsidRDefault="000E29D4" w:rsidP="00813FF0">
      <w:r>
        <w:t xml:space="preserve">There does not appear to be a noticeable change in dual oral therapy with metformin or </w:t>
      </w:r>
      <w:r w:rsidRPr="00511BE5">
        <w:t xml:space="preserve">sulfonylurea </w:t>
      </w:r>
      <w:r w:rsidR="00A67AF8">
        <w:t>regimens (</w:t>
      </w:r>
      <w:proofErr w:type="spellStart"/>
      <w:r w:rsidR="00A67AF8">
        <w:t>ie</w:t>
      </w:r>
      <w:proofErr w:type="spellEnd"/>
      <w:r w:rsidR="00A67AF8">
        <w:t xml:space="preserve">. </w:t>
      </w:r>
      <w:proofErr w:type="spellStart"/>
      <w:r w:rsidR="00A67AF8">
        <w:t>g</w:t>
      </w:r>
      <w:r>
        <w:t>liptin</w:t>
      </w:r>
      <w:proofErr w:type="spellEnd"/>
      <w:r w:rsidR="00A67AF8">
        <w:t xml:space="preserve"> </w:t>
      </w:r>
      <w:r>
        <w:t>+</w:t>
      </w:r>
      <w:r w:rsidR="00A67AF8">
        <w:t xml:space="preserve"> m</w:t>
      </w:r>
      <w:r>
        <w:t xml:space="preserve">etformin or </w:t>
      </w:r>
      <w:proofErr w:type="spellStart"/>
      <w:r w:rsidR="00A67AF8">
        <w:t>g</w:t>
      </w:r>
      <w:r w:rsidRPr="00D659D5">
        <w:t>lip</w:t>
      </w:r>
      <w:r>
        <w:t>tin</w:t>
      </w:r>
      <w:proofErr w:type="spellEnd"/>
      <w:r w:rsidR="00A67AF8">
        <w:t xml:space="preserve"> </w:t>
      </w:r>
      <w:r>
        <w:t>+</w:t>
      </w:r>
      <w:r w:rsidR="00A67AF8">
        <w:t xml:space="preserve"> s</w:t>
      </w:r>
      <w:r>
        <w:t xml:space="preserve">ulfonylurea) at the time the </w:t>
      </w:r>
      <w:proofErr w:type="spellStart"/>
      <w:r>
        <w:t>alogliptin</w:t>
      </w:r>
      <w:proofErr w:type="spellEnd"/>
      <w:r>
        <w:t xml:space="preserve"> restriction was changed in December 2013 to allow dual oral therapy with metformin or sulfonylurea without the requirement that “</w:t>
      </w:r>
      <w:r w:rsidRPr="00511BE5">
        <w:t>patients in whom combination therapy with metformin and a sulfonylurea is contraindicated or not tolerated</w:t>
      </w:r>
      <w:r w:rsidR="00856129">
        <w:t>.</w:t>
      </w:r>
      <w:r w:rsidRPr="00511BE5">
        <w:t>”</w:t>
      </w:r>
    </w:p>
    <w:p w:rsidR="000E29D4" w:rsidRDefault="000E29D4" w:rsidP="00813FF0">
      <w:r>
        <w:t xml:space="preserve">Figure </w:t>
      </w:r>
      <w:r w:rsidR="004755A9">
        <w:t>9</w:t>
      </w:r>
      <w:r>
        <w:t xml:space="preserve"> below shows the</w:t>
      </w:r>
      <w:r w:rsidR="006F082B">
        <w:t xml:space="preserve"> </w:t>
      </w:r>
      <w:proofErr w:type="spellStart"/>
      <w:r w:rsidR="00A67AF8">
        <w:t>g</w:t>
      </w:r>
      <w:r w:rsidR="006F082B">
        <w:t>liptin</w:t>
      </w:r>
      <w:proofErr w:type="spellEnd"/>
      <w:r w:rsidR="00A67AF8">
        <w:t xml:space="preserve"> </w:t>
      </w:r>
      <w:r w:rsidR="006F082B">
        <w:t>+</w:t>
      </w:r>
      <w:r w:rsidR="00A67AF8">
        <w:t xml:space="preserve"> m</w:t>
      </w:r>
      <w:r w:rsidR="006F082B">
        <w:t xml:space="preserve">etformin </w:t>
      </w:r>
      <w:r>
        <w:t xml:space="preserve">regimen by whether or not </w:t>
      </w:r>
      <w:r w:rsidR="006F082B">
        <w:t xml:space="preserve">it </w:t>
      </w:r>
      <w:r>
        <w:t>included an FDC product.</w:t>
      </w:r>
    </w:p>
    <w:p w:rsidR="006F082B" w:rsidRPr="00AB7AF5" w:rsidRDefault="00AB7AF5" w:rsidP="00813FF0">
      <w:pPr>
        <w:rPr>
          <w:b/>
        </w:rPr>
      </w:pPr>
      <w:r>
        <w:rPr>
          <w:noProof/>
        </w:rPr>
        <w:lastRenderedPageBreak/>
        <w:drawing>
          <wp:inline distT="0" distB="0" distL="0" distR="0" wp14:anchorId="16CE4897" wp14:editId="214ED180">
            <wp:extent cx="5687695" cy="3440820"/>
            <wp:effectExtent l="0" t="0" r="8255" b="7620"/>
            <wp:docPr id="23" name="Picture 23" descr="A line graph with three lines. Patients on the Y axis abd the week on the X axis" title="Combination products used in the gliptin dual therapy with metformin regi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87695" cy="3440820"/>
                    </a:xfrm>
                    <a:prstGeom prst="rect">
                      <a:avLst/>
                    </a:prstGeom>
                  </pic:spPr>
                </pic:pic>
              </a:graphicData>
            </a:graphic>
          </wp:inline>
        </w:drawing>
      </w:r>
      <w:r w:rsidR="006F082B" w:rsidRPr="001D4A77">
        <w:rPr>
          <w:b/>
        </w:rPr>
        <w:t xml:space="preserve">Figure </w:t>
      </w:r>
      <w:r w:rsidR="003A1680">
        <w:rPr>
          <w:b/>
        </w:rPr>
        <w:t>9</w:t>
      </w:r>
      <w:r w:rsidR="006F082B">
        <w:rPr>
          <w:b/>
        </w:rPr>
        <w:t>:</w:t>
      </w:r>
      <w:r w:rsidR="006F082B" w:rsidRPr="001D4A77">
        <w:rPr>
          <w:b/>
        </w:rPr>
        <w:t xml:space="preserve"> </w:t>
      </w:r>
      <w:r w:rsidR="006F082B">
        <w:rPr>
          <w:b/>
        </w:rPr>
        <w:t xml:space="preserve">Combination products used in the </w:t>
      </w:r>
      <w:proofErr w:type="spellStart"/>
      <w:r w:rsidR="006F082B">
        <w:rPr>
          <w:b/>
        </w:rPr>
        <w:t>gliptin</w:t>
      </w:r>
      <w:proofErr w:type="spellEnd"/>
      <w:r w:rsidR="006F082B">
        <w:rPr>
          <w:b/>
        </w:rPr>
        <w:t xml:space="preserve"> dual therapy with metformin regimen</w:t>
      </w:r>
    </w:p>
    <w:p w:rsidR="00C06192" w:rsidRDefault="00FE6756" w:rsidP="00813FF0">
      <w:r>
        <w:t>There appears to be a notice</w:t>
      </w:r>
      <w:r w:rsidR="00A607EB">
        <w:t>able</w:t>
      </w:r>
      <w:r>
        <w:t xml:space="preserve"> change in dual oral therapy with metformin regimens (</w:t>
      </w:r>
      <w:proofErr w:type="spellStart"/>
      <w:r>
        <w:t>ie</w:t>
      </w:r>
      <w:proofErr w:type="spellEnd"/>
      <w:r>
        <w:t xml:space="preserve">. </w:t>
      </w:r>
      <w:proofErr w:type="spellStart"/>
      <w:r>
        <w:t>Gliptin&amp;Met</w:t>
      </w:r>
      <w:proofErr w:type="spellEnd"/>
      <w:r>
        <w:t xml:space="preserve"> F</w:t>
      </w:r>
      <w:r w:rsidR="00A67AF8">
        <w:t xml:space="preserve">DC and </w:t>
      </w:r>
      <w:proofErr w:type="spellStart"/>
      <w:r w:rsidR="00A67AF8">
        <w:t>g</w:t>
      </w:r>
      <w:r>
        <w:t>liptin</w:t>
      </w:r>
      <w:proofErr w:type="spellEnd"/>
      <w:r w:rsidR="00A67AF8">
        <w:t xml:space="preserve"> </w:t>
      </w:r>
      <w:r>
        <w:t>+</w:t>
      </w:r>
      <w:r w:rsidR="00A67AF8">
        <w:t xml:space="preserve"> m</w:t>
      </w:r>
      <w:r>
        <w:t xml:space="preserve">etformin) at the time the </w:t>
      </w:r>
      <w:proofErr w:type="spellStart"/>
      <w:r w:rsidR="00A607EB">
        <w:t>alogliptin</w:t>
      </w:r>
      <w:proofErr w:type="spellEnd"/>
      <w:r w:rsidR="00A607EB">
        <w:t xml:space="preserve"> </w:t>
      </w:r>
      <w:r>
        <w:t>restriction was changed in December 2013 to allow dual oral therapy with metformin or sulfonylurea without the requirement that “</w:t>
      </w:r>
      <w:r w:rsidRPr="00511BE5">
        <w:t>patients in whom combination therapy with metformin and a sulfonylurea is contraindicated or not tolerated</w:t>
      </w:r>
      <w:r w:rsidR="00856129">
        <w:t>.</w:t>
      </w:r>
      <w:r w:rsidRPr="00511BE5">
        <w:t>”</w:t>
      </w:r>
      <w:r>
        <w:t xml:space="preserve"> </w:t>
      </w:r>
      <w:r w:rsidR="00A607EB">
        <w:t xml:space="preserve">This restriction change was applied to all other </w:t>
      </w:r>
      <w:proofErr w:type="spellStart"/>
      <w:r w:rsidR="00A607EB">
        <w:t>gliptin</w:t>
      </w:r>
      <w:r w:rsidR="00ED0E02">
        <w:t>s</w:t>
      </w:r>
      <w:proofErr w:type="spellEnd"/>
      <w:r w:rsidR="00A607EB">
        <w:t xml:space="preserve"> in April 2014. </w:t>
      </w:r>
      <w:r>
        <w:t>The effect on these regimens is i</w:t>
      </w:r>
      <w:r w:rsidR="00F82C0F">
        <w:t xml:space="preserve">n opposite directions with the </w:t>
      </w:r>
      <w:proofErr w:type="spellStart"/>
      <w:r w:rsidR="00F82C0F">
        <w:t>Gliptin&amp;M</w:t>
      </w:r>
      <w:r>
        <w:t>et</w:t>
      </w:r>
      <w:proofErr w:type="spellEnd"/>
      <w:r>
        <w:t xml:space="preserve"> FDC regimen increasing at a faster rate and </w:t>
      </w:r>
      <w:proofErr w:type="spellStart"/>
      <w:r w:rsidR="00A67AF8">
        <w:t>g</w:t>
      </w:r>
      <w:r>
        <w:t>liptin</w:t>
      </w:r>
      <w:proofErr w:type="spellEnd"/>
      <w:r w:rsidR="00A67AF8">
        <w:t xml:space="preserve"> </w:t>
      </w:r>
      <w:r>
        <w:t>+</w:t>
      </w:r>
      <w:r w:rsidR="00A67AF8">
        <w:t xml:space="preserve"> m</w:t>
      </w:r>
      <w:r>
        <w:t>etformin decreasing.</w:t>
      </w:r>
    </w:p>
    <w:p w:rsidR="00FE6756" w:rsidRDefault="00C06192" w:rsidP="00813FF0">
      <w:r>
        <w:t xml:space="preserve">The </w:t>
      </w:r>
      <w:proofErr w:type="spellStart"/>
      <w:r>
        <w:t>Gliptin&amp;Met</w:t>
      </w:r>
      <w:proofErr w:type="spellEnd"/>
      <w:r>
        <w:t xml:space="preserve"> FDC + metformin regimen may be appropriate for a patient to reach optimal metformin dosage.</w:t>
      </w:r>
    </w:p>
    <w:p w:rsidR="00753D44" w:rsidRPr="00753D44" w:rsidRDefault="00753D44" w:rsidP="00813FF0">
      <w:pPr>
        <w:spacing w:line="276" w:lineRule="auto"/>
        <w:rPr>
          <w:u w:val="single"/>
        </w:rPr>
      </w:pPr>
      <w:r w:rsidRPr="00753D44">
        <w:rPr>
          <w:u w:val="single"/>
        </w:rPr>
        <w:t xml:space="preserve">Effect of December 2013 </w:t>
      </w:r>
      <w:proofErr w:type="spellStart"/>
      <w:r w:rsidRPr="00753D44">
        <w:rPr>
          <w:u w:val="single"/>
        </w:rPr>
        <w:t>gliptin</w:t>
      </w:r>
      <w:proofErr w:type="spellEnd"/>
      <w:r w:rsidRPr="00753D44">
        <w:rPr>
          <w:u w:val="single"/>
        </w:rPr>
        <w:t xml:space="preserve"> restriction change on utilisation prior to initiating a </w:t>
      </w:r>
      <w:proofErr w:type="spellStart"/>
      <w:r w:rsidRPr="00753D44">
        <w:rPr>
          <w:u w:val="single"/>
        </w:rPr>
        <w:t>gliptin</w:t>
      </w:r>
      <w:proofErr w:type="spellEnd"/>
    </w:p>
    <w:p w:rsidR="00753D44" w:rsidRDefault="00753D44" w:rsidP="00511E87">
      <w:r>
        <w:t xml:space="preserve">The </w:t>
      </w:r>
      <w:proofErr w:type="spellStart"/>
      <w:r>
        <w:t>alogliptin</w:t>
      </w:r>
      <w:proofErr w:type="spellEnd"/>
      <w:r>
        <w:t xml:space="preserve"> restriction was changed in December 2013 to allow dual oral therapy with metformin or sulfonylurea without the requirement “</w:t>
      </w:r>
      <w:r w:rsidRPr="00511BE5">
        <w:t>patients in whom combination therapy with metformin and a sulfonylurea is contraindicated or not tolerated</w:t>
      </w:r>
      <w:r>
        <w:t>.</w:t>
      </w:r>
      <w:r w:rsidRPr="00511BE5">
        <w:t>”</w:t>
      </w:r>
      <w:r>
        <w:t xml:space="preserve"> This restriction change was applied to all other </w:t>
      </w:r>
      <w:proofErr w:type="spellStart"/>
      <w:r>
        <w:t>gliptins</w:t>
      </w:r>
      <w:proofErr w:type="spellEnd"/>
      <w:r>
        <w:t xml:space="preserve"> in April 2014. To assess the effect of this change, drug</w:t>
      </w:r>
      <w:r w:rsidRPr="0030261A">
        <w:t xml:space="preserve"> regimens in the 12 months prior to initiation of a </w:t>
      </w:r>
      <w:proofErr w:type="spellStart"/>
      <w:r w:rsidRPr="0030261A">
        <w:t>gliptin</w:t>
      </w:r>
      <w:proofErr w:type="spellEnd"/>
      <w:r w:rsidRPr="0030261A">
        <w:t xml:space="preserve"> </w:t>
      </w:r>
      <w:r>
        <w:t xml:space="preserve">were examined for two </w:t>
      </w:r>
      <w:proofErr w:type="spellStart"/>
      <w:r>
        <w:t>gliptin</w:t>
      </w:r>
      <w:proofErr w:type="spellEnd"/>
      <w:r>
        <w:t xml:space="preserve"> initiating cohorts. The “Prior” cohort was patients initiating from September to the end of November 2013, prior to the restriction change. Drug regimens for these patients were assessed back to 12 months prior to their individual </w:t>
      </w:r>
      <w:proofErr w:type="spellStart"/>
      <w:r>
        <w:t>gliptin</w:t>
      </w:r>
      <w:proofErr w:type="spellEnd"/>
      <w:r>
        <w:t xml:space="preserve"> initiation dates. It was not possible to look back any further for this cohort as the drug regimens were reliably estimated only from September 2012</w:t>
      </w:r>
      <w:r w:rsidR="00F00C55">
        <w:t>,</w:t>
      </w:r>
      <w:r>
        <w:t xml:space="preserve"> due to the fact that under co-payment prescription data began in April 2012. A similar analysis was undertaken in the February 2013 DUSC diabetes analysis, and in that case it was possible to look back for 2 years prior to initiation, but this was because general patients were excluded from the analysis.</w:t>
      </w:r>
    </w:p>
    <w:p w:rsidR="00753D44" w:rsidRDefault="00753D44" w:rsidP="00511E87">
      <w:r>
        <w:lastRenderedPageBreak/>
        <w:t>In this analysis, the “Post” cohort was patients initiating from May to the end of July 2016, post the restriction change and as recent as possible. Even though it was possible to have a longer look back period for this cohort, the same look back period used for the “Prior” cohort (</w:t>
      </w:r>
      <w:proofErr w:type="spellStart"/>
      <w:r>
        <w:t>ie</w:t>
      </w:r>
      <w:proofErr w:type="spellEnd"/>
      <w:r>
        <w:t xml:space="preserve">. 12 months) was used for the “Post” cohort to make the results comparable. </w:t>
      </w:r>
    </w:p>
    <w:p w:rsidR="00753D44" w:rsidRDefault="00753D44" w:rsidP="00511E87">
      <w:r>
        <w:t>Patients were classified based on their drug regimen history into the following groups;</w:t>
      </w:r>
    </w:p>
    <w:p w:rsidR="00753D44" w:rsidRDefault="00753D44" w:rsidP="00511E87">
      <w:pPr>
        <w:pStyle w:val="ListParagraph"/>
        <w:numPr>
          <w:ilvl w:val="0"/>
          <w:numId w:val="16"/>
        </w:numPr>
      </w:pPr>
      <w:r>
        <w:t>metformin only supplied</w:t>
      </w:r>
    </w:p>
    <w:p w:rsidR="00753D44" w:rsidRDefault="00753D44" w:rsidP="00511E87">
      <w:pPr>
        <w:pStyle w:val="ListParagraph"/>
        <w:numPr>
          <w:ilvl w:val="0"/>
          <w:numId w:val="16"/>
        </w:numPr>
      </w:pPr>
      <w:r>
        <w:t>sulfonylurea only supplied</w:t>
      </w:r>
    </w:p>
    <w:p w:rsidR="00753D44" w:rsidRDefault="00753D44" w:rsidP="00511E87">
      <w:pPr>
        <w:pStyle w:val="ListParagraph"/>
        <w:numPr>
          <w:ilvl w:val="0"/>
          <w:numId w:val="16"/>
        </w:numPr>
      </w:pPr>
      <w:r>
        <w:t>neither metformin nor sulfonylurea supplied</w:t>
      </w:r>
    </w:p>
    <w:p w:rsidR="00753D44" w:rsidRDefault="00753D44" w:rsidP="00511E87">
      <w:pPr>
        <w:pStyle w:val="ListParagraph"/>
        <w:numPr>
          <w:ilvl w:val="0"/>
          <w:numId w:val="16"/>
        </w:numPr>
      </w:pPr>
      <w:r>
        <w:t>metformin and sulfonylurea deemed to be co-administered for a period</w:t>
      </w:r>
    </w:p>
    <w:p w:rsidR="00753D44" w:rsidRDefault="00753D44" w:rsidP="00511E87">
      <w:pPr>
        <w:pStyle w:val="ListParagraph"/>
        <w:numPr>
          <w:ilvl w:val="0"/>
          <w:numId w:val="16"/>
        </w:numPr>
      </w:pPr>
      <w:proofErr w:type="gramStart"/>
      <w:r>
        <w:t>metformin</w:t>
      </w:r>
      <w:proofErr w:type="gramEnd"/>
      <w:r>
        <w:t xml:space="preserve"> and sulfonylurea supplied but not deemed to be co-administered at any time.</w:t>
      </w:r>
    </w:p>
    <w:p w:rsidR="00753D44" w:rsidRDefault="00753D44" w:rsidP="00511E87">
      <w:r>
        <w:t xml:space="preserve">The analysis also had regard to whether or not the </w:t>
      </w:r>
      <w:proofErr w:type="spellStart"/>
      <w:r>
        <w:t>gliptin</w:t>
      </w:r>
      <w:proofErr w:type="spellEnd"/>
      <w:r>
        <w:t xml:space="preserve"> initiation was with an FDC (</w:t>
      </w:r>
      <w:proofErr w:type="spellStart"/>
      <w:r>
        <w:t>ie</w:t>
      </w:r>
      <w:proofErr w:type="spellEnd"/>
      <w:r>
        <w:t xml:space="preserve">. </w:t>
      </w:r>
      <w:proofErr w:type="spellStart"/>
      <w:r>
        <w:t>gliptin</w:t>
      </w:r>
      <w:proofErr w:type="spellEnd"/>
      <w:r>
        <w:t xml:space="preserve"> &amp; metformin, there are no FDC products on the PBS containing a </w:t>
      </w:r>
      <w:proofErr w:type="spellStart"/>
      <w:r>
        <w:t>gliptin</w:t>
      </w:r>
      <w:proofErr w:type="spellEnd"/>
      <w:r>
        <w:t xml:space="preserve"> &amp; s</w:t>
      </w:r>
      <w:r w:rsidRPr="009E711F">
        <w:t>ulfonylurea</w:t>
      </w:r>
      <w:r>
        <w:t>) or single component product.</w:t>
      </w:r>
    </w:p>
    <w:p w:rsidR="00753D44" w:rsidRDefault="00753D44" w:rsidP="00813FF0">
      <w:pPr>
        <w:spacing w:line="276" w:lineRule="auto"/>
        <w:rPr>
          <w:rFonts w:eastAsia="Times New Roman" w:cs="Times New Roman"/>
          <w:b/>
          <w:lang w:val="en-US"/>
        </w:rPr>
      </w:pPr>
      <w:r>
        <w:rPr>
          <w:rFonts w:eastAsia="Times New Roman" w:cs="Times New Roman"/>
          <w:b/>
          <w:lang w:val="en-US"/>
        </w:rPr>
        <w:br w:type="page"/>
      </w:r>
    </w:p>
    <w:p w:rsidR="00753D44" w:rsidRPr="00223640" w:rsidRDefault="00753D44" w:rsidP="00813FF0">
      <w:pPr>
        <w:spacing w:after="0"/>
        <w:rPr>
          <w:rFonts w:eastAsia="Times New Roman" w:cs="Times New Roman"/>
          <w:b/>
          <w:lang w:val="en-US"/>
        </w:rPr>
      </w:pPr>
      <w:r w:rsidRPr="00223640">
        <w:rPr>
          <w:rFonts w:eastAsia="Times New Roman" w:cs="Times New Roman"/>
          <w:b/>
          <w:lang w:val="en-US"/>
        </w:rPr>
        <w:lastRenderedPageBreak/>
        <w:t xml:space="preserve">Table </w:t>
      </w:r>
      <w:r w:rsidR="002A3A19">
        <w:rPr>
          <w:rFonts w:eastAsia="Times New Roman" w:cs="Times New Roman"/>
          <w:b/>
          <w:lang w:val="en-US"/>
        </w:rPr>
        <w:t>9</w:t>
      </w:r>
      <w:r>
        <w:rPr>
          <w:rFonts w:eastAsia="Times New Roman" w:cs="Times New Roman"/>
          <w:b/>
          <w:lang w:val="en-US"/>
        </w:rPr>
        <w:t>:</w:t>
      </w:r>
      <w:r w:rsidRPr="00223640">
        <w:rPr>
          <w:rFonts w:eastAsia="Times New Roman" w:cs="Times New Roman"/>
          <w:b/>
          <w:lang w:val="en-US"/>
        </w:rPr>
        <w:t xml:space="preserve"> </w:t>
      </w:r>
      <w:r w:rsidRPr="00223640">
        <w:rPr>
          <w:rFonts w:eastAsia="Times New Roman" w:cs="Times New Roman"/>
          <w:b/>
          <w:bCs/>
        </w:rPr>
        <w:t xml:space="preserve">Treatment regimens in the </w:t>
      </w:r>
      <w:r>
        <w:rPr>
          <w:rFonts w:eastAsia="Times New Roman" w:cs="Times New Roman"/>
          <w:b/>
          <w:bCs/>
        </w:rPr>
        <w:t>12</w:t>
      </w:r>
      <w:r w:rsidRPr="00223640">
        <w:rPr>
          <w:rFonts w:eastAsia="Times New Roman" w:cs="Times New Roman"/>
          <w:b/>
          <w:bCs/>
        </w:rPr>
        <w:t xml:space="preserve"> months prior to initiation of a </w:t>
      </w:r>
      <w:proofErr w:type="spellStart"/>
      <w:r w:rsidRPr="00223640">
        <w:rPr>
          <w:rFonts w:eastAsia="Times New Roman" w:cs="Times New Roman"/>
          <w:b/>
          <w:bCs/>
        </w:rPr>
        <w:t>gliptin</w:t>
      </w:r>
      <w:proofErr w:type="spellEnd"/>
      <w:r>
        <w:rPr>
          <w:rFonts w:eastAsia="Times New Roman" w:cs="Times New Roman"/>
          <w:b/>
          <w:bCs/>
        </w:rPr>
        <w:t xml:space="preserve"> </w:t>
      </w:r>
      <w:r w:rsidRPr="00223640">
        <w:rPr>
          <w:rFonts w:eastAsia="Times New Roman" w:cs="Times New Roman"/>
          <w:b/>
          <w:bCs/>
        </w:rPr>
        <w:t xml:space="preserve">classified by whether initiation was with the single component </w:t>
      </w:r>
      <w:r>
        <w:rPr>
          <w:rFonts w:eastAsia="Times New Roman" w:cs="Times New Roman"/>
          <w:b/>
          <w:bCs/>
        </w:rPr>
        <w:t xml:space="preserve">(SC) </w:t>
      </w:r>
      <w:r w:rsidRPr="00223640">
        <w:rPr>
          <w:rFonts w:eastAsia="Times New Roman" w:cs="Times New Roman"/>
          <w:b/>
          <w:bCs/>
        </w:rPr>
        <w:t xml:space="preserve">or FDC.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778"/>
        <w:gridCol w:w="778"/>
        <w:gridCol w:w="779"/>
        <w:gridCol w:w="778"/>
        <w:gridCol w:w="778"/>
        <w:gridCol w:w="779"/>
      </w:tblGrid>
      <w:tr w:rsidR="00753D44" w:rsidRPr="00223640" w:rsidTr="00F00C55">
        <w:trPr>
          <w:trHeight w:val="255"/>
          <w:jc w:val="center"/>
        </w:trPr>
        <w:tc>
          <w:tcPr>
            <w:tcW w:w="4503" w:type="dxa"/>
            <w:shd w:val="clear" w:color="auto" w:fill="BFBFBF" w:themeFill="background1" w:themeFillShade="BF"/>
            <w:noWrap/>
            <w:vAlign w:val="center"/>
          </w:tcPr>
          <w:p w:rsidR="00753D44" w:rsidRPr="00223640" w:rsidRDefault="00753D44" w:rsidP="00813FF0">
            <w:pPr>
              <w:spacing w:after="0"/>
              <w:ind w:left="-19"/>
              <w:rPr>
                <w:rFonts w:eastAsia="Times New Roman" w:cs="Arial"/>
                <w:b/>
                <w:sz w:val="20"/>
                <w:szCs w:val="20"/>
              </w:rPr>
            </w:pPr>
            <w:r w:rsidRPr="00223640">
              <w:rPr>
                <w:rFonts w:eastAsia="Times New Roman" w:cs="Arial"/>
                <w:b/>
                <w:sz w:val="20"/>
                <w:szCs w:val="20"/>
              </w:rPr>
              <w:t>Patients</w:t>
            </w:r>
          </w:p>
        </w:tc>
        <w:tc>
          <w:tcPr>
            <w:tcW w:w="2335" w:type="dxa"/>
            <w:gridSpan w:val="3"/>
            <w:shd w:val="clear" w:color="auto" w:fill="BFBFBF" w:themeFill="background1" w:themeFillShade="BF"/>
          </w:tcPr>
          <w:p w:rsidR="00753D44" w:rsidRPr="00223640" w:rsidRDefault="00753D44" w:rsidP="00813FF0">
            <w:pPr>
              <w:spacing w:after="0"/>
              <w:jc w:val="center"/>
              <w:rPr>
                <w:rFonts w:eastAsia="Times New Roman" w:cs="Arial"/>
                <w:b/>
                <w:sz w:val="20"/>
                <w:szCs w:val="20"/>
              </w:rPr>
            </w:pPr>
            <w:proofErr w:type="spellStart"/>
            <w:r w:rsidRPr="005E5925">
              <w:rPr>
                <w:rFonts w:eastAsia="Times New Roman" w:cs="Arial"/>
                <w:b/>
                <w:sz w:val="20"/>
                <w:szCs w:val="20"/>
              </w:rPr>
              <w:t>Gliptin</w:t>
            </w:r>
            <w:proofErr w:type="spellEnd"/>
            <w:r w:rsidRPr="005E5925">
              <w:rPr>
                <w:rFonts w:eastAsia="Times New Roman" w:cs="Arial"/>
                <w:b/>
                <w:sz w:val="20"/>
                <w:szCs w:val="20"/>
              </w:rPr>
              <w:t xml:space="preserve"> initiated from Sep</w:t>
            </w:r>
            <w:r>
              <w:rPr>
                <w:rFonts w:eastAsia="Times New Roman" w:cs="Arial"/>
                <w:b/>
                <w:sz w:val="20"/>
                <w:szCs w:val="20"/>
              </w:rPr>
              <w:t>t</w:t>
            </w:r>
            <w:r w:rsidRPr="005E5925">
              <w:rPr>
                <w:rFonts w:eastAsia="Times New Roman" w:cs="Arial"/>
                <w:b/>
                <w:sz w:val="20"/>
                <w:szCs w:val="20"/>
              </w:rPr>
              <w:t xml:space="preserve"> to </w:t>
            </w:r>
            <w:r>
              <w:rPr>
                <w:rFonts w:eastAsia="Times New Roman" w:cs="Arial"/>
                <w:b/>
                <w:sz w:val="20"/>
                <w:szCs w:val="20"/>
              </w:rPr>
              <w:t xml:space="preserve">end of </w:t>
            </w:r>
            <w:r w:rsidRPr="005E5925">
              <w:rPr>
                <w:rFonts w:eastAsia="Times New Roman" w:cs="Arial"/>
                <w:b/>
                <w:sz w:val="20"/>
                <w:szCs w:val="20"/>
              </w:rPr>
              <w:t>Nov</w:t>
            </w:r>
            <w:r>
              <w:rPr>
                <w:rFonts w:eastAsia="Times New Roman" w:cs="Arial"/>
                <w:b/>
                <w:sz w:val="20"/>
                <w:szCs w:val="20"/>
              </w:rPr>
              <w:t xml:space="preserve"> 20</w:t>
            </w:r>
            <w:r w:rsidRPr="005E5925">
              <w:rPr>
                <w:rFonts w:eastAsia="Times New Roman" w:cs="Arial"/>
                <w:b/>
                <w:sz w:val="20"/>
                <w:szCs w:val="20"/>
              </w:rPr>
              <w:t>13</w:t>
            </w:r>
          </w:p>
        </w:tc>
        <w:tc>
          <w:tcPr>
            <w:tcW w:w="2335" w:type="dxa"/>
            <w:gridSpan w:val="3"/>
            <w:shd w:val="clear" w:color="auto" w:fill="BFBFBF" w:themeFill="background1" w:themeFillShade="BF"/>
          </w:tcPr>
          <w:p w:rsidR="00753D44" w:rsidRPr="00223640" w:rsidRDefault="00753D44" w:rsidP="00813FF0">
            <w:pPr>
              <w:spacing w:after="0"/>
              <w:jc w:val="center"/>
              <w:rPr>
                <w:rFonts w:eastAsia="Times New Roman" w:cs="Arial"/>
                <w:b/>
                <w:sz w:val="20"/>
                <w:szCs w:val="20"/>
              </w:rPr>
            </w:pPr>
            <w:proofErr w:type="spellStart"/>
            <w:r w:rsidRPr="005E5925">
              <w:rPr>
                <w:rFonts w:eastAsia="Times New Roman" w:cs="Arial"/>
                <w:b/>
                <w:sz w:val="20"/>
                <w:szCs w:val="20"/>
              </w:rPr>
              <w:t>Gliptin</w:t>
            </w:r>
            <w:proofErr w:type="spellEnd"/>
            <w:r w:rsidRPr="005E5925">
              <w:rPr>
                <w:rFonts w:eastAsia="Times New Roman" w:cs="Arial"/>
                <w:b/>
                <w:sz w:val="20"/>
                <w:szCs w:val="20"/>
              </w:rPr>
              <w:t xml:space="preserve"> initiated from May to </w:t>
            </w:r>
            <w:r>
              <w:rPr>
                <w:rFonts w:eastAsia="Times New Roman" w:cs="Arial"/>
                <w:b/>
                <w:sz w:val="20"/>
                <w:szCs w:val="20"/>
              </w:rPr>
              <w:t xml:space="preserve">end of </w:t>
            </w:r>
            <w:r w:rsidRPr="005E5925">
              <w:rPr>
                <w:rFonts w:eastAsia="Times New Roman" w:cs="Arial"/>
                <w:b/>
                <w:sz w:val="20"/>
                <w:szCs w:val="20"/>
              </w:rPr>
              <w:t>Jul</w:t>
            </w:r>
            <w:r>
              <w:rPr>
                <w:rFonts w:eastAsia="Times New Roman" w:cs="Arial"/>
                <w:b/>
                <w:sz w:val="20"/>
                <w:szCs w:val="20"/>
              </w:rPr>
              <w:t>y 2016</w:t>
            </w:r>
          </w:p>
        </w:tc>
      </w:tr>
      <w:tr w:rsidR="00753D44" w:rsidRPr="00223640" w:rsidTr="00F00C55">
        <w:trPr>
          <w:trHeight w:val="255"/>
          <w:jc w:val="center"/>
        </w:trPr>
        <w:tc>
          <w:tcPr>
            <w:tcW w:w="4503" w:type="dxa"/>
            <w:shd w:val="clear" w:color="auto" w:fill="BFBFBF" w:themeFill="background1" w:themeFillShade="BF"/>
            <w:noWrap/>
            <w:vAlign w:val="bottom"/>
          </w:tcPr>
          <w:p w:rsidR="00753D44" w:rsidRPr="00223640" w:rsidRDefault="00753D44" w:rsidP="00813FF0">
            <w:pPr>
              <w:spacing w:after="0"/>
              <w:ind w:left="-19"/>
              <w:rPr>
                <w:rFonts w:eastAsia="Times New Roman" w:cs="Arial"/>
                <w:b/>
                <w:bCs/>
                <w:sz w:val="20"/>
                <w:szCs w:val="20"/>
              </w:rPr>
            </w:pPr>
          </w:p>
        </w:tc>
        <w:tc>
          <w:tcPr>
            <w:tcW w:w="4670" w:type="dxa"/>
            <w:gridSpan w:val="6"/>
            <w:shd w:val="clear" w:color="auto" w:fill="BFBFBF" w:themeFill="background1" w:themeFillShade="BF"/>
          </w:tcPr>
          <w:p w:rsidR="00753D44" w:rsidRPr="00223640" w:rsidRDefault="00753D44" w:rsidP="00813FF0">
            <w:pPr>
              <w:spacing w:after="0"/>
              <w:jc w:val="center"/>
              <w:rPr>
                <w:rFonts w:eastAsia="Times New Roman" w:cs="Arial"/>
                <w:b/>
                <w:bCs/>
                <w:sz w:val="20"/>
                <w:szCs w:val="20"/>
              </w:rPr>
            </w:pPr>
            <w:r w:rsidRPr="00223640">
              <w:rPr>
                <w:rFonts w:eastAsia="Times New Roman" w:cs="Arial"/>
                <w:b/>
                <w:sz w:val="20"/>
                <w:szCs w:val="20"/>
              </w:rPr>
              <w:t xml:space="preserve">Initiating </w:t>
            </w:r>
            <w:proofErr w:type="spellStart"/>
            <w:r>
              <w:rPr>
                <w:rFonts w:eastAsia="Times New Roman" w:cs="Arial"/>
                <w:b/>
                <w:sz w:val="20"/>
                <w:szCs w:val="20"/>
              </w:rPr>
              <w:t>gliptin</w:t>
            </w:r>
            <w:proofErr w:type="spellEnd"/>
            <w:r>
              <w:rPr>
                <w:rFonts w:eastAsia="Times New Roman" w:cs="Arial"/>
                <w:b/>
                <w:sz w:val="20"/>
                <w:szCs w:val="20"/>
              </w:rPr>
              <w:t xml:space="preserve"> product was</w:t>
            </w:r>
          </w:p>
        </w:tc>
      </w:tr>
      <w:tr w:rsidR="00753D44" w:rsidRPr="00223640" w:rsidTr="00F00C55">
        <w:trPr>
          <w:trHeight w:val="255"/>
          <w:jc w:val="center"/>
        </w:trPr>
        <w:tc>
          <w:tcPr>
            <w:tcW w:w="4503" w:type="dxa"/>
            <w:shd w:val="clear" w:color="auto" w:fill="BFBFBF" w:themeFill="background1" w:themeFillShade="BF"/>
            <w:noWrap/>
            <w:vAlign w:val="center"/>
            <w:hideMark/>
          </w:tcPr>
          <w:p w:rsidR="00753D44" w:rsidRPr="00223640" w:rsidRDefault="00753D44" w:rsidP="00813FF0">
            <w:pPr>
              <w:spacing w:after="0"/>
              <w:rPr>
                <w:rFonts w:eastAsia="Times New Roman" w:cs="Arial"/>
                <w:b/>
                <w:bCs/>
                <w:sz w:val="20"/>
                <w:szCs w:val="20"/>
              </w:rPr>
            </w:pPr>
            <w:r w:rsidRPr="00223640">
              <w:rPr>
                <w:rFonts w:eastAsia="Times New Roman" w:cs="Arial"/>
                <w:b/>
                <w:bCs/>
                <w:sz w:val="20"/>
                <w:szCs w:val="20"/>
              </w:rPr>
              <w:t>Pre-initiation treatment regimen summary</w:t>
            </w:r>
          </w:p>
        </w:tc>
        <w:tc>
          <w:tcPr>
            <w:tcW w:w="778" w:type="dxa"/>
            <w:shd w:val="clear" w:color="auto" w:fill="BFBFBF" w:themeFill="background1" w:themeFillShade="BF"/>
          </w:tcPr>
          <w:p w:rsidR="00753D44" w:rsidRPr="00223640" w:rsidRDefault="00753D44" w:rsidP="00813FF0">
            <w:pPr>
              <w:spacing w:after="0"/>
              <w:jc w:val="center"/>
              <w:rPr>
                <w:rFonts w:eastAsia="Times New Roman" w:cs="Arial"/>
                <w:b/>
                <w:sz w:val="20"/>
                <w:szCs w:val="20"/>
              </w:rPr>
            </w:pPr>
            <w:r>
              <w:rPr>
                <w:rFonts w:eastAsia="Times New Roman" w:cs="Arial"/>
                <w:b/>
                <w:sz w:val="20"/>
                <w:szCs w:val="20"/>
              </w:rPr>
              <w:t>SC</w:t>
            </w:r>
          </w:p>
        </w:tc>
        <w:tc>
          <w:tcPr>
            <w:tcW w:w="778" w:type="dxa"/>
            <w:shd w:val="clear" w:color="auto" w:fill="BFBFBF" w:themeFill="background1" w:themeFillShade="BF"/>
          </w:tcPr>
          <w:p w:rsidR="00753D44" w:rsidRPr="00223640" w:rsidRDefault="00753D44" w:rsidP="00813FF0">
            <w:pPr>
              <w:spacing w:after="0"/>
              <w:jc w:val="center"/>
              <w:rPr>
                <w:rFonts w:eastAsia="Times New Roman" w:cs="Arial"/>
                <w:b/>
                <w:sz w:val="20"/>
                <w:szCs w:val="20"/>
              </w:rPr>
            </w:pPr>
            <w:r w:rsidRPr="00223640">
              <w:rPr>
                <w:rFonts w:eastAsia="Times New Roman" w:cs="Arial"/>
                <w:b/>
                <w:sz w:val="20"/>
                <w:szCs w:val="20"/>
              </w:rPr>
              <w:t>FDC</w:t>
            </w:r>
          </w:p>
        </w:tc>
        <w:tc>
          <w:tcPr>
            <w:tcW w:w="779" w:type="dxa"/>
            <w:shd w:val="clear" w:color="auto" w:fill="BFBFBF" w:themeFill="background1" w:themeFillShade="BF"/>
          </w:tcPr>
          <w:p w:rsidR="00753D44" w:rsidRPr="00223640" w:rsidRDefault="00753D44" w:rsidP="00813FF0">
            <w:pPr>
              <w:spacing w:after="0"/>
              <w:jc w:val="center"/>
              <w:rPr>
                <w:rFonts w:eastAsia="Times New Roman" w:cs="Arial"/>
                <w:b/>
                <w:sz w:val="20"/>
                <w:szCs w:val="20"/>
              </w:rPr>
            </w:pPr>
            <w:r>
              <w:rPr>
                <w:rFonts w:eastAsia="Times New Roman" w:cs="Arial"/>
                <w:b/>
                <w:sz w:val="20"/>
                <w:szCs w:val="20"/>
              </w:rPr>
              <w:t>Total</w:t>
            </w:r>
          </w:p>
        </w:tc>
        <w:tc>
          <w:tcPr>
            <w:tcW w:w="778" w:type="dxa"/>
            <w:shd w:val="clear" w:color="auto" w:fill="BFBFBF" w:themeFill="background1" w:themeFillShade="BF"/>
          </w:tcPr>
          <w:p w:rsidR="00753D44" w:rsidRPr="00223640" w:rsidRDefault="00753D44" w:rsidP="00813FF0">
            <w:pPr>
              <w:spacing w:after="0"/>
              <w:jc w:val="center"/>
              <w:rPr>
                <w:rFonts w:eastAsia="Times New Roman" w:cs="Arial"/>
                <w:b/>
                <w:sz w:val="20"/>
                <w:szCs w:val="20"/>
              </w:rPr>
            </w:pPr>
            <w:r>
              <w:rPr>
                <w:rFonts w:eastAsia="Times New Roman" w:cs="Arial"/>
                <w:b/>
                <w:sz w:val="20"/>
                <w:szCs w:val="20"/>
              </w:rPr>
              <w:t>SC</w:t>
            </w:r>
          </w:p>
        </w:tc>
        <w:tc>
          <w:tcPr>
            <w:tcW w:w="778" w:type="dxa"/>
            <w:shd w:val="clear" w:color="auto" w:fill="BFBFBF" w:themeFill="background1" w:themeFillShade="BF"/>
            <w:noWrap/>
            <w:hideMark/>
          </w:tcPr>
          <w:p w:rsidR="00753D44" w:rsidRPr="00223640" w:rsidRDefault="00753D44" w:rsidP="00813FF0">
            <w:pPr>
              <w:spacing w:after="0"/>
              <w:jc w:val="center"/>
              <w:rPr>
                <w:rFonts w:eastAsia="Times New Roman" w:cs="Arial"/>
                <w:b/>
                <w:sz w:val="20"/>
                <w:szCs w:val="20"/>
              </w:rPr>
            </w:pPr>
            <w:r w:rsidRPr="00223640">
              <w:rPr>
                <w:rFonts w:eastAsia="Times New Roman" w:cs="Arial"/>
                <w:b/>
                <w:sz w:val="20"/>
                <w:szCs w:val="20"/>
              </w:rPr>
              <w:t>FDC</w:t>
            </w:r>
          </w:p>
        </w:tc>
        <w:tc>
          <w:tcPr>
            <w:tcW w:w="779" w:type="dxa"/>
            <w:shd w:val="clear" w:color="auto" w:fill="BFBFBF" w:themeFill="background1" w:themeFillShade="BF"/>
            <w:noWrap/>
            <w:hideMark/>
          </w:tcPr>
          <w:p w:rsidR="00753D44" w:rsidRPr="00223640" w:rsidRDefault="00753D44" w:rsidP="00813FF0">
            <w:pPr>
              <w:spacing w:after="0"/>
              <w:jc w:val="center"/>
              <w:rPr>
                <w:rFonts w:eastAsia="Times New Roman" w:cs="Arial"/>
                <w:b/>
                <w:sz w:val="20"/>
                <w:szCs w:val="20"/>
              </w:rPr>
            </w:pPr>
            <w:r>
              <w:rPr>
                <w:rFonts w:eastAsia="Times New Roman" w:cs="Arial"/>
                <w:b/>
                <w:sz w:val="20"/>
                <w:szCs w:val="20"/>
              </w:rPr>
              <w:t>Total</w:t>
            </w:r>
          </w:p>
        </w:tc>
      </w:tr>
      <w:tr w:rsidR="00753D44" w:rsidRPr="00223640" w:rsidTr="00F00C55">
        <w:trPr>
          <w:trHeight w:val="255"/>
          <w:jc w:val="center"/>
        </w:trPr>
        <w:tc>
          <w:tcPr>
            <w:tcW w:w="4503" w:type="dxa"/>
            <w:shd w:val="clear" w:color="auto" w:fill="auto"/>
            <w:noWrap/>
            <w:hideMark/>
          </w:tcPr>
          <w:p w:rsidR="00753D44" w:rsidRPr="00223640" w:rsidRDefault="00753D44" w:rsidP="00813FF0">
            <w:pPr>
              <w:spacing w:after="0"/>
              <w:rPr>
                <w:rFonts w:eastAsia="Times New Roman" w:cs="Arial"/>
                <w:sz w:val="20"/>
                <w:szCs w:val="20"/>
              </w:rPr>
            </w:pPr>
            <w:r w:rsidRPr="00223640">
              <w:rPr>
                <w:rFonts w:eastAsia="Times New Roman" w:cs="Arial"/>
                <w:sz w:val="20"/>
                <w:szCs w:val="20"/>
              </w:rPr>
              <w:t>1. metformin only supplied</w:t>
            </w:r>
          </w:p>
        </w:tc>
        <w:tc>
          <w:tcPr>
            <w:tcW w:w="778" w:type="dxa"/>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2,972</w:t>
            </w:r>
          </w:p>
        </w:tc>
        <w:tc>
          <w:tcPr>
            <w:tcW w:w="778" w:type="dxa"/>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3,800</w:t>
            </w:r>
          </w:p>
        </w:tc>
        <w:tc>
          <w:tcPr>
            <w:tcW w:w="779" w:type="dxa"/>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6,772</w:t>
            </w:r>
          </w:p>
        </w:tc>
        <w:tc>
          <w:tcPr>
            <w:tcW w:w="778" w:type="dxa"/>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2,267</w:t>
            </w:r>
          </w:p>
        </w:tc>
        <w:tc>
          <w:tcPr>
            <w:tcW w:w="778" w:type="dxa"/>
            <w:shd w:val="clear" w:color="auto" w:fill="auto"/>
            <w:noWrap/>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5,328</w:t>
            </w:r>
          </w:p>
        </w:tc>
        <w:tc>
          <w:tcPr>
            <w:tcW w:w="779" w:type="dxa"/>
            <w:shd w:val="clear" w:color="auto" w:fill="auto"/>
            <w:noWrap/>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7,595</w:t>
            </w:r>
          </w:p>
        </w:tc>
      </w:tr>
      <w:tr w:rsidR="00753D44" w:rsidRPr="00223640" w:rsidTr="00F00C55">
        <w:trPr>
          <w:trHeight w:val="272"/>
          <w:jc w:val="center"/>
        </w:trPr>
        <w:tc>
          <w:tcPr>
            <w:tcW w:w="4503" w:type="dxa"/>
            <w:shd w:val="clear" w:color="auto" w:fill="auto"/>
            <w:noWrap/>
            <w:hideMark/>
          </w:tcPr>
          <w:p w:rsidR="00753D44" w:rsidRPr="00223640" w:rsidRDefault="00753D44" w:rsidP="00813FF0">
            <w:pPr>
              <w:spacing w:after="0"/>
              <w:rPr>
                <w:rFonts w:eastAsia="Times New Roman" w:cs="Arial"/>
                <w:sz w:val="20"/>
                <w:szCs w:val="20"/>
              </w:rPr>
            </w:pPr>
            <w:r w:rsidRPr="00223640">
              <w:rPr>
                <w:rFonts w:eastAsia="Times New Roman" w:cs="Arial"/>
                <w:sz w:val="20"/>
                <w:szCs w:val="20"/>
              </w:rPr>
              <w:t>2. sulfonylurea only supplied</w:t>
            </w:r>
          </w:p>
        </w:tc>
        <w:tc>
          <w:tcPr>
            <w:tcW w:w="778" w:type="dxa"/>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710</w:t>
            </w:r>
          </w:p>
        </w:tc>
        <w:tc>
          <w:tcPr>
            <w:tcW w:w="778" w:type="dxa"/>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134</w:t>
            </w:r>
          </w:p>
        </w:tc>
        <w:tc>
          <w:tcPr>
            <w:tcW w:w="779" w:type="dxa"/>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844</w:t>
            </w:r>
          </w:p>
        </w:tc>
        <w:tc>
          <w:tcPr>
            <w:tcW w:w="778" w:type="dxa"/>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533</w:t>
            </w:r>
          </w:p>
        </w:tc>
        <w:tc>
          <w:tcPr>
            <w:tcW w:w="778" w:type="dxa"/>
            <w:shd w:val="clear" w:color="auto" w:fill="auto"/>
            <w:noWrap/>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137</w:t>
            </w:r>
          </w:p>
        </w:tc>
        <w:tc>
          <w:tcPr>
            <w:tcW w:w="779" w:type="dxa"/>
            <w:shd w:val="clear" w:color="auto" w:fill="auto"/>
            <w:noWrap/>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670</w:t>
            </w:r>
          </w:p>
        </w:tc>
      </w:tr>
      <w:tr w:rsidR="00753D44" w:rsidRPr="00223640" w:rsidTr="00F00C55">
        <w:trPr>
          <w:trHeight w:val="255"/>
          <w:jc w:val="center"/>
        </w:trPr>
        <w:tc>
          <w:tcPr>
            <w:tcW w:w="4503" w:type="dxa"/>
            <w:tcBorders>
              <w:bottom w:val="single" w:sz="4" w:space="0" w:color="auto"/>
            </w:tcBorders>
            <w:shd w:val="clear" w:color="auto" w:fill="auto"/>
            <w:noWrap/>
            <w:hideMark/>
          </w:tcPr>
          <w:p w:rsidR="00753D44" w:rsidRPr="00223640" w:rsidRDefault="00753D44" w:rsidP="00813FF0">
            <w:pPr>
              <w:spacing w:after="0"/>
              <w:rPr>
                <w:rFonts w:eastAsia="Times New Roman" w:cs="Arial"/>
                <w:sz w:val="20"/>
                <w:szCs w:val="20"/>
              </w:rPr>
            </w:pPr>
            <w:r w:rsidRPr="00223640">
              <w:rPr>
                <w:rFonts w:eastAsia="Times New Roman" w:cs="Arial"/>
                <w:sz w:val="20"/>
                <w:szCs w:val="20"/>
              </w:rPr>
              <w:t>3. neither metformin nor sulfonylurea supplied</w:t>
            </w:r>
          </w:p>
        </w:tc>
        <w:tc>
          <w:tcPr>
            <w:tcW w:w="778" w:type="dxa"/>
            <w:tcBorders>
              <w:bottom w:val="single" w:sz="4" w:space="0" w:color="auto"/>
            </w:tcBorders>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585</w:t>
            </w:r>
          </w:p>
        </w:tc>
        <w:tc>
          <w:tcPr>
            <w:tcW w:w="778" w:type="dxa"/>
            <w:tcBorders>
              <w:bottom w:val="single" w:sz="4" w:space="0" w:color="auto"/>
            </w:tcBorders>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869</w:t>
            </w:r>
          </w:p>
        </w:tc>
        <w:tc>
          <w:tcPr>
            <w:tcW w:w="779" w:type="dxa"/>
            <w:tcBorders>
              <w:bottom w:val="single" w:sz="4" w:space="0" w:color="auto"/>
            </w:tcBorders>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1,454</w:t>
            </w:r>
          </w:p>
        </w:tc>
        <w:tc>
          <w:tcPr>
            <w:tcW w:w="778" w:type="dxa"/>
            <w:tcBorders>
              <w:bottom w:val="single" w:sz="4" w:space="0" w:color="auto"/>
            </w:tcBorders>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685</w:t>
            </w:r>
          </w:p>
        </w:tc>
        <w:tc>
          <w:tcPr>
            <w:tcW w:w="778" w:type="dxa"/>
            <w:tcBorders>
              <w:bottom w:val="single" w:sz="4" w:space="0" w:color="auto"/>
            </w:tcBorders>
            <w:shd w:val="clear" w:color="auto" w:fill="auto"/>
            <w:noWrap/>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1,313</w:t>
            </w:r>
          </w:p>
        </w:tc>
        <w:tc>
          <w:tcPr>
            <w:tcW w:w="779" w:type="dxa"/>
            <w:tcBorders>
              <w:bottom w:val="single" w:sz="4" w:space="0" w:color="auto"/>
            </w:tcBorders>
            <w:shd w:val="clear" w:color="auto" w:fill="auto"/>
            <w:noWrap/>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1,998</w:t>
            </w:r>
          </w:p>
        </w:tc>
      </w:tr>
      <w:tr w:rsidR="00753D44" w:rsidRPr="00223640" w:rsidTr="00F00C55">
        <w:trPr>
          <w:trHeight w:val="255"/>
          <w:jc w:val="center"/>
        </w:trPr>
        <w:tc>
          <w:tcPr>
            <w:tcW w:w="4503" w:type="dxa"/>
            <w:shd w:val="pct10" w:color="auto" w:fill="auto"/>
            <w:noWrap/>
          </w:tcPr>
          <w:p w:rsidR="00753D44" w:rsidRPr="00223640" w:rsidRDefault="00753D44" w:rsidP="00813FF0">
            <w:pPr>
              <w:spacing w:after="0"/>
              <w:rPr>
                <w:rFonts w:eastAsia="Times New Roman" w:cs="Arial"/>
                <w:i/>
                <w:sz w:val="20"/>
                <w:szCs w:val="20"/>
              </w:rPr>
            </w:pPr>
            <w:r w:rsidRPr="00223640">
              <w:rPr>
                <w:rFonts w:eastAsia="Times New Roman" w:cs="Arial"/>
                <w:i/>
                <w:sz w:val="20"/>
                <w:szCs w:val="20"/>
              </w:rPr>
              <w:t xml:space="preserve">Total regimen summaries histories </w:t>
            </w:r>
            <w:r w:rsidRPr="00223640">
              <w:rPr>
                <w:rFonts w:eastAsia="Times New Roman" w:cs="Arial"/>
                <w:b/>
                <w:i/>
                <w:sz w:val="20"/>
                <w:szCs w:val="20"/>
              </w:rPr>
              <w:t>not containing</w:t>
            </w:r>
            <w:r w:rsidRPr="00223640">
              <w:rPr>
                <w:rFonts w:eastAsia="Times New Roman" w:cs="Arial"/>
                <w:i/>
                <w:sz w:val="20"/>
                <w:szCs w:val="20"/>
              </w:rPr>
              <w:t xml:space="preserve"> both metformin and a sulfonylurea </w:t>
            </w:r>
          </w:p>
        </w:tc>
        <w:tc>
          <w:tcPr>
            <w:tcW w:w="778" w:type="dxa"/>
            <w:shd w:val="pct10" w:color="auto" w:fill="auto"/>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4,267</w:t>
            </w:r>
          </w:p>
        </w:tc>
        <w:tc>
          <w:tcPr>
            <w:tcW w:w="778" w:type="dxa"/>
            <w:shd w:val="pct10" w:color="auto" w:fill="auto"/>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4,803</w:t>
            </w:r>
          </w:p>
        </w:tc>
        <w:tc>
          <w:tcPr>
            <w:tcW w:w="779" w:type="dxa"/>
            <w:shd w:val="pct10" w:color="auto" w:fill="auto"/>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9,070</w:t>
            </w:r>
          </w:p>
        </w:tc>
        <w:tc>
          <w:tcPr>
            <w:tcW w:w="778" w:type="dxa"/>
            <w:shd w:val="pct10" w:color="auto" w:fill="auto"/>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3,485</w:t>
            </w:r>
          </w:p>
        </w:tc>
        <w:tc>
          <w:tcPr>
            <w:tcW w:w="778" w:type="dxa"/>
            <w:shd w:val="pct10" w:color="auto" w:fill="auto"/>
            <w:noWrap/>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6,778</w:t>
            </w:r>
          </w:p>
        </w:tc>
        <w:tc>
          <w:tcPr>
            <w:tcW w:w="779" w:type="dxa"/>
            <w:shd w:val="pct10" w:color="auto" w:fill="auto"/>
            <w:noWrap/>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10,263</w:t>
            </w:r>
          </w:p>
        </w:tc>
      </w:tr>
      <w:tr w:rsidR="00753D44" w:rsidRPr="00223640" w:rsidTr="00F00C55">
        <w:trPr>
          <w:trHeight w:val="255"/>
          <w:jc w:val="center"/>
        </w:trPr>
        <w:tc>
          <w:tcPr>
            <w:tcW w:w="4503" w:type="dxa"/>
            <w:shd w:val="clear" w:color="auto" w:fill="auto"/>
            <w:noWrap/>
            <w:vAlign w:val="bottom"/>
            <w:hideMark/>
          </w:tcPr>
          <w:p w:rsidR="00753D44" w:rsidRPr="00223640" w:rsidRDefault="00753D44" w:rsidP="00813FF0">
            <w:pPr>
              <w:spacing w:after="0"/>
              <w:rPr>
                <w:rFonts w:eastAsia="Times New Roman" w:cs="Arial"/>
                <w:sz w:val="20"/>
                <w:szCs w:val="20"/>
              </w:rPr>
            </w:pPr>
            <w:r w:rsidRPr="00223640">
              <w:rPr>
                <w:rFonts w:eastAsia="Times New Roman" w:cs="Arial"/>
                <w:sz w:val="20"/>
                <w:szCs w:val="20"/>
              </w:rPr>
              <w:t>4. metformin and sulfonylurea deemed to be co-administered for a period</w:t>
            </w:r>
          </w:p>
        </w:tc>
        <w:tc>
          <w:tcPr>
            <w:tcW w:w="778" w:type="dxa"/>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2,961</w:t>
            </w:r>
          </w:p>
        </w:tc>
        <w:tc>
          <w:tcPr>
            <w:tcW w:w="778" w:type="dxa"/>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2,482</w:t>
            </w:r>
          </w:p>
        </w:tc>
        <w:tc>
          <w:tcPr>
            <w:tcW w:w="779" w:type="dxa"/>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5,443</w:t>
            </w:r>
          </w:p>
        </w:tc>
        <w:tc>
          <w:tcPr>
            <w:tcW w:w="778" w:type="dxa"/>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1,755</w:t>
            </w:r>
          </w:p>
        </w:tc>
        <w:tc>
          <w:tcPr>
            <w:tcW w:w="778" w:type="dxa"/>
            <w:shd w:val="clear" w:color="auto" w:fill="auto"/>
            <w:noWrap/>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2,495</w:t>
            </w:r>
          </w:p>
        </w:tc>
        <w:tc>
          <w:tcPr>
            <w:tcW w:w="779" w:type="dxa"/>
            <w:shd w:val="clear" w:color="auto" w:fill="auto"/>
            <w:noWrap/>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4,250</w:t>
            </w:r>
          </w:p>
        </w:tc>
      </w:tr>
      <w:tr w:rsidR="00753D44" w:rsidRPr="00223640" w:rsidTr="00F00C55">
        <w:trPr>
          <w:trHeight w:val="255"/>
          <w:jc w:val="center"/>
        </w:trPr>
        <w:tc>
          <w:tcPr>
            <w:tcW w:w="4503" w:type="dxa"/>
            <w:tcBorders>
              <w:bottom w:val="single" w:sz="4" w:space="0" w:color="auto"/>
            </w:tcBorders>
            <w:shd w:val="clear" w:color="auto" w:fill="auto"/>
            <w:noWrap/>
            <w:vAlign w:val="bottom"/>
            <w:hideMark/>
          </w:tcPr>
          <w:p w:rsidR="00753D44" w:rsidRPr="00223640" w:rsidRDefault="00753D44" w:rsidP="00813FF0">
            <w:pPr>
              <w:spacing w:after="0"/>
              <w:rPr>
                <w:rFonts w:eastAsia="Times New Roman" w:cs="Arial"/>
                <w:sz w:val="20"/>
                <w:szCs w:val="20"/>
              </w:rPr>
            </w:pPr>
            <w:r w:rsidRPr="00223640">
              <w:rPr>
                <w:rFonts w:eastAsia="Times New Roman" w:cs="Arial"/>
                <w:sz w:val="20"/>
                <w:szCs w:val="20"/>
              </w:rPr>
              <w:t>5. metformin and sulfonylurea supplied but not deemed to be co-administered at any time</w:t>
            </w:r>
          </w:p>
        </w:tc>
        <w:tc>
          <w:tcPr>
            <w:tcW w:w="778" w:type="dxa"/>
            <w:tcBorders>
              <w:bottom w:val="single" w:sz="4" w:space="0" w:color="auto"/>
            </w:tcBorders>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164</w:t>
            </w:r>
          </w:p>
        </w:tc>
        <w:tc>
          <w:tcPr>
            <w:tcW w:w="778" w:type="dxa"/>
            <w:tcBorders>
              <w:bottom w:val="single" w:sz="4" w:space="0" w:color="auto"/>
            </w:tcBorders>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74</w:t>
            </w:r>
          </w:p>
        </w:tc>
        <w:tc>
          <w:tcPr>
            <w:tcW w:w="779" w:type="dxa"/>
            <w:tcBorders>
              <w:bottom w:val="single" w:sz="4" w:space="0" w:color="auto"/>
            </w:tcBorders>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238</w:t>
            </w:r>
          </w:p>
        </w:tc>
        <w:tc>
          <w:tcPr>
            <w:tcW w:w="778" w:type="dxa"/>
            <w:tcBorders>
              <w:bottom w:val="single" w:sz="4" w:space="0" w:color="auto"/>
            </w:tcBorders>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116</w:t>
            </w:r>
          </w:p>
        </w:tc>
        <w:tc>
          <w:tcPr>
            <w:tcW w:w="778" w:type="dxa"/>
            <w:tcBorders>
              <w:bottom w:val="single" w:sz="4" w:space="0" w:color="auto"/>
            </w:tcBorders>
            <w:shd w:val="clear" w:color="auto" w:fill="auto"/>
            <w:noWrap/>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75</w:t>
            </w:r>
          </w:p>
        </w:tc>
        <w:tc>
          <w:tcPr>
            <w:tcW w:w="779" w:type="dxa"/>
            <w:tcBorders>
              <w:bottom w:val="single" w:sz="4" w:space="0" w:color="auto"/>
            </w:tcBorders>
            <w:shd w:val="clear" w:color="auto" w:fill="auto"/>
            <w:noWrap/>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191</w:t>
            </w:r>
          </w:p>
        </w:tc>
      </w:tr>
      <w:tr w:rsidR="00753D44" w:rsidRPr="00223640" w:rsidTr="00F00C55">
        <w:trPr>
          <w:trHeight w:val="255"/>
          <w:jc w:val="center"/>
        </w:trPr>
        <w:tc>
          <w:tcPr>
            <w:tcW w:w="4503" w:type="dxa"/>
            <w:tcBorders>
              <w:bottom w:val="single" w:sz="4" w:space="0" w:color="auto"/>
            </w:tcBorders>
            <w:shd w:val="pct10" w:color="auto" w:fill="auto"/>
            <w:noWrap/>
          </w:tcPr>
          <w:p w:rsidR="00753D44" w:rsidRPr="00223640" w:rsidRDefault="00753D44" w:rsidP="00813FF0">
            <w:pPr>
              <w:spacing w:after="0"/>
              <w:rPr>
                <w:rFonts w:eastAsia="Times New Roman" w:cs="Arial"/>
                <w:i/>
                <w:sz w:val="20"/>
                <w:szCs w:val="20"/>
              </w:rPr>
            </w:pPr>
            <w:r w:rsidRPr="00223640">
              <w:rPr>
                <w:rFonts w:eastAsia="Times New Roman" w:cs="Arial"/>
                <w:i/>
                <w:sz w:val="20"/>
                <w:szCs w:val="20"/>
              </w:rPr>
              <w:t xml:space="preserve">Total regimen summaries histories </w:t>
            </w:r>
            <w:r w:rsidRPr="00223640">
              <w:rPr>
                <w:rFonts w:eastAsia="Times New Roman" w:cs="Arial"/>
                <w:b/>
                <w:i/>
                <w:sz w:val="20"/>
                <w:szCs w:val="20"/>
              </w:rPr>
              <w:t>containing</w:t>
            </w:r>
            <w:r w:rsidRPr="00223640">
              <w:rPr>
                <w:rFonts w:eastAsia="Times New Roman" w:cs="Arial"/>
                <w:i/>
                <w:sz w:val="20"/>
                <w:szCs w:val="20"/>
              </w:rPr>
              <w:t xml:space="preserve"> both metformin and a sulfonylurea </w:t>
            </w:r>
          </w:p>
        </w:tc>
        <w:tc>
          <w:tcPr>
            <w:tcW w:w="778" w:type="dxa"/>
            <w:tcBorders>
              <w:bottom w:val="single" w:sz="4" w:space="0" w:color="auto"/>
            </w:tcBorders>
            <w:shd w:val="pct10" w:color="auto" w:fill="auto"/>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3,125</w:t>
            </w:r>
          </w:p>
        </w:tc>
        <w:tc>
          <w:tcPr>
            <w:tcW w:w="778" w:type="dxa"/>
            <w:tcBorders>
              <w:bottom w:val="single" w:sz="4" w:space="0" w:color="auto"/>
            </w:tcBorders>
            <w:shd w:val="pct10" w:color="auto" w:fill="auto"/>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2,556</w:t>
            </w:r>
          </w:p>
        </w:tc>
        <w:tc>
          <w:tcPr>
            <w:tcW w:w="779" w:type="dxa"/>
            <w:tcBorders>
              <w:bottom w:val="single" w:sz="4" w:space="0" w:color="auto"/>
            </w:tcBorders>
            <w:shd w:val="pct10" w:color="auto" w:fill="auto"/>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5,681</w:t>
            </w:r>
          </w:p>
        </w:tc>
        <w:tc>
          <w:tcPr>
            <w:tcW w:w="778" w:type="dxa"/>
            <w:tcBorders>
              <w:bottom w:val="single" w:sz="4" w:space="0" w:color="auto"/>
            </w:tcBorders>
            <w:shd w:val="pct10" w:color="auto" w:fill="auto"/>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1,871</w:t>
            </w:r>
          </w:p>
        </w:tc>
        <w:tc>
          <w:tcPr>
            <w:tcW w:w="778" w:type="dxa"/>
            <w:tcBorders>
              <w:bottom w:val="single" w:sz="4" w:space="0" w:color="auto"/>
            </w:tcBorders>
            <w:shd w:val="pct10" w:color="auto" w:fill="auto"/>
            <w:noWrap/>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2,570</w:t>
            </w:r>
          </w:p>
        </w:tc>
        <w:tc>
          <w:tcPr>
            <w:tcW w:w="779" w:type="dxa"/>
            <w:tcBorders>
              <w:bottom w:val="single" w:sz="4" w:space="0" w:color="auto"/>
            </w:tcBorders>
            <w:shd w:val="pct10" w:color="auto" w:fill="auto"/>
            <w:noWrap/>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4,441</w:t>
            </w:r>
          </w:p>
        </w:tc>
      </w:tr>
      <w:tr w:rsidR="00753D44" w:rsidRPr="00223640" w:rsidTr="00F00C55">
        <w:trPr>
          <w:trHeight w:val="255"/>
          <w:jc w:val="center"/>
        </w:trPr>
        <w:tc>
          <w:tcPr>
            <w:tcW w:w="4503" w:type="dxa"/>
            <w:shd w:val="clear" w:color="auto" w:fill="BFBFBF" w:themeFill="background1" w:themeFillShade="BF"/>
            <w:noWrap/>
            <w:hideMark/>
          </w:tcPr>
          <w:p w:rsidR="00753D44" w:rsidRPr="00223640" w:rsidRDefault="00753D44" w:rsidP="00813FF0">
            <w:pPr>
              <w:spacing w:after="0"/>
              <w:rPr>
                <w:rFonts w:eastAsia="Times New Roman" w:cs="Arial"/>
                <w:sz w:val="20"/>
                <w:szCs w:val="20"/>
              </w:rPr>
            </w:pPr>
            <w:r w:rsidRPr="00223640">
              <w:rPr>
                <w:rFonts w:eastAsia="Times New Roman" w:cs="Arial"/>
                <w:sz w:val="20"/>
                <w:szCs w:val="20"/>
              </w:rPr>
              <w:t>Total</w:t>
            </w:r>
          </w:p>
        </w:tc>
        <w:tc>
          <w:tcPr>
            <w:tcW w:w="778" w:type="dxa"/>
            <w:shd w:val="clear" w:color="auto" w:fill="BFBFBF" w:themeFill="background1" w:themeFillShade="BF"/>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7,392</w:t>
            </w:r>
          </w:p>
        </w:tc>
        <w:tc>
          <w:tcPr>
            <w:tcW w:w="778" w:type="dxa"/>
            <w:shd w:val="clear" w:color="auto" w:fill="BFBFBF" w:themeFill="background1" w:themeFillShade="BF"/>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7,359</w:t>
            </w:r>
          </w:p>
        </w:tc>
        <w:tc>
          <w:tcPr>
            <w:tcW w:w="779" w:type="dxa"/>
            <w:shd w:val="clear" w:color="auto" w:fill="BFBFBF" w:themeFill="background1" w:themeFillShade="BF"/>
            <w:vAlign w:val="center"/>
          </w:tcPr>
          <w:p w:rsidR="00753D44" w:rsidRPr="005E5925" w:rsidRDefault="00753D44" w:rsidP="00813FF0">
            <w:pPr>
              <w:autoSpaceDE w:val="0"/>
              <w:autoSpaceDN w:val="0"/>
              <w:adjustRightInd w:val="0"/>
              <w:spacing w:after="0"/>
              <w:jc w:val="center"/>
              <w:rPr>
                <w:rFonts w:eastAsia="Times New Roman" w:cs="Arial"/>
                <w:color w:val="000000"/>
                <w:sz w:val="20"/>
                <w:szCs w:val="20"/>
              </w:rPr>
            </w:pPr>
            <w:r w:rsidRPr="005E5925">
              <w:rPr>
                <w:rFonts w:eastAsia="Times New Roman" w:cs="Arial"/>
                <w:color w:val="000000"/>
                <w:sz w:val="20"/>
                <w:szCs w:val="20"/>
              </w:rPr>
              <w:t>14,751</w:t>
            </w:r>
          </w:p>
        </w:tc>
        <w:tc>
          <w:tcPr>
            <w:tcW w:w="778" w:type="dxa"/>
            <w:shd w:val="clear" w:color="auto" w:fill="BFBFBF" w:themeFill="background1" w:themeFillShade="BF"/>
            <w:vAlign w:val="center"/>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5,356</w:t>
            </w:r>
          </w:p>
        </w:tc>
        <w:tc>
          <w:tcPr>
            <w:tcW w:w="778" w:type="dxa"/>
            <w:shd w:val="clear" w:color="auto" w:fill="BFBFBF" w:themeFill="background1" w:themeFillShade="BF"/>
            <w:noWrap/>
            <w:vAlign w:val="center"/>
            <w:hideMark/>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9,348</w:t>
            </w:r>
          </w:p>
        </w:tc>
        <w:tc>
          <w:tcPr>
            <w:tcW w:w="779" w:type="dxa"/>
            <w:shd w:val="clear" w:color="auto" w:fill="BFBFBF" w:themeFill="background1" w:themeFillShade="BF"/>
            <w:noWrap/>
            <w:vAlign w:val="center"/>
            <w:hideMark/>
          </w:tcPr>
          <w:p w:rsidR="00753D44" w:rsidRPr="00D941E4" w:rsidRDefault="00753D44" w:rsidP="00813FF0">
            <w:pPr>
              <w:autoSpaceDE w:val="0"/>
              <w:autoSpaceDN w:val="0"/>
              <w:adjustRightInd w:val="0"/>
              <w:spacing w:after="0"/>
              <w:jc w:val="center"/>
              <w:rPr>
                <w:rFonts w:eastAsia="Times New Roman" w:cs="Arial"/>
                <w:color w:val="000000"/>
                <w:sz w:val="20"/>
                <w:szCs w:val="20"/>
              </w:rPr>
            </w:pPr>
            <w:r w:rsidRPr="00D941E4">
              <w:rPr>
                <w:rFonts w:eastAsia="Times New Roman" w:cs="Arial"/>
                <w:color w:val="000000"/>
                <w:sz w:val="20"/>
                <w:szCs w:val="20"/>
              </w:rPr>
              <w:t>14,704</w:t>
            </w:r>
          </w:p>
        </w:tc>
      </w:tr>
    </w:tbl>
    <w:p w:rsidR="00753D44" w:rsidRDefault="00753D44" w:rsidP="00813FF0">
      <w:pPr>
        <w:spacing w:after="0"/>
        <w:rPr>
          <w:rFonts w:eastAsia="Times New Roman" w:cs="Arial"/>
          <w:b/>
          <w:sz w:val="20"/>
          <w:szCs w:val="20"/>
          <w:lang w:val="en-US"/>
        </w:rPr>
      </w:pPr>
    </w:p>
    <w:p w:rsidR="00753D44" w:rsidRPr="00223640" w:rsidRDefault="00753D44" w:rsidP="00813FF0">
      <w:pPr>
        <w:spacing w:after="0"/>
        <w:rPr>
          <w:rFonts w:eastAsia="Times New Roman" w:cs="Times New Roman"/>
          <w:b/>
          <w:lang w:val="en-US"/>
        </w:rPr>
      </w:pPr>
      <w:r w:rsidRPr="00223640">
        <w:rPr>
          <w:rFonts w:eastAsia="Times New Roman" w:cs="Times New Roman"/>
          <w:b/>
          <w:lang w:val="en-US"/>
        </w:rPr>
        <w:t xml:space="preserve">Table </w:t>
      </w:r>
      <w:r>
        <w:rPr>
          <w:rFonts w:eastAsia="Times New Roman" w:cs="Times New Roman"/>
          <w:b/>
          <w:lang w:val="en-US"/>
        </w:rPr>
        <w:t>1</w:t>
      </w:r>
      <w:r w:rsidR="002A3A19">
        <w:rPr>
          <w:rFonts w:eastAsia="Times New Roman" w:cs="Times New Roman"/>
          <w:b/>
          <w:lang w:val="en-US"/>
        </w:rPr>
        <w:t>0</w:t>
      </w:r>
      <w:r>
        <w:rPr>
          <w:rFonts w:eastAsia="Times New Roman" w:cs="Times New Roman"/>
          <w:b/>
          <w:lang w:val="en-US"/>
        </w:rPr>
        <w:t>:</w:t>
      </w:r>
      <w:r w:rsidRPr="00223640">
        <w:rPr>
          <w:rFonts w:eastAsia="Times New Roman" w:cs="Times New Roman"/>
          <w:b/>
          <w:lang w:val="en-US"/>
        </w:rPr>
        <w:t xml:space="preserve"> </w:t>
      </w:r>
      <w:r w:rsidRPr="008D0838">
        <w:rPr>
          <w:rFonts w:eastAsia="Times New Roman" w:cs="Times New Roman"/>
          <w:b/>
          <w:lang w:val="en-US"/>
        </w:rPr>
        <w:t xml:space="preserve">Results from table above presented as percentage of patients initiating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778"/>
        <w:gridCol w:w="778"/>
        <w:gridCol w:w="779"/>
        <w:gridCol w:w="778"/>
        <w:gridCol w:w="778"/>
        <w:gridCol w:w="779"/>
      </w:tblGrid>
      <w:tr w:rsidR="00753D44" w:rsidRPr="00223640" w:rsidTr="00F00C55">
        <w:trPr>
          <w:trHeight w:val="255"/>
          <w:jc w:val="center"/>
        </w:trPr>
        <w:tc>
          <w:tcPr>
            <w:tcW w:w="4503" w:type="dxa"/>
            <w:shd w:val="clear" w:color="auto" w:fill="BFBFBF" w:themeFill="background1" w:themeFillShade="BF"/>
            <w:noWrap/>
            <w:vAlign w:val="center"/>
          </w:tcPr>
          <w:p w:rsidR="00753D44" w:rsidRPr="00223640" w:rsidRDefault="00753D44" w:rsidP="00813FF0">
            <w:pPr>
              <w:spacing w:after="0"/>
              <w:ind w:left="-19"/>
              <w:rPr>
                <w:rFonts w:eastAsia="Times New Roman" w:cs="Arial"/>
                <w:b/>
                <w:sz w:val="20"/>
                <w:szCs w:val="20"/>
              </w:rPr>
            </w:pPr>
            <w:r w:rsidRPr="00223640">
              <w:rPr>
                <w:rFonts w:eastAsia="Times New Roman" w:cs="Arial"/>
                <w:b/>
                <w:sz w:val="20"/>
                <w:szCs w:val="20"/>
              </w:rPr>
              <w:t>Patients</w:t>
            </w:r>
          </w:p>
        </w:tc>
        <w:tc>
          <w:tcPr>
            <w:tcW w:w="2335" w:type="dxa"/>
            <w:gridSpan w:val="3"/>
            <w:shd w:val="clear" w:color="auto" w:fill="BFBFBF" w:themeFill="background1" w:themeFillShade="BF"/>
          </w:tcPr>
          <w:p w:rsidR="00753D44" w:rsidRPr="00223640" w:rsidRDefault="00753D44" w:rsidP="00813FF0">
            <w:pPr>
              <w:spacing w:after="0"/>
              <w:jc w:val="center"/>
              <w:rPr>
                <w:rFonts w:eastAsia="Times New Roman" w:cs="Arial"/>
                <w:b/>
                <w:sz w:val="20"/>
                <w:szCs w:val="20"/>
              </w:rPr>
            </w:pPr>
            <w:proofErr w:type="spellStart"/>
            <w:r w:rsidRPr="005E5925">
              <w:rPr>
                <w:rFonts w:eastAsia="Times New Roman" w:cs="Arial"/>
                <w:b/>
                <w:sz w:val="20"/>
                <w:szCs w:val="20"/>
              </w:rPr>
              <w:t>Gliptin</w:t>
            </w:r>
            <w:proofErr w:type="spellEnd"/>
            <w:r w:rsidRPr="005E5925">
              <w:rPr>
                <w:rFonts w:eastAsia="Times New Roman" w:cs="Arial"/>
                <w:b/>
                <w:sz w:val="20"/>
                <w:szCs w:val="20"/>
              </w:rPr>
              <w:t xml:space="preserve"> initiated from Sep</w:t>
            </w:r>
            <w:r>
              <w:rPr>
                <w:rFonts w:eastAsia="Times New Roman" w:cs="Arial"/>
                <w:b/>
                <w:sz w:val="20"/>
                <w:szCs w:val="20"/>
              </w:rPr>
              <w:t>t</w:t>
            </w:r>
            <w:r w:rsidRPr="005E5925">
              <w:rPr>
                <w:rFonts w:eastAsia="Times New Roman" w:cs="Arial"/>
                <w:b/>
                <w:sz w:val="20"/>
                <w:szCs w:val="20"/>
              </w:rPr>
              <w:t xml:space="preserve"> to </w:t>
            </w:r>
            <w:r>
              <w:rPr>
                <w:rFonts w:eastAsia="Times New Roman" w:cs="Arial"/>
                <w:b/>
                <w:sz w:val="20"/>
                <w:szCs w:val="20"/>
              </w:rPr>
              <w:t xml:space="preserve">end of </w:t>
            </w:r>
            <w:r w:rsidRPr="005E5925">
              <w:rPr>
                <w:rFonts w:eastAsia="Times New Roman" w:cs="Arial"/>
                <w:b/>
                <w:sz w:val="20"/>
                <w:szCs w:val="20"/>
              </w:rPr>
              <w:t>Nov</w:t>
            </w:r>
            <w:r>
              <w:rPr>
                <w:rFonts w:eastAsia="Times New Roman" w:cs="Arial"/>
                <w:b/>
                <w:sz w:val="20"/>
                <w:szCs w:val="20"/>
              </w:rPr>
              <w:t xml:space="preserve"> 20</w:t>
            </w:r>
            <w:r w:rsidRPr="005E5925">
              <w:rPr>
                <w:rFonts w:eastAsia="Times New Roman" w:cs="Arial"/>
                <w:b/>
                <w:sz w:val="20"/>
                <w:szCs w:val="20"/>
              </w:rPr>
              <w:t>13</w:t>
            </w:r>
          </w:p>
        </w:tc>
        <w:tc>
          <w:tcPr>
            <w:tcW w:w="2335" w:type="dxa"/>
            <w:gridSpan w:val="3"/>
            <w:shd w:val="clear" w:color="auto" w:fill="BFBFBF" w:themeFill="background1" w:themeFillShade="BF"/>
          </w:tcPr>
          <w:p w:rsidR="00753D44" w:rsidRPr="00223640" w:rsidRDefault="00753D44" w:rsidP="00813FF0">
            <w:pPr>
              <w:spacing w:after="0"/>
              <w:jc w:val="center"/>
              <w:rPr>
                <w:rFonts w:eastAsia="Times New Roman" w:cs="Arial"/>
                <w:b/>
                <w:sz w:val="20"/>
                <w:szCs w:val="20"/>
              </w:rPr>
            </w:pPr>
            <w:proofErr w:type="spellStart"/>
            <w:r w:rsidRPr="005E5925">
              <w:rPr>
                <w:rFonts w:eastAsia="Times New Roman" w:cs="Arial"/>
                <w:b/>
                <w:sz w:val="20"/>
                <w:szCs w:val="20"/>
              </w:rPr>
              <w:t>Gliptin</w:t>
            </w:r>
            <w:proofErr w:type="spellEnd"/>
            <w:r w:rsidRPr="005E5925">
              <w:rPr>
                <w:rFonts w:eastAsia="Times New Roman" w:cs="Arial"/>
                <w:b/>
                <w:sz w:val="20"/>
                <w:szCs w:val="20"/>
              </w:rPr>
              <w:t xml:space="preserve"> initiated from May to </w:t>
            </w:r>
            <w:r>
              <w:rPr>
                <w:rFonts w:eastAsia="Times New Roman" w:cs="Arial"/>
                <w:b/>
                <w:sz w:val="20"/>
                <w:szCs w:val="20"/>
              </w:rPr>
              <w:t xml:space="preserve">end of </w:t>
            </w:r>
            <w:r w:rsidRPr="005E5925">
              <w:rPr>
                <w:rFonts w:eastAsia="Times New Roman" w:cs="Arial"/>
                <w:b/>
                <w:sz w:val="20"/>
                <w:szCs w:val="20"/>
              </w:rPr>
              <w:t>Jul</w:t>
            </w:r>
            <w:r>
              <w:rPr>
                <w:rFonts w:eastAsia="Times New Roman" w:cs="Arial"/>
                <w:b/>
                <w:sz w:val="20"/>
                <w:szCs w:val="20"/>
              </w:rPr>
              <w:t>y 2016</w:t>
            </w:r>
          </w:p>
        </w:tc>
      </w:tr>
      <w:tr w:rsidR="00753D44" w:rsidRPr="00223640" w:rsidTr="00F00C55">
        <w:trPr>
          <w:trHeight w:val="255"/>
          <w:jc w:val="center"/>
        </w:trPr>
        <w:tc>
          <w:tcPr>
            <w:tcW w:w="4503" w:type="dxa"/>
            <w:shd w:val="clear" w:color="auto" w:fill="BFBFBF" w:themeFill="background1" w:themeFillShade="BF"/>
            <w:noWrap/>
            <w:vAlign w:val="bottom"/>
          </w:tcPr>
          <w:p w:rsidR="00753D44" w:rsidRPr="00223640" w:rsidRDefault="00753D44" w:rsidP="00813FF0">
            <w:pPr>
              <w:spacing w:after="0"/>
              <w:ind w:left="-19"/>
              <w:rPr>
                <w:rFonts w:eastAsia="Times New Roman" w:cs="Arial"/>
                <w:b/>
                <w:bCs/>
                <w:sz w:val="20"/>
                <w:szCs w:val="20"/>
              </w:rPr>
            </w:pPr>
          </w:p>
        </w:tc>
        <w:tc>
          <w:tcPr>
            <w:tcW w:w="4670" w:type="dxa"/>
            <w:gridSpan w:val="6"/>
            <w:shd w:val="clear" w:color="auto" w:fill="BFBFBF" w:themeFill="background1" w:themeFillShade="BF"/>
          </w:tcPr>
          <w:p w:rsidR="00753D44" w:rsidRPr="00223640" w:rsidRDefault="00753D44" w:rsidP="00813FF0">
            <w:pPr>
              <w:spacing w:after="0"/>
              <w:jc w:val="center"/>
              <w:rPr>
                <w:rFonts w:eastAsia="Times New Roman" w:cs="Arial"/>
                <w:b/>
                <w:bCs/>
                <w:sz w:val="20"/>
                <w:szCs w:val="20"/>
              </w:rPr>
            </w:pPr>
            <w:r w:rsidRPr="00223640">
              <w:rPr>
                <w:rFonts w:eastAsia="Times New Roman" w:cs="Arial"/>
                <w:b/>
                <w:sz w:val="20"/>
                <w:szCs w:val="20"/>
              </w:rPr>
              <w:t xml:space="preserve">Initiating </w:t>
            </w:r>
            <w:proofErr w:type="spellStart"/>
            <w:r>
              <w:rPr>
                <w:rFonts w:eastAsia="Times New Roman" w:cs="Arial"/>
                <w:b/>
                <w:sz w:val="20"/>
                <w:szCs w:val="20"/>
              </w:rPr>
              <w:t>gliptin</w:t>
            </w:r>
            <w:proofErr w:type="spellEnd"/>
            <w:r>
              <w:rPr>
                <w:rFonts w:eastAsia="Times New Roman" w:cs="Arial"/>
                <w:b/>
                <w:sz w:val="20"/>
                <w:szCs w:val="20"/>
              </w:rPr>
              <w:t xml:space="preserve"> product was</w:t>
            </w:r>
          </w:p>
        </w:tc>
      </w:tr>
      <w:tr w:rsidR="00753D44" w:rsidRPr="00223640" w:rsidTr="00F00C55">
        <w:trPr>
          <w:trHeight w:val="255"/>
          <w:jc w:val="center"/>
        </w:trPr>
        <w:tc>
          <w:tcPr>
            <w:tcW w:w="4503" w:type="dxa"/>
            <w:shd w:val="clear" w:color="auto" w:fill="BFBFBF" w:themeFill="background1" w:themeFillShade="BF"/>
            <w:noWrap/>
            <w:vAlign w:val="center"/>
            <w:hideMark/>
          </w:tcPr>
          <w:p w:rsidR="00753D44" w:rsidRPr="00223640" w:rsidRDefault="00753D44" w:rsidP="00813FF0">
            <w:pPr>
              <w:spacing w:after="0"/>
              <w:rPr>
                <w:rFonts w:eastAsia="Times New Roman" w:cs="Arial"/>
                <w:b/>
                <w:bCs/>
                <w:sz w:val="20"/>
                <w:szCs w:val="20"/>
              </w:rPr>
            </w:pPr>
            <w:r w:rsidRPr="00223640">
              <w:rPr>
                <w:rFonts w:eastAsia="Times New Roman" w:cs="Arial"/>
                <w:b/>
                <w:bCs/>
                <w:sz w:val="20"/>
                <w:szCs w:val="20"/>
              </w:rPr>
              <w:t>Pre-initiation treatment regimen summary</w:t>
            </w:r>
          </w:p>
        </w:tc>
        <w:tc>
          <w:tcPr>
            <w:tcW w:w="778" w:type="dxa"/>
            <w:shd w:val="clear" w:color="auto" w:fill="BFBFBF" w:themeFill="background1" w:themeFillShade="BF"/>
          </w:tcPr>
          <w:p w:rsidR="00753D44" w:rsidRPr="00223640" w:rsidRDefault="00753D44" w:rsidP="00813FF0">
            <w:pPr>
              <w:spacing w:after="0"/>
              <w:jc w:val="center"/>
              <w:rPr>
                <w:rFonts w:eastAsia="Times New Roman" w:cs="Arial"/>
                <w:b/>
                <w:sz w:val="20"/>
                <w:szCs w:val="20"/>
              </w:rPr>
            </w:pPr>
            <w:r>
              <w:rPr>
                <w:rFonts w:eastAsia="Times New Roman" w:cs="Arial"/>
                <w:b/>
                <w:sz w:val="20"/>
                <w:szCs w:val="20"/>
              </w:rPr>
              <w:t>SC</w:t>
            </w:r>
          </w:p>
        </w:tc>
        <w:tc>
          <w:tcPr>
            <w:tcW w:w="778" w:type="dxa"/>
            <w:shd w:val="clear" w:color="auto" w:fill="BFBFBF" w:themeFill="background1" w:themeFillShade="BF"/>
          </w:tcPr>
          <w:p w:rsidR="00753D44" w:rsidRPr="00223640" w:rsidRDefault="00753D44" w:rsidP="00813FF0">
            <w:pPr>
              <w:spacing w:after="0"/>
              <w:jc w:val="center"/>
              <w:rPr>
                <w:rFonts w:eastAsia="Times New Roman" w:cs="Arial"/>
                <w:b/>
                <w:sz w:val="20"/>
                <w:szCs w:val="20"/>
              </w:rPr>
            </w:pPr>
            <w:r w:rsidRPr="00223640">
              <w:rPr>
                <w:rFonts w:eastAsia="Times New Roman" w:cs="Arial"/>
                <w:b/>
                <w:sz w:val="20"/>
                <w:szCs w:val="20"/>
              </w:rPr>
              <w:t>FDC</w:t>
            </w:r>
          </w:p>
        </w:tc>
        <w:tc>
          <w:tcPr>
            <w:tcW w:w="779" w:type="dxa"/>
            <w:shd w:val="clear" w:color="auto" w:fill="BFBFBF" w:themeFill="background1" w:themeFillShade="BF"/>
          </w:tcPr>
          <w:p w:rsidR="00753D44" w:rsidRPr="00223640" w:rsidRDefault="00753D44" w:rsidP="00813FF0">
            <w:pPr>
              <w:spacing w:after="0"/>
              <w:jc w:val="center"/>
              <w:rPr>
                <w:rFonts w:eastAsia="Times New Roman" w:cs="Arial"/>
                <w:b/>
                <w:sz w:val="20"/>
                <w:szCs w:val="20"/>
              </w:rPr>
            </w:pPr>
            <w:r>
              <w:rPr>
                <w:rFonts w:eastAsia="Times New Roman" w:cs="Arial"/>
                <w:b/>
                <w:sz w:val="20"/>
                <w:szCs w:val="20"/>
              </w:rPr>
              <w:t>Total</w:t>
            </w:r>
          </w:p>
        </w:tc>
        <w:tc>
          <w:tcPr>
            <w:tcW w:w="778" w:type="dxa"/>
            <w:shd w:val="clear" w:color="auto" w:fill="BFBFBF" w:themeFill="background1" w:themeFillShade="BF"/>
          </w:tcPr>
          <w:p w:rsidR="00753D44" w:rsidRPr="00223640" w:rsidRDefault="00753D44" w:rsidP="00813FF0">
            <w:pPr>
              <w:spacing w:after="0"/>
              <w:jc w:val="center"/>
              <w:rPr>
                <w:rFonts w:eastAsia="Times New Roman" w:cs="Arial"/>
                <w:b/>
                <w:sz w:val="20"/>
                <w:szCs w:val="20"/>
              </w:rPr>
            </w:pPr>
            <w:r>
              <w:rPr>
                <w:rFonts w:eastAsia="Times New Roman" w:cs="Arial"/>
                <w:b/>
                <w:sz w:val="20"/>
                <w:szCs w:val="20"/>
              </w:rPr>
              <w:t>SC</w:t>
            </w:r>
          </w:p>
        </w:tc>
        <w:tc>
          <w:tcPr>
            <w:tcW w:w="778" w:type="dxa"/>
            <w:shd w:val="clear" w:color="auto" w:fill="BFBFBF" w:themeFill="background1" w:themeFillShade="BF"/>
            <w:noWrap/>
            <w:hideMark/>
          </w:tcPr>
          <w:p w:rsidR="00753D44" w:rsidRPr="00223640" w:rsidRDefault="00753D44" w:rsidP="00813FF0">
            <w:pPr>
              <w:spacing w:after="0"/>
              <w:jc w:val="center"/>
              <w:rPr>
                <w:rFonts w:eastAsia="Times New Roman" w:cs="Arial"/>
                <w:b/>
                <w:sz w:val="20"/>
                <w:szCs w:val="20"/>
              </w:rPr>
            </w:pPr>
            <w:r w:rsidRPr="00223640">
              <w:rPr>
                <w:rFonts w:eastAsia="Times New Roman" w:cs="Arial"/>
                <w:b/>
                <w:sz w:val="20"/>
                <w:szCs w:val="20"/>
              </w:rPr>
              <w:t>FDC</w:t>
            </w:r>
          </w:p>
        </w:tc>
        <w:tc>
          <w:tcPr>
            <w:tcW w:w="779" w:type="dxa"/>
            <w:shd w:val="clear" w:color="auto" w:fill="BFBFBF" w:themeFill="background1" w:themeFillShade="BF"/>
            <w:noWrap/>
            <w:hideMark/>
          </w:tcPr>
          <w:p w:rsidR="00753D44" w:rsidRPr="00223640" w:rsidRDefault="00753D44" w:rsidP="00813FF0">
            <w:pPr>
              <w:spacing w:after="0"/>
              <w:jc w:val="center"/>
              <w:rPr>
                <w:rFonts w:eastAsia="Times New Roman" w:cs="Arial"/>
                <w:b/>
                <w:sz w:val="20"/>
                <w:szCs w:val="20"/>
              </w:rPr>
            </w:pPr>
            <w:r>
              <w:rPr>
                <w:rFonts w:eastAsia="Times New Roman" w:cs="Arial"/>
                <w:b/>
                <w:sz w:val="20"/>
                <w:szCs w:val="20"/>
              </w:rPr>
              <w:t>Total</w:t>
            </w:r>
          </w:p>
        </w:tc>
      </w:tr>
      <w:tr w:rsidR="00753D44" w:rsidRPr="00223640" w:rsidTr="00F00C55">
        <w:trPr>
          <w:trHeight w:val="255"/>
          <w:jc w:val="center"/>
        </w:trPr>
        <w:tc>
          <w:tcPr>
            <w:tcW w:w="4503" w:type="dxa"/>
            <w:shd w:val="clear" w:color="auto" w:fill="auto"/>
            <w:noWrap/>
            <w:hideMark/>
          </w:tcPr>
          <w:p w:rsidR="00753D44" w:rsidRPr="00223640" w:rsidRDefault="00753D44" w:rsidP="00813FF0">
            <w:pPr>
              <w:spacing w:after="0"/>
              <w:rPr>
                <w:rFonts w:eastAsia="Times New Roman" w:cs="Arial"/>
                <w:sz w:val="20"/>
                <w:szCs w:val="20"/>
              </w:rPr>
            </w:pPr>
            <w:r w:rsidRPr="00223640">
              <w:rPr>
                <w:rFonts w:eastAsia="Times New Roman" w:cs="Arial"/>
                <w:sz w:val="20"/>
                <w:szCs w:val="20"/>
              </w:rPr>
              <w:t>1. metformin only supplied</w:t>
            </w:r>
          </w:p>
        </w:tc>
        <w:tc>
          <w:tcPr>
            <w:tcW w:w="778" w:type="dxa"/>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40.2%</w:t>
            </w:r>
          </w:p>
        </w:tc>
        <w:tc>
          <w:tcPr>
            <w:tcW w:w="778" w:type="dxa"/>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51.6%</w:t>
            </w:r>
          </w:p>
        </w:tc>
        <w:tc>
          <w:tcPr>
            <w:tcW w:w="779" w:type="dxa"/>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45.9%</w:t>
            </w:r>
          </w:p>
        </w:tc>
        <w:tc>
          <w:tcPr>
            <w:tcW w:w="778" w:type="dxa"/>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42.3%</w:t>
            </w:r>
          </w:p>
        </w:tc>
        <w:tc>
          <w:tcPr>
            <w:tcW w:w="778" w:type="dxa"/>
            <w:shd w:val="clear" w:color="auto" w:fill="auto"/>
            <w:noWrap/>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57.0%</w:t>
            </w:r>
          </w:p>
        </w:tc>
        <w:tc>
          <w:tcPr>
            <w:tcW w:w="779" w:type="dxa"/>
            <w:shd w:val="clear" w:color="auto" w:fill="auto"/>
            <w:noWrap/>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51.7%</w:t>
            </w:r>
          </w:p>
        </w:tc>
      </w:tr>
      <w:tr w:rsidR="00753D44" w:rsidRPr="00223640" w:rsidTr="00F00C55">
        <w:trPr>
          <w:trHeight w:val="272"/>
          <w:jc w:val="center"/>
        </w:trPr>
        <w:tc>
          <w:tcPr>
            <w:tcW w:w="4503" w:type="dxa"/>
            <w:shd w:val="clear" w:color="auto" w:fill="auto"/>
            <w:noWrap/>
            <w:hideMark/>
          </w:tcPr>
          <w:p w:rsidR="00753D44" w:rsidRPr="00223640" w:rsidRDefault="00753D44" w:rsidP="00813FF0">
            <w:pPr>
              <w:spacing w:after="0"/>
              <w:rPr>
                <w:rFonts w:eastAsia="Times New Roman" w:cs="Arial"/>
                <w:sz w:val="20"/>
                <w:szCs w:val="20"/>
              </w:rPr>
            </w:pPr>
            <w:r w:rsidRPr="00223640">
              <w:rPr>
                <w:rFonts w:eastAsia="Times New Roman" w:cs="Arial"/>
                <w:sz w:val="20"/>
                <w:szCs w:val="20"/>
              </w:rPr>
              <w:t>2. sulfonylurea only supplied</w:t>
            </w:r>
          </w:p>
        </w:tc>
        <w:tc>
          <w:tcPr>
            <w:tcW w:w="778" w:type="dxa"/>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9.6%</w:t>
            </w:r>
          </w:p>
        </w:tc>
        <w:tc>
          <w:tcPr>
            <w:tcW w:w="778" w:type="dxa"/>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1.8%</w:t>
            </w:r>
          </w:p>
        </w:tc>
        <w:tc>
          <w:tcPr>
            <w:tcW w:w="779" w:type="dxa"/>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5.7%</w:t>
            </w:r>
          </w:p>
        </w:tc>
        <w:tc>
          <w:tcPr>
            <w:tcW w:w="778" w:type="dxa"/>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10.0%</w:t>
            </w:r>
          </w:p>
        </w:tc>
        <w:tc>
          <w:tcPr>
            <w:tcW w:w="778" w:type="dxa"/>
            <w:shd w:val="clear" w:color="auto" w:fill="auto"/>
            <w:noWrap/>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1.5%</w:t>
            </w:r>
          </w:p>
        </w:tc>
        <w:tc>
          <w:tcPr>
            <w:tcW w:w="779" w:type="dxa"/>
            <w:shd w:val="clear" w:color="auto" w:fill="auto"/>
            <w:noWrap/>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4.6%</w:t>
            </w:r>
          </w:p>
        </w:tc>
      </w:tr>
      <w:tr w:rsidR="00753D44" w:rsidRPr="00223640" w:rsidTr="00F00C55">
        <w:trPr>
          <w:trHeight w:val="255"/>
          <w:jc w:val="center"/>
        </w:trPr>
        <w:tc>
          <w:tcPr>
            <w:tcW w:w="4503" w:type="dxa"/>
            <w:tcBorders>
              <w:bottom w:val="single" w:sz="4" w:space="0" w:color="auto"/>
            </w:tcBorders>
            <w:shd w:val="clear" w:color="auto" w:fill="auto"/>
            <w:noWrap/>
            <w:hideMark/>
          </w:tcPr>
          <w:p w:rsidR="00753D44" w:rsidRPr="00223640" w:rsidRDefault="00753D44" w:rsidP="00813FF0">
            <w:pPr>
              <w:spacing w:after="0"/>
              <w:rPr>
                <w:rFonts w:eastAsia="Times New Roman" w:cs="Arial"/>
                <w:sz w:val="20"/>
                <w:szCs w:val="20"/>
              </w:rPr>
            </w:pPr>
            <w:r w:rsidRPr="00223640">
              <w:rPr>
                <w:rFonts w:eastAsia="Times New Roman" w:cs="Arial"/>
                <w:sz w:val="20"/>
                <w:szCs w:val="20"/>
              </w:rPr>
              <w:t>3. neither metformin nor sulfonylurea supplied</w:t>
            </w:r>
          </w:p>
        </w:tc>
        <w:tc>
          <w:tcPr>
            <w:tcW w:w="778" w:type="dxa"/>
            <w:tcBorders>
              <w:bottom w:val="single" w:sz="4" w:space="0" w:color="auto"/>
            </w:tcBorders>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7.9%</w:t>
            </w:r>
          </w:p>
        </w:tc>
        <w:tc>
          <w:tcPr>
            <w:tcW w:w="778" w:type="dxa"/>
            <w:tcBorders>
              <w:bottom w:val="single" w:sz="4" w:space="0" w:color="auto"/>
            </w:tcBorders>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11.8%</w:t>
            </w:r>
          </w:p>
        </w:tc>
        <w:tc>
          <w:tcPr>
            <w:tcW w:w="779" w:type="dxa"/>
            <w:tcBorders>
              <w:bottom w:val="single" w:sz="4" w:space="0" w:color="auto"/>
            </w:tcBorders>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9.9%</w:t>
            </w:r>
          </w:p>
        </w:tc>
        <w:tc>
          <w:tcPr>
            <w:tcW w:w="778" w:type="dxa"/>
            <w:tcBorders>
              <w:bottom w:val="single" w:sz="4" w:space="0" w:color="auto"/>
            </w:tcBorders>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12.8%</w:t>
            </w:r>
          </w:p>
        </w:tc>
        <w:tc>
          <w:tcPr>
            <w:tcW w:w="778" w:type="dxa"/>
            <w:tcBorders>
              <w:bottom w:val="single" w:sz="4" w:space="0" w:color="auto"/>
            </w:tcBorders>
            <w:shd w:val="clear" w:color="auto" w:fill="auto"/>
            <w:noWrap/>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14.0%</w:t>
            </w:r>
          </w:p>
        </w:tc>
        <w:tc>
          <w:tcPr>
            <w:tcW w:w="779" w:type="dxa"/>
            <w:tcBorders>
              <w:bottom w:val="single" w:sz="4" w:space="0" w:color="auto"/>
            </w:tcBorders>
            <w:shd w:val="clear" w:color="auto" w:fill="auto"/>
            <w:noWrap/>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13.6%</w:t>
            </w:r>
          </w:p>
        </w:tc>
      </w:tr>
      <w:tr w:rsidR="00753D44" w:rsidRPr="00223640" w:rsidTr="00F00C55">
        <w:trPr>
          <w:trHeight w:val="255"/>
          <w:jc w:val="center"/>
        </w:trPr>
        <w:tc>
          <w:tcPr>
            <w:tcW w:w="4503" w:type="dxa"/>
            <w:shd w:val="clear" w:color="auto" w:fill="D9D9D9" w:themeFill="background1" w:themeFillShade="D9"/>
            <w:noWrap/>
          </w:tcPr>
          <w:p w:rsidR="00753D44" w:rsidRPr="00223640" w:rsidRDefault="00753D44" w:rsidP="00813FF0">
            <w:pPr>
              <w:spacing w:after="0"/>
              <w:rPr>
                <w:rFonts w:eastAsia="Times New Roman" w:cs="Arial"/>
                <w:i/>
                <w:sz w:val="20"/>
                <w:szCs w:val="20"/>
              </w:rPr>
            </w:pPr>
            <w:r w:rsidRPr="00223640">
              <w:rPr>
                <w:rFonts w:eastAsia="Times New Roman" w:cs="Arial"/>
                <w:i/>
                <w:sz w:val="20"/>
                <w:szCs w:val="20"/>
              </w:rPr>
              <w:t xml:space="preserve">Total regimen summaries histories </w:t>
            </w:r>
            <w:r w:rsidRPr="00223640">
              <w:rPr>
                <w:rFonts w:eastAsia="Times New Roman" w:cs="Arial"/>
                <w:b/>
                <w:i/>
                <w:sz w:val="20"/>
                <w:szCs w:val="20"/>
              </w:rPr>
              <w:t>not containing</w:t>
            </w:r>
            <w:r w:rsidRPr="00223640">
              <w:rPr>
                <w:rFonts w:eastAsia="Times New Roman" w:cs="Arial"/>
                <w:i/>
                <w:sz w:val="20"/>
                <w:szCs w:val="20"/>
              </w:rPr>
              <w:t xml:space="preserve"> both metformin and a sulfonylurea </w:t>
            </w:r>
          </w:p>
        </w:tc>
        <w:tc>
          <w:tcPr>
            <w:tcW w:w="778" w:type="dxa"/>
            <w:shd w:val="clear" w:color="auto" w:fill="D9D9D9" w:themeFill="background1" w:themeFillShade="D9"/>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57.7%</w:t>
            </w:r>
          </w:p>
        </w:tc>
        <w:tc>
          <w:tcPr>
            <w:tcW w:w="778" w:type="dxa"/>
            <w:shd w:val="clear" w:color="auto" w:fill="D9D9D9" w:themeFill="background1" w:themeFillShade="D9"/>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65.3%</w:t>
            </w:r>
          </w:p>
        </w:tc>
        <w:tc>
          <w:tcPr>
            <w:tcW w:w="779" w:type="dxa"/>
            <w:shd w:val="clear" w:color="auto" w:fill="D9D9D9" w:themeFill="background1" w:themeFillShade="D9"/>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61.5%</w:t>
            </w:r>
          </w:p>
        </w:tc>
        <w:tc>
          <w:tcPr>
            <w:tcW w:w="778" w:type="dxa"/>
            <w:shd w:val="clear" w:color="auto" w:fill="D9D9D9" w:themeFill="background1" w:themeFillShade="D9"/>
            <w:vAlign w:val="center"/>
          </w:tcPr>
          <w:p w:rsidR="00753D44" w:rsidRPr="0021294F" w:rsidRDefault="00753D44" w:rsidP="00813FF0">
            <w:pPr>
              <w:spacing w:after="0"/>
              <w:jc w:val="center"/>
              <w:rPr>
                <w:rFonts w:ascii="Calibri" w:hAnsi="Calibri"/>
                <w:bCs/>
                <w:color w:val="000000"/>
                <w:sz w:val="20"/>
                <w:szCs w:val="20"/>
              </w:rPr>
            </w:pPr>
            <w:r w:rsidRPr="0021294F">
              <w:rPr>
                <w:rFonts w:ascii="Calibri" w:hAnsi="Calibri"/>
                <w:bCs/>
                <w:color w:val="000000"/>
                <w:sz w:val="20"/>
                <w:szCs w:val="20"/>
              </w:rPr>
              <w:t>65.1%</w:t>
            </w:r>
          </w:p>
        </w:tc>
        <w:tc>
          <w:tcPr>
            <w:tcW w:w="778" w:type="dxa"/>
            <w:shd w:val="clear" w:color="auto" w:fill="D9D9D9" w:themeFill="background1" w:themeFillShade="D9"/>
            <w:noWrap/>
            <w:vAlign w:val="center"/>
          </w:tcPr>
          <w:p w:rsidR="00753D44" w:rsidRPr="0021294F" w:rsidRDefault="00753D44" w:rsidP="00813FF0">
            <w:pPr>
              <w:spacing w:after="0"/>
              <w:jc w:val="center"/>
              <w:rPr>
                <w:rFonts w:ascii="Calibri" w:hAnsi="Calibri"/>
                <w:bCs/>
                <w:color w:val="000000"/>
                <w:sz w:val="20"/>
                <w:szCs w:val="20"/>
              </w:rPr>
            </w:pPr>
            <w:r w:rsidRPr="0021294F">
              <w:rPr>
                <w:rFonts w:ascii="Calibri" w:hAnsi="Calibri"/>
                <w:bCs/>
                <w:color w:val="000000"/>
                <w:sz w:val="20"/>
                <w:szCs w:val="20"/>
              </w:rPr>
              <w:t>72.5%</w:t>
            </w:r>
          </w:p>
        </w:tc>
        <w:tc>
          <w:tcPr>
            <w:tcW w:w="779" w:type="dxa"/>
            <w:shd w:val="clear" w:color="auto" w:fill="D9D9D9" w:themeFill="background1" w:themeFillShade="D9"/>
            <w:noWrap/>
            <w:vAlign w:val="center"/>
          </w:tcPr>
          <w:p w:rsidR="00753D44" w:rsidRPr="0021294F" w:rsidRDefault="00753D44" w:rsidP="00813FF0">
            <w:pPr>
              <w:spacing w:after="0"/>
              <w:jc w:val="center"/>
              <w:rPr>
                <w:rFonts w:ascii="Calibri" w:hAnsi="Calibri"/>
                <w:bCs/>
                <w:color w:val="000000"/>
                <w:sz w:val="20"/>
                <w:szCs w:val="20"/>
              </w:rPr>
            </w:pPr>
            <w:r w:rsidRPr="0021294F">
              <w:rPr>
                <w:rFonts w:ascii="Calibri" w:hAnsi="Calibri"/>
                <w:bCs/>
                <w:color w:val="000000"/>
                <w:sz w:val="20"/>
                <w:szCs w:val="20"/>
              </w:rPr>
              <w:t>69.8%</w:t>
            </w:r>
          </w:p>
        </w:tc>
      </w:tr>
      <w:tr w:rsidR="00753D44" w:rsidRPr="00223640" w:rsidTr="00F00C55">
        <w:trPr>
          <w:trHeight w:val="255"/>
          <w:jc w:val="center"/>
        </w:trPr>
        <w:tc>
          <w:tcPr>
            <w:tcW w:w="4503" w:type="dxa"/>
            <w:shd w:val="clear" w:color="auto" w:fill="auto"/>
            <w:noWrap/>
            <w:vAlign w:val="bottom"/>
            <w:hideMark/>
          </w:tcPr>
          <w:p w:rsidR="00753D44" w:rsidRPr="00223640" w:rsidRDefault="00753D44" w:rsidP="00813FF0">
            <w:pPr>
              <w:spacing w:after="0"/>
              <w:rPr>
                <w:rFonts w:eastAsia="Times New Roman" w:cs="Arial"/>
                <w:sz w:val="20"/>
                <w:szCs w:val="20"/>
              </w:rPr>
            </w:pPr>
            <w:r w:rsidRPr="00223640">
              <w:rPr>
                <w:rFonts w:eastAsia="Times New Roman" w:cs="Arial"/>
                <w:sz w:val="20"/>
                <w:szCs w:val="20"/>
              </w:rPr>
              <w:t>4. metformin and sulfonylurea deemed to be co-administered for a period</w:t>
            </w:r>
          </w:p>
        </w:tc>
        <w:tc>
          <w:tcPr>
            <w:tcW w:w="778" w:type="dxa"/>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40.1%</w:t>
            </w:r>
          </w:p>
        </w:tc>
        <w:tc>
          <w:tcPr>
            <w:tcW w:w="778" w:type="dxa"/>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33.7%</w:t>
            </w:r>
          </w:p>
        </w:tc>
        <w:tc>
          <w:tcPr>
            <w:tcW w:w="779" w:type="dxa"/>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36.9%</w:t>
            </w:r>
          </w:p>
        </w:tc>
        <w:tc>
          <w:tcPr>
            <w:tcW w:w="778" w:type="dxa"/>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32.8%</w:t>
            </w:r>
          </w:p>
        </w:tc>
        <w:tc>
          <w:tcPr>
            <w:tcW w:w="778" w:type="dxa"/>
            <w:shd w:val="clear" w:color="auto" w:fill="auto"/>
            <w:noWrap/>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26.7%</w:t>
            </w:r>
          </w:p>
        </w:tc>
        <w:tc>
          <w:tcPr>
            <w:tcW w:w="779" w:type="dxa"/>
            <w:shd w:val="clear" w:color="auto" w:fill="auto"/>
            <w:noWrap/>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28.9%</w:t>
            </w:r>
          </w:p>
        </w:tc>
      </w:tr>
      <w:tr w:rsidR="00753D44" w:rsidRPr="00223640" w:rsidTr="00F00C55">
        <w:trPr>
          <w:trHeight w:val="255"/>
          <w:jc w:val="center"/>
        </w:trPr>
        <w:tc>
          <w:tcPr>
            <w:tcW w:w="4503" w:type="dxa"/>
            <w:tcBorders>
              <w:bottom w:val="single" w:sz="4" w:space="0" w:color="auto"/>
            </w:tcBorders>
            <w:shd w:val="clear" w:color="auto" w:fill="auto"/>
            <w:noWrap/>
            <w:vAlign w:val="bottom"/>
            <w:hideMark/>
          </w:tcPr>
          <w:p w:rsidR="00753D44" w:rsidRPr="00223640" w:rsidRDefault="00753D44" w:rsidP="00813FF0">
            <w:pPr>
              <w:spacing w:after="0"/>
              <w:rPr>
                <w:rFonts w:eastAsia="Times New Roman" w:cs="Arial"/>
                <w:sz w:val="20"/>
                <w:szCs w:val="20"/>
              </w:rPr>
            </w:pPr>
            <w:r w:rsidRPr="00223640">
              <w:rPr>
                <w:rFonts w:eastAsia="Times New Roman" w:cs="Arial"/>
                <w:sz w:val="20"/>
                <w:szCs w:val="20"/>
              </w:rPr>
              <w:t>5. metformin and sulfonylurea supplied but not deemed to be co-administered at any time</w:t>
            </w:r>
          </w:p>
        </w:tc>
        <w:tc>
          <w:tcPr>
            <w:tcW w:w="778" w:type="dxa"/>
            <w:tcBorders>
              <w:bottom w:val="single" w:sz="4" w:space="0" w:color="auto"/>
            </w:tcBorders>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2.2%</w:t>
            </w:r>
          </w:p>
        </w:tc>
        <w:tc>
          <w:tcPr>
            <w:tcW w:w="778" w:type="dxa"/>
            <w:tcBorders>
              <w:bottom w:val="single" w:sz="4" w:space="0" w:color="auto"/>
            </w:tcBorders>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1.0%</w:t>
            </w:r>
          </w:p>
        </w:tc>
        <w:tc>
          <w:tcPr>
            <w:tcW w:w="779" w:type="dxa"/>
            <w:tcBorders>
              <w:bottom w:val="single" w:sz="4" w:space="0" w:color="auto"/>
            </w:tcBorders>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1.6%</w:t>
            </w:r>
          </w:p>
        </w:tc>
        <w:tc>
          <w:tcPr>
            <w:tcW w:w="778" w:type="dxa"/>
            <w:tcBorders>
              <w:bottom w:val="single" w:sz="4" w:space="0" w:color="auto"/>
            </w:tcBorders>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2.2%</w:t>
            </w:r>
          </w:p>
        </w:tc>
        <w:tc>
          <w:tcPr>
            <w:tcW w:w="778" w:type="dxa"/>
            <w:tcBorders>
              <w:bottom w:val="single" w:sz="4" w:space="0" w:color="auto"/>
            </w:tcBorders>
            <w:shd w:val="clear" w:color="auto" w:fill="auto"/>
            <w:noWrap/>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0.8%</w:t>
            </w:r>
          </w:p>
        </w:tc>
        <w:tc>
          <w:tcPr>
            <w:tcW w:w="779" w:type="dxa"/>
            <w:tcBorders>
              <w:bottom w:val="single" w:sz="4" w:space="0" w:color="auto"/>
            </w:tcBorders>
            <w:shd w:val="clear" w:color="auto" w:fill="auto"/>
            <w:noWrap/>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1.3%</w:t>
            </w:r>
          </w:p>
        </w:tc>
      </w:tr>
      <w:tr w:rsidR="00753D44" w:rsidRPr="00223640" w:rsidTr="00F00C55">
        <w:trPr>
          <w:trHeight w:val="255"/>
          <w:jc w:val="center"/>
        </w:trPr>
        <w:tc>
          <w:tcPr>
            <w:tcW w:w="4503" w:type="dxa"/>
            <w:tcBorders>
              <w:bottom w:val="single" w:sz="4" w:space="0" w:color="auto"/>
            </w:tcBorders>
            <w:shd w:val="clear" w:color="auto" w:fill="D9D9D9" w:themeFill="background1" w:themeFillShade="D9"/>
            <w:noWrap/>
          </w:tcPr>
          <w:p w:rsidR="00753D44" w:rsidRPr="00223640" w:rsidRDefault="00753D44" w:rsidP="00813FF0">
            <w:pPr>
              <w:spacing w:after="0"/>
              <w:rPr>
                <w:rFonts w:eastAsia="Times New Roman" w:cs="Arial"/>
                <w:i/>
                <w:sz w:val="20"/>
                <w:szCs w:val="20"/>
              </w:rPr>
            </w:pPr>
            <w:r w:rsidRPr="00223640">
              <w:rPr>
                <w:rFonts w:eastAsia="Times New Roman" w:cs="Arial"/>
                <w:i/>
                <w:sz w:val="20"/>
                <w:szCs w:val="20"/>
              </w:rPr>
              <w:t xml:space="preserve">Total regimen summaries histories </w:t>
            </w:r>
            <w:r w:rsidRPr="00223640">
              <w:rPr>
                <w:rFonts w:eastAsia="Times New Roman" w:cs="Arial"/>
                <w:b/>
                <w:i/>
                <w:sz w:val="20"/>
                <w:szCs w:val="20"/>
              </w:rPr>
              <w:t>containing</w:t>
            </w:r>
            <w:r w:rsidRPr="00223640">
              <w:rPr>
                <w:rFonts w:eastAsia="Times New Roman" w:cs="Arial"/>
                <w:i/>
                <w:sz w:val="20"/>
                <w:szCs w:val="20"/>
              </w:rPr>
              <w:t xml:space="preserve"> both metformin and a sulfonylurea </w:t>
            </w:r>
          </w:p>
        </w:tc>
        <w:tc>
          <w:tcPr>
            <w:tcW w:w="778" w:type="dxa"/>
            <w:tcBorders>
              <w:bottom w:val="single" w:sz="4" w:space="0" w:color="auto"/>
            </w:tcBorders>
            <w:shd w:val="clear" w:color="auto" w:fill="D9D9D9" w:themeFill="background1" w:themeFillShade="D9"/>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42.3%</w:t>
            </w:r>
          </w:p>
        </w:tc>
        <w:tc>
          <w:tcPr>
            <w:tcW w:w="778" w:type="dxa"/>
            <w:tcBorders>
              <w:bottom w:val="single" w:sz="4" w:space="0" w:color="auto"/>
            </w:tcBorders>
            <w:shd w:val="clear" w:color="auto" w:fill="D9D9D9" w:themeFill="background1" w:themeFillShade="D9"/>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34.7%</w:t>
            </w:r>
          </w:p>
        </w:tc>
        <w:tc>
          <w:tcPr>
            <w:tcW w:w="779" w:type="dxa"/>
            <w:tcBorders>
              <w:bottom w:val="single" w:sz="4" w:space="0" w:color="auto"/>
            </w:tcBorders>
            <w:shd w:val="clear" w:color="auto" w:fill="D9D9D9" w:themeFill="background1" w:themeFillShade="D9"/>
            <w:vAlign w:val="center"/>
          </w:tcPr>
          <w:p w:rsidR="00753D44" w:rsidRPr="0021294F" w:rsidRDefault="00753D44" w:rsidP="00813FF0">
            <w:pPr>
              <w:spacing w:after="0"/>
              <w:jc w:val="center"/>
              <w:rPr>
                <w:rFonts w:ascii="Calibri" w:hAnsi="Calibri"/>
                <w:color w:val="000000"/>
                <w:sz w:val="20"/>
                <w:szCs w:val="20"/>
              </w:rPr>
            </w:pPr>
            <w:r w:rsidRPr="0021294F">
              <w:rPr>
                <w:rFonts w:ascii="Calibri" w:hAnsi="Calibri"/>
                <w:color w:val="000000"/>
                <w:sz w:val="20"/>
                <w:szCs w:val="20"/>
              </w:rPr>
              <w:t>38.5%</w:t>
            </w:r>
          </w:p>
        </w:tc>
        <w:tc>
          <w:tcPr>
            <w:tcW w:w="778" w:type="dxa"/>
            <w:tcBorders>
              <w:bottom w:val="single" w:sz="4" w:space="0" w:color="auto"/>
            </w:tcBorders>
            <w:shd w:val="clear" w:color="auto" w:fill="D9D9D9" w:themeFill="background1" w:themeFillShade="D9"/>
            <w:vAlign w:val="center"/>
          </w:tcPr>
          <w:p w:rsidR="00753D44" w:rsidRPr="0021294F" w:rsidRDefault="00753D44" w:rsidP="00813FF0">
            <w:pPr>
              <w:spacing w:after="0"/>
              <w:jc w:val="center"/>
              <w:rPr>
                <w:rFonts w:ascii="Calibri" w:hAnsi="Calibri"/>
                <w:bCs/>
                <w:color w:val="000000"/>
                <w:sz w:val="20"/>
                <w:szCs w:val="20"/>
              </w:rPr>
            </w:pPr>
            <w:r w:rsidRPr="0021294F">
              <w:rPr>
                <w:rFonts w:ascii="Calibri" w:hAnsi="Calibri"/>
                <w:bCs/>
                <w:color w:val="000000"/>
                <w:sz w:val="20"/>
                <w:szCs w:val="20"/>
              </w:rPr>
              <w:t>34.9%</w:t>
            </w:r>
          </w:p>
        </w:tc>
        <w:tc>
          <w:tcPr>
            <w:tcW w:w="778" w:type="dxa"/>
            <w:tcBorders>
              <w:bottom w:val="single" w:sz="4" w:space="0" w:color="auto"/>
            </w:tcBorders>
            <w:shd w:val="clear" w:color="auto" w:fill="D9D9D9" w:themeFill="background1" w:themeFillShade="D9"/>
            <w:noWrap/>
            <w:vAlign w:val="center"/>
          </w:tcPr>
          <w:p w:rsidR="00753D44" w:rsidRPr="0021294F" w:rsidRDefault="00753D44" w:rsidP="00813FF0">
            <w:pPr>
              <w:spacing w:after="0"/>
              <w:jc w:val="center"/>
              <w:rPr>
                <w:rFonts w:ascii="Calibri" w:hAnsi="Calibri"/>
                <w:bCs/>
                <w:color w:val="000000"/>
                <w:sz w:val="20"/>
                <w:szCs w:val="20"/>
              </w:rPr>
            </w:pPr>
            <w:r w:rsidRPr="0021294F">
              <w:rPr>
                <w:rFonts w:ascii="Calibri" w:hAnsi="Calibri"/>
                <w:bCs/>
                <w:color w:val="000000"/>
                <w:sz w:val="20"/>
                <w:szCs w:val="20"/>
              </w:rPr>
              <w:t>27.5%</w:t>
            </w:r>
          </w:p>
        </w:tc>
        <w:tc>
          <w:tcPr>
            <w:tcW w:w="779" w:type="dxa"/>
            <w:tcBorders>
              <w:bottom w:val="single" w:sz="4" w:space="0" w:color="auto"/>
            </w:tcBorders>
            <w:shd w:val="clear" w:color="auto" w:fill="D9D9D9" w:themeFill="background1" w:themeFillShade="D9"/>
            <w:noWrap/>
            <w:vAlign w:val="center"/>
          </w:tcPr>
          <w:p w:rsidR="00753D44" w:rsidRPr="0021294F" w:rsidRDefault="00753D44" w:rsidP="00813FF0">
            <w:pPr>
              <w:spacing w:after="0"/>
              <w:jc w:val="center"/>
              <w:rPr>
                <w:rFonts w:ascii="Calibri" w:hAnsi="Calibri"/>
                <w:bCs/>
                <w:color w:val="000000"/>
                <w:sz w:val="20"/>
                <w:szCs w:val="20"/>
              </w:rPr>
            </w:pPr>
            <w:r w:rsidRPr="0021294F">
              <w:rPr>
                <w:rFonts w:ascii="Calibri" w:hAnsi="Calibri"/>
                <w:bCs/>
                <w:color w:val="000000"/>
                <w:sz w:val="20"/>
                <w:szCs w:val="20"/>
              </w:rPr>
              <w:t>30.2%</w:t>
            </w:r>
          </w:p>
        </w:tc>
      </w:tr>
      <w:tr w:rsidR="00753D44" w:rsidRPr="00223640" w:rsidTr="00F00C55">
        <w:trPr>
          <w:trHeight w:val="255"/>
          <w:jc w:val="center"/>
        </w:trPr>
        <w:tc>
          <w:tcPr>
            <w:tcW w:w="4503" w:type="dxa"/>
            <w:shd w:val="clear" w:color="auto" w:fill="BFBFBF" w:themeFill="background1" w:themeFillShade="BF"/>
            <w:noWrap/>
            <w:hideMark/>
          </w:tcPr>
          <w:p w:rsidR="00753D44" w:rsidRPr="00223640" w:rsidRDefault="00753D44" w:rsidP="00813FF0">
            <w:pPr>
              <w:spacing w:after="0"/>
              <w:rPr>
                <w:rFonts w:eastAsia="Times New Roman" w:cs="Arial"/>
                <w:sz w:val="20"/>
                <w:szCs w:val="20"/>
              </w:rPr>
            </w:pPr>
            <w:r w:rsidRPr="00223640">
              <w:rPr>
                <w:rFonts w:eastAsia="Times New Roman" w:cs="Arial"/>
                <w:sz w:val="20"/>
                <w:szCs w:val="20"/>
              </w:rPr>
              <w:t>Total</w:t>
            </w:r>
          </w:p>
        </w:tc>
        <w:tc>
          <w:tcPr>
            <w:tcW w:w="778" w:type="dxa"/>
            <w:shd w:val="clear" w:color="auto" w:fill="BFBFBF" w:themeFill="background1" w:themeFillShade="BF"/>
            <w:vAlign w:val="center"/>
          </w:tcPr>
          <w:p w:rsidR="00753D44" w:rsidRPr="0021294F" w:rsidRDefault="00753D44" w:rsidP="00813FF0">
            <w:pPr>
              <w:spacing w:after="0"/>
              <w:jc w:val="center"/>
              <w:rPr>
                <w:rFonts w:ascii="Calibri" w:hAnsi="Calibri"/>
                <w:bCs/>
                <w:color w:val="000000"/>
                <w:sz w:val="20"/>
                <w:szCs w:val="20"/>
              </w:rPr>
            </w:pPr>
            <w:r w:rsidRPr="0021294F">
              <w:rPr>
                <w:rFonts w:ascii="Calibri" w:hAnsi="Calibri"/>
                <w:bCs/>
                <w:color w:val="000000"/>
                <w:sz w:val="20"/>
                <w:szCs w:val="20"/>
              </w:rPr>
              <w:t>100%</w:t>
            </w:r>
          </w:p>
        </w:tc>
        <w:tc>
          <w:tcPr>
            <w:tcW w:w="778" w:type="dxa"/>
            <w:shd w:val="clear" w:color="auto" w:fill="BFBFBF" w:themeFill="background1" w:themeFillShade="BF"/>
            <w:vAlign w:val="center"/>
          </w:tcPr>
          <w:p w:rsidR="00753D44" w:rsidRPr="0021294F" w:rsidRDefault="00753D44" w:rsidP="00813FF0">
            <w:pPr>
              <w:spacing w:after="0"/>
              <w:jc w:val="center"/>
              <w:rPr>
                <w:rFonts w:ascii="Calibri" w:hAnsi="Calibri"/>
                <w:bCs/>
                <w:color w:val="000000"/>
                <w:sz w:val="20"/>
                <w:szCs w:val="20"/>
              </w:rPr>
            </w:pPr>
            <w:r w:rsidRPr="0021294F">
              <w:rPr>
                <w:rFonts w:ascii="Calibri" w:hAnsi="Calibri"/>
                <w:bCs/>
                <w:color w:val="000000"/>
                <w:sz w:val="20"/>
                <w:szCs w:val="20"/>
              </w:rPr>
              <w:t>100%</w:t>
            </w:r>
          </w:p>
        </w:tc>
        <w:tc>
          <w:tcPr>
            <w:tcW w:w="779" w:type="dxa"/>
            <w:shd w:val="clear" w:color="auto" w:fill="BFBFBF" w:themeFill="background1" w:themeFillShade="BF"/>
            <w:vAlign w:val="center"/>
          </w:tcPr>
          <w:p w:rsidR="00753D44" w:rsidRPr="0021294F" w:rsidRDefault="00753D44" w:rsidP="00813FF0">
            <w:pPr>
              <w:spacing w:after="0"/>
              <w:jc w:val="center"/>
              <w:rPr>
                <w:rFonts w:ascii="Calibri" w:hAnsi="Calibri"/>
                <w:bCs/>
                <w:color w:val="000000"/>
                <w:sz w:val="20"/>
                <w:szCs w:val="20"/>
              </w:rPr>
            </w:pPr>
            <w:r w:rsidRPr="0021294F">
              <w:rPr>
                <w:rFonts w:ascii="Calibri" w:hAnsi="Calibri"/>
                <w:bCs/>
                <w:color w:val="000000"/>
                <w:sz w:val="20"/>
                <w:szCs w:val="20"/>
              </w:rPr>
              <w:t>100%</w:t>
            </w:r>
          </w:p>
        </w:tc>
        <w:tc>
          <w:tcPr>
            <w:tcW w:w="778" w:type="dxa"/>
            <w:shd w:val="clear" w:color="auto" w:fill="BFBFBF" w:themeFill="background1" w:themeFillShade="BF"/>
            <w:vAlign w:val="center"/>
          </w:tcPr>
          <w:p w:rsidR="00753D44" w:rsidRPr="0021294F" w:rsidRDefault="00753D44" w:rsidP="00813FF0">
            <w:pPr>
              <w:spacing w:after="0"/>
              <w:jc w:val="center"/>
              <w:rPr>
                <w:rFonts w:ascii="Calibri" w:hAnsi="Calibri"/>
                <w:bCs/>
                <w:color w:val="000000"/>
                <w:sz w:val="20"/>
                <w:szCs w:val="20"/>
              </w:rPr>
            </w:pPr>
            <w:r w:rsidRPr="0021294F">
              <w:rPr>
                <w:rFonts w:ascii="Calibri" w:hAnsi="Calibri"/>
                <w:bCs/>
                <w:color w:val="000000"/>
                <w:sz w:val="20"/>
                <w:szCs w:val="20"/>
              </w:rPr>
              <w:t>100%</w:t>
            </w:r>
          </w:p>
        </w:tc>
        <w:tc>
          <w:tcPr>
            <w:tcW w:w="778" w:type="dxa"/>
            <w:shd w:val="clear" w:color="auto" w:fill="BFBFBF" w:themeFill="background1" w:themeFillShade="BF"/>
            <w:noWrap/>
            <w:vAlign w:val="center"/>
            <w:hideMark/>
          </w:tcPr>
          <w:p w:rsidR="00753D44" w:rsidRPr="0021294F" w:rsidRDefault="00753D44" w:rsidP="00813FF0">
            <w:pPr>
              <w:spacing w:after="0"/>
              <w:jc w:val="center"/>
              <w:rPr>
                <w:rFonts w:ascii="Calibri" w:hAnsi="Calibri"/>
                <w:bCs/>
                <w:color w:val="000000"/>
                <w:sz w:val="20"/>
                <w:szCs w:val="20"/>
              </w:rPr>
            </w:pPr>
            <w:r w:rsidRPr="0021294F">
              <w:rPr>
                <w:rFonts w:ascii="Calibri" w:hAnsi="Calibri"/>
                <w:bCs/>
                <w:color w:val="000000"/>
                <w:sz w:val="20"/>
                <w:szCs w:val="20"/>
              </w:rPr>
              <w:t>100%</w:t>
            </w:r>
          </w:p>
        </w:tc>
        <w:tc>
          <w:tcPr>
            <w:tcW w:w="779" w:type="dxa"/>
            <w:shd w:val="clear" w:color="auto" w:fill="BFBFBF" w:themeFill="background1" w:themeFillShade="BF"/>
            <w:noWrap/>
            <w:vAlign w:val="center"/>
            <w:hideMark/>
          </w:tcPr>
          <w:p w:rsidR="00753D44" w:rsidRPr="0021294F" w:rsidRDefault="00753D44" w:rsidP="00813FF0">
            <w:pPr>
              <w:spacing w:after="0"/>
              <w:jc w:val="center"/>
              <w:rPr>
                <w:rFonts w:ascii="Calibri" w:hAnsi="Calibri"/>
                <w:bCs/>
                <w:color w:val="000000"/>
                <w:sz w:val="20"/>
                <w:szCs w:val="20"/>
              </w:rPr>
            </w:pPr>
            <w:r w:rsidRPr="0021294F">
              <w:rPr>
                <w:rFonts w:ascii="Calibri" w:hAnsi="Calibri"/>
                <w:bCs/>
                <w:color w:val="000000"/>
                <w:sz w:val="20"/>
                <w:szCs w:val="20"/>
              </w:rPr>
              <w:t>100%</w:t>
            </w:r>
          </w:p>
        </w:tc>
      </w:tr>
    </w:tbl>
    <w:p w:rsidR="00753D44" w:rsidRDefault="00753D44" w:rsidP="00813FF0">
      <w:pPr>
        <w:spacing w:after="0"/>
        <w:rPr>
          <w:rFonts w:eastAsia="Times New Roman" w:cs="Arial"/>
          <w:b/>
          <w:sz w:val="20"/>
          <w:szCs w:val="20"/>
          <w:lang w:val="en-US"/>
        </w:rPr>
      </w:pPr>
    </w:p>
    <w:p w:rsidR="00753D44" w:rsidRPr="007402FB" w:rsidRDefault="00753D44" w:rsidP="00511E87">
      <w:r>
        <w:t>Table 1</w:t>
      </w:r>
      <w:r w:rsidR="002A3A19">
        <w:t>0</w:t>
      </w:r>
      <w:r>
        <w:t xml:space="preserve"> shows that dual oral therapy with </w:t>
      </w:r>
      <w:r w:rsidRPr="009E711F">
        <w:t>metformin and sulfonylurea</w:t>
      </w:r>
      <w:r>
        <w:t xml:space="preserve"> pre-initiation to a </w:t>
      </w:r>
      <w:proofErr w:type="spellStart"/>
      <w:r>
        <w:t>gliptin</w:t>
      </w:r>
      <w:proofErr w:type="spellEnd"/>
      <w:r>
        <w:t xml:space="preserve"> decreased between the Prior and Post cohorts (</w:t>
      </w:r>
      <w:proofErr w:type="spellStart"/>
      <w:r>
        <w:t>ie</w:t>
      </w:r>
      <w:proofErr w:type="spellEnd"/>
      <w:r>
        <w:t>. from 36.9% to 28.9%).</w:t>
      </w:r>
      <w:r w:rsidRPr="009E711F">
        <w:t xml:space="preserve"> </w:t>
      </w:r>
      <w:r>
        <w:t xml:space="preserve">This percentage is lower for patients who initiated on a </w:t>
      </w:r>
      <w:proofErr w:type="spellStart"/>
      <w:r>
        <w:t>gliptin</w:t>
      </w:r>
      <w:proofErr w:type="spellEnd"/>
      <w:r>
        <w:t xml:space="preserve"> &amp; metformin FDC (</w:t>
      </w:r>
      <w:proofErr w:type="spellStart"/>
      <w:r>
        <w:t>ie</w:t>
      </w:r>
      <w:proofErr w:type="spellEnd"/>
      <w:r>
        <w:t xml:space="preserve">. from 33.7% to 26.7%). This trend is what would be expected from the change in restriction which meant that trialling of </w:t>
      </w:r>
      <w:r w:rsidRPr="00511BE5">
        <w:t xml:space="preserve">combination therapy with metformin and a sulfonylurea </w:t>
      </w:r>
      <w:r>
        <w:t>was no longer required.</w:t>
      </w:r>
    </w:p>
    <w:p w:rsidR="00896011" w:rsidRDefault="00896011" w:rsidP="00813FF0">
      <w:pPr>
        <w:spacing w:line="276" w:lineRule="auto"/>
      </w:pPr>
      <w:r>
        <w:br w:type="page"/>
      </w:r>
    </w:p>
    <w:p w:rsidR="00896011" w:rsidRDefault="00896011" w:rsidP="00813FF0">
      <w:pPr>
        <w:rPr>
          <w:b/>
          <w:i/>
        </w:rPr>
      </w:pPr>
      <w:r>
        <w:rPr>
          <w:b/>
          <w:i/>
        </w:rPr>
        <w:lastRenderedPageBreak/>
        <w:t>Insulin</w:t>
      </w:r>
    </w:p>
    <w:p w:rsidR="00A607EB" w:rsidRPr="00AB7AF5" w:rsidRDefault="00AB7AF5" w:rsidP="00813FF0">
      <w:pPr>
        <w:rPr>
          <w:b/>
        </w:rPr>
      </w:pPr>
      <w:r>
        <w:rPr>
          <w:noProof/>
        </w:rPr>
        <w:drawing>
          <wp:inline distT="0" distB="0" distL="0" distR="0" wp14:anchorId="5F24AE85" wp14:editId="723824CC">
            <wp:extent cx="5687695" cy="3440820"/>
            <wp:effectExtent l="0" t="0" r="8255" b="7620"/>
            <wp:docPr id="24" name="Picture 24" descr="A line graph displaying the number of patients against the week of supply" title="Number of patients with a drug regimen containing insu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87695" cy="3440820"/>
                    </a:xfrm>
                    <a:prstGeom prst="rect">
                      <a:avLst/>
                    </a:prstGeom>
                  </pic:spPr>
                </pic:pic>
              </a:graphicData>
            </a:graphic>
          </wp:inline>
        </w:drawing>
      </w:r>
      <w:r w:rsidR="00A607EB" w:rsidRPr="001D4A77">
        <w:rPr>
          <w:b/>
        </w:rPr>
        <w:t xml:space="preserve">Figure </w:t>
      </w:r>
      <w:r w:rsidR="004755A9">
        <w:rPr>
          <w:b/>
        </w:rPr>
        <w:t>10</w:t>
      </w:r>
      <w:r w:rsidR="00A607EB">
        <w:rPr>
          <w:b/>
        </w:rPr>
        <w:t>:</w:t>
      </w:r>
      <w:r w:rsidR="00A607EB" w:rsidRPr="001D4A77">
        <w:rPr>
          <w:b/>
        </w:rPr>
        <w:t xml:space="preserve"> </w:t>
      </w:r>
      <w:r w:rsidR="00A607EB">
        <w:rPr>
          <w:b/>
        </w:rPr>
        <w:t>Number of patients with a drug regimen containing insulin</w:t>
      </w:r>
    </w:p>
    <w:p w:rsidR="00A607EB" w:rsidRDefault="00A607EB" w:rsidP="00813FF0">
      <w:r>
        <w:t xml:space="preserve">Figure </w:t>
      </w:r>
      <w:r w:rsidR="004755A9">
        <w:t>10</w:t>
      </w:r>
      <w:r>
        <w:t xml:space="preserve"> shows that the number of patients on a regimen containing insulin has been increasing steadily, but ap</w:t>
      </w:r>
      <w:r w:rsidR="007C2721">
        <w:t>pears to have plateaued in 2016, with approximately 248,000 persons on a regimen containing insulin at July 2016.</w:t>
      </w:r>
    </w:p>
    <w:p w:rsidR="00DC5228" w:rsidRPr="00797E1F" w:rsidRDefault="00AB7AF5" w:rsidP="00813FF0">
      <w:pPr>
        <w:rPr>
          <w:b/>
        </w:rPr>
      </w:pPr>
      <w:r>
        <w:rPr>
          <w:noProof/>
        </w:rPr>
        <w:drawing>
          <wp:inline distT="0" distB="0" distL="0" distR="0" wp14:anchorId="48F7B8D0" wp14:editId="6279DE00">
            <wp:extent cx="5687695" cy="3442552"/>
            <wp:effectExtent l="0" t="0" r="8255" b="5715"/>
            <wp:docPr id="26" name="Picture 26" descr="A line graph with the different therapies. Presented as number of patients on each against the week they were supplied" title="Top ten drug regimens containing insu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87695" cy="3442552"/>
                    </a:xfrm>
                    <a:prstGeom prst="rect">
                      <a:avLst/>
                    </a:prstGeom>
                  </pic:spPr>
                </pic:pic>
              </a:graphicData>
            </a:graphic>
          </wp:inline>
        </w:drawing>
      </w:r>
      <w:r w:rsidR="00DC5228" w:rsidRPr="00AD6594">
        <w:rPr>
          <w:b/>
        </w:rPr>
        <w:t xml:space="preserve">Figure </w:t>
      </w:r>
      <w:r w:rsidR="004755A9" w:rsidRPr="00AD6594">
        <w:rPr>
          <w:b/>
        </w:rPr>
        <w:t>11</w:t>
      </w:r>
      <w:r w:rsidR="00DC5228" w:rsidRPr="00AD6594">
        <w:rPr>
          <w:b/>
        </w:rPr>
        <w:t>: Top 10 d</w:t>
      </w:r>
      <w:r w:rsidR="00DC5228" w:rsidRPr="00AD6594">
        <w:rPr>
          <w:b/>
          <w:bCs/>
        </w:rPr>
        <w:t>rug regimens containing insulin</w:t>
      </w:r>
    </w:p>
    <w:p w:rsidR="00A607EB" w:rsidRDefault="00A607EB" w:rsidP="00813FF0">
      <w:r>
        <w:lastRenderedPageBreak/>
        <w:t>There has been a recent decrease in</w:t>
      </w:r>
      <w:r w:rsidR="00A67AF8">
        <w:t xml:space="preserve"> the number of patients on the i</w:t>
      </w:r>
      <w:r>
        <w:t>nsulin</w:t>
      </w:r>
      <w:r w:rsidR="00A67AF8">
        <w:t xml:space="preserve"> </w:t>
      </w:r>
      <w:r>
        <w:t>+</w:t>
      </w:r>
      <w:r w:rsidR="00A67AF8">
        <w:t xml:space="preserve"> m</w:t>
      </w:r>
      <w:r>
        <w:t xml:space="preserve">etformin and </w:t>
      </w:r>
      <w:r w:rsidR="00A67AF8">
        <w:t>i</w:t>
      </w:r>
      <w:r>
        <w:t>nsulin</w:t>
      </w:r>
      <w:r w:rsidR="00A67AF8">
        <w:t xml:space="preserve"> </w:t>
      </w:r>
      <w:r>
        <w:t>+</w:t>
      </w:r>
      <w:r w:rsidR="00A67AF8">
        <w:t xml:space="preserve"> m</w:t>
      </w:r>
      <w:r>
        <w:t>etformin</w:t>
      </w:r>
      <w:r w:rsidR="00A67AF8">
        <w:t xml:space="preserve"> </w:t>
      </w:r>
      <w:r>
        <w:t>+</w:t>
      </w:r>
      <w:r w:rsidR="00A67AF8">
        <w:t xml:space="preserve"> s</w:t>
      </w:r>
      <w:r>
        <w:t>ulfonylurea</w:t>
      </w:r>
      <w:r w:rsidR="00B74867">
        <w:t xml:space="preserve"> regimens</w:t>
      </w:r>
      <w:r w:rsidR="00D65259">
        <w:t>. These decreases have been offset by increases in</w:t>
      </w:r>
      <w:r>
        <w:t>:</w:t>
      </w:r>
    </w:p>
    <w:p w:rsidR="00B8611B" w:rsidRDefault="00A67AF8" w:rsidP="00813FF0">
      <w:pPr>
        <w:pStyle w:val="ListParagraph"/>
        <w:numPr>
          <w:ilvl w:val="0"/>
          <w:numId w:val="8"/>
        </w:numPr>
      </w:pPr>
      <w:proofErr w:type="spellStart"/>
      <w:proofErr w:type="gramStart"/>
      <w:r>
        <w:t>f</w:t>
      </w:r>
      <w:r w:rsidR="00B8611B">
        <w:t>lozin</w:t>
      </w:r>
      <w:proofErr w:type="spellEnd"/>
      <w:proofErr w:type="gramEnd"/>
      <w:r>
        <w:t xml:space="preserve"> </w:t>
      </w:r>
      <w:r w:rsidR="00B8611B">
        <w:t>+</w:t>
      </w:r>
      <w:r>
        <w:t xml:space="preserve"> i</w:t>
      </w:r>
      <w:r w:rsidR="00B8611B">
        <w:t>nsulin</w:t>
      </w:r>
      <w:r>
        <w:t xml:space="preserve"> </w:t>
      </w:r>
      <w:r w:rsidR="00B8611B">
        <w:t>+</w:t>
      </w:r>
      <w:r>
        <w:t xml:space="preserve"> m</w:t>
      </w:r>
      <w:r w:rsidR="00B8611B">
        <w:t>etformin</w:t>
      </w:r>
      <w:r w:rsidR="00DC5228">
        <w:t xml:space="preserve"> </w:t>
      </w:r>
      <w:r w:rsidR="00B8611B">
        <w:t xml:space="preserve">since about April 2015 when the restriction for </w:t>
      </w:r>
      <w:proofErr w:type="spellStart"/>
      <w:r w:rsidR="00B8611B">
        <w:t>dapagliflozin</w:t>
      </w:r>
      <w:proofErr w:type="spellEnd"/>
      <w:r w:rsidR="00B8611B">
        <w:t xml:space="preserve"> was changed to allow therapy with insulin.</w:t>
      </w:r>
    </w:p>
    <w:p w:rsidR="00A607EB" w:rsidRDefault="00A67AF8" w:rsidP="00813FF0">
      <w:pPr>
        <w:pStyle w:val="ListParagraph"/>
        <w:numPr>
          <w:ilvl w:val="0"/>
          <w:numId w:val="8"/>
        </w:numPr>
      </w:pPr>
      <w:proofErr w:type="gramStart"/>
      <w:r>
        <w:t>i</w:t>
      </w:r>
      <w:r w:rsidR="00B8611B">
        <w:t>nsulin</w:t>
      </w:r>
      <w:proofErr w:type="gramEnd"/>
      <w:r>
        <w:t xml:space="preserve"> </w:t>
      </w:r>
      <w:r w:rsidR="00B8611B">
        <w:t>+</w:t>
      </w:r>
      <w:r>
        <w:t xml:space="preserve"> </w:t>
      </w:r>
      <w:proofErr w:type="spellStart"/>
      <w:r>
        <w:t>gliptin</w:t>
      </w:r>
      <w:proofErr w:type="spellEnd"/>
      <w:r>
        <w:t xml:space="preserve"> </w:t>
      </w:r>
      <w:r w:rsidR="00797E1F">
        <w:t>+</w:t>
      </w:r>
      <w:r>
        <w:t xml:space="preserve"> m</w:t>
      </w:r>
      <w:r w:rsidR="00797E1F">
        <w:t>etformin</w:t>
      </w:r>
      <w:r w:rsidR="00D65259">
        <w:t xml:space="preserve"> </w:t>
      </w:r>
      <w:r w:rsidR="00BA56C1">
        <w:t xml:space="preserve">across the whole period. This triple therapy was not allowed under the </w:t>
      </w:r>
      <w:proofErr w:type="spellStart"/>
      <w:r w:rsidR="00BA56C1">
        <w:t>gliptin</w:t>
      </w:r>
      <w:proofErr w:type="spellEnd"/>
      <w:r w:rsidR="00BA56C1">
        <w:t xml:space="preserve"> restrictions </w:t>
      </w:r>
      <w:r w:rsidR="00253C2C">
        <w:t xml:space="preserve">for the period shown </w:t>
      </w:r>
      <w:r w:rsidR="00BA56C1">
        <w:t>but ha</w:t>
      </w:r>
      <w:r w:rsidR="00253C2C">
        <w:t>s been approved from October 2016</w:t>
      </w:r>
      <w:r w:rsidR="00BA56C1">
        <w:t xml:space="preserve"> for sitagliptin and </w:t>
      </w:r>
      <w:proofErr w:type="spellStart"/>
      <w:r w:rsidR="00BA56C1">
        <w:t>linagliptin</w:t>
      </w:r>
      <w:proofErr w:type="spellEnd"/>
      <w:r w:rsidR="00BA56C1">
        <w:t>.</w:t>
      </w:r>
    </w:p>
    <w:p w:rsidR="00BA56C1" w:rsidRDefault="00A67AF8" w:rsidP="00813FF0">
      <w:pPr>
        <w:pStyle w:val="ListParagraph"/>
        <w:numPr>
          <w:ilvl w:val="0"/>
          <w:numId w:val="8"/>
        </w:numPr>
      </w:pPr>
      <w:proofErr w:type="spellStart"/>
      <w:proofErr w:type="gramStart"/>
      <w:r>
        <w:t>e</w:t>
      </w:r>
      <w:r w:rsidR="00BA56C1">
        <w:t>xenatide</w:t>
      </w:r>
      <w:proofErr w:type="spellEnd"/>
      <w:proofErr w:type="gramEnd"/>
      <w:r>
        <w:t xml:space="preserve"> </w:t>
      </w:r>
      <w:r w:rsidR="00BA56C1">
        <w:t>+</w:t>
      </w:r>
      <w:r>
        <w:t xml:space="preserve"> i</w:t>
      </w:r>
      <w:r w:rsidR="00BA56C1">
        <w:t>nsulin</w:t>
      </w:r>
      <w:r>
        <w:t xml:space="preserve"> </w:t>
      </w:r>
      <w:r w:rsidR="00BA56C1">
        <w:t>+</w:t>
      </w:r>
      <w:r>
        <w:t xml:space="preserve"> m</w:t>
      </w:r>
      <w:r w:rsidR="00BA56C1">
        <w:t>etformin</w:t>
      </w:r>
      <w:r w:rsidR="00DC5228">
        <w:t xml:space="preserve"> </w:t>
      </w:r>
      <w:r w:rsidR="00BA56C1">
        <w:t xml:space="preserve">since about October 2015 when the restriction for </w:t>
      </w:r>
      <w:proofErr w:type="spellStart"/>
      <w:r w:rsidR="00BA56C1">
        <w:t>exenatide</w:t>
      </w:r>
      <w:proofErr w:type="spellEnd"/>
      <w:r w:rsidR="00BA56C1">
        <w:t xml:space="preserve"> was changed to allow triple therapy with insulin</w:t>
      </w:r>
      <w:r w:rsidR="00D65259">
        <w:t>.</w:t>
      </w:r>
    </w:p>
    <w:p w:rsidR="00896011" w:rsidRDefault="00896011" w:rsidP="00813FF0">
      <w:pPr>
        <w:rPr>
          <w:b/>
          <w:i/>
        </w:rPr>
      </w:pPr>
      <w:r w:rsidRPr="00896011">
        <w:rPr>
          <w:b/>
          <w:i/>
        </w:rPr>
        <w:t>Glucagon-like peptide-1 receptor agonists</w:t>
      </w:r>
      <w:r>
        <w:rPr>
          <w:b/>
          <w:i/>
        </w:rPr>
        <w:t xml:space="preserve"> (GLP-1RA)</w:t>
      </w:r>
    </w:p>
    <w:p w:rsidR="00896011" w:rsidRDefault="00896011" w:rsidP="00813FF0">
      <w:r>
        <w:t xml:space="preserve">The only </w:t>
      </w:r>
      <w:r w:rsidRPr="00896011">
        <w:t xml:space="preserve">GLP-1RA </w:t>
      </w:r>
      <w:r>
        <w:t xml:space="preserve">listed on the PBS is </w:t>
      </w:r>
      <w:proofErr w:type="spellStart"/>
      <w:r>
        <w:t>e</w:t>
      </w:r>
      <w:r w:rsidRPr="00896011">
        <w:t>xenatide</w:t>
      </w:r>
      <w:proofErr w:type="spellEnd"/>
      <w:r w:rsidR="007C2721">
        <w:t xml:space="preserve">, with about 24,000 patients with a drug regimen including </w:t>
      </w:r>
      <w:proofErr w:type="spellStart"/>
      <w:r w:rsidR="007C2721">
        <w:t>exenatide</w:t>
      </w:r>
      <w:proofErr w:type="spellEnd"/>
      <w:r w:rsidR="007C2721">
        <w:t xml:space="preserve"> by July 2016.</w:t>
      </w:r>
    </w:p>
    <w:p w:rsidR="00EA4EF4" w:rsidRPr="00A607EB" w:rsidRDefault="00EA4EF4" w:rsidP="00813FF0">
      <w:r>
        <w:rPr>
          <w:noProof/>
        </w:rPr>
        <w:drawing>
          <wp:inline distT="0" distB="0" distL="0" distR="0" wp14:anchorId="0ADDDB16" wp14:editId="7C2A9FFF">
            <wp:extent cx="5687695" cy="3413225"/>
            <wp:effectExtent l="0" t="0" r="27305" b="15875"/>
            <wp:docPr id="6" name="Chart 6" descr="A simple line graph displaying the number of patients in this therapy group" title="Number of patients with a drug regimen containing exenatid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1D4A77">
        <w:rPr>
          <w:b/>
        </w:rPr>
        <w:t xml:space="preserve">Figure </w:t>
      </w:r>
      <w:r>
        <w:rPr>
          <w:b/>
        </w:rPr>
        <w:t>1</w:t>
      </w:r>
      <w:r w:rsidR="004755A9">
        <w:rPr>
          <w:b/>
        </w:rPr>
        <w:t>2</w:t>
      </w:r>
      <w:r>
        <w:rPr>
          <w:b/>
        </w:rPr>
        <w:t>:</w:t>
      </w:r>
      <w:r w:rsidRPr="001D4A77">
        <w:rPr>
          <w:b/>
        </w:rPr>
        <w:t xml:space="preserve"> </w:t>
      </w:r>
      <w:r>
        <w:rPr>
          <w:b/>
        </w:rPr>
        <w:t xml:space="preserve">Number of patients with a drug regimen containing </w:t>
      </w:r>
      <w:proofErr w:type="spellStart"/>
      <w:r>
        <w:rPr>
          <w:b/>
        </w:rPr>
        <w:t>exenatide</w:t>
      </w:r>
      <w:proofErr w:type="spellEnd"/>
    </w:p>
    <w:p w:rsidR="00EA4EF4" w:rsidRDefault="00EA4EF4" w:rsidP="00813FF0">
      <w:r>
        <w:t xml:space="preserve">Figure </w:t>
      </w:r>
      <w:r w:rsidR="004755A9">
        <w:t>12</w:t>
      </w:r>
      <w:r>
        <w:t xml:space="preserve"> shows that the number of patients on a regimen containing </w:t>
      </w:r>
      <w:proofErr w:type="spellStart"/>
      <w:r>
        <w:t>exenatide</w:t>
      </w:r>
      <w:proofErr w:type="spellEnd"/>
      <w:r>
        <w:t xml:space="preserve"> steadily</w:t>
      </w:r>
      <w:r w:rsidR="009B18AB">
        <w:t xml:space="preserve"> </w:t>
      </w:r>
      <w:r w:rsidR="002E3CB1">
        <w:t xml:space="preserve">increased </w:t>
      </w:r>
      <w:r w:rsidR="009B18AB">
        <w:t>across the period</w:t>
      </w:r>
      <w:r>
        <w:t>.</w:t>
      </w:r>
    </w:p>
    <w:p w:rsidR="00EA4EF4" w:rsidRPr="00EA4EF4" w:rsidRDefault="00AB7AF5" w:rsidP="00813FF0">
      <w:r>
        <w:rPr>
          <w:noProof/>
        </w:rPr>
        <w:lastRenderedPageBreak/>
        <w:drawing>
          <wp:inline distT="0" distB="0" distL="0" distR="0" wp14:anchorId="1AE05E9D" wp14:editId="38B4BBED">
            <wp:extent cx="5687695" cy="3433197"/>
            <wp:effectExtent l="0" t="0" r="8255" b="0"/>
            <wp:docPr id="27" name="Picture 27" descr="A line graph with the number of patients on each therapy displayed by week" title="Top ten drug regimens containing exenat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87695" cy="3433197"/>
                    </a:xfrm>
                    <a:prstGeom prst="rect">
                      <a:avLst/>
                    </a:prstGeom>
                  </pic:spPr>
                </pic:pic>
              </a:graphicData>
            </a:graphic>
          </wp:inline>
        </w:drawing>
      </w:r>
      <w:r w:rsidR="00EA4EF4" w:rsidRPr="001D4A77">
        <w:rPr>
          <w:b/>
        </w:rPr>
        <w:t xml:space="preserve">Figure </w:t>
      </w:r>
      <w:r w:rsidR="004755A9">
        <w:rPr>
          <w:b/>
        </w:rPr>
        <w:t>13</w:t>
      </w:r>
      <w:r w:rsidR="00EA4EF4">
        <w:rPr>
          <w:b/>
        </w:rPr>
        <w:t>:</w:t>
      </w:r>
      <w:r w:rsidR="00EA4EF4" w:rsidRPr="001D4A77">
        <w:rPr>
          <w:b/>
        </w:rPr>
        <w:t xml:space="preserve"> </w:t>
      </w:r>
      <w:r w:rsidR="00EA4EF4">
        <w:rPr>
          <w:b/>
        </w:rPr>
        <w:t>Top 10 d</w:t>
      </w:r>
      <w:r w:rsidR="00EA4EF4" w:rsidRPr="009D5583">
        <w:rPr>
          <w:b/>
          <w:bCs/>
        </w:rPr>
        <w:t xml:space="preserve">rug regimens </w:t>
      </w:r>
      <w:r w:rsidR="00EA4EF4">
        <w:rPr>
          <w:b/>
          <w:bCs/>
        </w:rPr>
        <w:t xml:space="preserve">containing </w:t>
      </w:r>
      <w:proofErr w:type="spellStart"/>
      <w:r w:rsidR="00EA4EF4">
        <w:rPr>
          <w:b/>
          <w:bCs/>
        </w:rPr>
        <w:t>exenatide</w:t>
      </w:r>
      <w:proofErr w:type="spellEnd"/>
    </w:p>
    <w:p w:rsidR="00EA4EF4" w:rsidRDefault="00EA4EF4" w:rsidP="00813FF0">
      <w:r>
        <w:t>Figure 1</w:t>
      </w:r>
      <w:r w:rsidR="004755A9">
        <w:t>3</w:t>
      </w:r>
      <w:r>
        <w:t xml:space="preserve"> shows that there was a marked increase in the </w:t>
      </w:r>
      <w:proofErr w:type="spellStart"/>
      <w:r>
        <w:t>exenatide</w:t>
      </w:r>
      <w:proofErr w:type="spellEnd"/>
      <w:r>
        <w:t xml:space="preserve"> + insulin + metformin regimen from October 2015 when the PBS listing for </w:t>
      </w:r>
      <w:proofErr w:type="spellStart"/>
      <w:r>
        <w:t>exenatide</w:t>
      </w:r>
      <w:proofErr w:type="spellEnd"/>
      <w:r>
        <w:t xml:space="preserve"> was expanded to include tr</w:t>
      </w:r>
      <w:r w:rsidR="009B18AB">
        <w:t xml:space="preserve">iple therapy with </w:t>
      </w:r>
      <w:r>
        <w:t>insulin</w:t>
      </w:r>
      <w:r w:rsidR="009B18AB">
        <w:t xml:space="preserve"> and metformin</w:t>
      </w:r>
      <w:r>
        <w:t xml:space="preserve">. </w:t>
      </w:r>
      <w:r w:rsidR="004433D9">
        <w:t>There wa</w:t>
      </w:r>
      <w:r w:rsidR="003E0437">
        <w:t xml:space="preserve">s an increasing number of patients supplied </w:t>
      </w:r>
      <w:proofErr w:type="spellStart"/>
      <w:r w:rsidR="003E0437">
        <w:t>exenatide</w:t>
      </w:r>
      <w:proofErr w:type="spellEnd"/>
      <w:r w:rsidR="003E0437">
        <w:t xml:space="preserve"> </w:t>
      </w:r>
      <w:proofErr w:type="spellStart"/>
      <w:r w:rsidR="003E0437">
        <w:t>monotherapy</w:t>
      </w:r>
      <w:proofErr w:type="spellEnd"/>
      <w:r w:rsidR="003E0437">
        <w:t xml:space="preserve"> which is outside the PBS restriction.</w:t>
      </w:r>
      <w:r w:rsidR="00D57A00">
        <w:t xml:space="preserve"> </w:t>
      </w:r>
      <w:r>
        <w:t xml:space="preserve">There was also </w:t>
      </w:r>
      <w:r w:rsidR="009B18AB">
        <w:t xml:space="preserve">an increase in </w:t>
      </w:r>
      <w:proofErr w:type="spellStart"/>
      <w:r w:rsidR="009B18AB">
        <w:t>exenatide</w:t>
      </w:r>
      <w:proofErr w:type="spellEnd"/>
      <w:r w:rsidR="009B18AB">
        <w:t xml:space="preserve"> dual therapy with insulin (</w:t>
      </w:r>
      <w:proofErr w:type="spellStart"/>
      <w:r w:rsidR="009B18AB">
        <w:t>exenatide</w:t>
      </w:r>
      <w:proofErr w:type="spellEnd"/>
      <w:r w:rsidR="009B18AB">
        <w:t xml:space="preserve"> + insulin). This regimen is only allowed under the restriction if the patient is contradicted or intolerant </w:t>
      </w:r>
      <w:r w:rsidR="002E3CB1">
        <w:t>to</w:t>
      </w:r>
      <w:r w:rsidR="009B18AB">
        <w:t xml:space="preserve"> metformin. </w:t>
      </w:r>
    </w:p>
    <w:p w:rsidR="004433D9" w:rsidRDefault="004433D9" w:rsidP="00813FF0">
      <w:pPr>
        <w:rPr>
          <w:b/>
          <w:i/>
        </w:rPr>
      </w:pPr>
      <w:proofErr w:type="spellStart"/>
      <w:r w:rsidRPr="004433D9">
        <w:rPr>
          <w:b/>
          <w:i/>
        </w:rPr>
        <w:t>Thi</w:t>
      </w:r>
      <w:r w:rsidR="00DA0E19">
        <w:rPr>
          <w:b/>
          <w:i/>
        </w:rPr>
        <w:t>a</w:t>
      </w:r>
      <w:r w:rsidRPr="004433D9">
        <w:rPr>
          <w:b/>
          <w:i/>
        </w:rPr>
        <w:t>zolidi</w:t>
      </w:r>
      <w:r w:rsidR="00DA0E19">
        <w:rPr>
          <w:b/>
          <w:i/>
        </w:rPr>
        <w:t>nedi</w:t>
      </w:r>
      <w:r w:rsidRPr="004433D9">
        <w:rPr>
          <w:b/>
          <w:i/>
        </w:rPr>
        <w:t>ones</w:t>
      </w:r>
      <w:proofErr w:type="spellEnd"/>
      <w:r w:rsidRPr="004433D9">
        <w:rPr>
          <w:b/>
          <w:i/>
        </w:rPr>
        <w:t xml:space="preserve"> </w:t>
      </w:r>
      <w:r>
        <w:rPr>
          <w:b/>
          <w:i/>
        </w:rPr>
        <w:t>(</w:t>
      </w:r>
      <w:r w:rsidR="00285D3C">
        <w:rPr>
          <w:b/>
          <w:i/>
        </w:rPr>
        <w:t xml:space="preserve">TZD </w:t>
      </w:r>
      <w:proofErr w:type="spellStart"/>
      <w:r>
        <w:rPr>
          <w:b/>
          <w:i/>
        </w:rPr>
        <w:t>ie</w:t>
      </w:r>
      <w:proofErr w:type="spellEnd"/>
      <w:r>
        <w:rPr>
          <w:b/>
          <w:i/>
        </w:rPr>
        <w:t>. p</w:t>
      </w:r>
      <w:r w:rsidRPr="004433D9">
        <w:rPr>
          <w:b/>
          <w:i/>
        </w:rPr>
        <w:t>ioglitazone</w:t>
      </w:r>
      <w:r>
        <w:rPr>
          <w:b/>
          <w:i/>
        </w:rPr>
        <w:t xml:space="preserve"> and r</w:t>
      </w:r>
      <w:r w:rsidRPr="004433D9">
        <w:rPr>
          <w:b/>
          <w:i/>
        </w:rPr>
        <w:t>osiglitazone</w:t>
      </w:r>
      <w:r>
        <w:rPr>
          <w:b/>
          <w:i/>
        </w:rPr>
        <w:t>)</w:t>
      </w:r>
    </w:p>
    <w:p w:rsidR="004433D9" w:rsidRDefault="004433D9" w:rsidP="00813FF0">
      <w:r>
        <w:t>A separa</w:t>
      </w:r>
      <w:r w:rsidR="00914C72">
        <w:t>te analysis of regimens containing</w:t>
      </w:r>
      <w:r>
        <w:t xml:space="preserve"> </w:t>
      </w:r>
      <w:r w:rsidRPr="004433D9">
        <w:t xml:space="preserve">pioglitazone </w:t>
      </w:r>
      <w:r>
        <w:t>or</w:t>
      </w:r>
      <w:r w:rsidRPr="004433D9">
        <w:t xml:space="preserve"> rosiglitazone</w:t>
      </w:r>
      <w:r w:rsidR="00914C72">
        <w:t xml:space="preserve"> is not presented because the number of prescriptions for these </w:t>
      </w:r>
      <w:r w:rsidR="00DA0E19">
        <w:t xml:space="preserve">is </w:t>
      </w:r>
      <w:r w:rsidR="00914C72">
        <w:t>low and declining (see Figure 14).</w:t>
      </w:r>
    </w:p>
    <w:p w:rsidR="00F82C0F" w:rsidRPr="00F82C0F" w:rsidRDefault="00F82C0F" w:rsidP="00813FF0">
      <w:pPr>
        <w:rPr>
          <w:b/>
          <w:i/>
        </w:rPr>
      </w:pPr>
      <w:r w:rsidRPr="00F82C0F">
        <w:rPr>
          <w:b/>
          <w:i/>
        </w:rPr>
        <w:t>Use of FDC</w:t>
      </w:r>
      <w:r w:rsidR="00017258">
        <w:rPr>
          <w:b/>
          <w:i/>
        </w:rPr>
        <w:t>s</w:t>
      </w:r>
      <w:r w:rsidRPr="00F82C0F">
        <w:rPr>
          <w:b/>
          <w:i/>
        </w:rPr>
        <w:t xml:space="preserve"> with plain me</w:t>
      </w:r>
      <w:r w:rsidR="00017258">
        <w:rPr>
          <w:b/>
          <w:i/>
        </w:rPr>
        <w:t>t</w:t>
      </w:r>
      <w:r w:rsidRPr="00F82C0F">
        <w:rPr>
          <w:b/>
          <w:i/>
        </w:rPr>
        <w:t>formin</w:t>
      </w:r>
    </w:p>
    <w:p w:rsidR="00F82C0F" w:rsidRPr="00F82C0F" w:rsidRDefault="00F82C0F" w:rsidP="00813FF0">
      <w:r w:rsidRPr="00F82C0F">
        <w:t>There were some regimens that included a fixed dose combination product (all of which contain metformin) and a plain metformin product.  In the week beginning 29/7/2016 it was estimated that 161,387 patients had a regimen including a combination product. Of these, 15,035 patients (9.3%) had regimens that also included a plain metformin product. Some patients may require the addition of plain metformin to</w:t>
      </w:r>
      <w:r>
        <w:t xml:space="preserve"> an</w:t>
      </w:r>
      <w:r w:rsidRPr="00F82C0F">
        <w:t xml:space="preserve"> FDC to optimise management or there may be some inadvertent use of the FDC and plain form together.  </w:t>
      </w:r>
    </w:p>
    <w:p w:rsidR="009F518E" w:rsidRPr="009F518E" w:rsidRDefault="009F518E" w:rsidP="00813FF0">
      <w:pPr>
        <w:spacing w:line="276" w:lineRule="auto"/>
        <w:rPr>
          <w:b/>
          <w:i/>
        </w:rPr>
      </w:pPr>
      <w:r w:rsidRPr="009F518E">
        <w:rPr>
          <w:b/>
          <w:i/>
        </w:rPr>
        <w:t>Other regimens of interest</w:t>
      </w:r>
    </w:p>
    <w:p w:rsidR="00D161B8" w:rsidRDefault="00D161B8" w:rsidP="00511E87">
      <w:r>
        <w:t>In the November 2014 PBAC minutes regar</w:t>
      </w:r>
      <w:r w:rsidR="007C2721">
        <w:t>ding the Post-Market Review of T</w:t>
      </w:r>
      <w:r>
        <w:t>ype 2 diabetes medicines</w:t>
      </w:r>
      <w:r>
        <w:rPr>
          <w:rStyle w:val="FootnoteReference"/>
        </w:rPr>
        <w:footnoteReference w:id="7"/>
      </w:r>
      <w:r>
        <w:t xml:space="preserve">, the PBAC </w:t>
      </w:r>
      <w:r w:rsidRPr="00D161B8">
        <w:t xml:space="preserve">recommended that the following combinations </w:t>
      </w:r>
      <w:r w:rsidR="00864F0F">
        <w:t>(see Table 11</w:t>
      </w:r>
      <w:r>
        <w:t xml:space="preserve">) </w:t>
      </w:r>
      <w:r w:rsidRPr="00D161B8">
        <w:t xml:space="preserve">should </w:t>
      </w:r>
      <w:r w:rsidRPr="00D161B8">
        <w:lastRenderedPageBreak/>
        <w:t>not be PBS-subsidised on the basis that no trial data demonstrating efficacy was available at th</w:t>
      </w:r>
      <w:r w:rsidR="007259D6">
        <w:t>at</w:t>
      </w:r>
      <w:r w:rsidRPr="00D161B8">
        <w:t xml:space="preserve"> time</w:t>
      </w:r>
      <w:r w:rsidR="007259D6">
        <w:t>.</w:t>
      </w:r>
    </w:p>
    <w:p w:rsidR="00D161B8" w:rsidRPr="00FC18FC" w:rsidRDefault="00D161B8" w:rsidP="00813FF0">
      <w:pPr>
        <w:spacing w:after="0"/>
        <w:rPr>
          <w:b/>
        </w:rPr>
      </w:pPr>
      <w:r>
        <w:rPr>
          <w:b/>
        </w:rPr>
        <w:t xml:space="preserve">Table </w:t>
      </w:r>
      <w:r w:rsidR="002A3A19">
        <w:rPr>
          <w:b/>
        </w:rPr>
        <w:t>11</w:t>
      </w:r>
      <w:r w:rsidRPr="00FC18FC">
        <w:rPr>
          <w:b/>
        </w:rPr>
        <w:t xml:space="preserve">: </w:t>
      </w:r>
      <w:r w:rsidR="00541E0A">
        <w:rPr>
          <w:b/>
        </w:rPr>
        <w:t>Patients estimated to be in r</w:t>
      </w:r>
      <w:r>
        <w:rPr>
          <w:b/>
        </w:rPr>
        <w:t>egime</w:t>
      </w:r>
      <w:r w:rsidR="00541E0A">
        <w:rPr>
          <w:b/>
        </w:rPr>
        <w:t>n</w:t>
      </w:r>
      <w:r>
        <w:rPr>
          <w:b/>
        </w:rPr>
        <w:t xml:space="preserve"> </w:t>
      </w:r>
      <w:r w:rsidR="00541E0A">
        <w:rPr>
          <w:b/>
        </w:rPr>
        <w:t xml:space="preserve">groups </w:t>
      </w:r>
      <w:r>
        <w:rPr>
          <w:b/>
        </w:rPr>
        <w:t>not recommended for PBS subsidy</w:t>
      </w:r>
      <w:r w:rsidR="007C2721">
        <w:rPr>
          <w:b/>
        </w:rPr>
        <w:t xml:space="preserve"> </w:t>
      </w:r>
    </w:p>
    <w:tbl>
      <w:tblPr>
        <w:tblStyle w:val="TableGrid"/>
        <w:tblW w:w="0" w:type="auto"/>
        <w:tblLook w:val="04A0" w:firstRow="1" w:lastRow="0" w:firstColumn="1" w:lastColumn="0" w:noHBand="0" w:noVBand="1"/>
        <w:tblCaption w:val="Patients estimated to be in regimen groups not recommended for PBS subsidy"/>
        <w:tblDescription w:val="Table with three columns: regimen group, whether it's outside PBS restriction as at 1 November 2016, and patient numbers as at 29 July 2016."/>
      </w:tblPr>
      <w:tblGrid>
        <w:gridCol w:w="5070"/>
        <w:gridCol w:w="1701"/>
        <w:gridCol w:w="1417"/>
      </w:tblGrid>
      <w:tr w:rsidR="00285D3C" w:rsidRPr="007259D6" w:rsidTr="00F74A76">
        <w:trPr>
          <w:tblHeader/>
        </w:trPr>
        <w:tc>
          <w:tcPr>
            <w:tcW w:w="5070" w:type="dxa"/>
            <w:shd w:val="clear" w:color="auto" w:fill="BFBFBF" w:themeFill="background1" w:themeFillShade="BF"/>
            <w:vAlign w:val="center"/>
          </w:tcPr>
          <w:p w:rsidR="00285D3C" w:rsidRPr="007259D6" w:rsidRDefault="00285D3C" w:rsidP="00813FF0">
            <w:pPr>
              <w:spacing w:line="276" w:lineRule="auto"/>
              <w:rPr>
                <w:b/>
                <w:sz w:val="20"/>
                <w:szCs w:val="20"/>
              </w:rPr>
            </w:pPr>
            <w:r w:rsidRPr="007259D6">
              <w:rPr>
                <w:b/>
                <w:sz w:val="20"/>
                <w:szCs w:val="20"/>
              </w:rPr>
              <w:t>Regimen</w:t>
            </w:r>
            <w:r w:rsidR="00541E0A">
              <w:rPr>
                <w:b/>
                <w:sz w:val="20"/>
                <w:szCs w:val="20"/>
              </w:rPr>
              <w:t xml:space="preserve"> group</w:t>
            </w:r>
          </w:p>
        </w:tc>
        <w:tc>
          <w:tcPr>
            <w:tcW w:w="1701" w:type="dxa"/>
            <w:shd w:val="clear" w:color="auto" w:fill="BFBFBF" w:themeFill="background1" w:themeFillShade="BF"/>
            <w:vAlign w:val="center"/>
          </w:tcPr>
          <w:p w:rsidR="00285D3C" w:rsidRPr="007259D6" w:rsidRDefault="00560366" w:rsidP="00813FF0">
            <w:pPr>
              <w:spacing w:line="276" w:lineRule="auto"/>
              <w:jc w:val="center"/>
              <w:rPr>
                <w:b/>
                <w:sz w:val="20"/>
                <w:szCs w:val="20"/>
              </w:rPr>
            </w:pPr>
            <w:r w:rsidRPr="007259D6">
              <w:rPr>
                <w:b/>
                <w:sz w:val="20"/>
                <w:szCs w:val="20"/>
              </w:rPr>
              <w:t>Outsid</w:t>
            </w:r>
            <w:r w:rsidR="0053430C" w:rsidRPr="007259D6">
              <w:rPr>
                <w:b/>
                <w:sz w:val="20"/>
                <w:szCs w:val="20"/>
              </w:rPr>
              <w:t xml:space="preserve">e PBS restriction? (as at 1 </w:t>
            </w:r>
            <w:r w:rsidR="00386D98">
              <w:rPr>
                <w:b/>
                <w:sz w:val="20"/>
                <w:szCs w:val="20"/>
              </w:rPr>
              <w:t>November</w:t>
            </w:r>
            <w:r w:rsidRPr="007259D6">
              <w:rPr>
                <w:b/>
                <w:sz w:val="20"/>
                <w:szCs w:val="20"/>
              </w:rPr>
              <w:t xml:space="preserve"> 2016)</w:t>
            </w:r>
          </w:p>
        </w:tc>
        <w:tc>
          <w:tcPr>
            <w:tcW w:w="1417" w:type="dxa"/>
            <w:shd w:val="clear" w:color="auto" w:fill="BFBFBF" w:themeFill="background1" w:themeFillShade="BF"/>
            <w:vAlign w:val="center"/>
          </w:tcPr>
          <w:p w:rsidR="00285D3C" w:rsidRPr="007259D6" w:rsidRDefault="00560366" w:rsidP="00813FF0">
            <w:pPr>
              <w:spacing w:line="276" w:lineRule="auto"/>
              <w:jc w:val="center"/>
              <w:rPr>
                <w:b/>
                <w:sz w:val="20"/>
                <w:szCs w:val="20"/>
              </w:rPr>
            </w:pPr>
            <w:r w:rsidRPr="007259D6">
              <w:rPr>
                <w:b/>
                <w:sz w:val="20"/>
                <w:szCs w:val="20"/>
              </w:rPr>
              <w:t>Patients as at 29/7/2016</w:t>
            </w:r>
          </w:p>
        </w:tc>
      </w:tr>
      <w:tr w:rsidR="00541E0A" w:rsidTr="007259D6">
        <w:tc>
          <w:tcPr>
            <w:tcW w:w="5070" w:type="dxa"/>
          </w:tcPr>
          <w:p w:rsidR="00541E0A" w:rsidRPr="00285D3C" w:rsidRDefault="00541E0A" w:rsidP="00813FF0">
            <w:pPr>
              <w:rPr>
                <w:sz w:val="20"/>
              </w:rPr>
            </w:pPr>
            <w:r w:rsidRPr="00285D3C">
              <w:rPr>
                <w:sz w:val="20"/>
              </w:rPr>
              <w:t xml:space="preserve">metformin + </w:t>
            </w:r>
            <w:proofErr w:type="spellStart"/>
            <w:r>
              <w:rPr>
                <w:sz w:val="20"/>
              </w:rPr>
              <w:t>gli</w:t>
            </w:r>
            <w:r w:rsidR="00D443A8">
              <w:rPr>
                <w:sz w:val="20"/>
              </w:rPr>
              <w:t>p</w:t>
            </w:r>
            <w:r>
              <w:rPr>
                <w:sz w:val="20"/>
              </w:rPr>
              <w:t>tin</w:t>
            </w:r>
            <w:proofErr w:type="spellEnd"/>
            <w:r w:rsidRPr="00285D3C">
              <w:rPr>
                <w:sz w:val="20"/>
              </w:rPr>
              <w:t xml:space="preserve"> + TZD </w:t>
            </w:r>
          </w:p>
        </w:tc>
        <w:tc>
          <w:tcPr>
            <w:tcW w:w="1701" w:type="dxa"/>
          </w:tcPr>
          <w:p w:rsidR="00541E0A" w:rsidRPr="00560366" w:rsidRDefault="00541E0A" w:rsidP="00813FF0">
            <w:pPr>
              <w:spacing w:line="276" w:lineRule="auto"/>
              <w:jc w:val="center"/>
              <w:rPr>
                <w:sz w:val="20"/>
              </w:rPr>
            </w:pPr>
            <w:r>
              <w:rPr>
                <w:sz w:val="20"/>
              </w:rPr>
              <w:t>Yes</w:t>
            </w:r>
          </w:p>
        </w:tc>
        <w:tc>
          <w:tcPr>
            <w:tcW w:w="1417" w:type="dxa"/>
          </w:tcPr>
          <w:p w:rsidR="00541E0A" w:rsidRPr="00541E0A" w:rsidRDefault="00541E0A" w:rsidP="00813FF0">
            <w:pPr>
              <w:spacing w:line="276" w:lineRule="auto"/>
              <w:jc w:val="center"/>
              <w:rPr>
                <w:sz w:val="20"/>
              </w:rPr>
            </w:pPr>
            <w:r w:rsidRPr="00541E0A">
              <w:rPr>
                <w:sz w:val="20"/>
              </w:rPr>
              <w:t>1,211</w:t>
            </w:r>
          </w:p>
        </w:tc>
      </w:tr>
      <w:tr w:rsidR="00541E0A" w:rsidTr="007259D6">
        <w:tc>
          <w:tcPr>
            <w:tcW w:w="5070" w:type="dxa"/>
          </w:tcPr>
          <w:p w:rsidR="00541E0A" w:rsidRPr="00285D3C" w:rsidRDefault="00541E0A" w:rsidP="00813FF0">
            <w:pPr>
              <w:rPr>
                <w:sz w:val="20"/>
              </w:rPr>
            </w:pPr>
            <w:r>
              <w:rPr>
                <w:sz w:val="20"/>
              </w:rPr>
              <w:t>m</w:t>
            </w:r>
            <w:r w:rsidRPr="00285D3C">
              <w:rPr>
                <w:sz w:val="20"/>
              </w:rPr>
              <w:t xml:space="preserve">etformin + </w:t>
            </w:r>
            <w:proofErr w:type="spellStart"/>
            <w:r>
              <w:rPr>
                <w:sz w:val="20"/>
              </w:rPr>
              <w:t>gli</w:t>
            </w:r>
            <w:r w:rsidR="00D443A8">
              <w:rPr>
                <w:sz w:val="20"/>
              </w:rPr>
              <w:t>p</w:t>
            </w:r>
            <w:r>
              <w:rPr>
                <w:sz w:val="20"/>
              </w:rPr>
              <w:t>tin</w:t>
            </w:r>
            <w:proofErr w:type="spellEnd"/>
            <w:r w:rsidRPr="00285D3C">
              <w:rPr>
                <w:sz w:val="20"/>
              </w:rPr>
              <w:t xml:space="preserve"> + </w:t>
            </w:r>
            <w:proofErr w:type="spellStart"/>
            <w:r>
              <w:rPr>
                <w:sz w:val="20"/>
              </w:rPr>
              <w:t>flozin</w:t>
            </w:r>
            <w:proofErr w:type="spellEnd"/>
          </w:p>
        </w:tc>
        <w:tc>
          <w:tcPr>
            <w:tcW w:w="1701" w:type="dxa"/>
          </w:tcPr>
          <w:p w:rsidR="00541E0A" w:rsidRPr="00560366" w:rsidRDefault="00541E0A" w:rsidP="00813FF0">
            <w:pPr>
              <w:spacing w:line="276" w:lineRule="auto"/>
              <w:jc w:val="center"/>
              <w:rPr>
                <w:sz w:val="20"/>
              </w:rPr>
            </w:pPr>
            <w:r>
              <w:rPr>
                <w:sz w:val="20"/>
              </w:rPr>
              <w:t>Yes</w:t>
            </w:r>
          </w:p>
        </w:tc>
        <w:tc>
          <w:tcPr>
            <w:tcW w:w="1417" w:type="dxa"/>
          </w:tcPr>
          <w:p w:rsidR="00541E0A" w:rsidRPr="00541E0A" w:rsidRDefault="00541E0A" w:rsidP="00813FF0">
            <w:pPr>
              <w:spacing w:line="276" w:lineRule="auto"/>
              <w:jc w:val="center"/>
              <w:rPr>
                <w:sz w:val="20"/>
              </w:rPr>
            </w:pPr>
            <w:r w:rsidRPr="00541E0A">
              <w:rPr>
                <w:sz w:val="20"/>
              </w:rPr>
              <w:t>12,218</w:t>
            </w:r>
          </w:p>
        </w:tc>
      </w:tr>
      <w:tr w:rsidR="00541E0A" w:rsidTr="007259D6">
        <w:tc>
          <w:tcPr>
            <w:tcW w:w="5070" w:type="dxa"/>
          </w:tcPr>
          <w:p w:rsidR="00541E0A" w:rsidRPr="00285D3C" w:rsidRDefault="00541E0A" w:rsidP="00813FF0">
            <w:pPr>
              <w:rPr>
                <w:sz w:val="20"/>
              </w:rPr>
            </w:pPr>
            <w:r>
              <w:rPr>
                <w:sz w:val="20"/>
              </w:rPr>
              <w:t>m</w:t>
            </w:r>
            <w:r w:rsidRPr="00285D3C">
              <w:rPr>
                <w:sz w:val="20"/>
              </w:rPr>
              <w:t xml:space="preserve">etformin + </w:t>
            </w:r>
            <w:proofErr w:type="spellStart"/>
            <w:r>
              <w:rPr>
                <w:sz w:val="20"/>
              </w:rPr>
              <w:t>gli</w:t>
            </w:r>
            <w:r w:rsidR="00D443A8">
              <w:rPr>
                <w:sz w:val="20"/>
              </w:rPr>
              <w:t>p</w:t>
            </w:r>
            <w:r>
              <w:rPr>
                <w:sz w:val="20"/>
              </w:rPr>
              <w:t>tin</w:t>
            </w:r>
            <w:proofErr w:type="spellEnd"/>
            <w:r w:rsidRPr="00285D3C">
              <w:rPr>
                <w:sz w:val="20"/>
              </w:rPr>
              <w:t xml:space="preserve"> + </w:t>
            </w:r>
            <w:proofErr w:type="spellStart"/>
            <w:r>
              <w:rPr>
                <w:sz w:val="20"/>
              </w:rPr>
              <w:t>exenatide</w:t>
            </w:r>
            <w:proofErr w:type="spellEnd"/>
            <w:r w:rsidRPr="00285D3C">
              <w:rPr>
                <w:sz w:val="20"/>
              </w:rPr>
              <w:t xml:space="preserve"> </w:t>
            </w:r>
          </w:p>
        </w:tc>
        <w:tc>
          <w:tcPr>
            <w:tcW w:w="1701" w:type="dxa"/>
          </w:tcPr>
          <w:p w:rsidR="00541E0A" w:rsidRPr="00560366" w:rsidRDefault="00541E0A" w:rsidP="00813FF0">
            <w:pPr>
              <w:spacing w:line="276" w:lineRule="auto"/>
              <w:jc w:val="center"/>
              <w:rPr>
                <w:sz w:val="20"/>
              </w:rPr>
            </w:pPr>
            <w:r>
              <w:rPr>
                <w:sz w:val="20"/>
              </w:rPr>
              <w:t>Yes</w:t>
            </w:r>
          </w:p>
        </w:tc>
        <w:tc>
          <w:tcPr>
            <w:tcW w:w="1417" w:type="dxa"/>
          </w:tcPr>
          <w:p w:rsidR="00541E0A" w:rsidRPr="00541E0A" w:rsidRDefault="00541E0A" w:rsidP="00813FF0">
            <w:pPr>
              <w:spacing w:line="276" w:lineRule="auto"/>
              <w:jc w:val="center"/>
              <w:rPr>
                <w:sz w:val="20"/>
              </w:rPr>
            </w:pPr>
            <w:r w:rsidRPr="00541E0A">
              <w:rPr>
                <w:sz w:val="20"/>
              </w:rPr>
              <w:t>2,109</w:t>
            </w:r>
          </w:p>
        </w:tc>
      </w:tr>
      <w:tr w:rsidR="00541E0A" w:rsidTr="007259D6">
        <w:tc>
          <w:tcPr>
            <w:tcW w:w="5070" w:type="dxa"/>
          </w:tcPr>
          <w:p w:rsidR="00541E0A" w:rsidRPr="00285D3C" w:rsidRDefault="00541E0A" w:rsidP="00813FF0">
            <w:pPr>
              <w:rPr>
                <w:sz w:val="20"/>
              </w:rPr>
            </w:pPr>
            <w:r>
              <w:rPr>
                <w:sz w:val="20"/>
              </w:rPr>
              <w:t>m</w:t>
            </w:r>
            <w:r w:rsidRPr="00285D3C">
              <w:rPr>
                <w:sz w:val="20"/>
              </w:rPr>
              <w:t xml:space="preserve">etformin + </w:t>
            </w:r>
            <w:proofErr w:type="spellStart"/>
            <w:r>
              <w:rPr>
                <w:sz w:val="20"/>
              </w:rPr>
              <w:t>gli</w:t>
            </w:r>
            <w:r w:rsidR="00D443A8">
              <w:rPr>
                <w:sz w:val="20"/>
              </w:rPr>
              <w:t>p</w:t>
            </w:r>
            <w:r>
              <w:rPr>
                <w:sz w:val="20"/>
              </w:rPr>
              <w:t>tin</w:t>
            </w:r>
            <w:proofErr w:type="spellEnd"/>
            <w:r>
              <w:rPr>
                <w:sz w:val="20"/>
              </w:rPr>
              <w:t xml:space="preserve"> + insulin</w:t>
            </w:r>
            <w:r w:rsidRPr="00285D3C">
              <w:rPr>
                <w:sz w:val="20"/>
              </w:rPr>
              <w:t xml:space="preserve"> </w:t>
            </w:r>
          </w:p>
        </w:tc>
        <w:tc>
          <w:tcPr>
            <w:tcW w:w="1701" w:type="dxa"/>
          </w:tcPr>
          <w:p w:rsidR="00541E0A" w:rsidRPr="00560366" w:rsidRDefault="00541E0A" w:rsidP="00813FF0">
            <w:pPr>
              <w:spacing w:line="276" w:lineRule="auto"/>
              <w:jc w:val="center"/>
              <w:rPr>
                <w:sz w:val="20"/>
              </w:rPr>
            </w:pPr>
            <w:r w:rsidRPr="00560366">
              <w:rPr>
                <w:sz w:val="20"/>
              </w:rPr>
              <w:t>No</w:t>
            </w:r>
            <w:r>
              <w:rPr>
                <w:sz w:val="20"/>
              </w:rPr>
              <w:t>*</w:t>
            </w:r>
          </w:p>
        </w:tc>
        <w:tc>
          <w:tcPr>
            <w:tcW w:w="1417" w:type="dxa"/>
          </w:tcPr>
          <w:p w:rsidR="00541E0A" w:rsidRPr="00541E0A" w:rsidRDefault="00541E0A" w:rsidP="00813FF0">
            <w:pPr>
              <w:spacing w:line="276" w:lineRule="auto"/>
              <w:jc w:val="center"/>
              <w:rPr>
                <w:sz w:val="20"/>
              </w:rPr>
            </w:pPr>
            <w:r w:rsidRPr="00541E0A">
              <w:rPr>
                <w:sz w:val="20"/>
              </w:rPr>
              <w:t>18,530</w:t>
            </w:r>
          </w:p>
        </w:tc>
      </w:tr>
      <w:tr w:rsidR="00541E0A" w:rsidTr="007259D6">
        <w:tc>
          <w:tcPr>
            <w:tcW w:w="5070" w:type="dxa"/>
          </w:tcPr>
          <w:p w:rsidR="00541E0A" w:rsidRPr="00285D3C" w:rsidRDefault="00541E0A" w:rsidP="00813FF0">
            <w:pPr>
              <w:rPr>
                <w:sz w:val="20"/>
              </w:rPr>
            </w:pPr>
            <w:r>
              <w:rPr>
                <w:sz w:val="20"/>
              </w:rPr>
              <w:t>s</w:t>
            </w:r>
            <w:r w:rsidRPr="00285D3C">
              <w:rPr>
                <w:sz w:val="20"/>
              </w:rPr>
              <w:t xml:space="preserve">ulfonylurea + </w:t>
            </w:r>
            <w:proofErr w:type="spellStart"/>
            <w:r>
              <w:rPr>
                <w:sz w:val="20"/>
              </w:rPr>
              <w:t>gli</w:t>
            </w:r>
            <w:r w:rsidR="00D443A8">
              <w:rPr>
                <w:sz w:val="20"/>
              </w:rPr>
              <w:t>p</w:t>
            </w:r>
            <w:r>
              <w:rPr>
                <w:sz w:val="20"/>
              </w:rPr>
              <w:t>tin</w:t>
            </w:r>
            <w:proofErr w:type="spellEnd"/>
            <w:r w:rsidRPr="00285D3C">
              <w:rPr>
                <w:sz w:val="20"/>
              </w:rPr>
              <w:t xml:space="preserve"> + </w:t>
            </w:r>
            <w:proofErr w:type="spellStart"/>
            <w:r>
              <w:rPr>
                <w:sz w:val="20"/>
              </w:rPr>
              <w:t>flozin</w:t>
            </w:r>
            <w:proofErr w:type="spellEnd"/>
            <w:r w:rsidRPr="00285D3C">
              <w:rPr>
                <w:sz w:val="20"/>
              </w:rPr>
              <w:t xml:space="preserve"> </w:t>
            </w:r>
          </w:p>
        </w:tc>
        <w:tc>
          <w:tcPr>
            <w:tcW w:w="1701" w:type="dxa"/>
          </w:tcPr>
          <w:p w:rsidR="00541E0A" w:rsidRPr="00560366" w:rsidRDefault="00541E0A" w:rsidP="00813FF0">
            <w:pPr>
              <w:spacing w:line="276" w:lineRule="auto"/>
              <w:jc w:val="center"/>
              <w:rPr>
                <w:sz w:val="20"/>
              </w:rPr>
            </w:pPr>
            <w:r>
              <w:rPr>
                <w:sz w:val="20"/>
              </w:rPr>
              <w:t>Yes</w:t>
            </w:r>
          </w:p>
        </w:tc>
        <w:tc>
          <w:tcPr>
            <w:tcW w:w="1417" w:type="dxa"/>
          </w:tcPr>
          <w:p w:rsidR="00541E0A" w:rsidRPr="00541E0A" w:rsidRDefault="00541E0A" w:rsidP="00813FF0">
            <w:pPr>
              <w:spacing w:line="276" w:lineRule="auto"/>
              <w:jc w:val="center"/>
              <w:rPr>
                <w:sz w:val="20"/>
              </w:rPr>
            </w:pPr>
            <w:r w:rsidRPr="00541E0A">
              <w:rPr>
                <w:sz w:val="20"/>
              </w:rPr>
              <w:t>3,978</w:t>
            </w:r>
          </w:p>
        </w:tc>
      </w:tr>
      <w:tr w:rsidR="00541E0A" w:rsidTr="007259D6">
        <w:tc>
          <w:tcPr>
            <w:tcW w:w="5070" w:type="dxa"/>
          </w:tcPr>
          <w:p w:rsidR="00541E0A" w:rsidRPr="00285D3C" w:rsidRDefault="00541E0A" w:rsidP="00813FF0">
            <w:pPr>
              <w:rPr>
                <w:sz w:val="20"/>
              </w:rPr>
            </w:pPr>
            <w:r>
              <w:rPr>
                <w:sz w:val="20"/>
              </w:rPr>
              <w:t>s</w:t>
            </w:r>
            <w:r w:rsidRPr="00285D3C">
              <w:rPr>
                <w:sz w:val="20"/>
              </w:rPr>
              <w:t xml:space="preserve">ulfonylurea + </w:t>
            </w:r>
            <w:proofErr w:type="spellStart"/>
            <w:r>
              <w:rPr>
                <w:sz w:val="20"/>
              </w:rPr>
              <w:t>gli</w:t>
            </w:r>
            <w:r w:rsidR="00D443A8">
              <w:rPr>
                <w:sz w:val="20"/>
              </w:rPr>
              <w:t>p</w:t>
            </w:r>
            <w:r>
              <w:rPr>
                <w:sz w:val="20"/>
              </w:rPr>
              <w:t>tin</w:t>
            </w:r>
            <w:proofErr w:type="spellEnd"/>
            <w:r w:rsidRPr="00285D3C">
              <w:rPr>
                <w:sz w:val="20"/>
              </w:rPr>
              <w:t xml:space="preserve"> + </w:t>
            </w:r>
            <w:proofErr w:type="spellStart"/>
            <w:r>
              <w:rPr>
                <w:sz w:val="20"/>
              </w:rPr>
              <w:t>exenatide</w:t>
            </w:r>
            <w:proofErr w:type="spellEnd"/>
            <w:r w:rsidRPr="00285D3C">
              <w:rPr>
                <w:sz w:val="20"/>
              </w:rPr>
              <w:t xml:space="preserve"> </w:t>
            </w:r>
          </w:p>
        </w:tc>
        <w:tc>
          <w:tcPr>
            <w:tcW w:w="1701" w:type="dxa"/>
          </w:tcPr>
          <w:p w:rsidR="00541E0A" w:rsidRPr="00560366" w:rsidRDefault="00541E0A" w:rsidP="00813FF0">
            <w:pPr>
              <w:spacing w:line="276" w:lineRule="auto"/>
              <w:jc w:val="center"/>
              <w:rPr>
                <w:sz w:val="20"/>
              </w:rPr>
            </w:pPr>
            <w:r>
              <w:rPr>
                <w:sz w:val="20"/>
              </w:rPr>
              <w:t>Yes</w:t>
            </w:r>
          </w:p>
        </w:tc>
        <w:tc>
          <w:tcPr>
            <w:tcW w:w="1417" w:type="dxa"/>
          </w:tcPr>
          <w:p w:rsidR="00541E0A" w:rsidRPr="00541E0A" w:rsidRDefault="00541E0A" w:rsidP="00813FF0">
            <w:pPr>
              <w:spacing w:line="276" w:lineRule="auto"/>
              <w:jc w:val="center"/>
              <w:rPr>
                <w:sz w:val="20"/>
              </w:rPr>
            </w:pPr>
            <w:r w:rsidRPr="00541E0A">
              <w:rPr>
                <w:sz w:val="20"/>
              </w:rPr>
              <w:t>780</w:t>
            </w:r>
          </w:p>
        </w:tc>
      </w:tr>
      <w:tr w:rsidR="00541E0A" w:rsidTr="007259D6">
        <w:tc>
          <w:tcPr>
            <w:tcW w:w="5070" w:type="dxa"/>
          </w:tcPr>
          <w:p w:rsidR="00541E0A" w:rsidRPr="00285D3C" w:rsidRDefault="00541E0A" w:rsidP="00813FF0">
            <w:pPr>
              <w:rPr>
                <w:sz w:val="20"/>
              </w:rPr>
            </w:pPr>
            <w:r>
              <w:rPr>
                <w:sz w:val="20"/>
              </w:rPr>
              <w:t>s</w:t>
            </w:r>
            <w:r w:rsidRPr="00285D3C">
              <w:rPr>
                <w:sz w:val="20"/>
              </w:rPr>
              <w:t xml:space="preserve">ulfonylurea + </w:t>
            </w:r>
            <w:proofErr w:type="spellStart"/>
            <w:r>
              <w:rPr>
                <w:sz w:val="20"/>
              </w:rPr>
              <w:t>gli</w:t>
            </w:r>
            <w:r w:rsidR="00D443A8">
              <w:rPr>
                <w:sz w:val="20"/>
              </w:rPr>
              <w:t>p</w:t>
            </w:r>
            <w:r>
              <w:rPr>
                <w:sz w:val="20"/>
              </w:rPr>
              <w:t>tin</w:t>
            </w:r>
            <w:proofErr w:type="spellEnd"/>
            <w:r>
              <w:rPr>
                <w:sz w:val="20"/>
              </w:rPr>
              <w:t xml:space="preserve"> + insulin</w:t>
            </w:r>
            <w:r w:rsidRPr="00285D3C">
              <w:rPr>
                <w:sz w:val="20"/>
              </w:rPr>
              <w:t xml:space="preserve"> </w:t>
            </w:r>
          </w:p>
        </w:tc>
        <w:tc>
          <w:tcPr>
            <w:tcW w:w="1701" w:type="dxa"/>
          </w:tcPr>
          <w:p w:rsidR="00541E0A" w:rsidRPr="00560366" w:rsidRDefault="00541E0A" w:rsidP="00813FF0">
            <w:pPr>
              <w:spacing w:line="276" w:lineRule="auto"/>
              <w:jc w:val="center"/>
              <w:rPr>
                <w:sz w:val="20"/>
              </w:rPr>
            </w:pPr>
            <w:r w:rsidRPr="00560366">
              <w:rPr>
                <w:sz w:val="20"/>
              </w:rPr>
              <w:t>No</w:t>
            </w:r>
            <w:r>
              <w:rPr>
                <w:sz w:val="20"/>
              </w:rPr>
              <w:t>*</w:t>
            </w:r>
          </w:p>
        </w:tc>
        <w:tc>
          <w:tcPr>
            <w:tcW w:w="1417" w:type="dxa"/>
          </w:tcPr>
          <w:p w:rsidR="00541E0A" w:rsidRPr="00541E0A" w:rsidRDefault="00541E0A" w:rsidP="00813FF0">
            <w:pPr>
              <w:spacing w:line="276" w:lineRule="auto"/>
              <w:jc w:val="center"/>
              <w:rPr>
                <w:sz w:val="20"/>
              </w:rPr>
            </w:pPr>
            <w:r w:rsidRPr="00541E0A">
              <w:rPr>
                <w:sz w:val="20"/>
              </w:rPr>
              <w:t>5,563</w:t>
            </w:r>
          </w:p>
        </w:tc>
      </w:tr>
      <w:tr w:rsidR="00541E0A" w:rsidTr="007259D6">
        <w:tc>
          <w:tcPr>
            <w:tcW w:w="5070" w:type="dxa"/>
          </w:tcPr>
          <w:p w:rsidR="00541E0A" w:rsidRPr="00285D3C" w:rsidRDefault="00541E0A" w:rsidP="00813FF0">
            <w:pPr>
              <w:rPr>
                <w:sz w:val="20"/>
              </w:rPr>
            </w:pPr>
            <w:r>
              <w:rPr>
                <w:sz w:val="20"/>
              </w:rPr>
              <w:t>m</w:t>
            </w:r>
            <w:r w:rsidRPr="00285D3C">
              <w:rPr>
                <w:sz w:val="20"/>
              </w:rPr>
              <w:t xml:space="preserve">etformin + </w:t>
            </w:r>
            <w:proofErr w:type="spellStart"/>
            <w:r>
              <w:rPr>
                <w:sz w:val="20"/>
              </w:rPr>
              <w:t>flozin</w:t>
            </w:r>
            <w:proofErr w:type="spellEnd"/>
            <w:r w:rsidRPr="00285D3C">
              <w:rPr>
                <w:sz w:val="20"/>
              </w:rPr>
              <w:t xml:space="preserve"> + </w:t>
            </w:r>
            <w:proofErr w:type="spellStart"/>
            <w:r>
              <w:rPr>
                <w:sz w:val="20"/>
              </w:rPr>
              <w:t>exenatide</w:t>
            </w:r>
            <w:proofErr w:type="spellEnd"/>
            <w:r w:rsidRPr="00285D3C">
              <w:rPr>
                <w:sz w:val="20"/>
              </w:rPr>
              <w:t xml:space="preserve"> </w:t>
            </w:r>
          </w:p>
        </w:tc>
        <w:tc>
          <w:tcPr>
            <w:tcW w:w="1701" w:type="dxa"/>
          </w:tcPr>
          <w:p w:rsidR="00541E0A" w:rsidRPr="00560366" w:rsidRDefault="00541E0A" w:rsidP="00813FF0">
            <w:pPr>
              <w:spacing w:line="276" w:lineRule="auto"/>
              <w:jc w:val="center"/>
              <w:rPr>
                <w:sz w:val="20"/>
              </w:rPr>
            </w:pPr>
            <w:r>
              <w:rPr>
                <w:sz w:val="20"/>
              </w:rPr>
              <w:t>Yes</w:t>
            </w:r>
          </w:p>
        </w:tc>
        <w:tc>
          <w:tcPr>
            <w:tcW w:w="1417" w:type="dxa"/>
          </w:tcPr>
          <w:p w:rsidR="00541E0A" w:rsidRPr="00541E0A" w:rsidRDefault="00541E0A" w:rsidP="00813FF0">
            <w:pPr>
              <w:spacing w:line="276" w:lineRule="auto"/>
              <w:jc w:val="center"/>
              <w:rPr>
                <w:sz w:val="20"/>
              </w:rPr>
            </w:pPr>
            <w:r w:rsidRPr="00541E0A">
              <w:rPr>
                <w:sz w:val="20"/>
              </w:rPr>
              <w:t>2,320</w:t>
            </w:r>
          </w:p>
        </w:tc>
      </w:tr>
      <w:tr w:rsidR="00541E0A" w:rsidTr="007259D6">
        <w:tc>
          <w:tcPr>
            <w:tcW w:w="5070" w:type="dxa"/>
          </w:tcPr>
          <w:p w:rsidR="00541E0A" w:rsidRPr="00285D3C" w:rsidRDefault="00541E0A" w:rsidP="00813FF0">
            <w:pPr>
              <w:rPr>
                <w:sz w:val="20"/>
              </w:rPr>
            </w:pPr>
            <w:r>
              <w:rPr>
                <w:sz w:val="20"/>
              </w:rPr>
              <w:t>s</w:t>
            </w:r>
            <w:r w:rsidRPr="00285D3C">
              <w:rPr>
                <w:sz w:val="20"/>
              </w:rPr>
              <w:t xml:space="preserve">ulfonylurea + </w:t>
            </w:r>
            <w:proofErr w:type="spellStart"/>
            <w:r>
              <w:rPr>
                <w:sz w:val="20"/>
              </w:rPr>
              <w:t>flozin</w:t>
            </w:r>
            <w:proofErr w:type="spellEnd"/>
            <w:r w:rsidRPr="00285D3C">
              <w:rPr>
                <w:sz w:val="20"/>
              </w:rPr>
              <w:t xml:space="preserve"> + </w:t>
            </w:r>
            <w:proofErr w:type="spellStart"/>
            <w:r>
              <w:rPr>
                <w:sz w:val="20"/>
              </w:rPr>
              <w:t>exenatide</w:t>
            </w:r>
            <w:proofErr w:type="spellEnd"/>
            <w:r w:rsidRPr="00285D3C">
              <w:rPr>
                <w:sz w:val="20"/>
              </w:rPr>
              <w:t xml:space="preserve"> </w:t>
            </w:r>
          </w:p>
        </w:tc>
        <w:tc>
          <w:tcPr>
            <w:tcW w:w="1701" w:type="dxa"/>
          </w:tcPr>
          <w:p w:rsidR="00541E0A" w:rsidRPr="00560366" w:rsidRDefault="00541E0A" w:rsidP="00813FF0">
            <w:pPr>
              <w:spacing w:line="276" w:lineRule="auto"/>
              <w:jc w:val="center"/>
              <w:rPr>
                <w:sz w:val="20"/>
              </w:rPr>
            </w:pPr>
            <w:r>
              <w:rPr>
                <w:sz w:val="20"/>
              </w:rPr>
              <w:t>Yes</w:t>
            </w:r>
          </w:p>
        </w:tc>
        <w:tc>
          <w:tcPr>
            <w:tcW w:w="1417" w:type="dxa"/>
          </w:tcPr>
          <w:p w:rsidR="00541E0A" w:rsidRPr="00541E0A" w:rsidRDefault="00541E0A" w:rsidP="00813FF0">
            <w:pPr>
              <w:spacing w:line="276" w:lineRule="auto"/>
              <w:jc w:val="center"/>
              <w:rPr>
                <w:sz w:val="20"/>
              </w:rPr>
            </w:pPr>
            <w:r w:rsidRPr="00541E0A">
              <w:rPr>
                <w:sz w:val="20"/>
              </w:rPr>
              <w:t>968</w:t>
            </w:r>
          </w:p>
        </w:tc>
      </w:tr>
      <w:tr w:rsidR="00541E0A" w:rsidTr="007259D6">
        <w:tc>
          <w:tcPr>
            <w:tcW w:w="5070" w:type="dxa"/>
          </w:tcPr>
          <w:p w:rsidR="00541E0A" w:rsidRPr="00285D3C" w:rsidRDefault="00541E0A" w:rsidP="00813FF0">
            <w:pPr>
              <w:rPr>
                <w:sz w:val="20"/>
              </w:rPr>
            </w:pPr>
            <w:r w:rsidRPr="00285D3C">
              <w:rPr>
                <w:sz w:val="20"/>
              </w:rPr>
              <w:t xml:space="preserve">Any triple therapy combination of the following medicines: </w:t>
            </w:r>
            <w:proofErr w:type="spellStart"/>
            <w:r>
              <w:rPr>
                <w:sz w:val="20"/>
              </w:rPr>
              <w:t>gli</w:t>
            </w:r>
            <w:r w:rsidR="00D443A8">
              <w:rPr>
                <w:sz w:val="20"/>
              </w:rPr>
              <w:t>p</w:t>
            </w:r>
            <w:r>
              <w:rPr>
                <w:sz w:val="20"/>
              </w:rPr>
              <w:t>tin</w:t>
            </w:r>
            <w:proofErr w:type="spellEnd"/>
            <w:r w:rsidRPr="00285D3C">
              <w:rPr>
                <w:sz w:val="20"/>
              </w:rPr>
              <w:t xml:space="preserve">, TZD, </w:t>
            </w:r>
            <w:proofErr w:type="spellStart"/>
            <w:r>
              <w:rPr>
                <w:sz w:val="20"/>
              </w:rPr>
              <w:t>flozin</w:t>
            </w:r>
            <w:proofErr w:type="spellEnd"/>
            <w:r w:rsidRPr="00285D3C">
              <w:rPr>
                <w:sz w:val="20"/>
              </w:rPr>
              <w:t xml:space="preserve">, insulin, and </w:t>
            </w:r>
            <w:proofErr w:type="spellStart"/>
            <w:r>
              <w:rPr>
                <w:sz w:val="20"/>
              </w:rPr>
              <w:t>exenatide</w:t>
            </w:r>
            <w:proofErr w:type="spellEnd"/>
            <w:r w:rsidRPr="00285D3C">
              <w:rPr>
                <w:sz w:val="20"/>
              </w:rPr>
              <w:t xml:space="preserve">. </w:t>
            </w:r>
          </w:p>
        </w:tc>
        <w:tc>
          <w:tcPr>
            <w:tcW w:w="1701" w:type="dxa"/>
          </w:tcPr>
          <w:p w:rsidR="00541E0A" w:rsidRPr="00560366" w:rsidRDefault="00541E0A" w:rsidP="00813FF0">
            <w:pPr>
              <w:spacing w:line="276" w:lineRule="auto"/>
              <w:jc w:val="center"/>
              <w:rPr>
                <w:sz w:val="20"/>
              </w:rPr>
            </w:pPr>
            <w:r>
              <w:rPr>
                <w:sz w:val="20"/>
              </w:rPr>
              <w:t>Yes</w:t>
            </w:r>
          </w:p>
        </w:tc>
        <w:tc>
          <w:tcPr>
            <w:tcW w:w="1417" w:type="dxa"/>
          </w:tcPr>
          <w:p w:rsidR="00541E0A" w:rsidRPr="00541E0A" w:rsidRDefault="00541E0A" w:rsidP="00813FF0">
            <w:pPr>
              <w:spacing w:line="276" w:lineRule="auto"/>
              <w:jc w:val="center"/>
              <w:rPr>
                <w:sz w:val="20"/>
              </w:rPr>
            </w:pPr>
            <w:r w:rsidRPr="00541E0A">
              <w:rPr>
                <w:sz w:val="20"/>
              </w:rPr>
              <w:t>3,805</w:t>
            </w:r>
          </w:p>
        </w:tc>
      </w:tr>
      <w:tr w:rsidR="00541E0A" w:rsidTr="007259D6">
        <w:tc>
          <w:tcPr>
            <w:tcW w:w="5070" w:type="dxa"/>
          </w:tcPr>
          <w:p w:rsidR="00541E0A" w:rsidRPr="00285D3C" w:rsidRDefault="00541E0A" w:rsidP="00813FF0">
            <w:pPr>
              <w:rPr>
                <w:sz w:val="20"/>
              </w:rPr>
            </w:pPr>
            <w:r w:rsidRPr="00285D3C">
              <w:rPr>
                <w:sz w:val="20"/>
              </w:rPr>
              <w:t>Any combination of insulin with three oral therapies.</w:t>
            </w:r>
          </w:p>
        </w:tc>
        <w:tc>
          <w:tcPr>
            <w:tcW w:w="1701" w:type="dxa"/>
          </w:tcPr>
          <w:p w:rsidR="00541E0A" w:rsidRPr="00560366" w:rsidRDefault="00541E0A" w:rsidP="00813FF0">
            <w:pPr>
              <w:spacing w:line="276" w:lineRule="auto"/>
              <w:jc w:val="center"/>
              <w:rPr>
                <w:sz w:val="20"/>
              </w:rPr>
            </w:pPr>
            <w:r>
              <w:rPr>
                <w:sz w:val="20"/>
              </w:rPr>
              <w:t>No^</w:t>
            </w:r>
          </w:p>
        </w:tc>
        <w:tc>
          <w:tcPr>
            <w:tcW w:w="1417" w:type="dxa"/>
          </w:tcPr>
          <w:p w:rsidR="00541E0A" w:rsidRPr="00541E0A" w:rsidRDefault="00541E0A" w:rsidP="00813FF0">
            <w:pPr>
              <w:spacing w:line="276" w:lineRule="auto"/>
              <w:jc w:val="center"/>
              <w:rPr>
                <w:sz w:val="20"/>
              </w:rPr>
            </w:pPr>
            <w:r w:rsidRPr="00541E0A">
              <w:rPr>
                <w:sz w:val="20"/>
              </w:rPr>
              <w:t>8,826</w:t>
            </w:r>
          </w:p>
        </w:tc>
      </w:tr>
    </w:tbl>
    <w:p w:rsidR="00285D3C" w:rsidRPr="0053430C" w:rsidRDefault="00D161B8" w:rsidP="00511E87">
      <w:pPr>
        <w:pStyle w:val="Notes"/>
      </w:pPr>
      <w:r>
        <w:t xml:space="preserve">* </w:t>
      </w:r>
      <w:proofErr w:type="gramStart"/>
      <w:r>
        <w:t>the</w:t>
      </w:r>
      <w:proofErr w:type="gramEnd"/>
      <w:r>
        <w:t xml:space="preserve"> restriction</w:t>
      </w:r>
      <w:r w:rsidR="00396951">
        <w:t>s</w:t>
      </w:r>
      <w:r>
        <w:t xml:space="preserve"> for sitagliptin and </w:t>
      </w:r>
      <w:proofErr w:type="spellStart"/>
      <w:r>
        <w:t>linagliptin</w:t>
      </w:r>
      <w:proofErr w:type="spellEnd"/>
      <w:r>
        <w:t xml:space="preserve"> were expand</w:t>
      </w:r>
      <w:r w:rsidR="003A7309">
        <w:t>ed</w:t>
      </w:r>
      <w:r>
        <w:t xml:space="preserve"> to </w:t>
      </w:r>
      <w:r w:rsidR="003A7309">
        <w:t xml:space="preserve">include </w:t>
      </w:r>
      <w:r>
        <w:t>use with insulin on 1 October 2016</w:t>
      </w:r>
      <w:r>
        <w:br/>
      </w:r>
      <w:r w:rsidR="00560366" w:rsidRPr="0053430C">
        <w:t xml:space="preserve">^ see </w:t>
      </w:r>
      <w:r w:rsidR="007259D6">
        <w:t>“</w:t>
      </w:r>
      <w:r w:rsidR="00B80335">
        <w:t>Other combinations” category in Appendix A</w:t>
      </w:r>
      <w:r w:rsidR="00541E0A">
        <w:br/>
        <w:t xml:space="preserve">Note: </w:t>
      </w:r>
      <w:r w:rsidR="001D3DC7">
        <w:t>S</w:t>
      </w:r>
      <w:r w:rsidR="00541E0A">
        <w:t>ome regimens are classified into more than one regimen group. For example, the regimen m</w:t>
      </w:r>
      <w:r w:rsidR="00541E0A" w:rsidRPr="00285D3C">
        <w:t xml:space="preserve">etformin + </w:t>
      </w:r>
      <w:proofErr w:type="spellStart"/>
      <w:r w:rsidR="00541E0A">
        <w:t>gli</w:t>
      </w:r>
      <w:r w:rsidR="00D443A8">
        <w:t>p</w:t>
      </w:r>
      <w:r w:rsidR="00541E0A">
        <w:t>tin</w:t>
      </w:r>
      <w:proofErr w:type="spellEnd"/>
      <w:r w:rsidR="00541E0A">
        <w:t xml:space="preserve"> + insulin + s</w:t>
      </w:r>
      <w:r w:rsidR="00541E0A" w:rsidRPr="00285D3C">
        <w:t>ulfonylurea</w:t>
      </w:r>
      <w:r w:rsidR="00541E0A">
        <w:t xml:space="preserve"> </w:t>
      </w:r>
      <w:proofErr w:type="gramStart"/>
      <w:r w:rsidR="00541E0A">
        <w:t>is</w:t>
      </w:r>
      <w:proofErr w:type="gramEnd"/>
      <w:r w:rsidR="00541E0A">
        <w:t xml:space="preserve"> counted in both m</w:t>
      </w:r>
      <w:r w:rsidR="00541E0A" w:rsidRPr="00285D3C">
        <w:t xml:space="preserve">etformin + </w:t>
      </w:r>
      <w:proofErr w:type="spellStart"/>
      <w:r w:rsidR="00541E0A">
        <w:t>gli</w:t>
      </w:r>
      <w:r w:rsidR="00D443A8">
        <w:t>p</w:t>
      </w:r>
      <w:r w:rsidR="00541E0A">
        <w:t>tin</w:t>
      </w:r>
      <w:proofErr w:type="spellEnd"/>
      <w:r w:rsidR="00541E0A">
        <w:t xml:space="preserve"> + insulin and s</w:t>
      </w:r>
      <w:r w:rsidR="00541E0A" w:rsidRPr="00285D3C">
        <w:t xml:space="preserve">ulfonylurea + </w:t>
      </w:r>
      <w:proofErr w:type="spellStart"/>
      <w:r w:rsidR="00541E0A">
        <w:t>gli</w:t>
      </w:r>
      <w:r w:rsidR="00D443A8">
        <w:t>p</w:t>
      </w:r>
      <w:r w:rsidR="00541E0A">
        <w:t>tin</w:t>
      </w:r>
      <w:proofErr w:type="spellEnd"/>
      <w:r w:rsidR="00541E0A">
        <w:t xml:space="preserve"> + insulin</w:t>
      </w:r>
      <w:r w:rsidR="00DA7671">
        <w:t xml:space="preserve"> regimen groups</w:t>
      </w:r>
      <w:r w:rsidR="00541E0A">
        <w:t>.</w:t>
      </w:r>
    </w:p>
    <w:p w:rsidR="00231D5F" w:rsidRDefault="00231D5F" w:rsidP="00511E87">
      <w:r>
        <w:t>A</w:t>
      </w:r>
      <w:r w:rsidR="00AC3084">
        <w:t xml:space="preserve">t least </w:t>
      </w:r>
      <w:r>
        <w:t xml:space="preserve">51,000 patients had regimens outside the PBS restrictions in July 2016. </w:t>
      </w:r>
      <w:proofErr w:type="gramStart"/>
      <w:r>
        <w:t xml:space="preserve">However only </w:t>
      </w:r>
      <w:r w:rsidR="00AC3084">
        <w:t>about half</w:t>
      </w:r>
      <w:r>
        <w:t xml:space="preserve"> would have been outside the PBS restrictions after the 1 October 2016 expansion of listings for </w:t>
      </w:r>
      <w:proofErr w:type="spellStart"/>
      <w:r>
        <w:t>gliptins</w:t>
      </w:r>
      <w:proofErr w:type="spellEnd"/>
      <w:r>
        <w:t xml:space="preserve"> with insulin.</w:t>
      </w:r>
      <w:proofErr w:type="gramEnd"/>
    </w:p>
    <w:p w:rsidR="0003660C" w:rsidRDefault="0003660C" w:rsidP="00511E87">
      <w:r>
        <w:t xml:space="preserve">The regimen group with the highest number of patients </w:t>
      </w:r>
      <w:r w:rsidR="00D532D1">
        <w:t xml:space="preserve">was </w:t>
      </w:r>
      <w:r>
        <w:t xml:space="preserve">metformin + </w:t>
      </w:r>
      <w:proofErr w:type="spellStart"/>
      <w:r>
        <w:t>gli</w:t>
      </w:r>
      <w:r w:rsidR="00D443A8">
        <w:t>p</w:t>
      </w:r>
      <w:r>
        <w:t>tin</w:t>
      </w:r>
      <w:proofErr w:type="spellEnd"/>
      <w:r>
        <w:t xml:space="preserve"> + insulin, which </w:t>
      </w:r>
      <w:r w:rsidR="00D532D1">
        <w:t>was</w:t>
      </w:r>
      <w:r>
        <w:t xml:space="preserve"> PBS subsidised from 1 </w:t>
      </w:r>
      <w:r w:rsidR="00386D98">
        <w:t>November</w:t>
      </w:r>
      <w:r>
        <w:t xml:space="preserve"> 2016. The next most common group </w:t>
      </w:r>
      <w:r w:rsidR="00D532D1">
        <w:t xml:space="preserve">was </w:t>
      </w:r>
      <w:r w:rsidRPr="0003660C">
        <w:t xml:space="preserve">metformin + </w:t>
      </w:r>
      <w:proofErr w:type="spellStart"/>
      <w:r w:rsidRPr="0003660C">
        <w:t>gli</w:t>
      </w:r>
      <w:r w:rsidR="00D443A8">
        <w:t>p</w:t>
      </w:r>
      <w:r w:rsidRPr="0003660C">
        <w:t>tin</w:t>
      </w:r>
      <w:proofErr w:type="spellEnd"/>
      <w:r w:rsidRPr="0003660C">
        <w:t xml:space="preserve"> + </w:t>
      </w:r>
      <w:proofErr w:type="spellStart"/>
      <w:r w:rsidRPr="0003660C">
        <w:t>flozin</w:t>
      </w:r>
      <w:proofErr w:type="spellEnd"/>
      <w:r>
        <w:t>.</w:t>
      </w:r>
    </w:p>
    <w:p w:rsidR="002D46DD" w:rsidRDefault="002D46DD" w:rsidP="00813FF0">
      <w:pPr>
        <w:spacing w:line="276" w:lineRule="auto"/>
        <w:rPr>
          <w:b/>
          <w:sz w:val="28"/>
          <w:szCs w:val="28"/>
        </w:rPr>
      </w:pPr>
      <w:r>
        <w:rPr>
          <w:b/>
          <w:sz w:val="28"/>
          <w:szCs w:val="28"/>
        </w:rPr>
        <w:br w:type="page"/>
      </w:r>
    </w:p>
    <w:p w:rsidR="002D46DD" w:rsidRDefault="002D46DD" w:rsidP="00813FF0">
      <w:pPr>
        <w:rPr>
          <w:b/>
          <w:sz w:val="28"/>
          <w:szCs w:val="28"/>
        </w:rPr>
      </w:pPr>
      <w:r w:rsidRPr="00F966F2">
        <w:rPr>
          <w:b/>
          <w:sz w:val="28"/>
          <w:szCs w:val="28"/>
        </w:rPr>
        <w:lastRenderedPageBreak/>
        <w:t>P</w:t>
      </w:r>
      <w:r>
        <w:rPr>
          <w:b/>
          <w:sz w:val="28"/>
          <w:szCs w:val="28"/>
        </w:rPr>
        <w:t>rescriptions</w:t>
      </w:r>
    </w:p>
    <w:p w:rsidR="002D46DD" w:rsidRPr="00DC5228" w:rsidRDefault="002D46DD" w:rsidP="00813FF0">
      <w:r>
        <w:rPr>
          <w:noProof/>
        </w:rPr>
        <w:drawing>
          <wp:inline distT="0" distB="0" distL="0" distR="0" wp14:anchorId="12F91365" wp14:editId="7869C302">
            <wp:extent cx="5687695" cy="3722523"/>
            <wp:effectExtent l="0" t="0" r="27305" b="11430"/>
            <wp:docPr id="10" name="Chart 10" descr="A graph displaying the number of prescriptions for each therapy or combination of therapies by the month of supply" title="Diabetes medicines (ATC of A10) by month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D4A77">
        <w:rPr>
          <w:b/>
        </w:rPr>
        <w:t xml:space="preserve">Figure </w:t>
      </w:r>
      <w:r>
        <w:rPr>
          <w:b/>
        </w:rPr>
        <w:t>1</w:t>
      </w:r>
      <w:r w:rsidR="004755A9">
        <w:rPr>
          <w:b/>
        </w:rPr>
        <w:t>4</w:t>
      </w:r>
      <w:r>
        <w:rPr>
          <w:b/>
        </w:rPr>
        <w:t>:</w:t>
      </w:r>
      <w:r w:rsidRPr="001D4A77">
        <w:rPr>
          <w:b/>
        </w:rPr>
        <w:t xml:space="preserve"> </w:t>
      </w:r>
      <w:r>
        <w:rPr>
          <w:b/>
        </w:rPr>
        <w:t>Diabetes medicines (ATC = A10) by month of supply</w:t>
      </w:r>
    </w:p>
    <w:p w:rsidR="002D46DD" w:rsidRDefault="002D46DD" w:rsidP="00813FF0">
      <w:r>
        <w:t>Figure 1</w:t>
      </w:r>
      <w:r w:rsidR="004755A9">
        <w:t>4</w:t>
      </w:r>
      <w:r>
        <w:t xml:space="preserve"> shows the </w:t>
      </w:r>
      <w:r w:rsidR="00FC18FC">
        <w:t>prescriptions</w:t>
      </w:r>
      <w:r>
        <w:t xml:space="preserve"> </w:t>
      </w:r>
      <w:r w:rsidR="004A7F9F">
        <w:t xml:space="preserve">for diabetes medicines by month of supply </w:t>
      </w:r>
      <w:r w:rsidR="00EE1EF6">
        <w:t>over the same period</w:t>
      </w:r>
      <w:r w:rsidR="004A7F9F">
        <w:t xml:space="preserve"> as </w:t>
      </w:r>
      <w:r w:rsidR="00E51FF9">
        <w:t xml:space="preserve">for the patient level </w:t>
      </w:r>
      <w:r w:rsidR="00B70C48">
        <w:t>analyses</w:t>
      </w:r>
      <w:r>
        <w:t xml:space="preserve">. </w:t>
      </w:r>
      <w:r w:rsidR="00EE1EF6">
        <w:t xml:space="preserve">It shows that stockpiling related to the PBS Safety Net is occurring. Whilst this phenomenon is taken into account in the method used to estimate drug regimens (see </w:t>
      </w:r>
      <w:r w:rsidR="002E02FE">
        <w:t xml:space="preserve">Appendix </w:t>
      </w:r>
      <w:r w:rsidR="000E77FF">
        <w:t xml:space="preserve">B </w:t>
      </w:r>
      <w:r w:rsidR="00EE1EF6">
        <w:t xml:space="preserve">for details), residual effects can still be seen in some </w:t>
      </w:r>
      <w:r w:rsidR="003C3B1D">
        <w:t xml:space="preserve">drug regimen time series (e.g. Metformin and </w:t>
      </w:r>
      <w:proofErr w:type="spellStart"/>
      <w:r w:rsidR="003C3B1D">
        <w:t>Metformin+Sulfonylurea</w:t>
      </w:r>
      <w:proofErr w:type="spellEnd"/>
      <w:r w:rsidR="003C3B1D">
        <w:t xml:space="preserve"> in Figure 2</w:t>
      </w:r>
      <w:r w:rsidR="009002A3">
        <w:t>)</w:t>
      </w:r>
      <w:r w:rsidR="003C3B1D">
        <w:t>.</w:t>
      </w:r>
    </w:p>
    <w:p w:rsidR="00C80F2A" w:rsidRDefault="00C80F2A" w:rsidP="00813FF0">
      <w:pPr>
        <w:spacing w:line="276" w:lineRule="auto"/>
        <w:rPr>
          <w:b/>
          <w:sz w:val="28"/>
          <w:szCs w:val="28"/>
        </w:rPr>
      </w:pPr>
      <w:r>
        <w:rPr>
          <w:b/>
          <w:sz w:val="28"/>
          <w:szCs w:val="28"/>
        </w:rPr>
        <w:br w:type="page"/>
      </w:r>
    </w:p>
    <w:p w:rsidR="00AB4939" w:rsidRDefault="00AB4939" w:rsidP="00813FF0">
      <w:pPr>
        <w:rPr>
          <w:b/>
          <w:sz w:val="28"/>
          <w:szCs w:val="28"/>
        </w:rPr>
      </w:pPr>
      <w:r>
        <w:rPr>
          <w:b/>
          <w:sz w:val="28"/>
          <w:szCs w:val="28"/>
        </w:rPr>
        <w:lastRenderedPageBreak/>
        <w:t>Expenditure</w:t>
      </w:r>
    </w:p>
    <w:p w:rsidR="00D93BAB" w:rsidRPr="002B4CB9" w:rsidRDefault="0074386F" w:rsidP="00813FF0">
      <w:pPr>
        <w:rPr>
          <w:b/>
        </w:rPr>
      </w:pPr>
      <w:r>
        <w:rPr>
          <w:noProof/>
        </w:rPr>
        <w:drawing>
          <wp:inline distT="0" distB="0" distL="0" distR="0" wp14:anchorId="0C6B2236" wp14:editId="050C161C">
            <wp:extent cx="5687695" cy="3710978"/>
            <wp:effectExtent l="0" t="0" r="27305" b="22860"/>
            <wp:docPr id="7" name="Chart 7" descr="A graph showing the expenditure for each of the therapies listed by month of supply" title="R/PBS expenditure on diabetes medicines by month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C80F2A" w:rsidRPr="001D4A77">
        <w:rPr>
          <w:b/>
        </w:rPr>
        <w:t xml:space="preserve">Figure </w:t>
      </w:r>
      <w:r w:rsidR="004755A9">
        <w:rPr>
          <w:b/>
        </w:rPr>
        <w:t>15</w:t>
      </w:r>
      <w:r w:rsidR="00C80F2A">
        <w:rPr>
          <w:b/>
        </w:rPr>
        <w:t>:</w:t>
      </w:r>
      <w:r w:rsidR="00C80F2A" w:rsidRPr="001D4A77">
        <w:rPr>
          <w:b/>
        </w:rPr>
        <w:t xml:space="preserve"> </w:t>
      </w:r>
      <w:r w:rsidR="00C80F2A">
        <w:rPr>
          <w:b/>
        </w:rPr>
        <w:t>R/PBS expenditure on diabetes medicines by month of supply</w:t>
      </w:r>
      <w:r w:rsidR="00D93BAB">
        <w:rPr>
          <w:b/>
        </w:rPr>
        <w:br/>
      </w:r>
      <w:r w:rsidR="003D0E82" w:rsidRPr="003D0E82">
        <w:rPr>
          <w:sz w:val="20"/>
          <w:szCs w:val="20"/>
        </w:rPr>
        <w:t xml:space="preserve">Note: Special pricing </w:t>
      </w:r>
      <w:r w:rsidR="00B70C48">
        <w:rPr>
          <w:sz w:val="20"/>
          <w:szCs w:val="20"/>
        </w:rPr>
        <w:t>arrangement</w:t>
      </w:r>
      <w:r w:rsidR="00B70C48" w:rsidRPr="003D0E82">
        <w:rPr>
          <w:sz w:val="20"/>
          <w:szCs w:val="20"/>
        </w:rPr>
        <w:t>s</w:t>
      </w:r>
      <w:r w:rsidR="003D0E82" w:rsidRPr="003D0E82">
        <w:rPr>
          <w:sz w:val="20"/>
          <w:szCs w:val="20"/>
        </w:rPr>
        <w:t xml:space="preserve"> apply for </w:t>
      </w:r>
      <w:proofErr w:type="spellStart"/>
      <w:r w:rsidR="003D0E82" w:rsidRPr="003D0E82">
        <w:rPr>
          <w:sz w:val="20"/>
          <w:szCs w:val="20"/>
        </w:rPr>
        <w:t>exenatide</w:t>
      </w:r>
      <w:proofErr w:type="spellEnd"/>
      <w:r w:rsidR="003D0E82" w:rsidRPr="003D0E82">
        <w:rPr>
          <w:sz w:val="20"/>
          <w:szCs w:val="20"/>
        </w:rPr>
        <w:t xml:space="preserve">, insulin </w:t>
      </w:r>
      <w:proofErr w:type="spellStart"/>
      <w:r w:rsidR="003D0E82" w:rsidRPr="003D0E82">
        <w:rPr>
          <w:sz w:val="20"/>
          <w:szCs w:val="20"/>
        </w:rPr>
        <w:t>glargine</w:t>
      </w:r>
      <w:proofErr w:type="spellEnd"/>
      <w:r w:rsidR="003D0E82" w:rsidRPr="003D0E82">
        <w:rPr>
          <w:sz w:val="20"/>
          <w:szCs w:val="20"/>
        </w:rPr>
        <w:t xml:space="preserve"> and insulin </w:t>
      </w:r>
      <w:proofErr w:type="spellStart"/>
      <w:r w:rsidR="003D0E82" w:rsidRPr="003D0E82">
        <w:rPr>
          <w:sz w:val="20"/>
          <w:szCs w:val="20"/>
        </w:rPr>
        <w:t>detemir</w:t>
      </w:r>
      <w:proofErr w:type="spellEnd"/>
      <w:r w:rsidR="003D0E82" w:rsidRPr="003D0E82">
        <w:rPr>
          <w:sz w:val="20"/>
          <w:szCs w:val="20"/>
        </w:rPr>
        <w:t>.</w:t>
      </w:r>
    </w:p>
    <w:p w:rsidR="008C0A97" w:rsidRDefault="00AC3084" w:rsidP="00813FF0">
      <w:r>
        <w:t xml:space="preserve">Comparing Figure 14 and </w:t>
      </w:r>
      <w:r w:rsidR="00C80F2A" w:rsidRPr="00C80F2A">
        <w:t xml:space="preserve">Figure </w:t>
      </w:r>
      <w:r w:rsidR="004755A9">
        <w:t>15</w:t>
      </w:r>
      <w:r w:rsidR="00C80F2A">
        <w:t xml:space="preserve"> shows that expenditure on insulin is </w:t>
      </w:r>
      <w:r w:rsidR="00844360">
        <w:t>proportionally</w:t>
      </w:r>
      <w:r w:rsidR="00C80F2A">
        <w:t xml:space="preserve"> </w:t>
      </w:r>
      <w:r w:rsidR="0074386F">
        <w:t xml:space="preserve">much </w:t>
      </w:r>
      <w:r w:rsidR="00C80F2A">
        <w:t xml:space="preserve">greater than </w:t>
      </w:r>
      <w:r w:rsidR="00844360">
        <w:t>prescriptions</w:t>
      </w:r>
      <w:r w:rsidR="00C80F2A">
        <w:t xml:space="preserve"> for insulin</w:t>
      </w:r>
      <w:r w:rsidR="00844360">
        <w:t xml:space="preserve">. </w:t>
      </w:r>
    </w:p>
    <w:p w:rsidR="00C80F2A" w:rsidRPr="00C80F2A" w:rsidRDefault="00844360" w:rsidP="00813FF0">
      <w:r>
        <w:t xml:space="preserve">It also shows that expenditure on </w:t>
      </w:r>
      <w:proofErr w:type="spellStart"/>
      <w:r>
        <w:t>gliptins</w:t>
      </w:r>
      <w:proofErr w:type="spellEnd"/>
      <w:r>
        <w:t xml:space="preserve"> and </w:t>
      </w:r>
      <w:proofErr w:type="spellStart"/>
      <w:r>
        <w:t>gliptin</w:t>
      </w:r>
      <w:proofErr w:type="spellEnd"/>
      <w:r>
        <w:t xml:space="preserve"> &amp; metformin FDCs declined after the restriction change and price </w:t>
      </w:r>
      <w:r w:rsidR="00E51FF9">
        <w:t xml:space="preserve">reduction </w:t>
      </w:r>
      <w:r>
        <w:t xml:space="preserve">in </w:t>
      </w:r>
      <w:r w:rsidR="00B22723">
        <w:t>April 201</w:t>
      </w:r>
      <w:r w:rsidR="008C0A97">
        <w:t>4</w:t>
      </w:r>
      <w:r w:rsidR="00B22723">
        <w:t>.</w:t>
      </w:r>
      <w:r w:rsidR="008C0A97">
        <w:t xml:space="preserve"> There was also a price </w:t>
      </w:r>
      <w:r w:rsidR="00E51FF9">
        <w:t xml:space="preserve">reduction </w:t>
      </w:r>
      <w:r w:rsidR="008C0A97">
        <w:t xml:space="preserve">for </w:t>
      </w:r>
      <w:proofErr w:type="spellStart"/>
      <w:r w:rsidR="008C0A97">
        <w:t>flozins</w:t>
      </w:r>
      <w:proofErr w:type="spellEnd"/>
      <w:r w:rsidR="008C0A97">
        <w:t xml:space="preserve"> in December 2014.</w:t>
      </w:r>
    </w:p>
    <w:p w:rsidR="00875B7A" w:rsidRDefault="00875B7A" w:rsidP="00813FF0">
      <w:pPr>
        <w:spacing w:line="276" w:lineRule="auto"/>
        <w:rPr>
          <w:b/>
        </w:rPr>
      </w:pPr>
      <w:r>
        <w:rPr>
          <w:b/>
        </w:rPr>
        <w:br w:type="page"/>
      </w:r>
    </w:p>
    <w:p w:rsidR="00C80F2A" w:rsidRDefault="00C80F2A" w:rsidP="00813FF0">
      <w:pPr>
        <w:spacing w:after="0"/>
      </w:pPr>
      <w:r>
        <w:rPr>
          <w:b/>
        </w:rPr>
        <w:lastRenderedPageBreak/>
        <w:t>Table 1</w:t>
      </w:r>
      <w:r w:rsidR="00822C33">
        <w:rPr>
          <w:b/>
        </w:rPr>
        <w:t>2</w:t>
      </w:r>
      <w:r w:rsidRPr="00FC18FC">
        <w:rPr>
          <w:b/>
        </w:rPr>
        <w:t xml:space="preserve">: </w:t>
      </w:r>
      <w:r>
        <w:rPr>
          <w:b/>
        </w:rPr>
        <w:t>R/PBS expenditure on diabetes medicines by financial year of supply</w:t>
      </w:r>
    </w:p>
    <w:tbl>
      <w:tblPr>
        <w:tblStyle w:val="TableGrid"/>
        <w:tblW w:w="0" w:type="auto"/>
        <w:tblLook w:val="04A0" w:firstRow="1" w:lastRow="0" w:firstColumn="1" w:lastColumn="0" w:noHBand="0" w:noVBand="1"/>
        <w:tblCaption w:val="R/PBS expenditure on diabetes medicines by financial year of supply"/>
        <w:tblDescription w:val="A table with five columns arranged by financial year starting from 2012/13. The list of therapies is in the first column. The expenditure on each therapy is presented with a total at the bottom"/>
      </w:tblPr>
      <w:tblGrid>
        <w:gridCol w:w="2120"/>
        <w:gridCol w:w="1662"/>
        <w:gridCol w:w="1440"/>
        <w:gridCol w:w="1440"/>
        <w:gridCol w:w="1440"/>
      </w:tblGrid>
      <w:tr w:rsidR="00C80F2A" w:rsidRPr="00C80F2A" w:rsidTr="00F74A76">
        <w:trPr>
          <w:trHeight w:val="300"/>
          <w:tblHeader/>
        </w:trPr>
        <w:tc>
          <w:tcPr>
            <w:tcW w:w="2120" w:type="dxa"/>
            <w:shd w:val="clear" w:color="auto" w:fill="BFBFBF" w:themeFill="background1" w:themeFillShade="BF"/>
            <w:noWrap/>
            <w:hideMark/>
          </w:tcPr>
          <w:p w:rsidR="00C80F2A" w:rsidRPr="00C80F2A" w:rsidRDefault="00C80F2A" w:rsidP="00813FF0">
            <w:pPr>
              <w:rPr>
                <w:b/>
                <w:bCs/>
                <w:sz w:val="20"/>
                <w:szCs w:val="20"/>
              </w:rPr>
            </w:pPr>
            <w:r w:rsidRPr="00C80F2A">
              <w:rPr>
                <w:b/>
                <w:bCs/>
                <w:sz w:val="20"/>
                <w:szCs w:val="20"/>
              </w:rPr>
              <w:t>Drug / Drug Group</w:t>
            </w:r>
          </w:p>
        </w:tc>
        <w:tc>
          <w:tcPr>
            <w:tcW w:w="1662" w:type="dxa"/>
            <w:shd w:val="clear" w:color="auto" w:fill="BFBFBF" w:themeFill="background1" w:themeFillShade="BF"/>
            <w:noWrap/>
            <w:hideMark/>
          </w:tcPr>
          <w:p w:rsidR="00C80F2A" w:rsidRPr="00C80F2A" w:rsidRDefault="00C80F2A" w:rsidP="00813FF0">
            <w:pPr>
              <w:jc w:val="center"/>
              <w:rPr>
                <w:b/>
                <w:bCs/>
                <w:sz w:val="20"/>
                <w:szCs w:val="20"/>
              </w:rPr>
            </w:pPr>
            <w:r w:rsidRPr="00C80F2A">
              <w:rPr>
                <w:b/>
                <w:bCs/>
                <w:sz w:val="20"/>
                <w:szCs w:val="20"/>
              </w:rPr>
              <w:t>2012-13</w:t>
            </w:r>
          </w:p>
        </w:tc>
        <w:tc>
          <w:tcPr>
            <w:tcW w:w="1440" w:type="dxa"/>
            <w:shd w:val="clear" w:color="auto" w:fill="BFBFBF" w:themeFill="background1" w:themeFillShade="BF"/>
            <w:noWrap/>
            <w:hideMark/>
          </w:tcPr>
          <w:p w:rsidR="00C80F2A" w:rsidRPr="00C80F2A" w:rsidRDefault="00C80F2A" w:rsidP="00813FF0">
            <w:pPr>
              <w:jc w:val="center"/>
              <w:rPr>
                <w:b/>
                <w:bCs/>
                <w:sz w:val="20"/>
                <w:szCs w:val="20"/>
              </w:rPr>
            </w:pPr>
            <w:r w:rsidRPr="00C80F2A">
              <w:rPr>
                <w:b/>
                <w:bCs/>
                <w:sz w:val="20"/>
                <w:szCs w:val="20"/>
              </w:rPr>
              <w:t>2013-14</w:t>
            </w:r>
          </w:p>
        </w:tc>
        <w:tc>
          <w:tcPr>
            <w:tcW w:w="1440" w:type="dxa"/>
            <w:shd w:val="clear" w:color="auto" w:fill="BFBFBF" w:themeFill="background1" w:themeFillShade="BF"/>
            <w:noWrap/>
            <w:hideMark/>
          </w:tcPr>
          <w:p w:rsidR="00C80F2A" w:rsidRPr="00C80F2A" w:rsidRDefault="00C80F2A" w:rsidP="00813FF0">
            <w:pPr>
              <w:jc w:val="center"/>
              <w:rPr>
                <w:b/>
                <w:bCs/>
                <w:sz w:val="20"/>
                <w:szCs w:val="20"/>
              </w:rPr>
            </w:pPr>
            <w:r w:rsidRPr="00C80F2A">
              <w:rPr>
                <w:b/>
                <w:bCs/>
                <w:sz w:val="20"/>
                <w:szCs w:val="20"/>
              </w:rPr>
              <w:t>2014-15</w:t>
            </w:r>
          </w:p>
        </w:tc>
        <w:tc>
          <w:tcPr>
            <w:tcW w:w="1440" w:type="dxa"/>
            <w:shd w:val="clear" w:color="auto" w:fill="BFBFBF" w:themeFill="background1" w:themeFillShade="BF"/>
            <w:noWrap/>
            <w:hideMark/>
          </w:tcPr>
          <w:p w:rsidR="00C80F2A" w:rsidRPr="00C80F2A" w:rsidRDefault="00C80F2A" w:rsidP="00813FF0">
            <w:pPr>
              <w:jc w:val="center"/>
              <w:rPr>
                <w:b/>
                <w:bCs/>
                <w:sz w:val="20"/>
                <w:szCs w:val="20"/>
              </w:rPr>
            </w:pPr>
            <w:r w:rsidRPr="00C80F2A">
              <w:rPr>
                <w:b/>
                <w:bCs/>
                <w:sz w:val="20"/>
                <w:szCs w:val="20"/>
              </w:rPr>
              <w:t>2015-16</w:t>
            </w:r>
          </w:p>
        </w:tc>
      </w:tr>
      <w:tr w:rsidR="00C80F2A" w:rsidRPr="00C80F2A" w:rsidTr="00C80F2A">
        <w:trPr>
          <w:trHeight w:val="300"/>
        </w:trPr>
        <w:tc>
          <w:tcPr>
            <w:tcW w:w="2120" w:type="dxa"/>
            <w:noWrap/>
            <w:hideMark/>
          </w:tcPr>
          <w:p w:rsidR="00C80F2A" w:rsidRPr="00C80F2A" w:rsidRDefault="00C80F2A" w:rsidP="00813FF0">
            <w:pPr>
              <w:rPr>
                <w:sz w:val="20"/>
                <w:szCs w:val="20"/>
              </w:rPr>
            </w:pPr>
            <w:r w:rsidRPr="00C80F2A">
              <w:rPr>
                <w:sz w:val="20"/>
                <w:szCs w:val="20"/>
              </w:rPr>
              <w:t>Insulin</w:t>
            </w:r>
          </w:p>
        </w:tc>
        <w:tc>
          <w:tcPr>
            <w:tcW w:w="1662" w:type="dxa"/>
            <w:noWrap/>
            <w:hideMark/>
          </w:tcPr>
          <w:p w:rsidR="00C80F2A" w:rsidRPr="00C80F2A" w:rsidRDefault="00C80F2A" w:rsidP="00813FF0">
            <w:pPr>
              <w:jc w:val="right"/>
              <w:rPr>
                <w:sz w:val="20"/>
                <w:szCs w:val="20"/>
              </w:rPr>
            </w:pPr>
            <w:r w:rsidRPr="00C80F2A">
              <w:rPr>
                <w:sz w:val="20"/>
                <w:szCs w:val="20"/>
              </w:rPr>
              <w:t>$276,238,655</w:t>
            </w:r>
          </w:p>
        </w:tc>
        <w:tc>
          <w:tcPr>
            <w:tcW w:w="1440" w:type="dxa"/>
            <w:noWrap/>
            <w:hideMark/>
          </w:tcPr>
          <w:p w:rsidR="00C80F2A" w:rsidRPr="00C80F2A" w:rsidRDefault="00C80F2A" w:rsidP="00813FF0">
            <w:pPr>
              <w:jc w:val="right"/>
              <w:rPr>
                <w:sz w:val="20"/>
                <w:szCs w:val="20"/>
              </w:rPr>
            </w:pPr>
            <w:r w:rsidRPr="00C80F2A">
              <w:rPr>
                <w:sz w:val="20"/>
                <w:szCs w:val="20"/>
              </w:rPr>
              <w:t>$294,716,181</w:t>
            </w:r>
          </w:p>
        </w:tc>
        <w:tc>
          <w:tcPr>
            <w:tcW w:w="1440" w:type="dxa"/>
            <w:noWrap/>
            <w:hideMark/>
          </w:tcPr>
          <w:p w:rsidR="00C80F2A" w:rsidRPr="00C80F2A" w:rsidRDefault="00C80F2A" w:rsidP="00813FF0">
            <w:pPr>
              <w:jc w:val="right"/>
              <w:rPr>
                <w:sz w:val="20"/>
                <w:szCs w:val="20"/>
              </w:rPr>
            </w:pPr>
            <w:r w:rsidRPr="00C80F2A">
              <w:rPr>
                <w:sz w:val="20"/>
                <w:szCs w:val="20"/>
              </w:rPr>
              <w:t>$308,772,492</w:t>
            </w:r>
          </w:p>
        </w:tc>
        <w:tc>
          <w:tcPr>
            <w:tcW w:w="1440" w:type="dxa"/>
            <w:noWrap/>
            <w:hideMark/>
          </w:tcPr>
          <w:p w:rsidR="00C80F2A" w:rsidRPr="00C80F2A" w:rsidRDefault="00C80F2A" w:rsidP="00813FF0">
            <w:pPr>
              <w:jc w:val="right"/>
              <w:rPr>
                <w:sz w:val="20"/>
                <w:szCs w:val="20"/>
              </w:rPr>
            </w:pPr>
            <w:r w:rsidRPr="00C80F2A">
              <w:rPr>
                <w:sz w:val="20"/>
                <w:szCs w:val="20"/>
              </w:rPr>
              <w:t>$305,286,354</w:t>
            </w:r>
          </w:p>
        </w:tc>
      </w:tr>
      <w:tr w:rsidR="00C80F2A" w:rsidRPr="00C80F2A" w:rsidTr="00C80F2A">
        <w:trPr>
          <w:trHeight w:val="300"/>
        </w:trPr>
        <w:tc>
          <w:tcPr>
            <w:tcW w:w="2120" w:type="dxa"/>
            <w:noWrap/>
            <w:hideMark/>
          </w:tcPr>
          <w:p w:rsidR="00C80F2A" w:rsidRPr="00C80F2A" w:rsidRDefault="00C80F2A" w:rsidP="00813FF0">
            <w:pPr>
              <w:rPr>
                <w:sz w:val="20"/>
                <w:szCs w:val="20"/>
              </w:rPr>
            </w:pPr>
            <w:proofErr w:type="spellStart"/>
            <w:r w:rsidRPr="00C80F2A">
              <w:rPr>
                <w:sz w:val="20"/>
                <w:szCs w:val="20"/>
              </w:rPr>
              <w:t>Gliptin&amp;Met</w:t>
            </w:r>
            <w:proofErr w:type="spellEnd"/>
            <w:r w:rsidRPr="00C80F2A">
              <w:rPr>
                <w:sz w:val="20"/>
                <w:szCs w:val="20"/>
              </w:rPr>
              <w:t xml:space="preserve"> FDC</w:t>
            </w:r>
          </w:p>
        </w:tc>
        <w:tc>
          <w:tcPr>
            <w:tcW w:w="1662" w:type="dxa"/>
            <w:noWrap/>
            <w:hideMark/>
          </w:tcPr>
          <w:p w:rsidR="00C80F2A" w:rsidRPr="00C80F2A" w:rsidRDefault="00C80F2A" w:rsidP="00813FF0">
            <w:pPr>
              <w:jc w:val="right"/>
              <w:rPr>
                <w:sz w:val="20"/>
                <w:szCs w:val="20"/>
              </w:rPr>
            </w:pPr>
            <w:r w:rsidRPr="00C80F2A">
              <w:rPr>
                <w:sz w:val="20"/>
                <w:szCs w:val="20"/>
              </w:rPr>
              <w:t>$54,897,160</w:t>
            </w:r>
          </w:p>
        </w:tc>
        <w:tc>
          <w:tcPr>
            <w:tcW w:w="1440" w:type="dxa"/>
            <w:noWrap/>
            <w:hideMark/>
          </w:tcPr>
          <w:p w:rsidR="00C80F2A" w:rsidRPr="00C80F2A" w:rsidRDefault="00C80F2A" w:rsidP="00813FF0">
            <w:pPr>
              <w:jc w:val="right"/>
              <w:rPr>
                <w:sz w:val="20"/>
                <w:szCs w:val="20"/>
              </w:rPr>
            </w:pPr>
            <w:r w:rsidRPr="00C80F2A">
              <w:rPr>
                <w:sz w:val="20"/>
                <w:szCs w:val="20"/>
              </w:rPr>
              <w:t>$63,792,500</w:t>
            </w:r>
          </w:p>
        </w:tc>
        <w:tc>
          <w:tcPr>
            <w:tcW w:w="1440" w:type="dxa"/>
            <w:noWrap/>
            <w:hideMark/>
          </w:tcPr>
          <w:p w:rsidR="00C80F2A" w:rsidRPr="00C80F2A" w:rsidRDefault="00C80F2A" w:rsidP="00813FF0">
            <w:pPr>
              <w:jc w:val="right"/>
              <w:rPr>
                <w:sz w:val="20"/>
                <w:szCs w:val="20"/>
              </w:rPr>
            </w:pPr>
            <w:r w:rsidRPr="00C80F2A">
              <w:rPr>
                <w:sz w:val="20"/>
                <w:szCs w:val="20"/>
              </w:rPr>
              <w:t>$58,290,440</w:t>
            </w:r>
          </w:p>
        </w:tc>
        <w:tc>
          <w:tcPr>
            <w:tcW w:w="1440" w:type="dxa"/>
            <w:noWrap/>
            <w:hideMark/>
          </w:tcPr>
          <w:p w:rsidR="00C80F2A" w:rsidRPr="00C80F2A" w:rsidRDefault="00C80F2A" w:rsidP="00813FF0">
            <w:pPr>
              <w:jc w:val="right"/>
              <w:rPr>
                <w:sz w:val="20"/>
                <w:szCs w:val="20"/>
              </w:rPr>
            </w:pPr>
            <w:r w:rsidRPr="00C80F2A">
              <w:rPr>
                <w:sz w:val="20"/>
                <w:szCs w:val="20"/>
              </w:rPr>
              <w:t>$68,423,837</w:t>
            </w:r>
          </w:p>
        </w:tc>
      </w:tr>
      <w:tr w:rsidR="00C80F2A" w:rsidRPr="00C80F2A" w:rsidTr="00C80F2A">
        <w:trPr>
          <w:trHeight w:val="300"/>
        </w:trPr>
        <w:tc>
          <w:tcPr>
            <w:tcW w:w="2120" w:type="dxa"/>
            <w:noWrap/>
            <w:hideMark/>
          </w:tcPr>
          <w:p w:rsidR="00C80F2A" w:rsidRPr="00C80F2A" w:rsidRDefault="00C80F2A" w:rsidP="00813FF0">
            <w:pPr>
              <w:rPr>
                <w:sz w:val="20"/>
                <w:szCs w:val="20"/>
              </w:rPr>
            </w:pPr>
            <w:proofErr w:type="spellStart"/>
            <w:r w:rsidRPr="00C80F2A">
              <w:rPr>
                <w:sz w:val="20"/>
                <w:szCs w:val="20"/>
              </w:rPr>
              <w:t>Gliptin</w:t>
            </w:r>
            <w:proofErr w:type="spellEnd"/>
          </w:p>
        </w:tc>
        <w:tc>
          <w:tcPr>
            <w:tcW w:w="1662" w:type="dxa"/>
            <w:noWrap/>
            <w:hideMark/>
          </w:tcPr>
          <w:p w:rsidR="00C80F2A" w:rsidRPr="00C80F2A" w:rsidRDefault="00C80F2A" w:rsidP="00813FF0">
            <w:pPr>
              <w:jc w:val="right"/>
              <w:rPr>
                <w:sz w:val="20"/>
                <w:szCs w:val="20"/>
              </w:rPr>
            </w:pPr>
            <w:r w:rsidRPr="00C80F2A">
              <w:rPr>
                <w:sz w:val="20"/>
                <w:szCs w:val="20"/>
              </w:rPr>
              <w:t>$50,700,905</w:t>
            </w:r>
          </w:p>
        </w:tc>
        <w:tc>
          <w:tcPr>
            <w:tcW w:w="1440" w:type="dxa"/>
            <w:noWrap/>
            <w:hideMark/>
          </w:tcPr>
          <w:p w:rsidR="00C80F2A" w:rsidRPr="00C80F2A" w:rsidRDefault="00C80F2A" w:rsidP="00813FF0">
            <w:pPr>
              <w:jc w:val="right"/>
              <w:rPr>
                <w:sz w:val="20"/>
                <w:szCs w:val="20"/>
              </w:rPr>
            </w:pPr>
            <w:r w:rsidRPr="00C80F2A">
              <w:rPr>
                <w:sz w:val="20"/>
                <w:szCs w:val="20"/>
              </w:rPr>
              <w:t>$54,667,145</w:t>
            </w:r>
          </w:p>
        </w:tc>
        <w:tc>
          <w:tcPr>
            <w:tcW w:w="1440" w:type="dxa"/>
            <w:noWrap/>
            <w:hideMark/>
          </w:tcPr>
          <w:p w:rsidR="00C80F2A" w:rsidRPr="00C80F2A" w:rsidRDefault="00C80F2A" w:rsidP="00813FF0">
            <w:pPr>
              <w:jc w:val="right"/>
              <w:rPr>
                <w:sz w:val="20"/>
                <w:szCs w:val="20"/>
              </w:rPr>
            </w:pPr>
            <w:r w:rsidRPr="00C80F2A">
              <w:rPr>
                <w:sz w:val="20"/>
                <w:szCs w:val="20"/>
              </w:rPr>
              <w:t>$38,182,636</w:t>
            </w:r>
          </w:p>
        </w:tc>
        <w:tc>
          <w:tcPr>
            <w:tcW w:w="1440" w:type="dxa"/>
            <w:noWrap/>
            <w:hideMark/>
          </w:tcPr>
          <w:p w:rsidR="00C80F2A" w:rsidRPr="00C80F2A" w:rsidRDefault="00C80F2A" w:rsidP="00813FF0">
            <w:pPr>
              <w:jc w:val="right"/>
              <w:rPr>
                <w:sz w:val="20"/>
                <w:szCs w:val="20"/>
              </w:rPr>
            </w:pPr>
            <w:r w:rsidRPr="00C80F2A">
              <w:rPr>
                <w:sz w:val="20"/>
                <w:szCs w:val="20"/>
              </w:rPr>
              <w:t>$38,169,854</w:t>
            </w:r>
          </w:p>
        </w:tc>
      </w:tr>
      <w:tr w:rsidR="00C80F2A" w:rsidRPr="00C80F2A" w:rsidTr="00C80F2A">
        <w:trPr>
          <w:trHeight w:val="300"/>
        </w:trPr>
        <w:tc>
          <w:tcPr>
            <w:tcW w:w="2120" w:type="dxa"/>
            <w:noWrap/>
            <w:hideMark/>
          </w:tcPr>
          <w:p w:rsidR="00C80F2A" w:rsidRPr="00C80F2A" w:rsidRDefault="00C80F2A" w:rsidP="00813FF0">
            <w:pPr>
              <w:rPr>
                <w:sz w:val="20"/>
                <w:szCs w:val="20"/>
              </w:rPr>
            </w:pPr>
            <w:r w:rsidRPr="00C80F2A">
              <w:rPr>
                <w:sz w:val="20"/>
                <w:szCs w:val="20"/>
              </w:rPr>
              <w:t>Metformin</w:t>
            </w:r>
          </w:p>
        </w:tc>
        <w:tc>
          <w:tcPr>
            <w:tcW w:w="1662" w:type="dxa"/>
            <w:noWrap/>
            <w:hideMark/>
          </w:tcPr>
          <w:p w:rsidR="00C80F2A" w:rsidRPr="00C80F2A" w:rsidRDefault="00C80F2A" w:rsidP="00813FF0">
            <w:pPr>
              <w:jc w:val="right"/>
              <w:rPr>
                <w:sz w:val="20"/>
                <w:szCs w:val="20"/>
              </w:rPr>
            </w:pPr>
            <w:r w:rsidRPr="00C80F2A">
              <w:rPr>
                <w:sz w:val="20"/>
                <w:szCs w:val="20"/>
              </w:rPr>
              <w:t>$33,959,345</w:t>
            </w:r>
          </w:p>
        </w:tc>
        <w:tc>
          <w:tcPr>
            <w:tcW w:w="1440" w:type="dxa"/>
            <w:noWrap/>
            <w:hideMark/>
          </w:tcPr>
          <w:p w:rsidR="00C80F2A" w:rsidRPr="00C80F2A" w:rsidRDefault="00C80F2A" w:rsidP="00813FF0">
            <w:pPr>
              <w:jc w:val="right"/>
              <w:rPr>
                <w:sz w:val="20"/>
                <w:szCs w:val="20"/>
              </w:rPr>
            </w:pPr>
            <w:r w:rsidRPr="00C80F2A">
              <w:rPr>
                <w:sz w:val="20"/>
                <w:szCs w:val="20"/>
              </w:rPr>
              <w:t>$30,702,246</w:t>
            </w:r>
          </w:p>
        </w:tc>
        <w:tc>
          <w:tcPr>
            <w:tcW w:w="1440" w:type="dxa"/>
            <w:noWrap/>
            <w:hideMark/>
          </w:tcPr>
          <w:p w:rsidR="00C80F2A" w:rsidRPr="00C80F2A" w:rsidRDefault="00C80F2A" w:rsidP="00813FF0">
            <w:pPr>
              <w:jc w:val="right"/>
              <w:rPr>
                <w:sz w:val="20"/>
                <w:szCs w:val="20"/>
              </w:rPr>
            </w:pPr>
            <w:r w:rsidRPr="00C80F2A">
              <w:rPr>
                <w:sz w:val="20"/>
                <w:szCs w:val="20"/>
              </w:rPr>
              <w:t>$27,923,906</w:t>
            </w:r>
          </w:p>
        </w:tc>
        <w:tc>
          <w:tcPr>
            <w:tcW w:w="1440" w:type="dxa"/>
            <w:noWrap/>
            <w:hideMark/>
          </w:tcPr>
          <w:p w:rsidR="00C80F2A" w:rsidRPr="00C80F2A" w:rsidRDefault="00C80F2A" w:rsidP="00813FF0">
            <w:pPr>
              <w:jc w:val="right"/>
              <w:rPr>
                <w:sz w:val="20"/>
                <w:szCs w:val="20"/>
              </w:rPr>
            </w:pPr>
            <w:r w:rsidRPr="00C80F2A">
              <w:rPr>
                <w:sz w:val="20"/>
                <w:szCs w:val="20"/>
              </w:rPr>
              <w:t>$36,341,446</w:t>
            </w:r>
          </w:p>
        </w:tc>
      </w:tr>
      <w:tr w:rsidR="00C80F2A" w:rsidRPr="00C80F2A" w:rsidTr="00C80F2A">
        <w:trPr>
          <w:trHeight w:val="300"/>
        </w:trPr>
        <w:tc>
          <w:tcPr>
            <w:tcW w:w="2120" w:type="dxa"/>
            <w:noWrap/>
            <w:hideMark/>
          </w:tcPr>
          <w:p w:rsidR="00C80F2A" w:rsidRPr="00C80F2A" w:rsidRDefault="00C80F2A" w:rsidP="00813FF0">
            <w:pPr>
              <w:rPr>
                <w:sz w:val="20"/>
                <w:szCs w:val="20"/>
              </w:rPr>
            </w:pPr>
            <w:proofErr w:type="spellStart"/>
            <w:r w:rsidRPr="00C80F2A">
              <w:rPr>
                <w:sz w:val="20"/>
                <w:szCs w:val="20"/>
              </w:rPr>
              <w:t>Exenatide</w:t>
            </w:r>
            <w:proofErr w:type="spellEnd"/>
          </w:p>
        </w:tc>
        <w:tc>
          <w:tcPr>
            <w:tcW w:w="1662" w:type="dxa"/>
            <w:noWrap/>
            <w:hideMark/>
          </w:tcPr>
          <w:p w:rsidR="00C80F2A" w:rsidRPr="00C80F2A" w:rsidRDefault="00C80F2A" w:rsidP="00813FF0">
            <w:pPr>
              <w:jc w:val="right"/>
              <w:rPr>
                <w:sz w:val="20"/>
                <w:szCs w:val="20"/>
              </w:rPr>
            </w:pPr>
            <w:r w:rsidRPr="00C80F2A">
              <w:rPr>
                <w:sz w:val="20"/>
                <w:szCs w:val="20"/>
              </w:rPr>
              <w:t>$19,519,943</w:t>
            </w:r>
          </w:p>
        </w:tc>
        <w:tc>
          <w:tcPr>
            <w:tcW w:w="1440" w:type="dxa"/>
            <w:noWrap/>
            <w:hideMark/>
          </w:tcPr>
          <w:p w:rsidR="00C80F2A" w:rsidRPr="00C80F2A" w:rsidRDefault="00C80F2A" w:rsidP="00813FF0">
            <w:pPr>
              <w:jc w:val="right"/>
              <w:rPr>
                <w:sz w:val="20"/>
                <w:szCs w:val="20"/>
              </w:rPr>
            </w:pPr>
            <w:r w:rsidRPr="00C80F2A">
              <w:rPr>
                <w:sz w:val="20"/>
                <w:szCs w:val="20"/>
              </w:rPr>
              <w:t>$22,007,309</w:t>
            </w:r>
          </w:p>
        </w:tc>
        <w:tc>
          <w:tcPr>
            <w:tcW w:w="1440" w:type="dxa"/>
            <w:noWrap/>
            <w:hideMark/>
          </w:tcPr>
          <w:p w:rsidR="00C80F2A" w:rsidRPr="00C80F2A" w:rsidRDefault="00C80F2A" w:rsidP="00813FF0">
            <w:pPr>
              <w:jc w:val="right"/>
              <w:rPr>
                <w:sz w:val="20"/>
                <w:szCs w:val="20"/>
              </w:rPr>
            </w:pPr>
            <w:r w:rsidRPr="00C80F2A">
              <w:rPr>
                <w:sz w:val="20"/>
                <w:szCs w:val="20"/>
              </w:rPr>
              <w:t>$20,061,374</w:t>
            </w:r>
          </w:p>
        </w:tc>
        <w:tc>
          <w:tcPr>
            <w:tcW w:w="1440" w:type="dxa"/>
            <w:noWrap/>
            <w:hideMark/>
          </w:tcPr>
          <w:p w:rsidR="00C80F2A" w:rsidRPr="00C80F2A" w:rsidRDefault="00C80F2A" w:rsidP="00813FF0">
            <w:pPr>
              <w:jc w:val="right"/>
              <w:rPr>
                <w:sz w:val="20"/>
                <w:szCs w:val="20"/>
              </w:rPr>
            </w:pPr>
            <w:r w:rsidRPr="00C80F2A">
              <w:rPr>
                <w:sz w:val="20"/>
                <w:szCs w:val="20"/>
              </w:rPr>
              <w:t>$15,905,349</w:t>
            </w:r>
          </w:p>
        </w:tc>
      </w:tr>
      <w:tr w:rsidR="00C80F2A" w:rsidRPr="00C80F2A" w:rsidTr="00C80F2A">
        <w:trPr>
          <w:trHeight w:val="300"/>
        </w:trPr>
        <w:tc>
          <w:tcPr>
            <w:tcW w:w="2120" w:type="dxa"/>
            <w:noWrap/>
            <w:hideMark/>
          </w:tcPr>
          <w:p w:rsidR="00C80F2A" w:rsidRPr="00C80F2A" w:rsidRDefault="00C80F2A" w:rsidP="00813FF0">
            <w:pPr>
              <w:rPr>
                <w:sz w:val="20"/>
                <w:szCs w:val="20"/>
              </w:rPr>
            </w:pPr>
            <w:r w:rsidRPr="00C80F2A">
              <w:rPr>
                <w:sz w:val="20"/>
                <w:szCs w:val="20"/>
              </w:rPr>
              <w:t>Sulfonylurea</w:t>
            </w:r>
          </w:p>
        </w:tc>
        <w:tc>
          <w:tcPr>
            <w:tcW w:w="1662" w:type="dxa"/>
            <w:noWrap/>
            <w:hideMark/>
          </w:tcPr>
          <w:p w:rsidR="00C80F2A" w:rsidRPr="00C80F2A" w:rsidRDefault="00C80F2A" w:rsidP="00813FF0">
            <w:pPr>
              <w:jc w:val="right"/>
              <w:rPr>
                <w:sz w:val="20"/>
                <w:szCs w:val="20"/>
              </w:rPr>
            </w:pPr>
            <w:r w:rsidRPr="00C80F2A">
              <w:rPr>
                <w:sz w:val="20"/>
                <w:szCs w:val="20"/>
              </w:rPr>
              <w:t>$17,480,860</w:t>
            </w:r>
          </w:p>
        </w:tc>
        <w:tc>
          <w:tcPr>
            <w:tcW w:w="1440" w:type="dxa"/>
            <w:noWrap/>
            <w:hideMark/>
          </w:tcPr>
          <w:p w:rsidR="00C80F2A" w:rsidRPr="00C80F2A" w:rsidRDefault="00C80F2A" w:rsidP="00813FF0">
            <w:pPr>
              <w:jc w:val="right"/>
              <w:rPr>
                <w:sz w:val="20"/>
                <w:szCs w:val="20"/>
              </w:rPr>
            </w:pPr>
            <w:r w:rsidRPr="00C80F2A">
              <w:rPr>
                <w:sz w:val="20"/>
                <w:szCs w:val="20"/>
              </w:rPr>
              <w:t>$17,299,231</w:t>
            </w:r>
          </w:p>
        </w:tc>
        <w:tc>
          <w:tcPr>
            <w:tcW w:w="1440" w:type="dxa"/>
            <w:noWrap/>
            <w:hideMark/>
          </w:tcPr>
          <w:p w:rsidR="00C80F2A" w:rsidRPr="00C80F2A" w:rsidRDefault="00C80F2A" w:rsidP="00813FF0">
            <w:pPr>
              <w:jc w:val="right"/>
              <w:rPr>
                <w:sz w:val="20"/>
                <w:szCs w:val="20"/>
              </w:rPr>
            </w:pPr>
            <w:r w:rsidRPr="00C80F2A">
              <w:rPr>
                <w:sz w:val="20"/>
                <w:szCs w:val="20"/>
              </w:rPr>
              <w:t>$16,753,924</w:t>
            </w:r>
          </w:p>
        </w:tc>
        <w:tc>
          <w:tcPr>
            <w:tcW w:w="1440" w:type="dxa"/>
            <w:noWrap/>
            <w:hideMark/>
          </w:tcPr>
          <w:p w:rsidR="00C80F2A" w:rsidRPr="00C80F2A" w:rsidRDefault="00C80F2A" w:rsidP="00813FF0">
            <w:pPr>
              <w:jc w:val="right"/>
              <w:rPr>
                <w:sz w:val="20"/>
                <w:szCs w:val="20"/>
              </w:rPr>
            </w:pPr>
            <w:r w:rsidRPr="00C80F2A">
              <w:rPr>
                <w:sz w:val="20"/>
                <w:szCs w:val="20"/>
              </w:rPr>
              <w:t>$20,615,823</w:t>
            </w:r>
          </w:p>
        </w:tc>
      </w:tr>
      <w:tr w:rsidR="00C80F2A" w:rsidRPr="00C80F2A" w:rsidTr="00C80F2A">
        <w:trPr>
          <w:trHeight w:val="300"/>
        </w:trPr>
        <w:tc>
          <w:tcPr>
            <w:tcW w:w="2120" w:type="dxa"/>
            <w:noWrap/>
            <w:hideMark/>
          </w:tcPr>
          <w:p w:rsidR="00C80F2A" w:rsidRPr="00C80F2A" w:rsidRDefault="00C80F2A" w:rsidP="00813FF0">
            <w:pPr>
              <w:rPr>
                <w:sz w:val="20"/>
                <w:szCs w:val="20"/>
              </w:rPr>
            </w:pPr>
            <w:r w:rsidRPr="00C80F2A">
              <w:rPr>
                <w:sz w:val="20"/>
                <w:szCs w:val="20"/>
              </w:rPr>
              <w:t>Pioglitazone</w:t>
            </w:r>
          </w:p>
        </w:tc>
        <w:tc>
          <w:tcPr>
            <w:tcW w:w="1662" w:type="dxa"/>
            <w:noWrap/>
            <w:hideMark/>
          </w:tcPr>
          <w:p w:rsidR="00C80F2A" w:rsidRPr="00C80F2A" w:rsidRDefault="00C80F2A" w:rsidP="00813FF0">
            <w:pPr>
              <w:jc w:val="right"/>
              <w:rPr>
                <w:sz w:val="20"/>
                <w:szCs w:val="20"/>
              </w:rPr>
            </w:pPr>
            <w:r w:rsidRPr="00C80F2A">
              <w:rPr>
                <w:sz w:val="20"/>
                <w:szCs w:val="20"/>
              </w:rPr>
              <w:t>$18,533,474</w:t>
            </w:r>
          </w:p>
        </w:tc>
        <w:tc>
          <w:tcPr>
            <w:tcW w:w="1440" w:type="dxa"/>
            <w:noWrap/>
            <w:hideMark/>
          </w:tcPr>
          <w:p w:rsidR="00C80F2A" w:rsidRPr="00C80F2A" w:rsidRDefault="00C80F2A" w:rsidP="00813FF0">
            <w:pPr>
              <w:jc w:val="right"/>
              <w:rPr>
                <w:sz w:val="20"/>
                <w:szCs w:val="20"/>
              </w:rPr>
            </w:pPr>
            <w:r w:rsidRPr="00C80F2A">
              <w:rPr>
                <w:sz w:val="20"/>
                <w:szCs w:val="20"/>
              </w:rPr>
              <w:t>$10,873,297</w:t>
            </w:r>
          </w:p>
        </w:tc>
        <w:tc>
          <w:tcPr>
            <w:tcW w:w="1440" w:type="dxa"/>
            <w:noWrap/>
            <w:hideMark/>
          </w:tcPr>
          <w:p w:rsidR="00C80F2A" w:rsidRPr="00C80F2A" w:rsidRDefault="00C80F2A" w:rsidP="00813FF0">
            <w:pPr>
              <w:jc w:val="right"/>
              <w:rPr>
                <w:sz w:val="20"/>
                <w:szCs w:val="20"/>
              </w:rPr>
            </w:pPr>
            <w:r w:rsidRPr="00C80F2A">
              <w:rPr>
                <w:sz w:val="20"/>
                <w:szCs w:val="20"/>
              </w:rPr>
              <w:t>$5,936,428</w:t>
            </w:r>
          </w:p>
        </w:tc>
        <w:tc>
          <w:tcPr>
            <w:tcW w:w="1440" w:type="dxa"/>
            <w:noWrap/>
            <w:hideMark/>
          </w:tcPr>
          <w:p w:rsidR="00C80F2A" w:rsidRPr="00C80F2A" w:rsidRDefault="00C80F2A" w:rsidP="00813FF0">
            <w:pPr>
              <w:jc w:val="right"/>
              <w:rPr>
                <w:sz w:val="20"/>
                <w:szCs w:val="20"/>
              </w:rPr>
            </w:pPr>
            <w:r w:rsidRPr="00C80F2A">
              <w:rPr>
                <w:sz w:val="20"/>
                <w:szCs w:val="20"/>
              </w:rPr>
              <w:t>$3,831,276</w:t>
            </w:r>
          </w:p>
        </w:tc>
      </w:tr>
      <w:tr w:rsidR="00C80F2A" w:rsidRPr="00C80F2A" w:rsidTr="00C80F2A">
        <w:trPr>
          <w:trHeight w:val="300"/>
        </w:trPr>
        <w:tc>
          <w:tcPr>
            <w:tcW w:w="2120" w:type="dxa"/>
            <w:noWrap/>
            <w:hideMark/>
          </w:tcPr>
          <w:p w:rsidR="00C80F2A" w:rsidRPr="00C80F2A" w:rsidRDefault="00C80F2A" w:rsidP="00813FF0">
            <w:pPr>
              <w:rPr>
                <w:sz w:val="20"/>
                <w:szCs w:val="20"/>
              </w:rPr>
            </w:pPr>
            <w:proofErr w:type="spellStart"/>
            <w:r w:rsidRPr="00C80F2A">
              <w:rPr>
                <w:sz w:val="20"/>
                <w:szCs w:val="20"/>
              </w:rPr>
              <w:t>Flozin</w:t>
            </w:r>
            <w:proofErr w:type="spellEnd"/>
          </w:p>
        </w:tc>
        <w:tc>
          <w:tcPr>
            <w:tcW w:w="1662" w:type="dxa"/>
            <w:noWrap/>
            <w:hideMark/>
          </w:tcPr>
          <w:p w:rsidR="00C80F2A" w:rsidRPr="00C80F2A" w:rsidRDefault="00C80F2A" w:rsidP="00813FF0">
            <w:pPr>
              <w:jc w:val="right"/>
              <w:rPr>
                <w:sz w:val="20"/>
                <w:szCs w:val="20"/>
              </w:rPr>
            </w:pPr>
          </w:p>
        </w:tc>
        <w:tc>
          <w:tcPr>
            <w:tcW w:w="1440" w:type="dxa"/>
            <w:noWrap/>
            <w:hideMark/>
          </w:tcPr>
          <w:p w:rsidR="00C80F2A" w:rsidRPr="00C80F2A" w:rsidRDefault="00C80F2A" w:rsidP="00813FF0">
            <w:pPr>
              <w:jc w:val="right"/>
              <w:rPr>
                <w:sz w:val="20"/>
                <w:szCs w:val="20"/>
              </w:rPr>
            </w:pPr>
            <w:r w:rsidRPr="00C80F2A">
              <w:rPr>
                <w:sz w:val="20"/>
                <w:szCs w:val="20"/>
              </w:rPr>
              <w:t>$1,635,888</w:t>
            </w:r>
          </w:p>
        </w:tc>
        <w:tc>
          <w:tcPr>
            <w:tcW w:w="1440" w:type="dxa"/>
            <w:noWrap/>
            <w:hideMark/>
          </w:tcPr>
          <w:p w:rsidR="00C80F2A" w:rsidRPr="00C80F2A" w:rsidRDefault="00C80F2A" w:rsidP="00813FF0">
            <w:pPr>
              <w:jc w:val="right"/>
              <w:rPr>
                <w:sz w:val="20"/>
                <w:szCs w:val="20"/>
              </w:rPr>
            </w:pPr>
            <w:r w:rsidRPr="00C80F2A">
              <w:rPr>
                <w:sz w:val="20"/>
                <w:szCs w:val="20"/>
              </w:rPr>
              <w:t>$8,637,712</w:t>
            </w:r>
          </w:p>
        </w:tc>
        <w:tc>
          <w:tcPr>
            <w:tcW w:w="1440" w:type="dxa"/>
            <w:noWrap/>
            <w:hideMark/>
          </w:tcPr>
          <w:p w:rsidR="00C80F2A" w:rsidRPr="00C80F2A" w:rsidRDefault="00C80F2A" w:rsidP="00813FF0">
            <w:pPr>
              <w:jc w:val="right"/>
              <w:rPr>
                <w:sz w:val="20"/>
                <w:szCs w:val="20"/>
              </w:rPr>
            </w:pPr>
            <w:r w:rsidRPr="00C80F2A">
              <w:rPr>
                <w:sz w:val="20"/>
                <w:szCs w:val="20"/>
              </w:rPr>
              <w:t>$20,764,866</w:t>
            </w:r>
          </w:p>
        </w:tc>
      </w:tr>
      <w:tr w:rsidR="00C80F2A" w:rsidRPr="00C80F2A" w:rsidTr="00C80F2A">
        <w:trPr>
          <w:trHeight w:val="300"/>
        </w:trPr>
        <w:tc>
          <w:tcPr>
            <w:tcW w:w="2120" w:type="dxa"/>
            <w:noWrap/>
            <w:hideMark/>
          </w:tcPr>
          <w:p w:rsidR="00C80F2A" w:rsidRPr="00C80F2A" w:rsidRDefault="00C80F2A" w:rsidP="00813FF0">
            <w:pPr>
              <w:rPr>
                <w:sz w:val="20"/>
                <w:szCs w:val="20"/>
              </w:rPr>
            </w:pPr>
            <w:proofErr w:type="spellStart"/>
            <w:r w:rsidRPr="00C80F2A">
              <w:rPr>
                <w:sz w:val="20"/>
                <w:szCs w:val="20"/>
              </w:rPr>
              <w:t>Acarbose</w:t>
            </w:r>
            <w:proofErr w:type="spellEnd"/>
          </w:p>
        </w:tc>
        <w:tc>
          <w:tcPr>
            <w:tcW w:w="1662" w:type="dxa"/>
            <w:noWrap/>
            <w:hideMark/>
          </w:tcPr>
          <w:p w:rsidR="00C80F2A" w:rsidRPr="00C80F2A" w:rsidRDefault="00C80F2A" w:rsidP="00813FF0">
            <w:pPr>
              <w:jc w:val="right"/>
              <w:rPr>
                <w:sz w:val="20"/>
                <w:szCs w:val="20"/>
              </w:rPr>
            </w:pPr>
            <w:r w:rsidRPr="00C80F2A">
              <w:rPr>
                <w:sz w:val="20"/>
                <w:szCs w:val="20"/>
              </w:rPr>
              <w:t>$1,693,056</w:t>
            </w:r>
          </w:p>
        </w:tc>
        <w:tc>
          <w:tcPr>
            <w:tcW w:w="1440" w:type="dxa"/>
            <w:noWrap/>
            <w:hideMark/>
          </w:tcPr>
          <w:p w:rsidR="00C80F2A" w:rsidRPr="00C80F2A" w:rsidRDefault="00C80F2A" w:rsidP="00813FF0">
            <w:pPr>
              <w:jc w:val="right"/>
              <w:rPr>
                <w:sz w:val="20"/>
                <w:szCs w:val="20"/>
              </w:rPr>
            </w:pPr>
            <w:r w:rsidRPr="00C80F2A">
              <w:rPr>
                <w:sz w:val="20"/>
                <w:szCs w:val="20"/>
              </w:rPr>
              <w:t>$1,693,714</w:t>
            </w:r>
          </w:p>
        </w:tc>
        <w:tc>
          <w:tcPr>
            <w:tcW w:w="1440" w:type="dxa"/>
            <w:noWrap/>
            <w:hideMark/>
          </w:tcPr>
          <w:p w:rsidR="00C80F2A" w:rsidRPr="00C80F2A" w:rsidRDefault="00C80F2A" w:rsidP="00813FF0">
            <w:pPr>
              <w:jc w:val="right"/>
              <w:rPr>
                <w:sz w:val="20"/>
                <w:szCs w:val="20"/>
              </w:rPr>
            </w:pPr>
            <w:r w:rsidRPr="00C80F2A">
              <w:rPr>
                <w:sz w:val="20"/>
                <w:szCs w:val="20"/>
              </w:rPr>
              <w:t>$1,672,700</w:t>
            </w:r>
          </w:p>
        </w:tc>
        <w:tc>
          <w:tcPr>
            <w:tcW w:w="1440" w:type="dxa"/>
            <w:noWrap/>
            <w:hideMark/>
          </w:tcPr>
          <w:p w:rsidR="00C80F2A" w:rsidRPr="00C80F2A" w:rsidRDefault="00C80F2A" w:rsidP="00813FF0">
            <w:pPr>
              <w:jc w:val="right"/>
              <w:rPr>
                <w:sz w:val="20"/>
                <w:szCs w:val="20"/>
              </w:rPr>
            </w:pPr>
            <w:r w:rsidRPr="00C80F2A">
              <w:rPr>
                <w:sz w:val="20"/>
                <w:szCs w:val="20"/>
              </w:rPr>
              <w:t>$1,525,426</w:t>
            </w:r>
          </w:p>
        </w:tc>
      </w:tr>
      <w:tr w:rsidR="00C80F2A" w:rsidRPr="00C80F2A" w:rsidTr="00C80F2A">
        <w:trPr>
          <w:trHeight w:val="300"/>
        </w:trPr>
        <w:tc>
          <w:tcPr>
            <w:tcW w:w="2120" w:type="dxa"/>
            <w:noWrap/>
            <w:hideMark/>
          </w:tcPr>
          <w:p w:rsidR="00C80F2A" w:rsidRPr="00C80F2A" w:rsidRDefault="00C80F2A" w:rsidP="00813FF0">
            <w:pPr>
              <w:rPr>
                <w:sz w:val="20"/>
                <w:szCs w:val="20"/>
              </w:rPr>
            </w:pPr>
            <w:proofErr w:type="spellStart"/>
            <w:r w:rsidRPr="00C80F2A">
              <w:rPr>
                <w:sz w:val="20"/>
                <w:szCs w:val="20"/>
              </w:rPr>
              <w:t>Rosi&amp;Met</w:t>
            </w:r>
            <w:proofErr w:type="spellEnd"/>
            <w:r w:rsidRPr="00C80F2A">
              <w:rPr>
                <w:sz w:val="20"/>
                <w:szCs w:val="20"/>
              </w:rPr>
              <w:t xml:space="preserve"> FDC</w:t>
            </w:r>
          </w:p>
        </w:tc>
        <w:tc>
          <w:tcPr>
            <w:tcW w:w="1662" w:type="dxa"/>
            <w:noWrap/>
            <w:hideMark/>
          </w:tcPr>
          <w:p w:rsidR="00C80F2A" w:rsidRPr="00C80F2A" w:rsidRDefault="00C80F2A" w:rsidP="00813FF0">
            <w:pPr>
              <w:jc w:val="right"/>
              <w:rPr>
                <w:sz w:val="20"/>
                <w:szCs w:val="20"/>
              </w:rPr>
            </w:pPr>
            <w:r w:rsidRPr="00C80F2A">
              <w:rPr>
                <w:sz w:val="20"/>
                <w:szCs w:val="20"/>
              </w:rPr>
              <w:t>$1,476,896</w:t>
            </w:r>
          </w:p>
        </w:tc>
        <w:tc>
          <w:tcPr>
            <w:tcW w:w="1440" w:type="dxa"/>
            <w:noWrap/>
            <w:hideMark/>
          </w:tcPr>
          <w:p w:rsidR="00C80F2A" w:rsidRPr="00C80F2A" w:rsidRDefault="00C80F2A" w:rsidP="00813FF0">
            <w:pPr>
              <w:jc w:val="right"/>
              <w:rPr>
                <w:sz w:val="20"/>
                <w:szCs w:val="20"/>
              </w:rPr>
            </w:pPr>
            <w:r w:rsidRPr="00C80F2A">
              <w:rPr>
                <w:sz w:val="20"/>
                <w:szCs w:val="20"/>
              </w:rPr>
              <w:t>$1,081,150</w:t>
            </w:r>
          </w:p>
        </w:tc>
        <w:tc>
          <w:tcPr>
            <w:tcW w:w="1440" w:type="dxa"/>
            <w:noWrap/>
            <w:hideMark/>
          </w:tcPr>
          <w:p w:rsidR="00C80F2A" w:rsidRPr="00C80F2A" w:rsidRDefault="00C80F2A" w:rsidP="00813FF0">
            <w:pPr>
              <w:jc w:val="right"/>
              <w:rPr>
                <w:sz w:val="20"/>
                <w:szCs w:val="20"/>
              </w:rPr>
            </w:pPr>
            <w:r w:rsidRPr="00C80F2A">
              <w:rPr>
                <w:sz w:val="20"/>
                <w:szCs w:val="20"/>
              </w:rPr>
              <w:t>$787,641</w:t>
            </w:r>
          </w:p>
        </w:tc>
        <w:tc>
          <w:tcPr>
            <w:tcW w:w="1440" w:type="dxa"/>
            <w:noWrap/>
            <w:hideMark/>
          </w:tcPr>
          <w:p w:rsidR="00C80F2A" w:rsidRPr="00C80F2A" w:rsidRDefault="00C80F2A" w:rsidP="00813FF0">
            <w:pPr>
              <w:jc w:val="right"/>
              <w:rPr>
                <w:sz w:val="20"/>
                <w:szCs w:val="20"/>
              </w:rPr>
            </w:pPr>
            <w:r w:rsidRPr="00C80F2A">
              <w:rPr>
                <w:sz w:val="20"/>
                <w:szCs w:val="20"/>
              </w:rPr>
              <w:t>$291,222</w:t>
            </w:r>
          </w:p>
        </w:tc>
      </w:tr>
      <w:tr w:rsidR="00C80F2A" w:rsidRPr="00C80F2A" w:rsidTr="00C80F2A">
        <w:trPr>
          <w:trHeight w:val="300"/>
        </w:trPr>
        <w:tc>
          <w:tcPr>
            <w:tcW w:w="2120" w:type="dxa"/>
            <w:noWrap/>
            <w:hideMark/>
          </w:tcPr>
          <w:p w:rsidR="00C80F2A" w:rsidRPr="00C80F2A" w:rsidRDefault="00C80F2A" w:rsidP="00813FF0">
            <w:pPr>
              <w:rPr>
                <w:sz w:val="20"/>
                <w:szCs w:val="20"/>
              </w:rPr>
            </w:pPr>
            <w:r w:rsidRPr="00C80F2A">
              <w:rPr>
                <w:sz w:val="20"/>
                <w:szCs w:val="20"/>
              </w:rPr>
              <w:t>Rosiglitazone</w:t>
            </w:r>
          </w:p>
        </w:tc>
        <w:tc>
          <w:tcPr>
            <w:tcW w:w="1662" w:type="dxa"/>
            <w:noWrap/>
            <w:hideMark/>
          </w:tcPr>
          <w:p w:rsidR="00C80F2A" w:rsidRPr="00C80F2A" w:rsidRDefault="00C80F2A" w:rsidP="00813FF0">
            <w:pPr>
              <w:jc w:val="right"/>
              <w:rPr>
                <w:sz w:val="20"/>
                <w:szCs w:val="20"/>
              </w:rPr>
            </w:pPr>
            <w:r w:rsidRPr="00C80F2A">
              <w:rPr>
                <w:sz w:val="20"/>
                <w:szCs w:val="20"/>
              </w:rPr>
              <w:t>$1,256,996</w:t>
            </w:r>
          </w:p>
        </w:tc>
        <w:tc>
          <w:tcPr>
            <w:tcW w:w="1440" w:type="dxa"/>
            <w:noWrap/>
            <w:hideMark/>
          </w:tcPr>
          <w:p w:rsidR="00C80F2A" w:rsidRPr="00C80F2A" w:rsidRDefault="00C80F2A" w:rsidP="00813FF0">
            <w:pPr>
              <w:jc w:val="right"/>
              <w:rPr>
                <w:sz w:val="20"/>
                <w:szCs w:val="20"/>
              </w:rPr>
            </w:pPr>
            <w:r w:rsidRPr="00C80F2A">
              <w:rPr>
                <w:sz w:val="20"/>
                <w:szCs w:val="20"/>
              </w:rPr>
              <w:t>$913,884</w:t>
            </w:r>
          </w:p>
        </w:tc>
        <w:tc>
          <w:tcPr>
            <w:tcW w:w="1440" w:type="dxa"/>
            <w:noWrap/>
            <w:hideMark/>
          </w:tcPr>
          <w:p w:rsidR="00C80F2A" w:rsidRPr="00C80F2A" w:rsidRDefault="00C80F2A" w:rsidP="00813FF0">
            <w:pPr>
              <w:jc w:val="right"/>
              <w:rPr>
                <w:sz w:val="20"/>
                <w:szCs w:val="20"/>
              </w:rPr>
            </w:pPr>
            <w:r w:rsidRPr="00C80F2A">
              <w:rPr>
                <w:sz w:val="20"/>
                <w:szCs w:val="20"/>
              </w:rPr>
              <w:t>$673,482</w:t>
            </w:r>
          </w:p>
        </w:tc>
        <w:tc>
          <w:tcPr>
            <w:tcW w:w="1440" w:type="dxa"/>
            <w:noWrap/>
            <w:hideMark/>
          </w:tcPr>
          <w:p w:rsidR="00C80F2A" w:rsidRPr="00C80F2A" w:rsidRDefault="00C80F2A" w:rsidP="00813FF0">
            <w:pPr>
              <w:jc w:val="right"/>
              <w:rPr>
                <w:sz w:val="20"/>
                <w:szCs w:val="20"/>
              </w:rPr>
            </w:pPr>
            <w:r w:rsidRPr="00C80F2A">
              <w:rPr>
                <w:sz w:val="20"/>
                <w:szCs w:val="20"/>
              </w:rPr>
              <w:t>$597,994</w:t>
            </w:r>
          </w:p>
        </w:tc>
      </w:tr>
      <w:tr w:rsidR="00C80F2A" w:rsidRPr="00C80F2A" w:rsidTr="00C80F2A">
        <w:trPr>
          <w:trHeight w:val="300"/>
        </w:trPr>
        <w:tc>
          <w:tcPr>
            <w:tcW w:w="2120" w:type="dxa"/>
            <w:noWrap/>
            <w:hideMark/>
          </w:tcPr>
          <w:p w:rsidR="00C80F2A" w:rsidRPr="00C80F2A" w:rsidRDefault="00C80F2A" w:rsidP="00813FF0">
            <w:pPr>
              <w:rPr>
                <w:sz w:val="20"/>
                <w:szCs w:val="20"/>
              </w:rPr>
            </w:pPr>
            <w:proofErr w:type="spellStart"/>
            <w:r w:rsidRPr="00C80F2A">
              <w:rPr>
                <w:sz w:val="20"/>
                <w:szCs w:val="20"/>
              </w:rPr>
              <w:t>Met&amp;Sulf</w:t>
            </w:r>
            <w:proofErr w:type="spellEnd"/>
            <w:r w:rsidRPr="00C80F2A">
              <w:rPr>
                <w:sz w:val="20"/>
                <w:szCs w:val="20"/>
              </w:rPr>
              <w:t xml:space="preserve"> FDC</w:t>
            </w:r>
          </w:p>
        </w:tc>
        <w:tc>
          <w:tcPr>
            <w:tcW w:w="1662" w:type="dxa"/>
            <w:noWrap/>
            <w:hideMark/>
          </w:tcPr>
          <w:p w:rsidR="00C80F2A" w:rsidRPr="00C80F2A" w:rsidRDefault="00C80F2A" w:rsidP="00813FF0">
            <w:pPr>
              <w:jc w:val="right"/>
              <w:rPr>
                <w:sz w:val="20"/>
                <w:szCs w:val="20"/>
              </w:rPr>
            </w:pPr>
            <w:r w:rsidRPr="00C80F2A">
              <w:rPr>
                <w:sz w:val="20"/>
                <w:szCs w:val="20"/>
              </w:rPr>
              <w:t>$934,347</w:t>
            </w:r>
          </w:p>
        </w:tc>
        <w:tc>
          <w:tcPr>
            <w:tcW w:w="1440" w:type="dxa"/>
            <w:noWrap/>
            <w:hideMark/>
          </w:tcPr>
          <w:p w:rsidR="00C80F2A" w:rsidRPr="00C80F2A" w:rsidRDefault="00C80F2A" w:rsidP="00813FF0">
            <w:pPr>
              <w:jc w:val="right"/>
              <w:rPr>
                <w:sz w:val="20"/>
                <w:szCs w:val="20"/>
              </w:rPr>
            </w:pPr>
            <w:r w:rsidRPr="00C80F2A">
              <w:rPr>
                <w:sz w:val="20"/>
                <w:szCs w:val="20"/>
              </w:rPr>
              <w:t>$824,434</w:t>
            </w:r>
          </w:p>
        </w:tc>
        <w:tc>
          <w:tcPr>
            <w:tcW w:w="1440" w:type="dxa"/>
            <w:noWrap/>
            <w:hideMark/>
          </w:tcPr>
          <w:p w:rsidR="00C80F2A" w:rsidRPr="00C80F2A" w:rsidRDefault="00C80F2A" w:rsidP="00813FF0">
            <w:pPr>
              <w:jc w:val="right"/>
              <w:rPr>
                <w:sz w:val="20"/>
                <w:szCs w:val="20"/>
              </w:rPr>
            </w:pPr>
            <w:r w:rsidRPr="00C80F2A">
              <w:rPr>
                <w:sz w:val="20"/>
                <w:szCs w:val="20"/>
              </w:rPr>
              <w:t>$740,373</w:t>
            </w:r>
          </w:p>
        </w:tc>
        <w:tc>
          <w:tcPr>
            <w:tcW w:w="1440" w:type="dxa"/>
            <w:noWrap/>
            <w:hideMark/>
          </w:tcPr>
          <w:p w:rsidR="00C80F2A" w:rsidRPr="00C80F2A" w:rsidRDefault="00C80F2A" w:rsidP="00813FF0">
            <w:pPr>
              <w:jc w:val="right"/>
              <w:rPr>
                <w:sz w:val="20"/>
                <w:szCs w:val="20"/>
              </w:rPr>
            </w:pPr>
            <w:r w:rsidRPr="00C80F2A">
              <w:rPr>
                <w:sz w:val="20"/>
                <w:szCs w:val="20"/>
              </w:rPr>
              <w:t>$875,483</w:t>
            </w:r>
          </w:p>
        </w:tc>
      </w:tr>
      <w:tr w:rsidR="00C80F2A" w:rsidRPr="00C80F2A" w:rsidTr="00C80F2A">
        <w:trPr>
          <w:trHeight w:val="300"/>
        </w:trPr>
        <w:tc>
          <w:tcPr>
            <w:tcW w:w="2120" w:type="dxa"/>
            <w:noWrap/>
            <w:hideMark/>
          </w:tcPr>
          <w:p w:rsidR="00C80F2A" w:rsidRPr="00C80F2A" w:rsidRDefault="00C80F2A" w:rsidP="00813FF0">
            <w:pPr>
              <w:rPr>
                <w:sz w:val="20"/>
                <w:szCs w:val="20"/>
              </w:rPr>
            </w:pPr>
            <w:proofErr w:type="spellStart"/>
            <w:r w:rsidRPr="00C80F2A">
              <w:rPr>
                <w:sz w:val="20"/>
                <w:szCs w:val="20"/>
              </w:rPr>
              <w:t>Flozin&amp;Met</w:t>
            </w:r>
            <w:proofErr w:type="spellEnd"/>
            <w:r w:rsidRPr="00C80F2A">
              <w:rPr>
                <w:sz w:val="20"/>
                <w:szCs w:val="20"/>
              </w:rPr>
              <w:t xml:space="preserve"> FDC</w:t>
            </w:r>
          </w:p>
        </w:tc>
        <w:tc>
          <w:tcPr>
            <w:tcW w:w="1662" w:type="dxa"/>
            <w:noWrap/>
            <w:hideMark/>
          </w:tcPr>
          <w:p w:rsidR="00C80F2A" w:rsidRPr="00C80F2A" w:rsidRDefault="00C80F2A" w:rsidP="00813FF0">
            <w:pPr>
              <w:jc w:val="right"/>
              <w:rPr>
                <w:sz w:val="20"/>
                <w:szCs w:val="20"/>
              </w:rPr>
            </w:pPr>
          </w:p>
        </w:tc>
        <w:tc>
          <w:tcPr>
            <w:tcW w:w="1440" w:type="dxa"/>
            <w:noWrap/>
            <w:hideMark/>
          </w:tcPr>
          <w:p w:rsidR="00C80F2A" w:rsidRPr="00C80F2A" w:rsidRDefault="00C80F2A" w:rsidP="00813FF0">
            <w:pPr>
              <w:jc w:val="right"/>
              <w:rPr>
                <w:sz w:val="20"/>
                <w:szCs w:val="20"/>
              </w:rPr>
            </w:pPr>
          </w:p>
        </w:tc>
        <w:tc>
          <w:tcPr>
            <w:tcW w:w="1440" w:type="dxa"/>
            <w:noWrap/>
            <w:hideMark/>
          </w:tcPr>
          <w:p w:rsidR="00C80F2A" w:rsidRPr="00C80F2A" w:rsidRDefault="00C80F2A" w:rsidP="00813FF0">
            <w:pPr>
              <w:jc w:val="right"/>
              <w:rPr>
                <w:sz w:val="20"/>
                <w:szCs w:val="20"/>
              </w:rPr>
            </w:pPr>
          </w:p>
        </w:tc>
        <w:tc>
          <w:tcPr>
            <w:tcW w:w="1440" w:type="dxa"/>
            <w:noWrap/>
            <w:hideMark/>
          </w:tcPr>
          <w:p w:rsidR="00C80F2A" w:rsidRPr="00C80F2A" w:rsidRDefault="00C80F2A" w:rsidP="00813FF0">
            <w:pPr>
              <w:jc w:val="right"/>
              <w:rPr>
                <w:sz w:val="20"/>
                <w:szCs w:val="20"/>
              </w:rPr>
            </w:pPr>
            <w:r w:rsidRPr="00C80F2A">
              <w:rPr>
                <w:sz w:val="20"/>
                <w:szCs w:val="20"/>
              </w:rPr>
              <w:t>$1,525,099</w:t>
            </w:r>
          </w:p>
        </w:tc>
      </w:tr>
      <w:tr w:rsidR="00C80F2A" w:rsidRPr="00C80F2A" w:rsidTr="00C80F2A">
        <w:trPr>
          <w:trHeight w:val="300"/>
        </w:trPr>
        <w:tc>
          <w:tcPr>
            <w:tcW w:w="2120" w:type="dxa"/>
            <w:noWrap/>
            <w:hideMark/>
          </w:tcPr>
          <w:p w:rsidR="00C80F2A" w:rsidRPr="00C80F2A" w:rsidRDefault="00C80F2A" w:rsidP="00813FF0">
            <w:pPr>
              <w:rPr>
                <w:b/>
                <w:bCs/>
                <w:sz w:val="20"/>
                <w:szCs w:val="20"/>
              </w:rPr>
            </w:pPr>
            <w:r w:rsidRPr="00C80F2A">
              <w:rPr>
                <w:b/>
                <w:bCs/>
                <w:sz w:val="20"/>
                <w:szCs w:val="20"/>
              </w:rPr>
              <w:t>Total</w:t>
            </w:r>
          </w:p>
        </w:tc>
        <w:tc>
          <w:tcPr>
            <w:tcW w:w="1662" w:type="dxa"/>
            <w:noWrap/>
            <w:hideMark/>
          </w:tcPr>
          <w:p w:rsidR="00C80F2A" w:rsidRPr="00C80F2A" w:rsidRDefault="00C80F2A" w:rsidP="00813FF0">
            <w:pPr>
              <w:jc w:val="right"/>
              <w:rPr>
                <w:b/>
                <w:bCs/>
                <w:sz w:val="20"/>
                <w:szCs w:val="20"/>
              </w:rPr>
            </w:pPr>
            <w:r w:rsidRPr="00C80F2A">
              <w:rPr>
                <w:b/>
                <w:bCs/>
                <w:sz w:val="20"/>
                <w:szCs w:val="20"/>
              </w:rPr>
              <w:t>$476,691,637</w:t>
            </w:r>
          </w:p>
        </w:tc>
        <w:tc>
          <w:tcPr>
            <w:tcW w:w="1440" w:type="dxa"/>
            <w:noWrap/>
            <w:hideMark/>
          </w:tcPr>
          <w:p w:rsidR="00C80F2A" w:rsidRPr="00C80F2A" w:rsidRDefault="00C80F2A" w:rsidP="00813FF0">
            <w:pPr>
              <w:jc w:val="right"/>
              <w:rPr>
                <w:b/>
                <w:bCs/>
                <w:sz w:val="20"/>
                <w:szCs w:val="20"/>
              </w:rPr>
            </w:pPr>
            <w:r w:rsidRPr="00C80F2A">
              <w:rPr>
                <w:b/>
                <w:bCs/>
                <w:sz w:val="20"/>
                <w:szCs w:val="20"/>
              </w:rPr>
              <w:t>$500,206,978</w:t>
            </w:r>
          </w:p>
        </w:tc>
        <w:tc>
          <w:tcPr>
            <w:tcW w:w="1440" w:type="dxa"/>
            <w:noWrap/>
            <w:hideMark/>
          </w:tcPr>
          <w:p w:rsidR="00C80F2A" w:rsidRPr="00C80F2A" w:rsidRDefault="00C80F2A" w:rsidP="00813FF0">
            <w:pPr>
              <w:jc w:val="right"/>
              <w:rPr>
                <w:b/>
                <w:bCs/>
                <w:sz w:val="20"/>
                <w:szCs w:val="20"/>
              </w:rPr>
            </w:pPr>
            <w:r w:rsidRPr="00C80F2A">
              <w:rPr>
                <w:b/>
                <w:bCs/>
                <w:sz w:val="20"/>
                <w:szCs w:val="20"/>
              </w:rPr>
              <w:t>$488,433,108</w:t>
            </w:r>
          </w:p>
        </w:tc>
        <w:tc>
          <w:tcPr>
            <w:tcW w:w="1440" w:type="dxa"/>
            <w:noWrap/>
            <w:hideMark/>
          </w:tcPr>
          <w:p w:rsidR="00C80F2A" w:rsidRPr="00C80F2A" w:rsidRDefault="00C80F2A" w:rsidP="00813FF0">
            <w:pPr>
              <w:jc w:val="right"/>
              <w:rPr>
                <w:b/>
                <w:bCs/>
                <w:sz w:val="20"/>
                <w:szCs w:val="20"/>
              </w:rPr>
            </w:pPr>
            <w:r w:rsidRPr="00C80F2A">
              <w:rPr>
                <w:b/>
                <w:bCs/>
                <w:sz w:val="20"/>
                <w:szCs w:val="20"/>
              </w:rPr>
              <w:t>$514,154,027</w:t>
            </w:r>
          </w:p>
        </w:tc>
      </w:tr>
    </w:tbl>
    <w:p w:rsidR="00875B7A" w:rsidRPr="002B4CB9" w:rsidRDefault="003D0E82" w:rsidP="00813FF0">
      <w:pPr>
        <w:spacing w:after="0"/>
        <w:rPr>
          <w:sz w:val="20"/>
          <w:szCs w:val="20"/>
        </w:rPr>
      </w:pPr>
      <w:r w:rsidRPr="002B4CB9">
        <w:rPr>
          <w:sz w:val="20"/>
          <w:szCs w:val="20"/>
        </w:rPr>
        <w:t>Note: Special pricing arrangemen</w:t>
      </w:r>
      <w:r w:rsidR="00756AA4">
        <w:rPr>
          <w:sz w:val="20"/>
          <w:szCs w:val="20"/>
        </w:rPr>
        <w:t>t</w:t>
      </w:r>
      <w:r w:rsidRPr="002B4CB9">
        <w:rPr>
          <w:sz w:val="20"/>
          <w:szCs w:val="20"/>
        </w:rPr>
        <w:t xml:space="preserve">s apply for </w:t>
      </w:r>
      <w:proofErr w:type="spellStart"/>
      <w:r w:rsidRPr="002B4CB9">
        <w:rPr>
          <w:sz w:val="20"/>
          <w:szCs w:val="20"/>
        </w:rPr>
        <w:t>exenatide</w:t>
      </w:r>
      <w:proofErr w:type="spellEnd"/>
      <w:r w:rsidRPr="002B4CB9">
        <w:rPr>
          <w:sz w:val="20"/>
          <w:szCs w:val="20"/>
        </w:rPr>
        <w:t xml:space="preserve">, insulin </w:t>
      </w:r>
      <w:proofErr w:type="spellStart"/>
      <w:r w:rsidRPr="002B4CB9">
        <w:rPr>
          <w:sz w:val="20"/>
          <w:szCs w:val="20"/>
        </w:rPr>
        <w:t>glargine</w:t>
      </w:r>
      <w:proofErr w:type="spellEnd"/>
      <w:r w:rsidRPr="002B4CB9">
        <w:rPr>
          <w:sz w:val="20"/>
          <w:szCs w:val="20"/>
        </w:rPr>
        <w:t xml:space="preserve"> and insulin </w:t>
      </w:r>
      <w:proofErr w:type="spellStart"/>
      <w:r w:rsidRPr="002B4CB9">
        <w:rPr>
          <w:sz w:val="20"/>
          <w:szCs w:val="20"/>
        </w:rPr>
        <w:t>detemir</w:t>
      </w:r>
      <w:proofErr w:type="spellEnd"/>
      <w:r w:rsidRPr="002B4CB9">
        <w:rPr>
          <w:sz w:val="20"/>
          <w:szCs w:val="20"/>
        </w:rPr>
        <w:t>.</w:t>
      </w:r>
    </w:p>
    <w:p w:rsidR="003D0E82" w:rsidRDefault="003D0E82" w:rsidP="00813FF0">
      <w:pPr>
        <w:spacing w:after="0"/>
      </w:pPr>
    </w:p>
    <w:p w:rsidR="00844360" w:rsidRDefault="00844360" w:rsidP="00813FF0">
      <w:r>
        <w:t>Table 1</w:t>
      </w:r>
      <w:r w:rsidR="00822C33">
        <w:t>2</w:t>
      </w:r>
      <w:r>
        <w:t xml:space="preserve"> shows that total expenditure</w:t>
      </w:r>
      <w:r w:rsidR="00B22723">
        <w:t xml:space="preserve"> dipped in 2014-15 after the </w:t>
      </w:r>
      <w:proofErr w:type="spellStart"/>
      <w:r w:rsidR="00B22723">
        <w:t>gliptin</w:t>
      </w:r>
      <w:proofErr w:type="spellEnd"/>
      <w:r w:rsidR="00B22723">
        <w:t xml:space="preserve"> </w:t>
      </w:r>
      <w:r w:rsidR="00CE2EF1">
        <w:t xml:space="preserve">and </w:t>
      </w:r>
      <w:proofErr w:type="spellStart"/>
      <w:r w:rsidR="00CE2EF1">
        <w:t>flozin</w:t>
      </w:r>
      <w:proofErr w:type="spellEnd"/>
      <w:r w:rsidR="00CE2EF1">
        <w:t xml:space="preserve"> </w:t>
      </w:r>
      <w:r w:rsidR="00B22723">
        <w:t>price cut</w:t>
      </w:r>
      <w:r w:rsidR="00CE2EF1">
        <w:t>s, however</w:t>
      </w:r>
      <w:r w:rsidR="00B22723">
        <w:t xml:space="preserve"> it has resumed growth in 2015-16</w:t>
      </w:r>
      <w:r w:rsidR="00CE2EF1">
        <w:t>.</w:t>
      </w:r>
    </w:p>
    <w:p w:rsidR="007F57A3" w:rsidRDefault="007F57A3" w:rsidP="00813FF0">
      <w:pPr>
        <w:spacing w:line="276" w:lineRule="auto"/>
        <w:rPr>
          <w:b/>
          <w:sz w:val="28"/>
          <w:szCs w:val="28"/>
        </w:rPr>
      </w:pPr>
      <w:r>
        <w:rPr>
          <w:b/>
          <w:sz w:val="28"/>
          <w:szCs w:val="28"/>
        </w:rPr>
        <w:br w:type="page"/>
      </w:r>
    </w:p>
    <w:p w:rsidR="006B060E" w:rsidRDefault="006B060E" w:rsidP="00813FF0">
      <w:pPr>
        <w:rPr>
          <w:b/>
          <w:sz w:val="28"/>
          <w:szCs w:val="28"/>
        </w:rPr>
      </w:pPr>
      <w:r>
        <w:rPr>
          <w:b/>
          <w:sz w:val="28"/>
          <w:szCs w:val="28"/>
        </w:rPr>
        <w:lastRenderedPageBreak/>
        <w:t xml:space="preserve">Predicted </w:t>
      </w:r>
      <w:proofErr w:type="spellStart"/>
      <w:r>
        <w:rPr>
          <w:b/>
          <w:sz w:val="28"/>
          <w:szCs w:val="28"/>
        </w:rPr>
        <w:t>vs</w:t>
      </w:r>
      <w:proofErr w:type="spellEnd"/>
      <w:r>
        <w:rPr>
          <w:b/>
          <w:sz w:val="28"/>
          <w:szCs w:val="28"/>
        </w:rPr>
        <w:t xml:space="preserve"> Actual </w:t>
      </w:r>
      <w:r w:rsidR="00392C3C">
        <w:rPr>
          <w:b/>
          <w:sz w:val="28"/>
          <w:szCs w:val="28"/>
        </w:rPr>
        <w:t>(</w:t>
      </w:r>
      <w:proofErr w:type="spellStart"/>
      <w:r w:rsidR="00392C3C">
        <w:rPr>
          <w:b/>
          <w:sz w:val="28"/>
          <w:szCs w:val="28"/>
        </w:rPr>
        <w:t>PvA</w:t>
      </w:r>
      <w:proofErr w:type="spellEnd"/>
      <w:r w:rsidR="00392C3C">
        <w:rPr>
          <w:b/>
          <w:sz w:val="28"/>
          <w:szCs w:val="28"/>
        </w:rPr>
        <w:t xml:space="preserve">) </w:t>
      </w:r>
      <w:r>
        <w:rPr>
          <w:b/>
          <w:sz w:val="28"/>
          <w:szCs w:val="28"/>
        </w:rPr>
        <w:t xml:space="preserve">utilisation for </w:t>
      </w:r>
      <w:proofErr w:type="spellStart"/>
      <w:r>
        <w:rPr>
          <w:b/>
          <w:sz w:val="28"/>
          <w:szCs w:val="28"/>
        </w:rPr>
        <w:t>Dapaglifozin</w:t>
      </w:r>
      <w:proofErr w:type="spellEnd"/>
      <w:r>
        <w:rPr>
          <w:b/>
          <w:sz w:val="28"/>
          <w:szCs w:val="28"/>
        </w:rPr>
        <w:t xml:space="preserve"> / </w:t>
      </w:r>
      <w:proofErr w:type="spellStart"/>
      <w:r>
        <w:rPr>
          <w:b/>
          <w:sz w:val="28"/>
          <w:szCs w:val="28"/>
        </w:rPr>
        <w:t>Flozins</w:t>
      </w:r>
      <w:proofErr w:type="spellEnd"/>
    </w:p>
    <w:p w:rsidR="00FC18FC" w:rsidRDefault="00694623" w:rsidP="00600AE6">
      <w:r>
        <w:t xml:space="preserve">It is difficult to determine the predicted number of </w:t>
      </w:r>
      <w:proofErr w:type="spellStart"/>
      <w:r>
        <w:t>dapagliflozin</w:t>
      </w:r>
      <w:proofErr w:type="spellEnd"/>
      <w:r>
        <w:t xml:space="preserve"> prescriptions. The original estimates were based on the listing of </w:t>
      </w:r>
      <w:proofErr w:type="spellStart"/>
      <w:r>
        <w:t>dapagliflozin</w:t>
      </w:r>
      <w:proofErr w:type="spellEnd"/>
      <w:r>
        <w:t xml:space="preserve"> and </w:t>
      </w:r>
      <w:proofErr w:type="spellStart"/>
      <w:r>
        <w:t>canagliflozin</w:t>
      </w:r>
      <w:proofErr w:type="spellEnd"/>
      <w:r>
        <w:t xml:space="preserve"> in the same month</w:t>
      </w:r>
      <w:r w:rsidR="00C033DA">
        <w:t>,</w:t>
      </w:r>
      <w:r>
        <w:t xml:space="preserve"> December 2013</w:t>
      </w:r>
      <w:r w:rsidR="00C033DA">
        <w:t>,</w:t>
      </w:r>
      <w:r>
        <w:t xml:space="preserve"> and</w:t>
      </w:r>
      <w:r w:rsidR="00DF7CC5">
        <w:t xml:space="preserve"> </w:t>
      </w:r>
      <w:r>
        <w:t>market share</w:t>
      </w:r>
      <w:r w:rsidR="00DF7CC5">
        <w:t>s</w:t>
      </w:r>
      <w:r>
        <w:t xml:space="preserve"> of 52% and 48% respectively </w:t>
      </w:r>
      <w:r w:rsidR="00FC18FC">
        <w:t>were</w:t>
      </w:r>
      <w:r>
        <w:t xml:space="preserve"> assumed </w:t>
      </w:r>
      <w:r w:rsidR="00C033DA">
        <w:t>for</w:t>
      </w:r>
      <w:r>
        <w:t xml:space="preserve"> the first year. </w:t>
      </w:r>
      <w:r w:rsidR="00FC18FC">
        <w:t xml:space="preserve">The </w:t>
      </w:r>
      <w:proofErr w:type="spellStart"/>
      <w:r w:rsidR="00FC18FC">
        <w:t>flozin</w:t>
      </w:r>
      <w:proofErr w:type="spellEnd"/>
      <w:r w:rsidR="00FC18FC">
        <w:t xml:space="preserve"> dual oral therapy market was split </w:t>
      </w:r>
      <w:r w:rsidR="00C033DA">
        <w:t xml:space="preserve">further </w:t>
      </w:r>
      <w:r w:rsidR="00FC18FC">
        <w:t xml:space="preserve">by the listing of a </w:t>
      </w:r>
      <w:r w:rsidR="00011DD5">
        <w:t xml:space="preserve">third </w:t>
      </w:r>
      <w:proofErr w:type="spellStart"/>
      <w:r w:rsidR="00FC18FC">
        <w:t>flozin</w:t>
      </w:r>
      <w:proofErr w:type="spellEnd"/>
      <w:r w:rsidR="00FC18FC">
        <w:t xml:space="preserve">, </w:t>
      </w:r>
      <w:proofErr w:type="spellStart"/>
      <w:r w:rsidR="00FC18FC">
        <w:t>empagliflozin</w:t>
      </w:r>
      <w:proofErr w:type="spellEnd"/>
      <w:r w:rsidR="00FC18FC">
        <w:t xml:space="preserve">, in January 2015. </w:t>
      </w:r>
      <w:r>
        <w:t xml:space="preserve">However </w:t>
      </w:r>
      <w:proofErr w:type="spellStart"/>
      <w:r>
        <w:t>canagliflozin</w:t>
      </w:r>
      <w:proofErr w:type="spellEnd"/>
      <w:r>
        <w:t xml:space="preserve"> was delisted in August 2015, presumably boosting the market share of </w:t>
      </w:r>
      <w:proofErr w:type="spellStart"/>
      <w:r>
        <w:t>dapagliflozin</w:t>
      </w:r>
      <w:proofErr w:type="spellEnd"/>
      <w:r w:rsidR="00FC18FC">
        <w:t xml:space="preserve"> and </w:t>
      </w:r>
      <w:proofErr w:type="spellStart"/>
      <w:r w:rsidR="00FC18FC">
        <w:t>empagliflozin</w:t>
      </w:r>
      <w:proofErr w:type="spellEnd"/>
      <w:r>
        <w:t xml:space="preserve">. </w:t>
      </w:r>
      <w:r w:rsidR="00DF7CC5">
        <w:t xml:space="preserve">In April 2015 the PBS </w:t>
      </w:r>
      <w:proofErr w:type="spellStart"/>
      <w:r w:rsidR="00DF7CC5">
        <w:t>flozin</w:t>
      </w:r>
      <w:proofErr w:type="spellEnd"/>
      <w:r w:rsidR="00DF7CC5">
        <w:t xml:space="preserve"> market was expanded by the extension of </w:t>
      </w:r>
      <w:r w:rsidR="00E61CFF">
        <w:t xml:space="preserve">the </w:t>
      </w:r>
      <w:proofErr w:type="spellStart"/>
      <w:r w:rsidR="00DF7CC5">
        <w:t>dapagliflozin</w:t>
      </w:r>
      <w:proofErr w:type="spellEnd"/>
      <w:r w:rsidR="00E61CFF">
        <w:t xml:space="preserve"> listing</w:t>
      </w:r>
      <w:r w:rsidR="00DF7CC5">
        <w:t xml:space="preserve"> to </w:t>
      </w:r>
      <w:r w:rsidR="00E61CFF">
        <w:t xml:space="preserve">include </w:t>
      </w:r>
      <w:r w:rsidR="00DF7CC5">
        <w:t xml:space="preserve">therapy with insulin. It was expanded again in July 2015 by the extension of </w:t>
      </w:r>
      <w:proofErr w:type="spellStart"/>
      <w:r w:rsidR="00DF7CC5">
        <w:t>dapagliflozin</w:t>
      </w:r>
      <w:proofErr w:type="spellEnd"/>
      <w:r w:rsidR="00DF7CC5">
        <w:t xml:space="preserve"> to triple oral therapy with metformin and a sulfonylurea. The above two extensions to listing were also applied to </w:t>
      </w:r>
      <w:proofErr w:type="spellStart"/>
      <w:r w:rsidR="00DF7CC5">
        <w:t>empagliflozin</w:t>
      </w:r>
      <w:proofErr w:type="spellEnd"/>
      <w:r w:rsidR="00DF7CC5">
        <w:t xml:space="preserve"> in March 2016.</w:t>
      </w:r>
      <w:r w:rsidR="00FC18FC">
        <w:t xml:space="preserve"> </w:t>
      </w:r>
    </w:p>
    <w:p w:rsidR="00694623" w:rsidRDefault="00FC18FC" w:rsidP="00A61E08">
      <w:r>
        <w:t xml:space="preserve">All these changes made </w:t>
      </w:r>
      <w:r w:rsidR="00C033DA">
        <w:t>prediction</w:t>
      </w:r>
      <w:r>
        <w:t xml:space="preserve"> of the market share of </w:t>
      </w:r>
      <w:proofErr w:type="spellStart"/>
      <w:r>
        <w:t>dapagliflozin</w:t>
      </w:r>
      <w:proofErr w:type="spellEnd"/>
      <w:r>
        <w:t xml:space="preserve"> difficult and uncertain.</w:t>
      </w:r>
      <w:r w:rsidR="00DF7CC5">
        <w:t xml:space="preserve"> However it was possible to attempt a Predicted </w:t>
      </w:r>
      <w:proofErr w:type="spellStart"/>
      <w:r w:rsidR="00DF7CC5">
        <w:t>vs</w:t>
      </w:r>
      <w:proofErr w:type="spellEnd"/>
      <w:r w:rsidR="00DF7CC5">
        <w:t xml:space="preserve"> Actual analysis for the </w:t>
      </w:r>
      <w:proofErr w:type="spellStart"/>
      <w:r w:rsidR="00DF7CC5">
        <w:t>flozin</w:t>
      </w:r>
      <w:proofErr w:type="spellEnd"/>
      <w:r w:rsidR="00DF7CC5">
        <w:t xml:space="preserve"> market</w:t>
      </w:r>
      <w:r>
        <w:t xml:space="preserve"> as a whole.</w:t>
      </w:r>
    </w:p>
    <w:p w:rsidR="00FC18FC" w:rsidRPr="00FC18FC" w:rsidRDefault="00E003A0" w:rsidP="00813FF0">
      <w:pPr>
        <w:spacing w:after="0"/>
        <w:rPr>
          <w:b/>
        </w:rPr>
      </w:pPr>
      <w:r>
        <w:rPr>
          <w:b/>
        </w:rPr>
        <w:t xml:space="preserve">Table </w:t>
      </w:r>
      <w:r w:rsidR="00822C33">
        <w:rPr>
          <w:b/>
        </w:rPr>
        <w:t>13</w:t>
      </w:r>
      <w:r w:rsidR="00FC18FC" w:rsidRPr="00FC18FC">
        <w:rPr>
          <w:b/>
        </w:rPr>
        <w:t xml:space="preserve">: Predicted </w:t>
      </w:r>
      <w:proofErr w:type="spellStart"/>
      <w:r w:rsidR="00FC18FC" w:rsidRPr="00FC18FC">
        <w:rPr>
          <w:b/>
        </w:rPr>
        <w:t>vs</w:t>
      </w:r>
      <w:proofErr w:type="spellEnd"/>
      <w:r w:rsidR="00FC18FC" w:rsidRPr="00FC18FC">
        <w:rPr>
          <w:b/>
        </w:rPr>
        <w:t xml:space="preserve"> Actual analysis for the </w:t>
      </w:r>
      <w:proofErr w:type="spellStart"/>
      <w:r w:rsidR="00FC18FC" w:rsidRPr="00FC18FC">
        <w:rPr>
          <w:b/>
        </w:rPr>
        <w:t>flozin</w:t>
      </w:r>
      <w:proofErr w:type="spellEnd"/>
      <w:r w:rsidR="00FC18FC" w:rsidRPr="00FC18FC">
        <w:rPr>
          <w:b/>
        </w:rPr>
        <w:t xml:space="preserve"> market</w:t>
      </w:r>
    </w:p>
    <w:tbl>
      <w:tblPr>
        <w:tblW w:w="5072" w:type="pct"/>
        <w:tblLook w:val="04A0" w:firstRow="1" w:lastRow="0" w:firstColumn="1" w:lastColumn="0" w:noHBand="0" w:noVBand="1"/>
      </w:tblPr>
      <w:tblGrid>
        <w:gridCol w:w="1668"/>
        <w:gridCol w:w="1171"/>
        <w:gridCol w:w="1670"/>
        <w:gridCol w:w="1128"/>
        <w:gridCol w:w="1229"/>
        <w:gridCol w:w="879"/>
        <w:gridCol w:w="1560"/>
      </w:tblGrid>
      <w:tr w:rsidR="00F749C1" w:rsidRPr="00533A54" w:rsidTr="00F74530">
        <w:trPr>
          <w:trHeight w:val="227"/>
        </w:trPr>
        <w:tc>
          <w:tcPr>
            <w:tcW w:w="897" w:type="pct"/>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DF7CC5" w:rsidRPr="00314F6A" w:rsidRDefault="00DF7CC5" w:rsidP="00813FF0">
            <w:pPr>
              <w:spacing w:after="0"/>
              <w:ind w:right="319"/>
              <w:rPr>
                <w:rFonts w:ascii="Calibri" w:eastAsia="Times New Roman" w:hAnsi="Calibri" w:cs="Times New Roman"/>
                <w:color w:val="000000"/>
                <w:sz w:val="20"/>
                <w:szCs w:val="18"/>
              </w:rPr>
            </w:pPr>
            <w:r w:rsidRPr="00314F6A">
              <w:rPr>
                <w:rFonts w:ascii="Calibri" w:eastAsia="Times New Roman" w:hAnsi="Calibri" w:cs="Times New Roman"/>
                <w:color w:val="000000"/>
                <w:sz w:val="20"/>
                <w:szCs w:val="18"/>
              </w:rPr>
              <w:t> </w:t>
            </w:r>
          </w:p>
        </w:tc>
        <w:tc>
          <w:tcPr>
            <w:tcW w:w="630" w:type="pct"/>
            <w:vMerge w:val="restart"/>
            <w:tcBorders>
              <w:top w:val="single" w:sz="8" w:space="0" w:color="auto"/>
              <w:left w:val="single" w:sz="8" w:space="0" w:color="auto"/>
              <w:right w:val="single" w:sz="8" w:space="0" w:color="auto"/>
            </w:tcBorders>
            <w:shd w:val="clear" w:color="000000" w:fill="BFBFBF"/>
          </w:tcPr>
          <w:p w:rsidR="00DF7CC5" w:rsidRPr="00314F6A" w:rsidRDefault="00DF7CC5" w:rsidP="00813FF0">
            <w:pPr>
              <w:spacing w:after="0"/>
              <w:rPr>
                <w:rFonts w:ascii="Calibri" w:eastAsia="Times New Roman" w:hAnsi="Calibri" w:cs="Times New Roman"/>
                <w:b/>
                <w:bCs/>
                <w:color w:val="000000"/>
                <w:sz w:val="20"/>
                <w:szCs w:val="18"/>
              </w:rPr>
            </w:pPr>
          </w:p>
        </w:tc>
        <w:tc>
          <w:tcPr>
            <w:tcW w:w="898"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DF7CC5" w:rsidRPr="00314F6A" w:rsidRDefault="00DF7CC5" w:rsidP="00813FF0">
            <w:pPr>
              <w:spacing w:after="0"/>
              <w:rPr>
                <w:rFonts w:ascii="Calibri" w:eastAsia="Times New Roman" w:hAnsi="Calibri" w:cs="Times New Roman"/>
                <w:b/>
                <w:bCs/>
                <w:color w:val="000000"/>
                <w:sz w:val="20"/>
                <w:szCs w:val="18"/>
              </w:rPr>
            </w:pPr>
            <w:r w:rsidRPr="00314F6A">
              <w:rPr>
                <w:rFonts w:ascii="Calibri" w:eastAsia="Times New Roman" w:hAnsi="Calibri" w:cs="Times New Roman"/>
                <w:b/>
                <w:bCs/>
                <w:color w:val="000000"/>
                <w:sz w:val="20"/>
                <w:szCs w:val="18"/>
              </w:rPr>
              <w:t> </w:t>
            </w:r>
          </w:p>
        </w:tc>
        <w:tc>
          <w:tcPr>
            <w:tcW w:w="606" w:type="pct"/>
            <w:tcBorders>
              <w:top w:val="single" w:sz="8" w:space="0" w:color="auto"/>
              <w:left w:val="nil"/>
              <w:bottom w:val="single" w:sz="8" w:space="0" w:color="auto"/>
              <w:right w:val="single" w:sz="8" w:space="0" w:color="auto"/>
            </w:tcBorders>
            <w:shd w:val="clear" w:color="000000" w:fill="BFBFBF"/>
            <w:noWrap/>
            <w:vAlign w:val="center"/>
            <w:hideMark/>
          </w:tcPr>
          <w:p w:rsidR="00DF7CC5" w:rsidRPr="00314F6A" w:rsidRDefault="00DF7CC5" w:rsidP="00813FF0">
            <w:pPr>
              <w:spacing w:after="0"/>
              <w:jc w:val="center"/>
              <w:rPr>
                <w:rFonts w:ascii="Calibri" w:eastAsia="Times New Roman" w:hAnsi="Calibri" w:cs="Times New Roman"/>
                <w:b/>
                <w:bCs/>
                <w:color w:val="000000"/>
                <w:sz w:val="20"/>
                <w:szCs w:val="18"/>
              </w:rPr>
            </w:pPr>
            <w:r w:rsidRPr="00314F6A">
              <w:rPr>
                <w:rFonts w:ascii="Calibri" w:eastAsia="Times New Roman" w:hAnsi="Calibri" w:cs="Times New Roman"/>
                <w:b/>
                <w:bCs/>
                <w:color w:val="000000"/>
                <w:sz w:val="20"/>
                <w:szCs w:val="18"/>
              </w:rPr>
              <w:t>Year1</w:t>
            </w:r>
          </w:p>
        </w:tc>
        <w:tc>
          <w:tcPr>
            <w:tcW w:w="660" w:type="pct"/>
            <w:tcBorders>
              <w:top w:val="single" w:sz="8" w:space="0" w:color="auto"/>
              <w:left w:val="nil"/>
              <w:bottom w:val="single" w:sz="8" w:space="0" w:color="auto"/>
              <w:right w:val="single" w:sz="8" w:space="0" w:color="auto"/>
            </w:tcBorders>
            <w:shd w:val="clear" w:color="000000" w:fill="BFBFBF"/>
            <w:noWrap/>
            <w:vAlign w:val="center"/>
            <w:hideMark/>
          </w:tcPr>
          <w:p w:rsidR="00DF7CC5" w:rsidRPr="00314F6A" w:rsidRDefault="00DF7CC5" w:rsidP="00813FF0">
            <w:pPr>
              <w:spacing w:after="0"/>
              <w:jc w:val="center"/>
              <w:rPr>
                <w:rFonts w:ascii="Calibri" w:eastAsia="Times New Roman" w:hAnsi="Calibri" w:cs="Times New Roman"/>
                <w:b/>
                <w:bCs/>
                <w:color w:val="000000"/>
                <w:sz w:val="20"/>
                <w:szCs w:val="18"/>
              </w:rPr>
            </w:pPr>
            <w:r w:rsidRPr="00314F6A">
              <w:rPr>
                <w:rFonts w:ascii="Calibri" w:eastAsia="Times New Roman" w:hAnsi="Calibri" w:cs="Times New Roman"/>
                <w:b/>
                <w:bCs/>
                <w:color w:val="000000"/>
                <w:sz w:val="20"/>
                <w:szCs w:val="18"/>
              </w:rPr>
              <w:t>Year 2</w:t>
            </w:r>
          </w:p>
        </w:tc>
        <w:tc>
          <w:tcPr>
            <w:tcW w:w="470" w:type="pct"/>
            <w:tcBorders>
              <w:top w:val="single" w:sz="8" w:space="0" w:color="auto"/>
              <w:left w:val="nil"/>
              <w:bottom w:val="single" w:sz="8" w:space="0" w:color="auto"/>
              <w:right w:val="single" w:sz="8" w:space="0" w:color="auto"/>
            </w:tcBorders>
            <w:shd w:val="clear" w:color="000000" w:fill="BFBFBF"/>
            <w:noWrap/>
            <w:vAlign w:val="center"/>
            <w:hideMark/>
          </w:tcPr>
          <w:p w:rsidR="00DF7CC5" w:rsidRPr="00314F6A" w:rsidRDefault="00DF7CC5" w:rsidP="00813FF0">
            <w:pPr>
              <w:spacing w:after="0"/>
              <w:jc w:val="center"/>
              <w:rPr>
                <w:rFonts w:ascii="Calibri" w:eastAsia="Times New Roman" w:hAnsi="Calibri" w:cs="Times New Roman"/>
                <w:b/>
                <w:bCs/>
                <w:color w:val="000000"/>
                <w:sz w:val="20"/>
                <w:szCs w:val="18"/>
              </w:rPr>
            </w:pPr>
            <w:r w:rsidRPr="00314F6A">
              <w:rPr>
                <w:rFonts w:ascii="Calibri" w:eastAsia="Times New Roman" w:hAnsi="Calibri" w:cs="Times New Roman"/>
                <w:b/>
                <w:bCs/>
                <w:color w:val="000000"/>
                <w:sz w:val="20"/>
                <w:szCs w:val="18"/>
              </w:rPr>
              <w:t>Year 3</w:t>
            </w:r>
          </w:p>
        </w:tc>
        <w:tc>
          <w:tcPr>
            <w:tcW w:w="838" w:type="pct"/>
            <w:tcBorders>
              <w:top w:val="single" w:sz="8" w:space="0" w:color="auto"/>
              <w:left w:val="nil"/>
              <w:bottom w:val="single" w:sz="8" w:space="0" w:color="auto"/>
              <w:right w:val="single" w:sz="8" w:space="0" w:color="auto"/>
            </w:tcBorders>
            <w:shd w:val="clear" w:color="000000" w:fill="BFBFBF"/>
            <w:noWrap/>
            <w:vAlign w:val="center"/>
            <w:hideMark/>
          </w:tcPr>
          <w:p w:rsidR="00F749C1" w:rsidRDefault="00DF7CC5" w:rsidP="00813FF0">
            <w:pPr>
              <w:spacing w:after="0"/>
              <w:jc w:val="center"/>
              <w:rPr>
                <w:rFonts w:ascii="Calibri" w:eastAsia="Times New Roman" w:hAnsi="Calibri" w:cs="Times New Roman"/>
                <w:b/>
                <w:bCs/>
                <w:color w:val="000000"/>
                <w:sz w:val="20"/>
                <w:szCs w:val="18"/>
              </w:rPr>
            </w:pPr>
            <w:r>
              <w:rPr>
                <w:rFonts w:ascii="Calibri" w:eastAsia="Times New Roman" w:hAnsi="Calibri" w:cs="Times New Roman"/>
                <w:b/>
                <w:bCs/>
                <w:color w:val="000000"/>
                <w:sz w:val="20"/>
                <w:szCs w:val="18"/>
              </w:rPr>
              <w:t xml:space="preserve">Year 3 </w:t>
            </w:r>
          </w:p>
          <w:p w:rsidR="00DF7CC5" w:rsidRPr="00314F6A" w:rsidRDefault="00DF7CC5" w:rsidP="00813FF0">
            <w:pPr>
              <w:spacing w:after="0"/>
              <w:jc w:val="center"/>
              <w:rPr>
                <w:rFonts w:ascii="Calibri" w:eastAsia="Times New Roman" w:hAnsi="Calibri" w:cs="Times New Roman"/>
                <w:b/>
                <w:bCs/>
                <w:color w:val="000000"/>
                <w:sz w:val="20"/>
                <w:szCs w:val="18"/>
              </w:rPr>
            </w:pPr>
            <w:r>
              <w:rPr>
                <w:rFonts w:ascii="Calibri" w:eastAsia="Times New Roman" w:hAnsi="Calibri" w:cs="Times New Roman"/>
                <w:b/>
                <w:bCs/>
                <w:color w:val="000000"/>
                <w:sz w:val="20"/>
                <w:szCs w:val="18"/>
              </w:rPr>
              <w:t>to date</w:t>
            </w:r>
          </w:p>
        </w:tc>
      </w:tr>
      <w:tr w:rsidR="00F749C1" w:rsidRPr="00533A54" w:rsidTr="00F74530">
        <w:trPr>
          <w:trHeight w:val="227"/>
        </w:trPr>
        <w:tc>
          <w:tcPr>
            <w:tcW w:w="897" w:type="pct"/>
            <w:vMerge/>
            <w:tcBorders>
              <w:top w:val="single" w:sz="8" w:space="0" w:color="auto"/>
              <w:left w:val="single" w:sz="8" w:space="0" w:color="auto"/>
              <w:bottom w:val="single" w:sz="8" w:space="0" w:color="000000"/>
              <w:right w:val="single" w:sz="8" w:space="0" w:color="auto"/>
            </w:tcBorders>
            <w:vAlign w:val="center"/>
            <w:hideMark/>
          </w:tcPr>
          <w:p w:rsidR="00DF7CC5" w:rsidRPr="00314F6A" w:rsidRDefault="00DF7CC5" w:rsidP="00813FF0">
            <w:pPr>
              <w:spacing w:after="0"/>
              <w:rPr>
                <w:rFonts w:ascii="Calibri" w:eastAsia="Times New Roman" w:hAnsi="Calibri" w:cs="Times New Roman"/>
                <w:color w:val="000000"/>
                <w:sz w:val="20"/>
                <w:szCs w:val="18"/>
              </w:rPr>
            </w:pPr>
          </w:p>
        </w:tc>
        <w:tc>
          <w:tcPr>
            <w:tcW w:w="630" w:type="pct"/>
            <w:vMerge/>
            <w:tcBorders>
              <w:left w:val="single" w:sz="8" w:space="0" w:color="auto"/>
              <w:bottom w:val="single" w:sz="4" w:space="0" w:color="auto"/>
              <w:right w:val="single" w:sz="8" w:space="0" w:color="auto"/>
            </w:tcBorders>
          </w:tcPr>
          <w:p w:rsidR="00DF7CC5" w:rsidRPr="00314F6A" w:rsidRDefault="00DF7CC5" w:rsidP="00813FF0">
            <w:pPr>
              <w:spacing w:after="0"/>
              <w:rPr>
                <w:rFonts w:ascii="Calibri" w:eastAsia="Times New Roman" w:hAnsi="Calibri" w:cs="Times New Roman"/>
                <w:b/>
                <w:bCs/>
                <w:color w:val="000000"/>
                <w:sz w:val="20"/>
                <w:szCs w:val="18"/>
              </w:rPr>
            </w:pPr>
          </w:p>
        </w:tc>
        <w:tc>
          <w:tcPr>
            <w:tcW w:w="898" w:type="pct"/>
            <w:vMerge/>
            <w:tcBorders>
              <w:top w:val="single" w:sz="8" w:space="0" w:color="auto"/>
              <w:left w:val="single" w:sz="8" w:space="0" w:color="auto"/>
              <w:bottom w:val="single" w:sz="8" w:space="0" w:color="000000"/>
              <w:right w:val="single" w:sz="8" w:space="0" w:color="auto"/>
            </w:tcBorders>
            <w:vAlign w:val="center"/>
            <w:hideMark/>
          </w:tcPr>
          <w:p w:rsidR="00DF7CC5" w:rsidRPr="00314F6A" w:rsidRDefault="00DF7CC5" w:rsidP="00813FF0">
            <w:pPr>
              <w:spacing w:after="0"/>
              <w:rPr>
                <w:rFonts w:ascii="Calibri" w:eastAsia="Times New Roman" w:hAnsi="Calibri" w:cs="Times New Roman"/>
                <w:b/>
                <w:bCs/>
                <w:color w:val="000000"/>
                <w:sz w:val="20"/>
                <w:szCs w:val="18"/>
              </w:rPr>
            </w:pPr>
          </w:p>
        </w:tc>
        <w:tc>
          <w:tcPr>
            <w:tcW w:w="606" w:type="pct"/>
            <w:tcBorders>
              <w:top w:val="nil"/>
              <w:left w:val="nil"/>
              <w:bottom w:val="single" w:sz="8" w:space="0" w:color="auto"/>
              <w:right w:val="single" w:sz="8" w:space="0" w:color="auto"/>
            </w:tcBorders>
            <w:shd w:val="clear" w:color="000000" w:fill="BFBFBF"/>
            <w:noWrap/>
            <w:vAlign w:val="center"/>
            <w:hideMark/>
          </w:tcPr>
          <w:p w:rsidR="00DF7CC5" w:rsidRPr="00DF7CC5" w:rsidRDefault="00DF7CC5" w:rsidP="00813FF0">
            <w:pPr>
              <w:spacing w:after="0"/>
              <w:jc w:val="center"/>
              <w:rPr>
                <w:rFonts w:ascii="Calibri" w:eastAsia="Times New Roman" w:hAnsi="Calibri" w:cs="Times New Roman"/>
                <w:b/>
                <w:bCs/>
                <w:color w:val="000000"/>
                <w:sz w:val="20"/>
                <w:szCs w:val="18"/>
              </w:rPr>
            </w:pPr>
            <w:r w:rsidRPr="00DF7CC5">
              <w:rPr>
                <w:rFonts w:ascii="Calibri" w:eastAsia="Times New Roman" w:hAnsi="Calibri" w:cs="Times New Roman"/>
                <w:b/>
                <w:bCs/>
                <w:color w:val="000000"/>
                <w:sz w:val="20"/>
                <w:szCs w:val="18"/>
              </w:rPr>
              <w:t>2014</w:t>
            </w:r>
          </w:p>
        </w:tc>
        <w:tc>
          <w:tcPr>
            <w:tcW w:w="660" w:type="pct"/>
            <w:tcBorders>
              <w:top w:val="nil"/>
              <w:left w:val="nil"/>
              <w:bottom w:val="single" w:sz="8" w:space="0" w:color="auto"/>
              <w:right w:val="single" w:sz="8" w:space="0" w:color="auto"/>
            </w:tcBorders>
            <w:shd w:val="clear" w:color="000000" w:fill="BFBFBF"/>
            <w:noWrap/>
            <w:vAlign w:val="center"/>
            <w:hideMark/>
          </w:tcPr>
          <w:p w:rsidR="00DF7CC5" w:rsidRPr="00DF7CC5" w:rsidRDefault="00DF7CC5" w:rsidP="00813FF0">
            <w:pPr>
              <w:spacing w:after="0"/>
              <w:jc w:val="center"/>
              <w:rPr>
                <w:rFonts w:ascii="Calibri" w:eastAsia="Times New Roman" w:hAnsi="Calibri" w:cs="Times New Roman"/>
                <w:b/>
                <w:bCs/>
                <w:color w:val="000000"/>
                <w:sz w:val="20"/>
                <w:szCs w:val="18"/>
              </w:rPr>
            </w:pPr>
            <w:r w:rsidRPr="00DF7CC5">
              <w:rPr>
                <w:rFonts w:ascii="Calibri" w:eastAsia="Times New Roman" w:hAnsi="Calibri" w:cs="Times New Roman"/>
                <w:b/>
                <w:bCs/>
                <w:color w:val="000000"/>
                <w:sz w:val="20"/>
                <w:szCs w:val="18"/>
              </w:rPr>
              <w:t>2015</w:t>
            </w:r>
          </w:p>
        </w:tc>
        <w:tc>
          <w:tcPr>
            <w:tcW w:w="470" w:type="pct"/>
            <w:tcBorders>
              <w:top w:val="nil"/>
              <w:left w:val="nil"/>
              <w:bottom w:val="single" w:sz="8" w:space="0" w:color="auto"/>
              <w:right w:val="single" w:sz="8" w:space="0" w:color="auto"/>
            </w:tcBorders>
            <w:shd w:val="clear" w:color="000000" w:fill="BFBFBF"/>
            <w:noWrap/>
            <w:vAlign w:val="center"/>
            <w:hideMark/>
          </w:tcPr>
          <w:p w:rsidR="00DF7CC5" w:rsidRPr="00DF7CC5" w:rsidRDefault="00DF7CC5" w:rsidP="00813FF0">
            <w:pPr>
              <w:spacing w:after="0"/>
              <w:jc w:val="center"/>
              <w:rPr>
                <w:rFonts w:ascii="Calibri" w:eastAsia="Times New Roman" w:hAnsi="Calibri" w:cs="Times New Roman"/>
                <w:b/>
                <w:bCs/>
                <w:color w:val="000000"/>
                <w:sz w:val="20"/>
                <w:szCs w:val="18"/>
              </w:rPr>
            </w:pPr>
            <w:r w:rsidRPr="00DF7CC5">
              <w:rPr>
                <w:rFonts w:ascii="Calibri" w:eastAsia="Times New Roman" w:hAnsi="Calibri" w:cs="Times New Roman"/>
                <w:b/>
                <w:bCs/>
                <w:color w:val="000000"/>
                <w:sz w:val="20"/>
                <w:szCs w:val="18"/>
              </w:rPr>
              <w:t>2016</w:t>
            </w:r>
          </w:p>
        </w:tc>
        <w:tc>
          <w:tcPr>
            <w:tcW w:w="838" w:type="pct"/>
            <w:tcBorders>
              <w:top w:val="nil"/>
              <w:left w:val="nil"/>
              <w:bottom w:val="single" w:sz="8" w:space="0" w:color="auto"/>
              <w:right w:val="single" w:sz="8" w:space="0" w:color="auto"/>
            </w:tcBorders>
            <w:shd w:val="clear" w:color="000000" w:fill="BFBFBF"/>
            <w:noWrap/>
            <w:vAlign w:val="center"/>
            <w:hideMark/>
          </w:tcPr>
          <w:p w:rsidR="00F749C1" w:rsidRDefault="00DF7CC5" w:rsidP="00813FF0">
            <w:pPr>
              <w:spacing w:after="0"/>
              <w:jc w:val="center"/>
              <w:rPr>
                <w:rFonts w:ascii="Calibri" w:eastAsia="Times New Roman" w:hAnsi="Calibri" w:cs="Times New Roman"/>
                <w:b/>
                <w:bCs/>
                <w:color w:val="000000"/>
                <w:sz w:val="20"/>
                <w:szCs w:val="18"/>
              </w:rPr>
            </w:pPr>
            <w:r w:rsidRPr="00DF7CC5">
              <w:rPr>
                <w:rFonts w:ascii="Calibri" w:eastAsia="Times New Roman" w:hAnsi="Calibri" w:cs="Times New Roman"/>
                <w:b/>
                <w:bCs/>
                <w:color w:val="000000"/>
                <w:sz w:val="20"/>
                <w:szCs w:val="18"/>
              </w:rPr>
              <w:t xml:space="preserve">2016 </w:t>
            </w:r>
          </w:p>
          <w:p w:rsidR="00DF7CC5" w:rsidRPr="00DF7CC5" w:rsidRDefault="00DF7CC5" w:rsidP="00813FF0">
            <w:pPr>
              <w:spacing w:after="0"/>
              <w:jc w:val="center"/>
              <w:rPr>
                <w:rFonts w:ascii="Calibri" w:eastAsia="Times New Roman" w:hAnsi="Calibri" w:cs="Times New Roman"/>
                <w:b/>
                <w:bCs/>
                <w:color w:val="000000"/>
                <w:sz w:val="20"/>
                <w:szCs w:val="18"/>
              </w:rPr>
            </w:pPr>
            <w:r w:rsidRPr="00DF7CC5">
              <w:rPr>
                <w:rFonts w:ascii="Calibri" w:eastAsia="Times New Roman" w:hAnsi="Calibri" w:cs="Times New Roman"/>
                <w:b/>
                <w:bCs/>
                <w:color w:val="000000"/>
                <w:sz w:val="20"/>
                <w:szCs w:val="18"/>
              </w:rPr>
              <w:t>Jan to Sept</w:t>
            </w:r>
          </w:p>
        </w:tc>
      </w:tr>
      <w:tr w:rsidR="00F749C1" w:rsidRPr="003F2904" w:rsidTr="00F74530">
        <w:trPr>
          <w:trHeight w:val="283"/>
        </w:trPr>
        <w:tc>
          <w:tcPr>
            <w:tcW w:w="897" w:type="pct"/>
            <w:vMerge w:val="restart"/>
            <w:tcBorders>
              <w:top w:val="nil"/>
              <w:left w:val="single" w:sz="8" w:space="0" w:color="auto"/>
              <w:right w:val="single" w:sz="4" w:space="0" w:color="auto"/>
            </w:tcBorders>
            <w:shd w:val="clear" w:color="auto" w:fill="auto"/>
            <w:noWrap/>
            <w:vAlign w:val="center"/>
            <w:hideMark/>
          </w:tcPr>
          <w:p w:rsidR="00DF7CC5" w:rsidRPr="003F2904" w:rsidRDefault="00DF7CC5" w:rsidP="00813FF0">
            <w:pPr>
              <w:spacing w:after="0"/>
              <w:rPr>
                <w:rFonts w:ascii="Calibri" w:eastAsia="Times New Roman" w:hAnsi="Calibri" w:cs="Times New Roman"/>
                <w:color w:val="000000"/>
                <w:sz w:val="18"/>
                <w:szCs w:val="18"/>
              </w:rPr>
            </w:pPr>
            <w:r w:rsidRPr="003F2904">
              <w:rPr>
                <w:rFonts w:ascii="Calibri" w:eastAsia="Times New Roman" w:hAnsi="Calibri" w:cs="Times New Roman"/>
                <w:color w:val="000000"/>
                <w:sz w:val="18"/>
                <w:szCs w:val="18"/>
              </w:rPr>
              <w:t>Prescriptions</w:t>
            </w:r>
          </w:p>
        </w:tc>
        <w:tc>
          <w:tcPr>
            <w:tcW w:w="630" w:type="pct"/>
            <w:tcBorders>
              <w:top w:val="single" w:sz="4" w:space="0" w:color="auto"/>
              <w:left w:val="single" w:sz="4" w:space="0" w:color="auto"/>
              <w:bottom w:val="single" w:sz="4" w:space="0" w:color="auto"/>
              <w:right w:val="single" w:sz="4" w:space="0" w:color="auto"/>
            </w:tcBorders>
            <w:vAlign w:val="center"/>
          </w:tcPr>
          <w:p w:rsidR="00DF7CC5" w:rsidRPr="003F2904" w:rsidRDefault="00DF7CC5" w:rsidP="00813FF0">
            <w:pPr>
              <w:spacing w:after="0"/>
              <w:rPr>
                <w:rFonts w:ascii="Calibri" w:eastAsia="Times New Roman" w:hAnsi="Calibri" w:cs="Times New Roman"/>
                <w:color w:val="000000"/>
                <w:sz w:val="18"/>
                <w:szCs w:val="18"/>
              </w:rPr>
            </w:pPr>
            <w:r w:rsidRPr="003F2904">
              <w:rPr>
                <w:rFonts w:ascii="Calibri" w:eastAsia="Times New Roman" w:hAnsi="Calibri" w:cs="Times New Roman"/>
                <w:color w:val="000000"/>
                <w:sz w:val="18"/>
                <w:szCs w:val="18"/>
              </w:rPr>
              <w:t>Predicted (P)</w:t>
            </w:r>
          </w:p>
        </w:tc>
        <w:tc>
          <w:tcPr>
            <w:tcW w:w="898" w:type="pct"/>
            <w:tcBorders>
              <w:top w:val="nil"/>
              <w:left w:val="single" w:sz="4" w:space="0" w:color="auto"/>
              <w:bottom w:val="single" w:sz="8" w:space="0" w:color="auto"/>
              <w:right w:val="single" w:sz="8" w:space="0" w:color="auto"/>
            </w:tcBorders>
            <w:shd w:val="clear" w:color="auto" w:fill="auto"/>
            <w:vAlign w:val="center"/>
            <w:hideMark/>
          </w:tcPr>
          <w:p w:rsidR="00DF7CC5" w:rsidRPr="003F2904" w:rsidRDefault="00DF7CC5" w:rsidP="00813FF0">
            <w:pPr>
              <w:spacing w:after="0"/>
              <w:rPr>
                <w:rFonts w:ascii="Calibri" w:hAnsi="Calibri"/>
                <w:color w:val="000000"/>
                <w:sz w:val="20"/>
                <w:szCs w:val="20"/>
              </w:rPr>
            </w:pPr>
            <w:r w:rsidRPr="003F2904">
              <w:rPr>
                <w:rFonts w:ascii="Calibri" w:hAnsi="Calibri"/>
                <w:color w:val="000000"/>
                <w:sz w:val="20"/>
                <w:szCs w:val="20"/>
              </w:rPr>
              <w:t>dual oral therapy</w:t>
            </w:r>
          </w:p>
        </w:tc>
        <w:tc>
          <w:tcPr>
            <w:tcW w:w="606" w:type="pct"/>
            <w:tcBorders>
              <w:top w:val="nil"/>
              <w:left w:val="nil"/>
              <w:bottom w:val="single" w:sz="8" w:space="0" w:color="auto"/>
              <w:right w:val="single" w:sz="8" w:space="0" w:color="auto"/>
            </w:tcBorders>
            <w:shd w:val="clear" w:color="auto" w:fill="auto"/>
            <w:noWrap/>
            <w:vAlign w:val="center"/>
            <w:hideMark/>
          </w:tcPr>
          <w:p w:rsidR="00DF7CC5" w:rsidRPr="00CC6457" w:rsidRDefault="00CC6457" w:rsidP="00813FF0">
            <w:pPr>
              <w:spacing w:after="0"/>
              <w:jc w:val="center"/>
              <w:rPr>
                <w:rFonts w:cs="Arial"/>
                <w:color w:val="000000"/>
                <w:sz w:val="20"/>
                <w:szCs w:val="18"/>
                <w:highlight w:val="black"/>
              </w:rPr>
            </w:pPr>
            <w:r>
              <w:rPr>
                <w:rFonts w:cs="Arial"/>
                <w:noProof/>
                <w:color w:val="000000"/>
                <w:sz w:val="20"/>
                <w:szCs w:val="18"/>
                <w:highlight w:val="black"/>
              </w:rPr>
              <w:t>'''''''''''''''''</w:t>
            </w:r>
          </w:p>
        </w:tc>
        <w:tc>
          <w:tcPr>
            <w:tcW w:w="660" w:type="pct"/>
            <w:tcBorders>
              <w:top w:val="nil"/>
              <w:left w:val="nil"/>
              <w:bottom w:val="single" w:sz="8" w:space="0" w:color="auto"/>
              <w:right w:val="single" w:sz="8" w:space="0" w:color="auto"/>
            </w:tcBorders>
            <w:shd w:val="clear" w:color="auto" w:fill="auto"/>
            <w:noWrap/>
            <w:vAlign w:val="center"/>
            <w:hideMark/>
          </w:tcPr>
          <w:p w:rsidR="00DF7CC5" w:rsidRPr="00CC6457" w:rsidRDefault="00CC6457" w:rsidP="00813FF0">
            <w:pPr>
              <w:spacing w:after="0"/>
              <w:jc w:val="center"/>
              <w:rPr>
                <w:rFonts w:cs="Arial"/>
                <w:color w:val="000000"/>
                <w:sz w:val="20"/>
                <w:szCs w:val="18"/>
                <w:highlight w:val="black"/>
              </w:rPr>
            </w:pPr>
            <w:r>
              <w:rPr>
                <w:rFonts w:cs="Arial"/>
                <w:noProof/>
                <w:color w:val="000000"/>
                <w:sz w:val="20"/>
                <w:szCs w:val="18"/>
                <w:highlight w:val="black"/>
              </w:rPr>
              <w:t>''''''''''''''''''''</w:t>
            </w:r>
          </w:p>
        </w:tc>
        <w:tc>
          <w:tcPr>
            <w:tcW w:w="470" w:type="pct"/>
            <w:tcBorders>
              <w:top w:val="nil"/>
              <w:left w:val="nil"/>
              <w:bottom w:val="single" w:sz="8" w:space="0" w:color="auto"/>
              <w:right w:val="single" w:sz="8" w:space="0" w:color="auto"/>
            </w:tcBorders>
            <w:shd w:val="clear" w:color="auto" w:fill="auto"/>
            <w:noWrap/>
            <w:vAlign w:val="center"/>
            <w:hideMark/>
          </w:tcPr>
          <w:p w:rsidR="00DF7CC5" w:rsidRPr="00CC6457" w:rsidRDefault="00CC6457" w:rsidP="00813FF0">
            <w:pPr>
              <w:spacing w:after="0"/>
              <w:jc w:val="center"/>
              <w:rPr>
                <w:rFonts w:cs="Arial"/>
                <w:color w:val="000000"/>
                <w:sz w:val="20"/>
                <w:szCs w:val="18"/>
                <w:highlight w:val="black"/>
              </w:rPr>
            </w:pPr>
            <w:r>
              <w:rPr>
                <w:rFonts w:cs="Arial"/>
                <w:noProof/>
                <w:color w:val="000000"/>
                <w:sz w:val="20"/>
                <w:szCs w:val="18"/>
                <w:highlight w:val="black"/>
              </w:rPr>
              <w:t>'''''''''''''''</w:t>
            </w:r>
          </w:p>
        </w:tc>
        <w:tc>
          <w:tcPr>
            <w:tcW w:w="838" w:type="pct"/>
            <w:tcBorders>
              <w:top w:val="nil"/>
              <w:left w:val="nil"/>
              <w:bottom w:val="single" w:sz="8" w:space="0" w:color="auto"/>
              <w:right w:val="single" w:sz="8" w:space="0" w:color="auto"/>
            </w:tcBorders>
            <w:shd w:val="clear" w:color="auto" w:fill="auto"/>
            <w:noWrap/>
            <w:vAlign w:val="center"/>
            <w:hideMark/>
          </w:tcPr>
          <w:p w:rsidR="00DF7CC5" w:rsidRPr="00CC6457" w:rsidRDefault="00CC6457" w:rsidP="00813FF0">
            <w:pPr>
              <w:spacing w:after="0"/>
              <w:jc w:val="center"/>
              <w:rPr>
                <w:rFonts w:cs="Arial"/>
                <w:color w:val="000000"/>
                <w:sz w:val="20"/>
                <w:szCs w:val="18"/>
                <w:highlight w:val="black"/>
              </w:rPr>
            </w:pPr>
            <w:r>
              <w:rPr>
                <w:rFonts w:cs="Arial"/>
                <w:noProof/>
                <w:color w:val="000000"/>
                <w:sz w:val="20"/>
                <w:szCs w:val="18"/>
                <w:highlight w:val="black"/>
              </w:rPr>
              <w:t>'''''''''''''''''''''</w:t>
            </w:r>
          </w:p>
        </w:tc>
      </w:tr>
      <w:tr w:rsidR="00F749C1" w:rsidRPr="003F2904" w:rsidTr="00F74530">
        <w:trPr>
          <w:trHeight w:val="283"/>
        </w:trPr>
        <w:tc>
          <w:tcPr>
            <w:tcW w:w="897" w:type="pct"/>
            <w:vMerge/>
            <w:tcBorders>
              <w:top w:val="nil"/>
              <w:left w:val="single" w:sz="8" w:space="0" w:color="auto"/>
              <w:right w:val="single" w:sz="4" w:space="0" w:color="auto"/>
            </w:tcBorders>
            <w:shd w:val="clear" w:color="auto" w:fill="auto"/>
            <w:noWrap/>
            <w:vAlign w:val="center"/>
          </w:tcPr>
          <w:p w:rsidR="00DF7CC5" w:rsidRPr="003F2904" w:rsidRDefault="00DF7CC5" w:rsidP="00813FF0">
            <w:pPr>
              <w:spacing w:after="0"/>
              <w:rPr>
                <w:rFonts w:ascii="Calibri" w:eastAsia="Times New Roman" w:hAnsi="Calibri" w:cs="Times New Roman"/>
                <w:color w:val="000000"/>
                <w:sz w:val="18"/>
                <w:szCs w:val="18"/>
              </w:rPr>
            </w:pPr>
          </w:p>
        </w:tc>
        <w:tc>
          <w:tcPr>
            <w:tcW w:w="630" w:type="pct"/>
            <w:tcBorders>
              <w:top w:val="single" w:sz="4" w:space="0" w:color="auto"/>
              <w:left w:val="single" w:sz="4" w:space="0" w:color="auto"/>
              <w:bottom w:val="single" w:sz="4" w:space="0" w:color="auto"/>
              <w:right w:val="single" w:sz="4" w:space="0" w:color="auto"/>
            </w:tcBorders>
            <w:vAlign w:val="center"/>
          </w:tcPr>
          <w:p w:rsidR="00DF7CC5" w:rsidRPr="003F2904" w:rsidRDefault="00DF7CC5" w:rsidP="00813FF0">
            <w:pPr>
              <w:spacing w:after="0"/>
              <w:rPr>
                <w:rFonts w:ascii="Calibri" w:eastAsia="Times New Roman" w:hAnsi="Calibri" w:cs="Times New Roman"/>
                <w:color w:val="000000"/>
                <w:sz w:val="18"/>
                <w:szCs w:val="18"/>
              </w:rPr>
            </w:pPr>
          </w:p>
        </w:tc>
        <w:tc>
          <w:tcPr>
            <w:tcW w:w="898" w:type="pct"/>
            <w:tcBorders>
              <w:top w:val="nil"/>
              <w:left w:val="single" w:sz="4" w:space="0" w:color="auto"/>
              <w:bottom w:val="single" w:sz="8" w:space="0" w:color="auto"/>
              <w:right w:val="single" w:sz="8" w:space="0" w:color="auto"/>
            </w:tcBorders>
            <w:shd w:val="clear" w:color="auto" w:fill="auto"/>
            <w:vAlign w:val="center"/>
          </w:tcPr>
          <w:p w:rsidR="00DF7CC5" w:rsidRPr="003F2904" w:rsidRDefault="00DF7CC5" w:rsidP="00813FF0">
            <w:pPr>
              <w:spacing w:after="0"/>
              <w:rPr>
                <w:rFonts w:ascii="Calibri" w:hAnsi="Calibri"/>
                <w:color w:val="000000"/>
                <w:sz w:val="20"/>
                <w:szCs w:val="20"/>
              </w:rPr>
            </w:pPr>
            <w:r w:rsidRPr="003F2904">
              <w:rPr>
                <w:rFonts w:ascii="Calibri" w:hAnsi="Calibri"/>
                <w:color w:val="000000"/>
                <w:sz w:val="20"/>
                <w:szCs w:val="20"/>
              </w:rPr>
              <w:t>additional for triple therapy with insulin</w:t>
            </w:r>
            <w:r w:rsidR="00862715" w:rsidRPr="003F2904">
              <w:rPr>
                <w:rFonts w:ascii="Calibri" w:hAnsi="Calibri"/>
                <w:color w:val="000000"/>
                <w:sz w:val="20"/>
                <w:szCs w:val="20"/>
              </w:rPr>
              <w:t>^</w:t>
            </w:r>
          </w:p>
        </w:tc>
        <w:tc>
          <w:tcPr>
            <w:tcW w:w="606" w:type="pct"/>
            <w:tcBorders>
              <w:top w:val="nil"/>
              <w:left w:val="nil"/>
              <w:bottom w:val="single" w:sz="8" w:space="0" w:color="auto"/>
              <w:right w:val="single" w:sz="8" w:space="0" w:color="auto"/>
            </w:tcBorders>
            <w:shd w:val="clear" w:color="auto" w:fill="auto"/>
            <w:noWrap/>
            <w:vAlign w:val="center"/>
          </w:tcPr>
          <w:p w:rsidR="00DF7CC5" w:rsidRPr="00CC6457" w:rsidRDefault="00CC6457" w:rsidP="00813FF0">
            <w:pPr>
              <w:spacing w:after="0"/>
              <w:jc w:val="center"/>
              <w:rPr>
                <w:rFonts w:cs="Arial"/>
                <w:color w:val="000000"/>
                <w:sz w:val="20"/>
                <w:szCs w:val="18"/>
                <w:highlight w:val="black"/>
              </w:rPr>
            </w:pPr>
            <w:r>
              <w:rPr>
                <w:rFonts w:cs="Arial"/>
                <w:noProof/>
                <w:color w:val="000000"/>
                <w:sz w:val="20"/>
                <w:szCs w:val="18"/>
                <w:highlight w:val="black"/>
              </w:rPr>
              <w:t>''''''</w:t>
            </w:r>
          </w:p>
        </w:tc>
        <w:tc>
          <w:tcPr>
            <w:tcW w:w="660" w:type="pct"/>
            <w:tcBorders>
              <w:top w:val="nil"/>
              <w:left w:val="nil"/>
              <w:bottom w:val="single" w:sz="8" w:space="0" w:color="auto"/>
              <w:right w:val="single" w:sz="8" w:space="0" w:color="auto"/>
            </w:tcBorders>
            <w:shd w:val="clear" w:color="auto" w:fill="auto"/>
            <w:noWrap/>
            <w:vAlign w:val="center"/>
          </w:tcPr>
          <w:p w:rsidR="00DF7CC5" w:rsidRPr="00CC6457" w:rsidRDefault="00CC6457" w:rsidP="00813FF0">
            <w:pPr>
              <w:spacing w:after="0"/>
              <w:jc w:val="center"/>
              <w:rPr>
                <w:rFonts w:cs="Arial"/>
                <w:color w:val="000000"/>
                <w:sz w:val="20"/>
                <w:szCs w:val="18"/>
                <w:highlight w:val="black"/>
              </w:rPr>
            </w:pPr>
            <w:r>
              <w:rPr>
                <w:rFonts w:cs="Arial"/>
                <w:noProof/>
                <w:color w:val="000000"/>
                <w:sz w:val="20"/>
                <w:szCs w:val="18"/>
                <w:highlight w:val="black"/>
              </w:rPr>
              <w:t>''''''''''''''</w:t>
            </w:r>
          </w:p>
        </w:tc>
        <w:tc>
          <w:tcPr>
            <w:tcW w:w="470" w:type="pct"/>
            <w:tcBorders>
              <w:top w:val="nil"/>
              <w:left w:val="nil"/>
              <w:bottom w:val="single" w:sz="8" w:space="0" w:color="auto"/>
              <w:right w:val="single" w:sz="8" w:space="0" w:color="auto"/>
            </w:tcBorders>
            <w:shd w:val="clear" w:color="auto" w:fill="auto"/>
            <w:noWrap/>
            <w:vAlign w:val="center"/>
          </w:tcPr>
          <w:p w:rsidR="00DF7CC5" w:rsidRPr="00CC6457" w:rsidRDefault="00CC6457" w:rsidP="00813FF0">
            <w:pPr>
              <w:spacing w:after="0"/>
              <w:jc w:val="center"/>
              <w:rPr>
                <w:rFonts w:cs="Arial"/>
                <w:color w:val="000000"/>
                <w:sz w:val="20"/>
                <w:szCs w:val="18"/>
                <w:highlight w:val="black"/>
              </w:rPr>
            </w:pPr>
            <w:r>
              <w:rPr>
                <w:rFonts w:cs="Arial"/>
                <w:noProof/>
                <w:color w:val="000000"/>
                <w:sz w:val="20"/>
                <w:szCs w:val="18"/>
                <w:highlight w:val="black"/>
              </w:rPr>
              <w:t>''''''''''''''</w:t>
            </w:r>
          </w:p>
        </w:tc>
        <w:tc>
          <w:tcPr>
            <w:tcW w:w="838" w:type="pct"/>
            <w:tcBorders>
              <w:top w:val="nil"/>
              <w:left w:val="nil"/>
              <w:bottom w:val="single" w:sz="8" w:space="0" w:color="auto"/>
              <w:right w:val="single" w:sz="8" w:space="0" w:color="auto"/>
            </w:tcBorders>
            <w:shd w:val="clear" w:color="auto" w:fill="auto"/>
            <w:noWrap/>
            <w:vAlign w:val="center"/>
          </w:tcPr>
          <w:p w:rsidR="00DF7CC5" w:rsidRPr="00CC6457" w:rsidRDefault="00CC6457" w:rsidP="00813FF0">
            <w:pPr>
              <w:spacing w:after="0"/>
              <w:jc w:val="center"/>
              <w:rPr>
                <w:rFonts w:cs="Arial"/>
                <w:color w:val="000000"/>
                <w:sz w:val="20"/>
                <w:szCs w:val="18"/>
                <w:highlight w:val="black"/>
              </w:rPr>
            </w:pPr>
            <w:r>
              <w:rPr>
                <w:rFonts w:cs="Arial"/>
                <w:noProof/>
                <w:color w:val="000000"/>
                <w:sz w:val="20"/>
                <w:szCs w:val="18"/>
                <w:highlight w:val="black"/>
              </w:rPr>
              <w:t>'''''''''''''''''</w:t>
            </w:r>
          </w:p>
        </w:tc>
      </w:tr>
      <w:tr w:rsidR="00F749C1" w:rsidRPr="003F2904" w:rsidTr="00F74530">
        <w:trPr>
          <w:trHeight w:val="283"/>
        </w:trPr>
        <w:tc>
          <w:tcPr>
            <w:tcW w:w="897" w:type="pct"/>
            <w:vMerge/>
            <w:tcBorders>
              <w:top w:val="nil"/>
              <w:left w:val="single" w:sz="8" w:space="0" w:color="auto"/>
              <w:right w:val="single" w:sz="4" w:space="0" w:color="auto"/>
            </w:tcBorders>
            <w:shd w:val="clear" w:color="auto" w:fill="auto"/>
            <w:noWrap/>
            <w:vAlign w:val="center"/>
          </w:tcPr>
          <w:p w:rsidR="00DF7CC5" w:rsidRPr="003F2904" w:rsidRDefault="00DF7CC5" w:rsidP="00813FF0">
            <w:pPr>
              <w:spacing w:after="0"/>
              <w:rPr>
                <w:rFonts w:ascii="Calibri" w:eastAsia="Times New Roman" w:hAnsi="Calibri" w:cs="Times New Roman"/>
                <w:color w:val="000000"/>
                <w:sz w:val="18"/>
                <w:szCs w:val="18"/>
              </w:rPr>
            </w:pPr>
          </w:p>
        </w:tc>
        <w:tc>
          <w:tcPr>
            <w:tcW w:w="630" w:type="pct"/>
            <w:tcBorders>
              <w:top w:val="single" w:sz="4" w:space="0" w:color="auto"/>
              <w:left w:val="single" w:sz="4" w:space="0" w:color="auto"/>
              <w:bottom w:val="single" w:sz="4" w:space="0" w:color="auto"/>
              <w:right w:val="single" w:sz="4" w:space="0" w:color="auto"/>
            </w:tcBorders>
            <w:vAlign w:val="center"/>
          </w:tcPr>
          <w:p w:rsidR="00DF7CC5" w:rsidRPr="003F2904" w:rsidRDefault="00DF7CC5" w:rsidP="00813FF0">
            <w:pPr>
              <w:spacing w:after="0"/>
              <w:rPr>
                <w:rFonts w:ascii="Calibri" w:eastAsia="Times New Roman" w:hAnsi="Calibri" w:cs="Times New Roman"/>
                <w:color w:val="000000"/>
                <w:sz w:val="18"/>
                <w:szCs w:val="18"/>
              </w:rPr>
            </w:pPr>
          </w:p>
        </w:tc>
        <w:tc>
          <w:tcPr>
            <w:tcW w:w="898" w:type="pct"/>
            <w:tcBorders>
              <w:top w:val="nil"/>
              <w:left w:val="single" w:sz="4" w:space="0" w:color="auto"/>
              <w:bottom w:val="single" w:sz="8" w:space="0" w:color="auto"/>
              <w:right w:val="single" w:sz="8" w:space="0" w:color="auto"/>
            </w:tcBorders>
            <w:shd w:val="clear" w:color="auto" w:fill="auto"/>
            <w:vAlign w:val="center"/>
          </w:tcPr>
          <w:p w:rsidR="00DF7CC5" w:rsidRPr="003F2904" w:rsidRDefault="00DF7CC5" w:rsidP="00813FF0">
            <w:pPr>
              <w:spacing w:after="0"/>
              <w:rPr>
                <w:rFonts w:ascii="Calibri" w:hAnsi="Calibri"/>
                <w:color w:val="000000"/>
                <w:sz w:val="20"/>
                <w:szCs w:val="20"/>
              </w:rPr>
            </w:pPr>
            <w:r w:rsidRPr="003F2904">
              <w:rPr>
                <w:rFonts w:ascii="Calibri" w:hAnsi="Calibri"/>
                <w:color w:val="000000"/>
                <w:sz w:val="20"/>
                <w:szCs w:val="20"/>
              </w:rPr>
              <w:t xml:space="preserve">additional for triple </w:t>
            </w:r>
            <w:r w:rsidR="00862715" w:rsidRPr="003F2904">
              <w:rPr>
                <w:rFonts w:ascii="Calibri" w:hAnsi="Calibri"/>
                <w:color w:val="000000"/>
                <w:sz w:val="20"/>
                <w:szCs w:val="20"/>
              </w:rPr>
              <w:t xml:space="preserve">oral </w:t>
            </w:r>
            <w:r w:rsidRPr="003F2904">
              <w:rPr>
                <w:rFonts w:ascii="Calibri" w:hAnsi="Calibri"/>
                <w:color w:val="000000"/>
                <w:sz w:val="20"/>
                <w:szCs w:val="20"/>
              </w:rPr>
              <w:t>therapy</w:t>
            </w:r>
            <w:r w:rsidR="00862715" w:rsidRPr="003F2904">
              <w:rPr>
                <w:rFonts w:ascii="Calibri" w:hAnsi="Calibri"/>
                <w:color w:val="000000"/>
                <w:sz w:val="20"/>
                <w:szCs w:val="20"/>
              </w:rPr>
              <w:t>^^</w:t>
            </w:r>
          </w:p>
        </w:tc>
        <w:tc>
          <w:tcPr>
            <w:tcW w:w="606" w:type="pct"/>
            <w:tcBorders>
              <w:top w:val="nil"/>
              <w:left w:val="nil"/>
              <w:bottom w:val="single" w:sz="8" w:space="0" w:color="auto"/>
              <w:right w:val="single" w:sz="8" w:space="0" w:color="auto"/>
            </w:tcBorders>
            <w:shd w:val="clear" w:color="auto" w:fill="auto"/>
            <w:noWrap/>
            <w:vAlign w:val="center"/>
          </w:tcPr>
          <w:p w:rsidR="00DF7CC5" w:rsidRPr="00CC6457" w:rsidRDefault="00CC6457" w:rsidP="00813FF0">
            <w:pPr>
              <w:spacing w:after="0"/>
              <w:jc w:val="center"/>
              <w:rPr>
                <w:rFonts w:cs="Arial"/>
                <w:color w:val="000000"/>
                <w:sz w:val="20"/>
                <w:szCs w:val="18"/>
                <w:highlight w:val="black"/>
              </w:rPr>
            </w:pPr>
            <w:r>
              <w:rPr>
                <w:rFonts w:cs="Arial"/>
                <w:noProof/>
                <w:color w:val="000000"/>
                <w:sz w:val="20"/>
                <w:szCs w:val="18"/>
                <w:highlight w:val="black"/>
              </w:rPr>
              <w:t>'''''''</w:t>
            </w:r>
          </w:p>
        </w:tc>
        <w:tc>
          <w:tcPr>
            <w:tcW w:w="660" w:type="pct"/>
            <w:tcBorders>
              <w:top w:val="nil"/>
              <w:left w:val="nil"/>
              <w:bottom w:val="single" w:sz="8" w:space="0" w:color="auto"/>
              <w:right w:val="single" w:sz="8" w:space="0" w:color="auto"/>
            </w:tcBorders>
            <w:shd w:val="clear" w:color="auto" w:fill="auto"/>
            <w:noWrap/>
            <w:vAlign w:val="center"/>
          </w:tcPr>
          <w:p w:rsidR="00DF7CC5" w:rsidRPr="00CC6457" w:rsidRDefault="00CC6457" w:rsidP="00813FF0">
            <w:pPr>
              <w:spacing w:after="0"/>
              <w:jc w:val="center"/>
              <w:rPr>
                <w:rFonts w:cs="Arial"/>
                <w:color w:val="000000"/>
                <w:sz w:val="20"/>
                <w:szCs w:val="18"/>
                <w:highlight w:val="black"/>
              </w:rPr>
            </w:pPr>
            <w:r>
              <w:rPr>
                <w:rFonts w:cs="Arial"/>
                <w:noProof/>
                <w:color w:val="000000"/>
                <w:sz w:val="20"/>
                <w:szCs w:val="18"/>
                <w:highlight w:val="black"/>
              </w:rPr>
              <w:t>'''''''''''''</w:t>
            </w:r>
          </w:p>
        </w:tc>
        <w:tc>
          <w:tcPr>
            <w:tcW w:w="470" w:type="pct"/>
            <w:tcBorders>
              <w:top w:val="nil"/>
              <w:left w:val="nil"/>
              <w:bottom w:val="single" w:sz="8" w:space="0" w:color="auto"/>
              <w:right w:val="single" w:sz="8" w:space="0" w:color="auto"/>
            </w:tcBorders>
            <w:shd w:val="clear" w:color="auto" w:fill="auto"/>
            <w:noWrap/>
            <w:vAlign w:val="center"/>
          </w:tcPr>
          <w:p w:rsidR="00DF7CC5" w:rsidRPr="00CC6457" w:rsidRDefault="00CC6457" w:rsidP="00813FF0">
            <w:pPr>
              <w:spacing w:after="0"/>
              <w:jc w:val="center"/>
              <w:rPr>
                <w:rFonts w:cs="Arial"/>
                <w:color w:val="000000"/>
                <w:sz w:val="20"/>
                <w:szCs w:val="18"/>
                <w:highlight w:val="black"/>
              </w:rPr>
            </w:pPr>
            <w:r>
              <w:rPr>
                <w:rFonts w:cs="Arial"/>
                <w:noProof/>
                <w:color w:val="000000"/>
                <w:sz w:val="20"/>
                <w:szCs w:val="18"/>
                <w:highlight w:val="black"/>
              </w:rPr>
              <w:t>'''''''''''''</w:t>
            </w:r>
          </w:p>
        </w:tc>
        <w:tc>
          <w:tcPr>
            <w:tcW w:w="838" w:type="pct"/>
            <w:tcBorders>
              <w:top w:val="nil"/>
              <w:left w:val="nil"/>
              <w:bottom w:val="single" w:sz="8" w:space="0" w:color="auto"/>
              <w:right w:val="single" w:sz="8" w:space="0" w:color="auto"/>
            </w:tcBorders>
            <w:shd w:val="clear" w:color="auto" w:fill="auto"/>
            <w:noWrap/>
            <w:vAlign w:val="center"/>
          </w:tcPr>
          <w:p w:rsidR="00DF7CC5" w:rsidRPr="00CC6457" w:rsidRDefault="00CC6457" w:rsidP="00813FF0">
            <w:pPr>
              <w:spacing w:after="0"/>
              <w:jc w:val="center"/>
              <w:rPr>
                <w:rFonts w:cs="Arial"/>
                <w:color w:val="000000"/>
                <w:sz w:val="20"/>
                <w:szCs w:val="18"/>
                <w:highlight w:val="black"/>
              </w:rPr>
            </w:pPr>
            <w:r>
              <w:rPr>
                <w:rFonts w:cs="Arial"/>
                <w:noProof/>
                <w:color w:val="000000"/>
                <w:sz w:val="20"/>
                <w:szCs w:val="18"/>
                <w:highlight w:val="black"/>
              </w:rPr>
              <w:t>''''''''''''''</w:t>
            </w:r>
          </w:p>
        </w:tc>
      </w:tr>
      <w:tr w:rsidR="00F749C1" w:rsidRPr="003F2904" w:rsidTr="00F74530">
        <w:trPr>
          <w:trHeight w:val="283"/>
        </w:trPr>
        <w:tc>
          <w:tcPr>
            <w:tcW w:w="897" w:type="pct"/>
            <w:vMerge/>
            <w:tcBorders>
              <w:top w:val="nil"/>
              <w:left w:val="single" w:sz="8" w:space="0" w:color="auto"/>
              <w:right w:val="single" w:sz="4" w:space="0" w:color="auto"/>
            </w:tcBorders>
            <w:shd w:val="clear" w:color="auto" w:fill="auto"/>
            <w:noWrap/>
            <w:vAlign w:val="center"/>
          </w:tcPr>
          <w:p w:rsidR="00DF7CC5" w:rsidRPr="003F2904" w:rsidRDefault="00DF7CC5" w:rsidP="00813FF0">
            <w:pPr>
              <w:spacing w:after="0"/>
              <w:rPr>
                <w:rFonts w:ascii="Calibri" w:eastAsia="Times New Roman" w:hAnsi="Calibri" w:cs="Times New Roman"/>
                <w:color w:val="000000"/>
                <w:sz w:val="18"/>
                <w:szCs w:val="18"/>
              </w:rPr>
            </w:pPr>
          </w:p>
        </w:tc>
        <w:tc>
          <w:tcPr>
            <w:tcW w:w="630" w:type="pct"/>
            <w:tcBorders>
              <w:top w:val="single" w:sz="4" w:space="0" w:color="auto"/>
              <w:left w:val="single" w:sz="4" w:space="0" w:color="auto"/>
              <w:bottom w:val="single" w:sz="4" w:space="0" w:color="auto"/>
              <w:right w:val="single" w:sz="4" w:space="0" w:color="auto"/>
            </w:tcBorders>
            <w:vAlign w:val="center"/>
          </w:tcPr>
          <w:p w:rsidR="00DF7CC5" w:rsidRPr="003F2904" w:rsidRDefault="00DF7CC5" w:rsidP="00813FF0">
            <w:pPr>
              <w:spacing w:after="0"/>
              <w:rPr>
                <w:rFonts w:ascii="Calibri" w:eastAsia="Times New Roman" w:hAnsi="Calibri" w:cs="Times New Roman"/>
                <w:color w:val="000000"/>
                <w:sz w:val="18"/>
                <w:szCs w:val="18"/>
              </w:rPr>
            </w:pPr>
          </w:p>
        </w:tc>
        <w:tc>
          <w:tcPr>
            <w:tcW w:w="898" w:type="pct"/>
            <w:tcBorders>
              <w:top w:val="nil"/>
              <w:left w:val="single" w:sz="4" w:space="0" w:color="auto"/>
              <w:bottom w:val="single" w:sz="8" w:space="0" w:color="auto"/>
              <w:right w:val="single" w:sz="8" w:space="0" w:color="auto"/>
            </w:tcBorders>
            <w:shd w:val="clear" w:color="auto" w:fill="auto"/>
            <w:vAlign w:val="center"/>
          </w:tcPr>
          <w:p w:rsidR="00DF7CC5" w:rsidRPr="003F2904" w:rsidRDefault="00DF7CC5" w:rsidP="00813FF0">
            <w:pPr>
              <w:spacing w:after="0"/>
              <w:rPr>
                <w:rFonts w:ascii="Calibri" w:hAnsi="Calibri"/>
                <w:color w:val="000000"/>
                <w:sz w:val="20"/>
                <w:szCs w:val="20"/>
              </w:rPr>
            </w:pPr>
            <w:r w:rsidRPr="003F2904">
              <w:rPr>
                <w:rFonts w:ascii="Calibri" w:hAnsi="Calibri"/>
                <w:color w:val="000000"/>
                <w:sz w:val="20"/>
                <w:szCs w:val="20"/>
              </w:rPr>
              <w:t> Total</w:t>
            </w:r>
          </w:p>
        </w:tc>
        <w:tc>
          <w:tcPr>
            <w:tcW w:w="606" w:type="pct"/>
            <w:tcBorders>
              <w:top w:val="nil"/>
              <w:left w:val="nil"/>
              <w:bottom w:val="single" w:sz="8" w:space="0" w:color="auto"/>
              <w:right w:val="single" w:sz="8" w:space="0" w:color="auto"/>
            </w:tcBorders>
            <w:shd w:val="clear" w:color="auto" w:fill="auto"/>
            <w:noWrap/>
            <w:vAlign w:val="center"/>
          </w:tcPr>
          <w:p w:rsidR="00DF7CC5" w:rsidRPr="00CC6457" w:rsidRDefault="00CC6457" w:rsidP="00813FF0">
            <w:pPr>
              <w:spacing w:after="0"/>
              <w:jc w:val="center"/>
              <w:rPr>
                <w:rFonts w:cs="Arial"/>
                <w:color w:val="000000"/>
                <w:sz w:val="20"/>
                <w:szCs w:val="18"/>
                <w:highlight w:val="black"/>
              </w:rPr>
            </w:pPr>
            <w:r>
              <w:rPr>
                <w:rFonts w:cs="Arial"/>
                <w:noProof/>
                <w:color w:val="000000"/>
                <w:sz w:val="20"/>
                <w:szCs w:val="18"/>
                <w:highlight w:val="black"/>
              </w:rPr>
              <w:t>'''''''''''''''</w:t>
            </w:r>
          </w:p>
        </w:tc>
        <w:tc>
          <w:tcPr>
            <w:tcW w:w="660" w:type="pct"/>
            <w:tcBorders>
              <w:top w:val="nil"/>
              <w:left w:val="nil"/>
              <w:bottom w:val="single" w:sz="8" w:space="0" w:color="auto"/>
              <w:right w:val="single" w:sz="8" w:space="0" w:color="auto"/>
            </w:tcBorders>
            <w:shd w:val="clear" w:color="auto" w:fill="auto"/>
            <w:noWrap/>
            <w:vAlign w:val="center"/>
          </w:tcPr>
          <w:p w:rsidR="00DF7CC5" w:rsidRPr="003F2904" w:rsidRDefault="00DF7CC5" w:rsidP="00813FF0">
            <w:pPr>
              <w:spacing w:after="0"/>
              <w:jc w:val="center"/>
              <w:rPr>
                <w:rFonts w:cs="Arial"/>
                <w:color w:val="000000"/>
                <w:sz w:val="20"/>
                <w:szCs w:val="18"/>
              </w:rPr>
            </w:pPr>
            <w:r w:rsidRPr="003F2904">
              <w:rPr>
                <w:rFonts w:cs="Arial"/>
                <w:color w:val="000000"/>
                <w:sz w:val="20"/>
                <w:szCs w:val="18"/>
              </w:rPr>
              <w:t>343,428</w:t>
            </w:r>
          </w:p>
        </w:tc>
        <w:tc>
          <w:tcPr>
            <w:tcW w:w="470" w:type="pct"/>
            <w:tcBorders>
              <w:top w:val="nil"/>
              <w:left w:val="nil"/>
              <w:bottom w:val="single" w:sz="8" w:space="0" w:color="auto"/>
              <w:right w:val="single" w:sz="8" w:space="0" w:color="auto"/>
            </w:tcBorders>
            <w:shd w:val="clear" w:color="auto" w:fill="auto"/>
            <w:noWrap/>
            <w:vAlign w:val="center"/>
          </w:tcPr>
          <w:p w:rsidR="00DF7CC5" w:rsidRPr="003F2904" w:rsidRDefault="00DF7CC5" w:rsidP="00813FF0">
            <w:pPr>
              <w:spacing w:after="0"/>
              <w:jc w:val="center"/>
              <w:rPr>
                <w:rFonts w:cs="Arial"/>
                <w:color w:val="000000"/>
                <w:sz w:val="20"/>
                <w:szCs w:val="18"/>
              </w:rPr>
            </w:pPr>
            <w:r w:rsidRPr="003F2904">
              <w:rPr>
                <w:rFonts w:cs="Arial"/>
                <w:color w:val="000000"/>
                <w:sz w:val="20"/>
                <w:szCs w:val="18"/>
              </w:rPr>
              <w:t>755,382</w:t>
            </w:r>
          </w:p>
        </w:tc>
        <w:tc>
          <w:tcPr>
            <w:tcW w:w="838" w:type="pct"/>
            <w:tcBorders>
              <w:top w:val="nil"/>
              <w:left w:val="nil"/>
              <w:bottom w:val="single" w:sz="8" w:space="0" w:color="auto"/>
              <w:right w:val="single" w:sz="8" w:space="0" w:color="auto"/>
            </w:tcBorders>
            <w:shd w:val="clear" w:color="auto" w:fill="auto"/>
            <w:noWrap/>
            <w:vAlign w:val="center"/>
          </w:tcPr>
          <w:p w:rsidR="00DF7CC5" w:rsidRPr="003F2904" w:rsidRDefault="00DF7CC5" w:rsidP="00813FF0">
            <w:pPr>
              <w:spacing w:after="0"/>
              <w:jc w:val="center"/>
              <w:rPr>
                <w:rFonts w:cs="Arial"/>
                <w:color w:val="000000"/>
                <w:sz w:val="20"/>
                <w:szCs w:val="18"/>
              </w:rPr>
            </w:pPr>
            <w:r w:rsidRPr="003F2904">
              <w:rPr>
                <w:rFonts w:cs="Arial"/>
                <w:color w:val="000000"/>
                <w:sz w:val="20"/>
                <w:szCs w:val="18"/>
              </w:rPr>
              <w:t>454,740</w:t>
            </w:r>
          </w:p>
        </w:tc>
      </w:tr>
      <w:tr w:rsidR="00F749C1" w:rsidRPr="003F2904" w:rsidTr="00F74530">
        <w:trPr>
          <w:trHeight w:val="283"/>
        </w:trPr>
        <w:tc>
          <w:tcPr>
            <w:tcW w:w="897" w:type="pct"/>
            <w:vMerge/>
            <w:tcBorders>
              <w:left w:val="single" w:sz="8" w:space="0" w:color="auto"/>
              <w:right w:val="single" w:sz="4" w:space="0" w:color="auto"/>
            </w:tcBorders>
            <w:shd w:val="clear" w:color="auto" w:fill="auto"/>
            <w:noWrap/>
            <w:vAlign w:val="center"/>
            <w:hideMark/>
          </w:tcPr>
          <w:p w:rsidR="00DF7CC5" w:rsidRPr="003F2904" w:rsidRDefault="00DF7CC5" w:rsidP="00813FF0">
            <w:pPr>
              <w:spacing w:after="0"/>
              <w:rPr>
                <w:rFonts w:ascii="Calibri" w:eastAsia="Times New Roman" w:hAnsi="Calibri" w:cs="Times New Roman"/>
                <w:color w:val="000000"/>
                <w:sz w:val="18"/>
                <w:szCs w:val="18"/>
              </w:rPr>
            </w:pPr>
          </w:p>
        </w:tc>
        <w:tc>
          <w:tcPr>
            <w:tcW w:w="630" w:type="pct"/>
            <w:tcBorders>
              <w:top w:val="single" w:sz="4" w:space="0" w:color="auto"/>
              <w:left w:val="single" w:sz="4" w:space="0" w:color="auto"/>
              <w:bottom w:val="single" w:sz="4" w:space="0" w:color="auto"/>
              <w:right w:val="single" w:sz="4" w:space="0" w:color="auto"/>
            </w:tcBorders>
            <w:vAlign w:val="center"/>
          </w:tcPr>
          <w:p w:rsidR="00DF7CC5" w:rsidRPr="003F2904" w:rsidRDefault="00DF7CC5" w:rsidP="00813FF0">
            <w:pPr>
              <w:spacing w:after="0"/>
              <w:rPr>
                <w:rFonts w:ascii="Calibri" w:eastAsia="Times New Roman" w:hAnsi="Calibri" w:cs="Times New Roman"/>
                <w:color w:val="000000"/>
                <w:sz w:val="18"/>
                <w:szCs w:val="18"/>
              </w:rPr>
            </w:pPr>
            <w:r w:rsidRPr="003F2904">
              <w:rPr>
                <w:rFonts w:ascii="Calibri" w:eastAsia="Times New Roman" w:hAnsi="Calibri" w:cs="Times New Roman"/>
                <w:color w:val="000000"/>
                <w:sz w:val="18"/>
                <w:szCs w:val="18"/>
              </w:rPr>
              <w:t>Actual (A)</w:t>
            </w:r>
          </w:p>
        </w:tc>
        <w:tc>
          <w:tcPr>
            <w:tcW w:w="898" w:type="pct"/>
            <w:tcBorders>
              <w:top w:val="nil"/>
              <w:left w:val="single" w:sz="4" w:space="0" w:color="auto"/>
              <w:bottom w:val="single" w:sz="4" w:space="0" w:color="auto"/>
              <w:right w:val="single" w:sz="8" w:space="0" w:color="auto"/>
            </w:tcBorders>
            <w:shd w:val="clear" w:color="auto" w:fill="auto"/>
            <w:vAlign w:val="center"/>
            <w:hideMark/>
          </w:tcPr>
          <w:p w:rsidR="00DF7CC5" w:rsidRPr="003F2904" w:rsidRDefault="00DF7CC5" w:rsidP="00813FF0">
            <w:pPr>
              <w:spacing w:after="0"/>
              <w:rPr>
                <w:rFonts w:ascii="Calibri" w:hAnsi="Calibri"/>
                <w:color w:val="000000"/>
                <w:sz w:val="20"/>
                <w:szCs w:val="20"/>
              </w:rPr>
            </w:pPr>
            <w:r w:rsidRPr="003F2904">
              <w:rPr>
                <w:rFonts w:ascii="Calibri" w:hAnsi="Calibri"/>
                <w:color w:val="000000"/>
                <w:sz w:val="20"/>
                <w:szCs w:val="20"/>
              </w:rPr>
              <w:t> </w:t>
            </w:r>
          </w:p>
        </w:tc>
        <w:tc>
          <w:tcPr>
            <w:tcW w:w="606" w:type="pct"/>
            <w:tcBorders>
              <w:top w:val="nil"/>
              <w:left w:val="nil"/>
              <w:bottom w:val="single" w:sz="4" w:space="0" w:color="auto"/>
              <w:right w:val="single" w:sz="8" w:space="0" w:color="auto"/>
            </w:tcBorders>
            <w:shd w:val="clear" w:color="auto" w:fill="auto"/>
            <w:noWrap/>
            <w:vAlign w:val="center"/>
            <w:hideMark/>
          </w:tcPr>
          <w:p w:rsidR="00DF7CC5" w:rsidRPr="003F2904" w:rsidRDefault="00DF7CC5" w:rsidP="00813FF0">
            <w:pPr>
              <w:spacing w:after="0"/>
              <w:jc w:val="center"/>
              <w:rPr>
                <w:rFonts w:cs="Arial"/>
                <w:color w:val="000000"/>
                <w:sz w:val="20"/>
                <w:szCs w:val="18"/>
              </w:rPr>
            </w:pPr>
            <w:r w:rsidRPr="003F2904">
              <w:rPr>
                <w:rFonts w:cs="Arial"/>
                <w:color w:val="000000"/>
                <w:sz w:val="20"/>
                <w:szCs w:val="18"/>
              </w:rPr>
              <w:t>77,519</w:t>
            </w:r>
          </w:p>
        </w:tc>
        <w:tc>
          <w:tcPr>
            <w:tcW w:w="660" w:type="pct"/>
            <w:tcBorders>
              <w:top w:val="nil"/>
              <w:left w:val="nil"/>
              <w:bottom w:val="single" w:sz="4" w:space="0" w:color="auto"/>
              <w:right w:val="single" w:sz="8" w:space="0" w:color="auto"/>
            </w:tcBorders>
            <w:shd w:val="clear" w:color="auto" w:fill="auto"/>
            <w:noWrap/>
            <w:vAlign w:val="center"/>
            <w:hideMark/>
          </w:tcPr>
          <w:p w:rsidR="00DF7CC5" w:rsidRPr="003F2904" w:rsidRDefault="00DF7CC5" w:rsidP="00813FF0">
            <w:pPr>
              <w:spacing w:after="0"/>
              <w:jc w:val="center"/>
              <w:rPr>
                <w:rFonts w:cs="Arial"/>
                <w:color w:val="000000"/>
                <w:sz w:val="20"/>
                <w:szCs w:val="18"/>
              </w:rPr>
            </w:pPr>
            <w:r w:rsidRPr="003F2904">
              <w:rPr>
                <w:rFonts w:cs="Arial"/>
                <w:color w:val="000000"/>
                <w:sz w:val="20"/>
                <w:szCs w:val="18"/>
              </w:rPr>
              <w:t>327,340</w:t>
            </w:r>
          </w:p>
        </w:tc>
        <w:tc>
          <w:tcPr>
            <w:tcW w:w="470" w:type="pct"/>
            <w:tcBorders>
              <w:top w:val="nil"/>
              <w:left w:val="nil"/>
              <w:bottom w:val="single" w:sz="4" w:space="0" w:color="auto"/>
              <w:right w:val="single" w:sz="8" w:space="0" w:color="auto"/>
            </w:tcBorders>
            <w:shd w:val="clear" w:color="auto" w:fill="auto"/>
            <w:noWrap/>
            <w:vAlign w:val="center"/>
            <w:hideMark/>
          </w:tcPr>
          <w:p w:rsidR="00DF7CC5" w:rsidRPr="003F2904" w:rsidRDefault="00DF7CC5" w:rsidP="00813FF0">
            <w:pPr>
              <w:spacing w:after="0"/>
              <w:jc w:val="center"/>
              <w:rPr>
                <w:rFonts w:cs="Arial"/>
                <w:color w:val="000000"/>
                <w:sz w:val="20"/>
                <w:szCs w:val="18"/>
              </w:rPr>
            </w:pPr>
            <w:r w:rsidRPr="003F2904">
              <w:rPr>
                <w:rFonts w:cs="Arial"/>
                <w:color w:val="000000"/>
                <w:sz w:val="20"/>
                <w:szCs w:val="18"/>
              </w:rPr>
              <w:t>NA</w:t>
            </w:r>
          </w:p>
        </w:tc>
        <w:tc>
          <w:tcPr>
            <w:tcW w:w="838" w:type="pct"/>
            <w:tcBorders>
              <w:top w:val="nil"/>
              <w:left w:val="nil"/>
              <w:bottom w:val="single" w:sz="4" w:space="0" w:color="auto"/>
              <w:right w:val="single" w:sz="8" w:space="0" w:color="auto"/>
            </w:tcBorders>
            <w:shd w:val="clear" w:color="auto" w:fill="auto"/>
            <w:noWrap/>
            <w:vAlign w:val="center"/>
            <w:hideMark/>
          </w:tcPr>
          <w:p w:rsidR="00DF7CC5" w:rsidRPr="003F2904" w:rsidRDefault="00DF7CC5" w:rsidP="00813FF0">
            <w:pPr>
              <w:spacing w:after="0"/>
              <w:jc w:val="center"/>
              <w:rPr>
                <w:rFonts w:cs="Arial"/>
                <w:color w:val="000000"/>
                <w:sz w:val="20"/>
                <w:szCs w:val="18"/>
              </w:rPr>
            </w:pPr>
            <w:r w:rsidRPr="003F2904">
              <w:rPr>
                <w:rFonts w:cs="Arial"/>
                <w:color w:val="000000"/>
                <w:sz w:val="20"/>
                <w:szCs w:val="18"/>
              </w:rPr>
              <w:t>444,118</w:t>
            </w:r>
          </w:p>
        </w:tc>
      </w:tr>
      <w:tr w:rsidR="00F749C1" w:rsidRPr="00533A54" w:rsidTr="00F74530">
        <w:trPr>
          <w:trHeight w:val="283"/>
        </w:trPr>
        <w:tc>
          <w:tcPr>
            <w:tcW w:w="897" w:type="pct"/>
            <w:vMerge/>
            <w:tcBorders>
              <w:left w:val="single" w:sz="8" w:space="0" w:color="auto"/>
              <w:bottom w:val="single" w:sz="4" w:space="0" w:color="auto"/>
              <w:right w:val="single" w:sz="4" w:space="0" w:color="auto"/>
            </w:tcBorders>
            <w:shd w:val="clear" w:color="auto" w:fill="auto"/>
            <w:noWrap/>
            <w:vAlign w:val="center"/>
            <w:hideMark/>
          </w:tcPr>
          <w:p w:rsidR="00DF7CC5" w:rsidRPr="003F2904" w:rsidRDefault="00DF7CC5" w:rsidP="00813FF0">
            <w:pPr>
              <w:spacing w:after="0"/>
              <w:rPr>
                <w:rFonts w:ascii="Calibri" w:eastAsia="Times New Roman" w:hAnsi="Calibri" w:cs="Times New Roman"/>
                <w:color w:val="000000"/>
                <w:sz w:val="18"/>
                <w:szCs w:val="18"/>
              </w:rPr>
            </w:pPr>
          </w:p>
        </w:tc>
        <w:tc>
          <w:tcPr>
            <w:tcW w:w="630" w:type="pct"/>
            <w:tcBorders>
              <w:top w:val="single" w:sz="4" w:space="0" w:color="auto"/>
              <w:left w:val="single" w:sz="4" w:space="0" w:color="auto"/>
              <w:bottom w:val="single" w:sz="4" w:space="0" w:color="auto"/>
              <w:right w:val="single" w:sz="4" w:space="0" w:color="auto"/>
            </w:tcBorders>
            <w:vAlign w:val="center"/>
          </w:tcPr>
          <w:p w:rsidR="00DF7CC5" w:rsidRPr="003F2904" w:rsidRDefault="00DF7CC5" w:rsidP="00813FF0">
            <w:pPr>
              <w:spacing w:after="0"/>
              <w:rPr>
                <w:rFonts w:ascii="Calibri" w:eastAsia="Times New Roman" w:hAnsi="Calibri" w:cs="Times New Roman"/>
                <w:color w:val="000000"/>
                <w:sz w:val="18"/>
                <w:szCs w:val="18"/>
              </w:rPr>
            </w:pPr>
            <w:r w:rsidRPr="003F2904">
              <w:rPr>
                <w:rFonts w:ascii="Calibri" w:eastAsia="Times New Roman" w:hAnsi="Calibri" w:cs="Times New Roman"/>
                <w:color w:val="000000"/>
                <w:sz w:val="18"/>
                <w:szCs w:val="18"/>
              </w:rPr>
              <w:t>% Difference (A-P)/P</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7CC5" w:rsidRPr="003F2904" w:rsidRDefault="00DF7CC5" w:rsidP="00813FF0">
            <w:pPr>
              <w:spacing w:after="0"/>
              <w:rPr>
                <w:rFonts w:ascii="Calibri" w:hAnsi="Calibri"/>
                <w:color w:val="000000"/>
                <w:sz w:val="20"/>
                <w:szCs w:val="20"/>
              </w:rPr>
            </w:pPr>
            <w:r w:rsidRPr="003F2904">
              <w:rPr>
                <w:rFonts w:ascii="Calibri" w:hAnsi="Calibri"/>
                <w:color w:val="000000"/>
                <w:sz w:val="20"/>
                <w:szCs w:val="20"/>
              </w:rPr>
              <w:t> </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CC5" w:rsidRPr="00CC6457" w:rsidRDefault="00CC6457" w:rsidP="00813FF0">
            <w:pPr>
              <w:spacing w:after="0"/>
              <w:jc w:val="center"/>
              <w:rPr>
                <w:rFonts w:cs="Arial"/>
                <w:color w:val="000000"/>
                <w:sz w:val="20"/>
                <w:szCs w:val="18"/>
                <w:highlight w:val="black"/>
              </w:rPr>
            </w:pPr>
            <w:r>
              <w:rPr>
                <w:rFonts w:cs="Arial"/>
                <w:noProof/>
                <w:color w:val="000000"/>
                <w:sz w:val="20"/>
                <w:szCs w:val="18"/>
                <w:highlight w:val="black"/>
              </w:rPr>
              <w:t>'''''''''</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CC5" w:rsidRPr="003F2904" w:rsidRDefault="00DF7CC5" w:rsidP="00813FF0">
            <w:pPr>
              <w:spacing w:after="0"/>
              <w:jc w:val="center"/>
              <w:rPr>
                <w:rFonts w:cs="Arial"/>
                <w:color w:val="000000"/>
                <w:sz w:val="20"/>
                <w:szCs w:val="18"/>
              </w:rPr>
            </w:pPr>
            <w:r w:rsidRPr="003F2904">
              <w:rPr>
                <w:rFonts w:cs="Arial"/>
                <w:color w:val="000000"/>
                <w:sz w:val="20"/>
                <w:szCs w:val="18"/>
              </w:rPr>
              <w:t>-5%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CC5" w:rsidRPr="003F2904" w:rsidRDefault="00DF7CC5" w:rsidP="00813FF0">
            <w:pPr>
              <w:spacing w:after="0"/>
              <w:jc w:val="center"/>
              <w:rPr>
                <w:rFonts w:cs="Arial"/>
                <w:color w:val="000000"/>
                <w:sz w:val="20"/>
                <w:szCs w:val="18"/>
              </w:rPr>
            </w:pP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CC5" w:rsidRPr="00DF7CC5" w:rsidRDefault="00DF7CC5" w:rsidP="00813FF0">
            <w:pPr>
              <w:spacing w:after="0"/>
              <w:jc w:val="center"/>
              <w:rPr>
                <w:rFonts w:cs="Arial"/>
                <w:color w:val="000000"/>
                <w:sz w:val="20"/>
                <w:szCs w:val="18"/>
              </w:rPr>
            </w:pPr>
            <w:r w:rsidRPr="003F2904">
              <w:rPr>
                <w:rFonts w:cs="Arial"/>
                <w:color w:val="000000"/>
                <w:sz w:val="20"/>
                <w:szCs w:val="18"/>
              </w:rPr>
              <w:t>-2%</w:t>
            </w:r>
          </w:p>
        </w:tc>
      </w:tr>
      <w:tr w:rsidR="00F74530" w:rsidRPr="00533A54" w:rsidTr="00F74530">
        <w:trPr>
          <w:trHeight w:val="283"/>
        </w:trPr>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530" w:rsidRPr="00314F6A" w:rsidRDefault="00F74530" w:rsidP="00813FF0">
            <w:pPr>
              <w:spacing w:after="0"/>
              <w:rPr>
                <w:rFonts w:ascii="Calibri" w:eastAsia="Times New Roman" w:hAnsi="Calibri" w:cs="Times New Roman"/>
                <w:color w:val="000000"/>
                <w:sz w:val="18"/>
                <w:szCs w:val="18"/>
              </w:rPr>
            </w:pPr>
            <w:r>
              <w:rPr>
                <w:rFonts w:ascii="Calibri" w:eastAsia="Times New Roman" w:hAnsi="Calibri" w:cs="Times New Roman"/>
                <w:color w:val="000000"/>
                <w:sz w:val="18"/>
                <w:szCs w:val="18"/>
              </w:rPr>
              <w:t>R/PBS Expenditure</w:t>
            </w:r>
          </w:p>
        </w:tc>
        <w:tc>
          <w:tcPr>
            <w:tcW w:w="630" w:type="pct"/>
            <w:tcBorders>
              <w:top w:val="single" w:sz="4" w:space="0" w:color="auto"/>
              <w:left w:val="single" w:sz="4" w:space="0" w:color="auto"/>
              <w:bottom w:val="single" w:sz="4" w:space="0" w:color="auto"/>
              <w:right w:val="single" w:sz="4" w:space="0" w:color="auto"/>
            </w:tcBorders>
            <w:vAlign w:val="center"/>
          </w:tcPr>
          <w:p w:rsidR="00F74530" w:rsidRPr="00314F6A" w:rsidRDefault="00F74530" w:rsidP="00813FF0">
            <w:pPr>
              <w:spacing w:after="0"/>
              <w:rPr>
                <w:rFonts w:ascii="Calibri" w:eastAsia="Times New Roman" w:hAnsi="Calibri" w:cs="Times New Roman"/>
                <w:color w:val="000000"/>
                <w:sz w:val="18"/>
                <w:szCs w:val="18"/>
              </w:rPr>
            </w:pPr>
            <w:r w:rsidRPr="00314F6A">
              <w:rPr>
                <w:rFonts w:ascii="Calibri" w:eastAsia="Times New Roman" w:hAnsi="Calibri" w:cs="Times New Roman"/>
                <w:color w:val="000000"/>
                <w:sz w:val="18"/>
                <w:szCs w:val="18"/>
              </w:rPr>
              <w:t>Actual (A)</w:t>
            </w:r>
          </w:p>
        </w:tc>
        <w:tc>
          <w:tcPr>
            <w:tcW w:w="898" w:type="pct"/>
            <w:tcBorders>
              <w:top w:val="single" w:sz="4" w:space="0" w:color="auto"/>
              <w:left w:val="single" w:sz="4" w:space="0" w:color="auto"/>
              <w:bottom w:val="single" w:sz="8" w:space="0" w:color="auto"/>
              <w:right w:val="single" w:sz="8" w:space="0" w:color="auto"/>
            </w:tcBorders>
            <w:shd w:val="clear" w:color="auto" w:fill="auto"/>
            <w:vAlign w:val="center"/>
          </w:tcPr>
          <w:p w:rsidR="00F74530" w:rsidRDefault="00F74530" w:rsidP="00813FF0">
            <w:pPr>
              <w:spacing w:after="0"/>
              <w:rPr>
                <w:rFonts w:ascii="Calibri" w:hAnsi="Calibri"/>
                <w:color w:val="000000"/>
                <w:sz w:val="20"/>
                <w:szCs w:val="20"/>
              </w:rPr>
            </w:pPr>
          </w:p>
        </w:tc>
        <w:tc>
          <w:tcPr>
            <w:tcW w:w="606" w:type="pct"/>
            <w:tcBorders>
              <w:top w:val="single" w:sz="4" w:space="0" w:color="auto"/>
              <w:left w:val="nil"/>
              <w:bottom w:val="single" w:sz="8" w:space="0" w:color="auto"/>
              <w:right w:val="single" w:sz="8" w:space="0" w:color="auto"/>
            </w:tcBorders>
            <w:shd w:val="clear" w:color="auto" w:fill="auto"/>
            <w:noWrap/>
            <w:vAlign w:val="center"/>
          </w:tcPr>
          <w:p w:rsidR="00F74530" w:rsidRPr="00DF7CC5" w:rsidRDefault="00F74530" w:rsidP="00813FF0">
            <w:pPr>
              <w:spacing w:after="0"/>
              <w:jc w:val="center"/>
              <w:rPr>
                <w:rFonts w:eastAsia="Times New Roman" w:cs="Times New Roman"/>
                <w:color w:val="000000"/>
                <w:sz w:val="20"/>
                <w:szCs w:val="18"/>
              </w:rPr>
            </w:pPr>
            <w:r w:rsidRPr="00DF7CC5">
              <w:rPr>
                <w:rFonts w:eastAsia="Times New Roman" w:cs="Times New Roman"/>
                <w:color w:val="000000"/>
                <w:sz w:val="20"/>
                <w:szCs w:val="18"/>
              </w:rPr>
              <w:t>$5,532,746</w:t>
            </w:r>
          </w:p>
        </w:tc>
        <w:tc>
          <w:tcPr>
            <w:tcW w:w="660" w:type="pct"/>
            <w:tcBorders>
              <w:top w:val="single" w:sz="4" w:space="0" w:color="auto"/>
              <w:left w:val="nil"/>
              <w:bottom w:val="single" w:sz="8" w:space="0" w:color="auto"/>
              <w:right w:val="single" w:sz="8" w:space="0" w:color="auto"/>
            </w:tcBorders>
            <w:shd w:val="clear" w:color="auto" w:fill="auto"/>
            <w:noWrap/>
            <w:vAlign w:val="center"/>
          </w:tcPr>
          <w:p w:rsidR="00F74530" w:rsidRPr="00DF7CC5" w:rsidRDefault="00F74530" w:rsidP="00813FF0">
            <w:pPr>
              <w:spacing w:after="0"/>
              <w:jc w:val="center"/>
              <w:rPr>
                <w:rFonts w:eastAsia="Times New Roman" w:cs="Times New Roman"/>
                <w:color w:val="000000"/>
                <w:sz w:val="20"/>
                <w:szCs w:val="18"/>
              </w:rPr>
            </w:pPr>
            <w:r w:rsidRPr="00DF7CC5">
              <w:rPr>
                <w:rFonts w:eastAsia="Times New Roman" w:cs="Times New Roman"/>
                <w:color w:val="000000"/>
                <w:sz w:val="20"/>
                <w:szCs w:val="18"/>
              </w:rPr>
              <w:t>$14,388,239</w:t>
            </w:r>
          </w:p>
        </w:tc>
        <w:tc>
          <w:tcPr>
            <w:tcW w:w="470" w:type="pct"/>
            <w:tcBorders>
              <w:top w:val="single" w:sz="4" w:space="0" w:color="auto"/>
              <w:left w:val="nil"/>
              <w:bottom w:val="single" w:sz="8" w:space="0" w:color="auto"/>
              <w:right w:val="single" w:sz="8" w:space="0" w:color="auto"/>
            </w:tcBorders>
            <w:shd w:val="clear" w:color="auto" w:fill="auto"/>
            <w:noWrap/>
            <w:vAlign w:val="center"/>
          </w:tcPr>
          <w:p w:rsidR="00F74530" w:rsidRPr="00DF7CC5" w:rsidRDefault="00F74530" w:rsidP="00813FF0">
            <w:pPr>
              <w:spacing w:after="0"/>
              <w:jc w:val="center"/>
              <w:rPr>
                <w:rFonts w:eastAsia="Times New Roman" w:cs="Times New Roman"/>
                <w:color w:val="000000"/>
                <w:sz w:val="20"/>
                <w:szCs w:val="18"/>
              </w:rPr>
            </w:pPr>
          </w:p>
        </w:tc>
        <w:tc>
          <w:tcPr>
            <w:tcW w:w="838" w:type="pct"/>
            <w:tcBorders>
              <w:top w:val="single" w:sz="4" w:space="0" w:color="auto"/>
              <w:left w:val="nil"/>
              <w:bottom w:val="single" w:sz="8" w:space="0" w:color="auto"/>
              <w:right w:val="single" w:sz="8" w:space="0" w:color="auto"/>
            </w:tcBorders>
            <w:shd w:val="clear" w:color="auto" w:fill="auto"/>
            <w:noWrap/>
            <w:vAlign w:val="center"/>
          </w:tcPr>
          <w:p w:rsidR="00F74530" w:rsidRPr="00DF7CC5" w:rsidRDefault="00F74530" w:rsidP="00813FF0">
            <w:pPr>
              <w:spacing w:after="0"/>
              <w:jc w:val="center"/>
              <w:rPr>
                <w:rFonts w:eastAsia="Times New Roman" w:cs="Times New Roman"/>
                <w:color w:val="000000"/>
                <w:sz w:val="20"/>
                <w:szCs w:val="18"/>
              </w:rPr>
            </w:pPr>
            <w:r w:rsidRPr="00DF7CC5">
              <w:rPr>
                <w:rFonts w:eastAsia="Times New Roman" w:cs="Times New Roman"/>
                <w:color w:val="000000"/>
                <w:sz w:val="20"/>
                <w:szCs w:val="18"/>
              </w:rPr>
              <w:t>$17,842,896</w:t>
            </w:r>
          </w:p>
        </w:tc>
      </w:tr>
    </w:tbl>
    <w:p w:rsidR="00862715" w:rsidRPr="00CC6457" w:rsidRDefault="006B060E" w:rsidP="00511E87">
      <w:pPr>
        <w:pStyle w:val="Notes"/>
      </w:pPr>
      <w:r w:rsidRPr="00236AB2">
        <w:t>Note</w:t>
      </w:r>
      <w:r w:rsidR="00FF32E5">
        <w:t>s</w:t>
      </w:r>
      <w:r w:rsidRPr="00236AB2">
        <w:t xml:space="preserve">: </w:t>
      </w:r>
      <w:r w:rsidR="00862715">
        <w:br/>
      </w:r>
      <w:r w:rsidR="00CC6457">
        <w:rPr>
          <w:noProof/>
          <w:color w:val="000000"/>
          <w:highlight w:val="black"/>
        </w:rPr>
        <w:t>''' ''''''''''' '''' '''''''''''' ''''' '''''''''' '' ''''''''' '''''''''''' ''''''''''''''''''' '''' ''''''''''''' ''' ' '''' ''''''''' '''''''' ''''''''' ''' ''' ''''''''''' '''''''''''' ''' ''''''''''''''''''' '''''''''' '''' ''''''''''''''''''' '''''''''''' ''''''' ''''''' ''''''''' '''''''''' ''''' ''''''' ''''''''''''''''' '''''''''''''''''''' '''''' ''''''''''''''''' ''''''''''  '''' '''''''' ''''''''''''</w:t>
      </w:r>
      <w:r w:rsidR="00CC6457">
        <w:rPr>
          <w:noProof/>
          <w:color w:val="000000"/>
          <w:highlight w:val="black"/>
        </w:rPr>
        <w:br/>
        <w:t>''''''''''''''' ' '''''''''' ''''''''''''''''''''''' '''''' ''''''''''''' ''''' ''''''' ''''''''' ''''''''''''''' ''''''''''''''''''' '''''' ''''''''''' ''' ' ''' ''''''''''''''''''''' '''' ''''''''''' '''</w:t>
      </w:r>
      <w:r w:rsidR="00CC6457">
        <w:rPr>
          <w:noProof/>
          <w:color w:val="000000"/>
          <w:highlight w:val="black"/>
        </w:rPr>
        <w:br/>
        <w:t>'''''''' '''''''' ''''' '''''''''''' '''''''' '''''''''''''''''''' ''''''' '''''''''''''' ''''' ''''''''''''''''''''' ''' '''''''''''' ''''' ''''''' '''''''''''''''''''''' '''' ''''''''''' ''''''''''''' '''' '''''''''''''''' ''''''''' ''''''''''' '''''''' ''''''''' '''''''''''''' ''''' ''''''' '''''''' '''' ''''''''''''''''''''''' '''''''' '''''''' ''''''''''' '''' ''''''''''' '''''''''''' ''''''''' '''''' '''''''''''''''''' ''''''''''''''' '''' ''''''''''</w:t>
      </w:r>
      <w:r w:rsidR="00CC6457">
        <w:rPr>
          <w:noProof/>
          <w:color w:val="000000"/>
          <w:highlight w:val="black"/>
        </w:rPr>
        <w:br/>
        <w:t>''' '''''''''''' ''''' '''''''''' '''' ''''''''' ''' ''' '''''''''''''''' '''''''''' ''''''''' ''' '''''''''' ''' ''' ''''''''''''''' ''''''''' '''''''' ''' '''''''' ''' '''''''''''''' ''''''''' '''''''' '''</w:t>
      </w:r>
      <w:r w:rsidR="00CC6457">
        <w:rPr>
          <w:noProof/>
          <w:color w:val="000000"/>
          <w:highlight w:val="black"/>
        </w:rPr>
        <w:br/>
        <w:t>''''' '''''''''''' ''''' ''''''''''' '''' '''''''''' ''' ''' '''''''''''''''' ''''''''' ''''''''' '''' ''''''''''' ''' ''' ''''''''''''''' '''''''''' ''''''''' ''' '''''''' ''' '''''''''''''' ''''''''' '''''''' '''</w:t>
      </w:r>
    </w:p>
    <w:p w:rsidR="00F74530" w:rsidRDefault="00E003A0" w:rsidP="00813FF0">
      <w:pPr>
        <w:rPr>
          <w:szCs w:val="28"/>
        </w:rPr>
      </w:pPr>
      <w:r>
        <w:rPr>
          <w:szCs w:val="28"/>
        </w:rPr>
        <w:t xml:space="preserve">Table </w:t>
      </w:r>
      <w:r w:rsidR="00822C33">
        <w:rPr>
          <w:szCs w:val="28"/>
        </w:rPr>
        <w:t>13</w:t>
      </w:r>
      <w:r w:rsidR="003449FE">
        <w:rPr>
          <w:szCs w:val="28"/>
        </w:rPr>
        <w:t xml:space="preserve"> show</w:t>
      </w:r>
      <w:r w:rsidR="00791592">
        <w:rPr>
          <w:szCs w:val="28"/>
        </w:rPr>
        <w:t xml:space="preserve">s that utilisation of </w:t>
      </w:r>
      <w:proofErr w:type="spellStart"/>
      <w:r w:rsidR="00791592">
        <w:rPr>
          <w:szCs w:val="28"/>
        </w:rPr>
        <w:t>flozins</w:t>
      </w:r>
      <w:proofErr w:type="spellEnd"/>
      <w:r w:rsidR="00791592">
        <w:rPr>
          <w:szCs w:val="28"/>
        </w:rPr>
        <w:t xml:space="preserve"> was</w:t>
      </w:r>
      <w:r w:rsidR="003449FE">
        <w:rPr>
          <w:szCs w:val="28"/>
        </w:rPr>
        <w:t xml:space="preserve"> approximately as predicted in Year 2 and Year 3 to date.</w:t>
      </w:r>
      <w:r w:rsidR="00226A6E">
        <w:rPr>
          <w:szCs w:val="28"/>
        </w:rPr>
        <w:t xml:space="preserve"> </w:t>
      </w:r>
    </w:p>
    <w:p w:rsidR="00392C3C" w:rsidRDefault="00E003A0" w:rsidP="00813FF0">
      <w:pPr>
        <w:rPr>
          <w:b/>
          <w:sz w:val="28"/>
          <w:szCs w:val="28"/>
        </w:rPr>
      </w:pPr>
      <w:r>
        <w:rPr>
          <w:szCs w:val="28"/>
        </w:rPr>
        <w:lastRenderedPageBreak/>
        <w:t xml:space="preserve">Table </w:t>
      </w:r>
      <w:r w:rsidR="00412A7D">
        <w:rPr>
          <w:szCs w:val="28"/>
        </w:rPr>
        <w:t>1</w:t>
      </w:r>
      <w:r w:rsidR="00822C33">
        <w:rPr>
          <w:szCs w:val="28"/>
        </w:rPr>
        <w:t>3</w:t>
      </w:r>
      <w:r w:rsidR="00226A6E">
        <w:rPr>
          <w:szCs w:val="28"/>
        </w:rPr>
        <w:t xml:space="preserve"> does not contain a </w:t>
      </w:r>
      <w:proofErr w:type="spellStart"/>
      <w:r w:rsidR="00226A6E">
        <w:rPr>
          <w:szCs w:val="28"/>
        </w:rPr>
        <w:t>PvA</w:t>
      </w:r>
      <w:proofErr w:type="spellEnd"/>
      <w:r w:rsidR="00226A6E">
        <w:rPr>
          <w:szCs w:val="28"/>
        </w:rPr>
        <w:t xml:space="preserve"> analysis for R/PBS expenditure because even though the submissions and Final Agreed estimates used to create Tables 3 to 7 contain estimates of the size of the </w:t>
      </w:r>
      <w:proofErr w:type="spellStart"/>
      <w:r w:rsidR="00226A6E">
        <w:rPr>
          <w:szCs w:val="28"/>
        </w:rPr>
        <w:t>flozin</w:t>
      </w:r>
      <w:proofErr w:type="spellEnd"/>
      <w:r w:rsidR="00226A6E">
        <w:rPr>
          <w:szCs w:val="28"/>
        </w:rPr>
        <w:t xml:space="preserve"> market in prescriptions, they do not contain expenditure estimates of this </w:t>
      </w:r>
      <w:r w:rsidR="00392C3C">
        <w:rPr>
          <w:szCs w:val="28"/>
        </w:rPr>
        <w:t xml:space="preserve">whole </w:t>
      </w:r>
      <w:r w:rsidR="00226A6E">
        <w:rPr>
          <w:szCs w:val="28"/>
        </w:rPr>
        <w:t>market.</w:t>
      </w:r>
    </w:p>
    <w:p w:rsidR="00D746A6" w:rsidRPr="0055354C" w:rsidRDefault="00D746A6" w:rsidP="00813FF0">
      <w:pPr>
        <w:pStyle w:val="Heading4"/>
        <w:rPr>
          <w:i w:val="0"/>
        </w:rPr>
      </w:pPr>
      <w:r w:rsidRPr="0055354C">
        <w:rPr>
          <w:i w:val="0"/>
        </w:rPr>
        <w:t>Discussion</w:t>
      </w:r>
    </w:p>
    <w:p w:rsidR="00BA54B3" w:rsidRPr="00E80195" w:rsidRDefault="00906F33" w:rsidP="00511E87">
      <w:pPr>
        <w:pStyle w:val="ListParagraph"/>
        <w:numPr>
          <w:ilvl w:val="0"/>
          <w:numId w:val="18"/>
        </w:numPr>
        <w:ind w:left="284" w:hanging="284"/>
        <w:contextualSpacing w:val="0"/>
      </w:pPr>
      <w:r>
        <w:t>E</w:t>
      </w:r>
      <w:r w:rsidR="00E80195" w:rsidRPr="00E80195">
        <w:t xml:space="preserve">xpansion of </w:t>
      </w:r>
      <w:r>
        <w:t xml:space="preserve">the </w:t>
      </w:r>
      <w:r w:rsidR="00E80195" w:rsidRPr="00E80195">
        <w:t>PBS l</w:t>
      </w:r>
      <w:r w:rsidR="00E80195">
        <w:t xml:space="preserve">isting of </w:t>
      </w:r>
      <w:proofErr w:type="spellStart"/>
      <w:r w:rsidR="00E80195">
        <w:t>dapagliflozin</w:t>
      </w:r>
      <w:proofErr w:type="spellEnd"/>
      <w:r w:rsidR="00E80195">
        <w:t xml:space="preserve"> in </w:t>
      </w:r>
      <w:r>
        <w:t xml:space="preserve">April </w:t>
      </w:r>
      <w:r w:rsidR="00E80195" w:rsidRPr="00E80195">
        <w:t>2015 to include therapy</w:t>
      </w:r>
      <w:r w:rsidR="00E80195">
        <w:t xml:space="preserve"> with </w:t>
      </w:r>
      <w:r>
        <w:t>insulin result</w:t>
      </w:r>
      <w:r w:rsidR="00BA54B3">
        <w:t>ed</w:t>
      </w:r>
      <w:r>
        <w:t xml:space="preserve"> in sharp increase</w:t>
      </w:r>
      <w:r w:rsidR="00271D8C">
        <w:t>s</w:t>
      </w:r>
      <w:r>
        <w:t xml:space="preserve"> in </w:t>
      </w:r>
      <w:r w:rsidR="00F8001F">
        <w:t xml:space="preserve">the number of people supplied </w:t>
      </w:r>
      <w:r>
        <w:t xml:space="preserve">the </w:t>
      </w:r>
      <w:r w:rsidR="00BA54B3">
        <w:t xml:space="preserve">regimens </w:t>
      </w:r>
      <w:proofErr w:type="spellStart"/>
      <w:r w:rsidR="00A27149">
        <w:t>f</w:t>
      </w:r>
      <w:r w:rsidR="00BA54B3">
        <w:t>lozin</w:t>
      </w:r>
      <w:proofErr w:type="spellEnd"/>
      <w:r w:rsidR="00A27149">
        <w:t xml:space="preserve"> </w:t>
      </w:r>
      <w:r w:rsidR="00BA54B3">
        <w:t>+</w:t>
      </w:r>
      <w:r w:rsidR="00A27149">
        <w:t xml:space="preserve"> i</w:t>
      </w:r>
      <w:r w:rsidR="00BA54B3">
        <w:t>nsulin</w:t>
      </w:r>
      <w:r w:rsidR="00A27149">
        <w:t xml:space="preserve"> </w:t>
      </w:r>
      <w:r w:rsidR="00BA54B3">
        <w:t>+</w:t>
      </w:r>
      <w:r w:rsidR="00A27149">
        <w:t xml:space="preserve"> m</w:t>
      </w:r>
      <w:r w:rsidR="00BA54B3">
        <w:t xml:space="preserve">etformin, </w:t>
      </w:r>
      <w:proofErr w:type="spellStart"/>
      <w:r w:rsidR="00A27149">
        <w:t>f</w:t>
      </w:r>
      <w:r w:rsidR="00BA54B3">
        <w:t>lozin</w:t>
      </w:r>
      <w:proofErr w:type="spellEnd"/>
      <w:r w:rsidR="00A27149">
        <w:t xml:space="preserve"> </w:t>
      </w:r>
      <w:r w:rsidR="00BA54B3">
        <w:t>+</w:t>
      </w:r>
      <w:r w:rsidR="00A27149">
        <w:t xml:space="preserve"> i</w:t>
      </w:r>
      <w:r w:rsidR="00BA54B3">
        <w:t xml:space="preserve">nsulin and </w:t>
      </w:r>
      <w:proofErr w:type="spellStart"/>
      <w:r w:rsidR="00A27149">
        <w:t>f</w:t>
      </w:r>
      <w:r w:rsidR="00BA54B3">
        <w:t>lozin</w:t>
      </w:r>
      <w:proofErr w:type="spellEnd"/>
      <w:r w:rsidR="00A27149">
        <w:t xml:space="preserve"> </w:t>
      </w:r>
      <w:r w:rsidR="00BA54B3">
        <w:t>+</w:t>
      </w:r>
      <w:r w:rsidR="00A27149">
        <w:t xml:space="preserve"> i</w:t>
      </w:r>
      <w:r w:rsidR="00BA54B3">
        <w:t>nsulin</w:t>
      </w:r>
      <w:r w:rsidR="00A27149">
        <w:t xml:space="preserve"> </w:t>
      </w:r>
      <w:r w:rsidR="00BA54B3">
        <w:t>+</w:t>
      </w:r>
      <w:r w:rsidR="00A27149">
        <w:t xml:space="preserve"> m</w:t>
      </w:r>
      <w:r w:rsidR="00BA54B3">
        <w:t>etformin</w:t>
      </w:r>
      <w:r w:rsidR="00A27149">
        <w:t xml:space="preserve"> </w:t>
      </w:r>
      <w:r w:rsidR="00BA54B3">
        <w:t>+</w:t>
      </w:r>
      <w:r w:rsidR="00A27149">
        <w:t xml:space="preserve"> s</w:t>
      </w:r>
      <w:r w:rsidR="00BA54B3">
        <w:t>ulfonylurea.</w:t>
      </w:r>
      <w:r w:rsidR="00654F9B">
        <w:t xml:space="preserve"> </w:t>
      </w:r>
      <w:r w:rsidR="00BC6FF6">
        <w:t xml:space="preserve">The triple therapy </w:t>
      </w:r>
      <w:r w:rsidR="00F8001F">
        <w:t xml:space="preserve">market </w:t>
      </w:r>
      <w:r w:rsidR="00BC6FF6">
        <w:t xml:space="preserve">had the largest increase followed by the dual and then </w:t>
      </w:r>
      <w:r w:rsidR="00271D8C">
        <w:t xml:space="preserve">the </w:t>
      </w:r>
      <w:r w:rsidR="00BC6FF6">
        <w:t xml:space="preserve">quadruple therapy (see Figure </w:t>
      </w:r>
      <w:r w:rsidR="00412A7D">
        <w:t>6</w:t>
      </w:r>
      <w:r w:rsidR="00BC6FF6">
        <w:t>).</w:t>
      </w:r>
    </w:p>
    <w:p w:rsidR="00906F33" w:rsidRPr="00E80195" w:rsidRDefault="00906F33" w:rsidP="00511E87">
      <w:pPr>
        <w:pStyle w:val="ListParagraph"/>
        <w:numPr>
          <w:ilvl w:val="0"/>
          <w:numId w:val="18"/>
        </w:numPr>
        <w:ind w:left="284" w:hanging="284"/>
        <w:contextualSpacing w:val="0"/>
      </w:pPr>
      <w:r w:rsidRPr="00E80195">
        <w:t>The expansion of PBS l</w:t>
      </w:r>
      <w:r>
        <w:t xml:space="preserve">isting of </w:t>
      </w:r>
      <w:proofErr w:type="spellStart"/>
      <w:r>
        <w:t>dapagliflozin</w:t>
      </w:r>
      <w:proofErr w:type="spellEnd"/>
      <w:r>
        <w:t xml:space="preserve"> in July </w:t>
      </w:r>
      <w:r w:rsidRPr="00E80195">
        <w:t>2015 to include triple oral therapy</w:t>
      </w:r>
      <w:r>
        <w:t xml:space="preserve"> with metformin and sulfonylurea </w:t>
      </w:r>
      <w:r w:rsidR="00BC6FF6">
        <w:t xml:space="preserve">resulted in a sharp increase in the number of patients on </w:t>
      </w:r>
      <w:proofErr w:type="spellStart"/>
      <w:r w:rsidR="00C95DFA">
        <w:t>f</w:t>
      </w:r>
      <w:r w:rsidR="00BC6FF6">
        <w:t>lozin</w:t>
      </w:r>
      <w:proofErr w:type="spellEnd"/>
      <w:r w:rsidR="00C95DFA">
        <w:t xml:space="preserve"> </w:t>
      </w:r>
      <w:r w:rsidR="00BC6FF6">
        <w:t>+</w:t>
      </w:r>
      <w:r w:rsidR="00C95DFA">
        <w:t xml:space="preserve"> m</w:t>
      </w:r>
      <w:r w:rsidR="00BC6FF6">
        <w:t>etformin</w:t>
      </w:r>
      <w:r w:rsidR="00C95DFA">
        <w:t xml:space="preserve"> </w:t>
      </w:r>
      <w:r w:rsidR="00BC6FF6">
        <w:t>+</w:t>
      </w:r>
      <w:r w:rsidR="00C95DFA">
        <w:t xml:space="preserve"> s</w:t>
      </w:r>
      <w:r w:rsidR="00BC6FF6">
        <w:t xml:space="preserve">ulfonylurea (see Figure </w:t>
      </w:r>
      <w:r w:rsidR="00412A7D">
        <w:t>6</w:t>
      </w:r>
      <w:r w:rsidR="00BC6FF6">
        <w:t>).</w:t>
      </w:r>
    </w:p>
    <w:p w:rsidR="00BC6FF6" w:rsidRDefault="00BC6FF6" w:rsidP="00511E87">
      <w:pPr>
        <w:pStyle w:val="ListParagraph"/>
        <w:numPr>
          <w:ilvl w:val="0"/>
          <w:numId w:val="18"/>
        </w:numPr>
        <w:ind w:left="284" w:hanging="284"/>
        <w:contextualSpacing w:val="0"/>
      </w:pPr>
      <w:r>
        <w:t>There appears to be a growing number of patients on regimens that include bo</w:t>
      </w:r>
      <w:r w:rsidR="00C95DFA">
        <w:t xml:space="preserve">th a </w:t>
      </w:r>
      <w:proofErr w:type="spellStart"/>
      <w:r w:rsidR="00C95DFA">
        <w:t>flozin</w:t>
      </w:r>
      <w:proofErr w:type="spellEnd"/>
      <w:r w:rsidR="00C95DFA">
        <w:t xml:space="preserve"> and a </w:t>
      </w:r>
      <w:proofErr w:type="spellStart"/>
      <w:r w:rsidR="00C95DFA">
        <w:t>gliptin</w:t>
      </w:r>
      <w:proofErr w:type="spellEnd"/>
      <w:r w:rsidR="00C95DFA">
        <w:t xml:space="preserve"> (</w:t>
      </w:r>
      <w:proofErr w:type="spellStart"/>
      <w:r w:rsidR="00C95DFA">
        <w:t>ie</w:t>
      </w:r>
      <w:proofErr w:type="spellEnd"/>
      <w:r w:rsidR="00C95DFA">
        <w:t xml:space="preserve">. </w:t>
      </w:r>
      <w:proofErr w:type="spellStart"/>
      <w:r w:rsidR="00C95DFA">
        <w:t>f</w:t>
      </w:r>
      <w:r>
        <w:t>lozin</w:t>
      </w:r>
      <w:proofErr w:type="spellEnd"/>
      <w:r w:rsidR="00C95DFA">
        <w:t xml:space="preserve"> </w:t>
      </w:r>
      <w:r>
        <w:t>+</w:t>
      </w:r>
      <w:r w:rsidR="00C95DFA">
        <w:t xml:space="preserve"> </w:t>
      </w:r>
      <w:proofErr w:type="spellStart"/>
      <w:r w:rsidR="00C95DFA">
        <w:t>g</w:t>
      </w:r>
      <w:r>
        <w:t>liptin</w:t>
      </w:r>
      <w:proofErr w:type="spellEnd"/>
      <w:r w:rsidR="00C95DFA">
        <w:t xml:space="preserve"> </w:t>
      </w:r>
      <w:r>
        <w:t>+</w:t>
      </w:r>
      <w:r w:rsidR="00C95DFA">
        <w:t xml:space="preserve"> metformin</w:t>
      </w:r>
      <w:r>
        <w:t xml:space="preserve"> and</w:t>
      </w:r>
      <w:r w:rsidR="00C95DFA">
        <w:t xml:space="preserve"> </w:t>
      </w:r>
      <w:proofErr w:type="spellStart"/>
      <w:r w:rsidR="005B3F0A">
        <w:t>flozin</w:t>
      </w:r>
      <w:proofErr w:type="spellEnd"/>
      <w:r w:rsidR="005B3F0A">
        <w:t xml:space="preserve"> + </w:t>
      </w:r>
      <w:proofErr w:type="spellStart"/>
      <w:r w:rsidR="005B3F0A">
        <w:t>gliptin</w:t>
      </w:r>
      <w:proofErr w:type="spellEnd"/>
      <w:r w:rsidR="005B3F0A">
        <w:t xml:space="preserve"> + metformin + sulfonylurea</w:t>
      </w:r>
      <w:r w:rsidR="00412A7D">
        <w:t>, see Figure 6</w:t>
      </w:r>
      <w:r>
        <w:t>). The</w:t>
      </w:r>
      <w:r w:rsidR="00D47F00">
        <w:t>se</w:t>
      </w:r>
      <w:r w:rsidR="00791592">
        <w:t xml:space="preserve"> regimens are not </w:t>
      </w:r>
      <w:r>
        <w:t xml:space="preserve">allowed under current </w:t>
      </w:r>
      <w:r w:rsidR="00791592">
        <w:t xml:space="preserve">PBS </w:t>
      </w:r>
      <w:r>
        <w:t>restrictions.</w:t>
      </w:r>
    </w:p>
    <w:p w:rsidR="00BC6FF6" w:rsidRDefault="00271D8C" w:rsidP="00511E87">
      <w:pPr>
        <w:pStyle w:val="ListParagraph"/>
        <w:numPr>
          <w:ilvl w:val="0"/>
          <w:numId w:val="18"/>
        </w:numPr>
        <w:ind w:left="284" w:hanging="284"/>
        <w:contextualSpacing w:val="0"/>
      </w:pPr>
      <w:r>
        <w:t xml:space="preserve">There </w:t>
      </w:r>
      <w:r w:rsidR="00D47F00">
        <w:t>was no</w:t>
      </w:r>
      <w:r w:rsidR="00BC6FF6">
        <w:t xml:space="preserve"> noticeable change in</w:t>
      </w:r>
      <w:r w:rsidR="00D47F00">
        <w:t xml:space="preserve"> the number of people on</w:t>
      </w:r>
      <w:r w:rsidR="00BC6FF6">
        <w:t xml:space="preserve"> </w:t>
      </w:r>
      <w:proofErr w:type="spellStart"/>
      <w:r w:rsidR="00BC6FF6">
        <w:t>flozin</w:t>
      </w:r>
      <w:proofErr w:type="spellEnd"/>
      <w:r w:rsidR="00BC6FF6">
        <w:t xml:space="preserve"> d</w:t>
      </w:r>
      <w:r w:rsidR="005B3F0A">
        <w:t>ual oral therapy regimens (</w:t>
      </w:r>
      <w:proofErr w:type="spellStart"/>
      <w:r w:rsidR="005B3F0A">
        <w:t>ie</w:t>
      </w:r>
      <w:proofErr w:type="spellEnd"/>
      <w:r w:rsidR="005B3F0A">
        <w:t xml:space="preserve">. </w:t>
      </w:r>
      <w:proofErr w:type="spellStart"/>
      <w:r w:rsidR="005B3F0A">
        <w:t>f</w:t>
      </w:r>
      <w:r w:rsidR="00BC6FF6">
        <w:t>lozin</w:t>
      </w:r>
      <w:proofErr w:type="spellEnd"/>
      <w:r w:rsidR="005B3F0A">
        <w:t xml:space="preserve"> </w:t>
      </w:r>
      <w:r w:rsidR="00BC6FF6">
        <w:t>+</w:t>
      </w:r>
      <w:r w:rsidR="005B3F0A">
        <w:t xml:space="preserve"> m</w:t>
      </w:r>
      <w:r w:rsidR="00BC6FF6">
        <w:t xml:space="preserve">etformin and </w:t>
      </w:r>
      <w:proofErr w:type="spellStart"/>
      <w:r w:rsidR="005B3F0A">
        <w:t>f</w:t>
      </w:r>
      <w:r w:rsidR="00BC6FF6">
        <w:t>lozin</w:t>
      </w:r>
      <w:proofErr w:type="spellEnd"/>
      <w:r w:rsidR="005B3F0A">
        <w:t xml:space="preserve"> </w:t>
      </w:r>
      <w:r w:rsidR="00BC6FF6">
        <w:t>+</w:t>
      </w:r>
      <w:r w:rsidR="005B3F0A">
        <w:t xml:space="preserve"> s</w:t>
      </w:r>
      <w:r w:rsidR="00BC6FF6">
        <w:t xml:space="preserve">ulfonylurea) at the time the </w:t>
      </w:r>
      <w:proofErr w:type="spellStart"/>
      <w:r w:rsidR="00BC6FF6">
        <w:t>dapagliflozin</w:t>
      </w:r>
      <w:proofErr w:type="spellEnd"/>
      <w:r w:rsidR="00BC6FF6">
        <w:t xml:space="preserve"> restriction was changed </w:t>
      </w:r>
      <w:r w:rsidR="00D47F00">
        <w:t>(</w:t>
      </w:r>
      <w:r w:rsidR="00BC6FF6">
        <w:t>December 2014</w:t>
      </w:r>
      <w:r w:rsidR="00D47F00">
        <w:t>)</w:t>
      </w:r>
      <w:r w:rsidR="00BC6FF6">
        <w:t xml:space="preserve"> to allow dual oral therapy with metformin or sulfonylurea without the requirement that “the condition must not be able to be adequately controlled by treatment with metformin </w:t>
      </w:r>
      <w:r w:rsidR="00BC6FF6" w:rsidRPr="00511E87">
        <w:t>and</w:t>
      </w:r>
      <w:r w:rsidR="00BC6FF6">
        <w:t xml:space="preserve"> a sulfonylurea”</w:t>
      </w:r>
      <w:r w:rsidR="00D47F00" w:rsidRPr="00D47F00">
        <w:t xml:space="preserve"> </w:t>
      </w:r>
      <w:r w:rsidR="00D47F00">
        <w:t>(see Figure 6)</w:t>
      </w:r>
      <w:r w:rsidR="00BC6FF6">
        <w:t>.</w:t>
      </w:r>
    </w:p>
    <w:p w:rsidR="0033255E" w:rsidRDefault="00367808" w:rsidP="00511E87">
      <w:pPr>
        <w:pStyle w:val="ListParagraph"/>
        <w:numPr>
          <w:ilvl w:val="0"/>
          <w:numId w:val="18"/>
        </w:numPr>
        <w:ind w:left="284" w:hanging="284"/>
        <w:contextualSpacing w:val="0"/>
      </w:pPr>
      <w:r>
        <w:t xml:space="preserve">There </w:t>
      </w:r>
      <w:r w:rsidR="00D47F00">
        <w:t>was</w:t>
      </w:r>
      <w:r>
        <w:t xml:space="preserve"> a noticeable change in </w:t>
      </w:r>
      <w:r w:rsidR="00D47F00">
        <w:t xml:space="preserve">the number of people deemed to be on </w:t>
      </w:r>
      <w:proofErr w:type="spellStart"/>
      <w:r>
        <w:t>gliptin</w:t>
      </w:r>
      <w:proofErr w:type="spellEnd"/>
      <w:r>
        <w:t xml:space="preserve"> dual oral therapy with metformin regimens (</w:t>
      </w:r>
      <w:proofErr w:type="spellStart"/>
      <w:r>
        <w:t>ie</w:t>
      </w:r>
      <w:proofErr w:type="spellEnd"/>
      <w:r>
        <w:t xml:space="preserve">. </w:t>
      </w:r>
      <w:proofErr w:type="spellStart"/>
      <w:r>
        <w:t>Gliptin&amp;Met</w:t>
      </w:r>
      <w:proofErr w:type="spellEnd"/>
      <w:r>
        <w:t xml:space="preserve"> FDC and </w:t>
      </w:r>
      <w:proofErr w:type="spellStart"/>
      <w:r w:rsidR="005B3F0A">
        <w:t>g</w:t>
      </w:r>
      <w:r>
        <w:t>liptin</w:t>
      </w:r>
      <w:proofErr w:type="spellEnd"/>
      <w:r w:rsidR="005B3F0A">
        <w:t xml:space="preserve"> </w:t>
      </w:r>
      <w:r>
        <w:t>+</w:t>
      </w:r>
      <w:r w:rsidR="005B3F0A">
        <w:t xml:space="preserve"> m</w:t>
      </w:r>
      <w:r>
        <w:t xml:space="preserve">etformin) at the time the </w:t>
      </w:r>
      <w:proofErr w:type="spellStart"/>
      <w:r>
        <w:t>alogliptin</w:t>
      </w:r>
      <w:proofErr w:type="spellEnd"/>
      <w:r>
        <w:t xml:space="preserve"> restriction was changed </w:t>
      </w:r>
      <w:r w:rsidR="00D47F00">
        <w:t>(</w:t>
      </w:r>
      <w:r>
        <w:t>December 2013</w:t>
      </w:r>
      <w:r w:rsidR="00D47F00">
        <w:t>)</w:t>
      </w:r>
      <w:r>
        <w:t xml:space="preserve"> to allow dual oral therapy with metformin or sulfonylurea without the requirement that “</w:t>
      </w:r>
      <w:r w:rsidRPr="00511BE5">
        <w:t>patients in whom combination therapy with metformin and a sulfonylurea is contraindicated or not tolerated”</w:t>
      </w:r>
      <w:r w:rsidR="00D47F00" w:rsidRPr="00D47F00">
        <w:t xml:space="preserve"> </w:t>
      </w:r>
      <w:r w:rsidR="00D47F00">
        <w:t>(see Figure 9)</w:t>
      </w:r>
      <w:r>
        <w:t xml:space="preserve">. This restriction change was applied to all other </w:t>
      </w:r>
      <w:proofErr w:type="spellStart"/>
      <w:r>
        <w:t>gliptins</w:t>
      </w:r>
      <w:proofErr w:type="spellEnd"/>
      <w:r>
        <w:t xml:space="preserve"> in April 2014. The effect</w:t>
      </w:r>
      <w:r w:rsidR="00D47F00">
        <w:t xml:space="preserve"> of the restriction change</w:t>
      </w:r>
      <w:r>
        <w:t xml:space="preserve"> on these regimens </w:t>
      </w:r>
      <w:r w:rsidR="00D47F00">
        <w:t xml:space="preserve">was </w:t>
      </w:r>
      <w:r>
        <w:t>in opposite directions</w:t>
      </w:r>
      <w:r w:rsidR="00D47F00">
        <w:t>,</w:t>
      </w:r>
      <w:r>
        <w:t xml:space="preserve"> with the </w:t>
      </w:r>
      <w:proofErr w:type="spellStart"/>
      <w:r>
        <w:t>Gliptin&amp;Met</w:t>
      </w:r>
      <w:proofErr w:type="spellEnd"/>
      <w:r>
        <w:t xml:space="preserve"> FDC regimen increasing at a faster rate and </w:t>
      </w:r>
      <w:proofErr w:type="spellStart"/>
      <w:r w:rsidR="005B3F0A">
        <w:t>g</w:t>
      </w:r>
      <w:r>
        <w:t>liptin</w:t>
      </w:r>
      <w:proofErr w:type="spellEnd"/>
      <w:r w:rsidR="005B3F0A">
        <w:t xml:space="preserve"> </w:t>
      </w:r>
      <w:r>
        <w:t>+</w:t>
      </w:r>
      <w:r w:rsidR="005B3F0A">
        <w:t xml:space="preserve"> m</w:t>
      </w:r>
      <w:r>
        <w:t>etformin decreasing. However</w:t>
      </w:r>
      <w:r w:rsidR="00D47F00">
        <w:t>,</w:t>
      </w:r>
      <w:r>
        <w:t xml:space="preserve"> these two effects cancel each other out, so there was no impact on </w:t>
      </w:r>
      <w:r w:rsidR="00D47F00">
        <w:t xml:space="preserve">the </w:t>
      </w:r>
      <w:proofErr w:type="spellStart"/>
      <w:r>
        <w:t>gliptin</w:t>
      </w:r>
      <w:proofErr w:type="spellEnd"/>
      <w:r w:rsidR="00D47F00">
        <w:t xml:space="preserve"> with metformin</w:t>
      </w:r>
      <w:r>
        <w:t xml:space="preserve"> dual therapy </w:t>
      </w:r>
      <w:r w:rsidR="00D47F00">
        <w:t>market</w:t>
      </w:r>
      <w:r>
        <w:t xml:space="preserve"> overall (see Figure 8). The restriction change does not appear to have </w:t>
      </w:r>
      <w:r w:rsidR="005B3F0A">
        <w:t xml:space="preserve">affected </w:t>
      </w:r>
      <w:r>
        <w:t xml:space="preserve">the growth rate of </w:t>
      </w:r>
      <w:proofErr w:type="spellStart"/>
      <w:r>
        <w:t>gliptin</w:t>
      </w:r>
      <w:proofErr w:type="spellEnd"/>
      <w:r>
        <w:t xml:space="preserve"> dual therapy</w:t>
      </w:r>
      <w:r w:rsidR="00412A7D">
        <w:t xml:space="preserve"> with sulfonylurea (see Figure 8</w:t>
      </w:r>
      <w:r>
        <w:t>).</w:t>
      </w:r>
    </w:p>
    <w:p w:rsidR="00BC6FF6" w:rsidRDefault="0033255E" w:rsidP="00511E87">
      <w:pPr>
        <w:pStyle w:val="ListParagraph"/>
        <w:numPr>
          <w:ilvl w:val="0"/>
          <w:numId w:val="18"/>
        </w:numPr>
        <w:ind w:left="284" w:hanging="284"/>
        <w:contextualSpacing w:val="0"/>
      </w:pPr>
      <w:r>
        <w:t xml:space="preserve">There </w:t>
      </w:r>
      <w:proofErr w:type="gramStart"/>
      <w:r>
        <w:t>was  growing</w:t>
      </w:r>
      <w:proofErr w:type="gramEnd"/>
      <w:r>
        <w:t xml:space="preserve"> use of a </w:t>
      </w:r>
      <w:proofErr w:type="spellStart"/>
      <w:r>
        <w:t>flozin</w:t>
      </w:r>
      <w:proofErr w:type="spellEnd"/>
      <w:r>
        <w:t xml:space="preserve">, </w:t>
      </w:r>
      <w:proofErr w:type="spellStart"/>
      <w:r>
        <w:t>gliptin</w:t>
      </w:r>
      <w:proofErr w:type="spellEnd"/>
      <w:r>
        <w:t xml:space="preserve"> or </w:t>
      </w:r>
      <w:proofErr w:type="spellStart"/>
      <w:r>
        <w:t>exenatide</w:t>
      </w:r>
      <w:proofErr w:type="spellEnd"/>
      <w:r>
        <w:t xml:space="preserve"> as </w:t>
      </w:r>
      <w:proofErr w:type="spellStart"/>
      <w:r>
        <w:t>monotherapy</w:t>
      </w:r>
      <w:proofErr w:type="spellEnd"/>
      <w:r>
        <w:t xml:space="preserve"> (</w:t>
      </w:r>
      <w:r w:rsidR="00D47F00">
        <w:t>s</w:t>
      </w:r>
      <w:r>
        <w:t>ee Figures 6, 8 and 13)</w:t>
      </w:r>
      <w:r w:rsidR="00D47F00">
        <w:t>,</w:t>
      </w:r>
      <w:r>
        <w:t xml:space="preserve"> which is outside the current PBS restriction.</w:t>
      </w:r>
    </w:p>
    <w:p w:rsidR="006A4C8F" w:rsidRDefault="006A4C8F" w:rsidP="006A4C8F">
      <w:pPr>
        <w:pStyle w:val="Heading1"/>
        <w:rPr>
          <w:sz w:val="32"/>
          <w:szCs w:val="32"/>
        </w:rPr>
      </w:pPr>
      <w:r w:rsidRPr="001F7271">
        <w:rPr>
          <w:sz w:val="32"/>
          <w:szCs w:val="32"/>
        </w:rPr>
        <w:lastRenderedPageBreak/>
        <w:t>DUSC consideration</w:t>
      </w:r>
    </w:p>
    <w:p w:rsidR="006A4C8F" w:rsidRPr="001F7271" w:rsidRDefault="006A4C8F" w:rsidP="006A4C8F">
      <w:pPr>
        <w:spacing w:after="0"/>
      </w:pPr>
      <w:r w:rsidRPr="001F7271">
        <w:t>DUSC considered that</w:t>
      </w:r>
      <w:r w:rsidR="00720B54">
        <w:t>:</w:t>
      </w:r>
    </w:p>
    <w:p w:rsidR="00B330FE" w:rsidRPr="00B330FE" w:rsidRDefault="00B330FE" w:rsidP="00B330FE">
      <w:pPr>
        <w:numPr>
          <w:ilvl w:val="0"/>
          <w:numId w:val="22"/>
        </w:numPr>
        <w:spacing w:after="0"/>
        <w:contextualSpacing/>
        <w:rPr>
          <w:rFonts w:ascii="Calibri" w:eastAsia="Times New Roman" w:hAnsi="Calibri" w:cs="Times New Roman"/>
          <w:lang w:eastAsia="en-US"/>
        </w:rPr>
      </w:pPr>
      <w:r w:rsidRPr="00B330FE">
        <w:rPr>
          <w:rFonts w:ascii="Calibri" w:eastAsia="Times New Roman" w:hAnsi="Calibri" w:cs="Times New Roman"/>
          <w:lang w:val="en-US" w:eastAsia="en-US"/>
        </w:rPr>
        <w:t xml:space="preserve">The increase in the number of people receiving medicines for the treatment of </w:t>
      </w:r>
      <w:proofErr w:type="gramStart"/>
      <w:r w:rsidRPr="00B330FE">
        <w:rPr>
          <w:rFonts w:ascii="Calibri" w:eastAsia="Times New Roman" w:hAnsi="Calibri" w:cs="Times New Roman"/>
          <w:lang w:val="en-US" w:eastAsia="en-US"/>
        </w:rPr>
        <w:t>diabetes  is</w:t>
      </w:r>
      <w:proofErr w:type="gramEnd"/>
      <w:r w:rsidRPr="00B330FE">
        <w:rPr>
          <w:rFonts w:ascii="Calibri" w:eastAsia="Times New Roman" w:hAnsi="Calibri" w:cs="Times New Roman"/>
          <w:lang w:val="en-US" w:eastAsia="en-US"/>
        </w:rPr>
        <w:t xml:space="preserve"> consistent with the increase in prevalence of the condition</w:t>
      </w:r>
      <w:r w:rsidR="00720B54">
        <w:rPr>
          <w:rFonts w:ascii="Calibri" w:eastAsia="Times New Roman" w:hAnsi="Calibri" w:cs="Times New Roman"/>
          <w:lang w:val="en-US" w:eastAsia="en-US"/>
        </w:rPr>
        <w:t>.</w:t>
      </w:r>
      <w:r w:rsidRPr="00B330FE">
        <w:rPr>
          <w:rFonts w:ascii="Calibri" w:eastAsia="Times New Roman" w:hAnsi="Calibri" w:cs="Times New Roman"/>
          <w:vertAlign w:val="superscript"/>
          <w:lang w:val="en-US" w:eastAsia="en-US"/>
        </w:rPr>
        <w:footnoteReference w:id="8"/>
      </w:r>
    </w:p>
    <w:p w:rsidR="00B330FE" w:rsidRPr="00B330FE" w:rsidRDefault="00B330FE" w:rsidP="00B330FE">
      <w:pPr>
        <w:numPr>
          <w:ilvl w:val="0"/>
          <w:numId w:val="22"/>
        </w:numPr>
        <w:spacing w:after="0"/>
        <w:contextualSpacing/>
        <w:rPr>
          <w:rFonts w:ascii="Calibri" w:eastAsia="Times New Roman" w:hAnsi="Calibri" w:cs="Times New Roman"/>
          <w:lang w:eastAsia="en-US"/>
        </w:rPr>
      </w:pPr>
      <w:r w:rsidRPr="00B330FE">
        <w:rPr>
          <w:rFonts w:ascii="Calibri" w:eastAsia="Times New Roman" w:hAnsi="Calibri" w:cs="Times New Roman"/>
          <w:lang w:val="en-US" w:eastAsia="en-US"/>
        </w:rPr>
        <w:t>Metformin alone remains the most common regimen. This is consistent with guidelines.</w:t>
      </w:r>
    </w:p>
    <w:p w:rsidR="00B330FE" w:rsidRPr="00B330FE" w:rsidRDefault="00B330FE" w:rsidP="00B330FE">
      <w:pPr>
        <w:numPr>
          <w:ilvl w:val="0"/>
          <w:numId w:val="22"/>
        </w:numPr>
        <w:spacing w:after="0"/>
        <w:contextualSpacing/>
        <w:rPr>
          <w:rFonts w:ascii="Calibri" w:eastAsia="Times New Roman" w:hAnsi="Calibri" w:cs="Times New Roman"/>
          <w:lang w:eastAsia="en-US"/>
        </w:rPr>
      </w:pPr>
      <w:r w:rsidRPr="00B330FE">
        <w:rPr>
          <w:rFonts w:ascii="Calibri" w:eastAsia="Times New Roman" w:hAnsi="Calibri" w:cs="Times New Roman"/>
          <w:lang w:val="en-US" w:eastAsia="en-US"/>
        </w:rPr>
        <w:t xml:space="preserve">Sulfonylureas alone and in combination with metformin have decreased. This may be related to concerns about </w:t>
      </w:r>
      <w:proofErr w:type="spellStart"/>
      <w:r w:rsidRPr="00B330FE">
        <w:rPr>
          <w:rFonts w:ascii="Calibri" w:eastAsia="Times New Roman" w:hAnsi="Calibri" w:cs="Times New Roman"/>
          <w:lang w:val="en-US" w:eastAsia="en-US"/>
        </w:rPr>
        <w:t>hypoglycaemia</w:t>
      </w:r>
      <w:proofErr w:type="spellEnd"/>
      <w:r w:rsidRPr="00B330FE">
        <w:rPr>
          <w:rFonts w:ascii="Calibri" w:eastAsia="Times New Roman" w:hAnsi="Calibri" w:cs="Times New Roman"/>
          <w:lang w:val="en-US" w:eastAsia="en-US"/>
        </w:rPr>
        <w:t xml:space="preserve"> and weight gain.</w:t>
      </w:r>
    </w:p>
    <w:p w:rsidR="00B330FE" w:rsidRPr="00B330FE" w:rsidRDefault="00B330FE" w:rsidP="00B330FE">
      <w:pPr>
        <w:numPr>
          <w:ilvl w:val="0"/>
          <w:numId w:val="22"/>
        </w:numPr>
        <w:spacing w:after="0"/>
        <w:contextualSpacing/>
        <w:rPr>
          <w:rFonts w:ascii="Calibri" w:eastAsia="Times New Roman" w:hAnsi="Calibri" w:cs="Times New Roman"/>
          <w:lang w:eastAsia="en-US"/>
        </w:rPr>
      </w:pPr>
      <w:r w:rsidRPr="00B330FE">
        <w:rPr>
          <w:rFonts w:ascii="Calibri" w:eastAsia="Times New Roman" w:hAnsi="Calibri" w:cs="Times New Roman"/>
          <w:lang w:val="en-US" w:eastAsia="en-US"/>
        </w:rPr>
        <w:t xml:space="preserve">There was large increase in the number of patients receiving </w:t>
      </w:r>
      <w:proofErr w:type="spellStart"/>
      <w:r w:rsidRPr="00B330FE">
        <w:rPr>
          <w:rFonts w:ascii="Calibri" w:eastAsia="Times New Roman" w:hAnsi="Calibri" w:cs="Times New Roman"/>
          <w:lang w:val="en-US" w:eastAsia="en-US"/>
        </w:rPr>
        <w:t>flozins</w:t>
      </w:r>
      <w:proofErr w:type="spellEnd"/>
      <w:r w:rsidRPr="00B330FE">
        <w:rPr>
          <w:rFonts w:ascii="Calibri" w:eastAsia="Times New Roman" w:hAnsi="Calibri" w:cs="Times New Roman"/>
          <w:lang w:val="en-US" w:eastAsia="en-US"/>
        </w:rPr>
        <w:t xml:space="preserve"> or </w:t>
      </w:r>
      <w:proofErr w:type="spellStart"/>
      <w:r w:rsidRPr="00B330FE">
        <w:rPr>
          <w:rFonts w:ascii="Calibri" w:eastAsia="Times New Roman" w:hAnsi="Calibri" w:cs="Times New Roman"/>
          <w:lang w:val="en-US" w:eastAsia="en-US"/>
        </w:rPr>
        <w:t>gliptins</w:t>
      </w:r>
      <w:proofErr w:type="spellEnd"/>
      <w:r w:rsidRPr="00B330FE">
        <w:rPr>
          <w:rFonts w:ascii="Calibri" w:eastAsia="Times New Roman" w:hAnsi="Calibri" w:cs="Times New Roman"/>
          <w:lang w:val="en-US" w:eastAsia="en-US"/>
        </w:rPr>
        <w:t xml:space="preserve"> in combination with metformin. The majority of the </w:t>
      </w:r>
      <w:proofErr w:type="spellStart"/>
      <w:r w:rsidRPr="00B330FE">
        <w:rPr>
          <w:rFonts w:ascii="Calibri" w:eastAsia="Times New Roman" w:hAnsi="Calibri" w:cs="Times New Roman"/>
          <w:lang w:val="en-US" w:eastAsia="en-US"/>
        </w:rPr>
        <w:t>gliptin</w:t>
      </w:r>
      <w:proofErr w:type="spellEnd"/>
      <w:r w:rsidRPr="00B330FE">
        <w:rPr>
          <w:rFonts w:ascii="Calibri" w:eastAsia="Times New Roman" w:hAnsi="Calibri" w:cs="Times New Roman"/>
          <w:lang w:val="en-US" w:eastAsia="en-US"/>
        </w:rPr>
        <w:t xml:space="preserve"> and metformin regimens use an FDC product. There has been a reduction in use of sulfonylureas with metformin prior to patients initiating </w:t>
      </w:r>
      <w:proofErr w:type="spellStart"/>
      <w:r w:rsidRPr="00B330FE">
        <w:rPr>
          <w:rFonts w:ascii="Calibri" w:eastAsia="Times New Roman" w:hAnsi="Calibri" w:cs="Times New Roman"/>
          <w:lang w:val="en-US" w:eastAsia="en-US"/>
        </w:rPr>
        <w:t>gliptin</w:t>
      </w:r>
      <w:proofErr w:type="spellEnd"/>
      <w:r w:rsidRPr="00B330FE">
        <w:rPr>
          <w:rFonts w:ascii="Calibri" w:eastAsia="Times New Roman" w:hAnsi="Calibri" w:cs="Times New Roman"/>
          <w:lang w:val="en-US" w:eastAsia="en-US"/>
        </w:rPr>
        <w:t>. This is consistent with the PBS restriction change in December 2013.</w:t>
      </w:r>
    </w:p>
    <w:p w:rsidR="00B330FE" w:rsidRPr="00B330FE" w:rsidRDefault="00B330FE" w:rsidP="00B330FE">
      <w:pPr>
        <w:numPr>
          <w:ilvl w:val="0"/>
          <w:numId w:val="22"/>
        </w:numPr>
        <w:spacing w:after="0"/>
        <w:rPr>
          <w:rFonts w:ascii="Calibri" w:eastAsia="Times New Roman" w:hAnsi="Calibri" w:cs="Times New Roman"/>
          <w:lang w:val="en-US" w:eastAsia="en-US"/>
        </w:rPr>
      </w:pPr>
      <w:r w:rsidRPr="00B330FE">
        <w:rPr>
          <w:rFonts w:ascii="Calibri" w:eastAsia="Times New Roman" w:hAnsi="Calibri" w:cs="Calibri"/>
          <w:lang w:val="en-US" w:eastAsia="en-US"/>
        </w:rPr>
        <w:t>The segments of the market that grew the fastest (in terms of market share between August 2012 and July 2016) were patients receiving triple and quadruple therapy. The percentage of patients on more than 4 therapies also grew rapidly, but from a very low base. DUSC considered that the growth of multi drug regimens raises questions about quality use of medicines (QUM). These being the increasing difficulty for the patient to be compliant to the regimen the more complex it becomes, and the increased likelihood of drug interactions with drugs being used to treat comorbid conditions.</w:t>
      </w:r>
      <w:r w:rsidRPr="00B330FE">
        <w:rPr>
          <w:rFonts w:ascii="Calibri" w:eastAsia="Times New Roman" w:hAnsi="Calibri" w:cs="Calibri"/>
          <w:lang w:eastAsia="en-US"/>
        </w:rPr>
        <w:t xml:space="preserve"> </w:t>
      </w:r>
    </w:p>
    <w:p w:rsidR="00B330FE" w:rsidRPr="00B330FE" w:rsidRDefault="00B330FE" w:rsidP="00B330FE">
      <w:pPr>
        <w:numPr>
          <w:ilvl w:val="0"/>
          <w:numId w:val="22"/>
        </w:numPr>
        <w:spacing w:after="0"/>
        <w:rPr>
          <w:rFonts w:ascii="Calibri" w:eastAsia="Times New Roman" w:hAnsi="Calibri" w:cs="Times New Roman"/>
          <w:lang w:val="en-US" w:eastAsia="en-US"/>
        </w:rPr>
      </w:pPr>
      <w:r w:rsidRPr="00B330FE">
        <w:rPr>
          <w:rFonts w:ascii="Calibri" w:eastAsia="Times New Roman" w:hAnsi="Calibri" w:cs="Times New Roman"/>
          <w:lang w:val="en-US" w:eastAsia="en-US"/>
        </w:rPr>
        <w:t xml:space="preserve">GPs tend to only escalate treatment to triple therapy and after </w:t>
      </w:r>
      <w:proofErr w:type="gramStart"/>
      <w:r w:rsidRPr="00B330FE">
        <w:rPr>
          <w:rFonts w:ascii="Calibri" w:eastAsia="Times New Roman" w:hAnsi="Calibri" w:cs="Times New Roman"/>
          <w:lang w:val="en-US" w:eastAsia="en-US"/>
        </w:rPr>
        <w:t>this refer</w:t>
      </w:r>
      <w:proofErr w:type="gramEnd"/>
      <w:r w:rsidRPr="00B330FE">
        <w:rPr>
          <w:rFonts w:ascii="Calibri" w:eastAsia="Times New Roman" w:hAnsi="Calibri" w:cs="Times New Roman"/>
          <w:lang w:val="en-US" w:eastAsia="en-US"/>
        </w:rPr>
        <w:t xml:space="preserve"> to a specialist if the patient’s condition is still not adequately controlled</w:t>
      </w:r>
      <w:r w:rsidR="00720B54">
        <w:rPr>
          <w:rFonts w:ascii="Calibri" w:eastAsia="Times New Roman" w:hAnsi="Calibri" w:cs="Times New Roman"/>
          <w:lang w:val="en-US" w:eastAsia="en-US"/>
        </w:rPr>
        <w:t>.</w:t>
      </w:r>
    </w:p>
    <w:p w:rsidR="00B330FE" w:rsidRPr="00B330FE" w:rsidRDefault="00B330FE" w:rsidP="00B330FE">
      <w:pPr>
        <w:numPr>
          <w:ilvl w:val="0"/>
          <w:numId w:val="22"/>
        </w:numPr>
        <w:spacing w:after="0"/>
        <w:contextualSpacing/>
        <w:rPr>
          <w:rFonts w:ascii="Calibri" w:eastAsia="Times New Roman" w:hAnsi="Calibri" w:cs="Times New Roman"/>
          <w:lang w:eastAsia="en-US"/>
        </w:rPr>
      </w:pPr>
      <w:r w:rsidRPr="00B330FE">
        <w:rPr>
          <w:rFonts w:ascii="Calibri" w:eastAsia="Times New Roman" w:hAnsi="Calibri" w:cs="Times New Roman"/>
          <w:lang w:val="en-US" w:eastAsia="en-US"/>
        </w:rPr>
        <w:t xml:space="preserve">The Predicted </w:t>
      </w:r>
      <w:proofErr w:type="spellStart"/>
      <w:r w:rsidRPr="00B330FE">
        <w:rPr>
          <w:rFonts w:ascii="Calibri" w:eastAsia="Times New Roman" w:hAnsi="Calibri" w:cs="Times New Roman"/>
          <w:lang w:val="en-US" w:eastAsia="en-US"/>
        </w:rPr>
        <w:t>vs</w:t>
      </w:r>
      <w:proofErr w:type="spellEnd"/>
      <w:r w:rsidRPr="00B330FE">
        <w:rPr>
          <w:rFonts w:ascii="Calibri" w:eastAsia="Times New Roman" w:hAnsi="Calibri" w:cs="Times New Roman"/>
          <w:lang w:val="en-US" w:eastAsia="en-US"/>
        </w:rPr>
        <w:t xml:space="preserve"> Actual analysis indicated that the overall </w:t>
      </w:r>
      <w:proofErr w:type="spellStart"/>
      <w:r w:rsidRPr="00B330FE">
        <w:rPr>
          <w:rFonts w:ascii="Calibri" w:eastAsia="Times New Roman" w:hAnsi="Calibri" w:cs="Times New Roman"/>
          <w:lang w:val="en-US" w:eastAsia="en-US"/>
        </w:rPr>
        <w:t>flozin</w:t>
      </w:r>
      <w:proofErr w:type="spellEnd"/>
      <w:r w:rsidRPr="00B330FE">
        <w:rPr>
          <w:rFonts w:ascii="Calibri" w:eastAsia="Times New Roman" w:hAnsi="Calibri" w:cs="Times New Roman"/>
          <w:lang w:val="en-US" w:eastAsia="en-US"/>
        </w:rPr>
        <w:t xml:space="preserve"> market size was consistent with predictions.</w:t>
      </w:r>
    </w:p>
    <w:p w:rsidR="00B330FE" w:rsidRPr="00B330FE" w:rsidRDefault="00B330FE" w:rsidP="00B330FE">
      <w:pPr>
        <w:numPr>
          <w:ilvl w:val="0"/>
          <w:numId w:val="22"/>
        </w:numPr>
        <w:spacing w:after="0"/>
        <w:contextualSpacing/>
        <w:rPr>
          <w:rFonts w:ascii="Calibri" w:eastAsia="Times New Roman" w:hAnsi="Calibri" w:cs="Times New Roman"/>
          <w:lang w:eastAsia="en-US"/>
        </w:rPr>
      </w:pPr>
      <w:r w:rsidRPr="00B330FE">
        <w:rPr>
          <w:rFonts w:ascii="Calibri" w:eastAsia="Times New Roman" w:hAnsi="Calibri" w:cs="Times New Roman"/>
          <w:lang w:val="en-US" w:eastAsia="en-US"/>
        </w:rPr>
        <w:t xml:space="preserve">The use of regimens outside of PBS restrictions is a concern. This includes </w:t>
      </w:r>
      <w:proofErr w:type="spellStart"/>
      <w:r w:rsidRPr="00B330FE">
        <w:rPr>
          <w:rFonts w:ascii="Calibri" w:eastAsia="Times New Roman" w:hAnsi="Calibri" w:cs="Times New Roman"/>
          <w:lang w:val="en-US" w:eastAsia="en-US"/>
        </w:rPr>
        <w:t>monotherapy</w:t>
      </w:r>
      <w:proofErr w:type="spellEnd"/>
      <w:r w:rsidRPr="00B330FE">
        <w:rPr>
          <w:rFonts w:ascii="Calibri" w:eastAsia="Times New Roman" w:hAnsi="Calibri" w:cs="Times New Roman"/>
          <w:lang w:val="en-US" w:eastAsia="en-US"/>
        </w:rPr>
        <w:t xml:space="preserve"> with a </w:t>
      </w:r>
      <w:proofErr w:type="spellStart"/>
      <w:r w:rsidRPr="00B330FE">
        <w:rPr>
          <w:rFonts w:ascii="Calibri" w:eastAsia="Times New Roman" w:hAnsi="Calibri" w:cs="Times New Roman"/>
          <w:lang w:val="en-US" w:eastAsia="en-US"/>
        </w:rPr>
        <w:t>flozin</w:t>
      </w:r>
      <w:proofErr w:type="spellEnd"/>
      <w:r w:rsidRPr="00B330FE">
        <w:rPr>
          <w:rFonts w:ascii="Calibri" w:eastAsia="Times New Roman" w:hAnsi="Calibri" w:cs="Times New Roman"/>
          <w:lang w:val="en-US" w:eastAsia="en-US"/>
        </w:rPr>
        <w:t xml:space="preserve"> (</w:t>
      </w:r>
      <w:r w:rsidRPr="00B330FE">
        <w:rPr>
          <w:rFonts w:ascii="Calibri" w:eastAsia="Times New Roman" w:hAnsi="Calibri" w:cs="Times New Roman"/>
          <w:lang w:eastAsia="en-US"/>
        </w:rPr>
        <w:t>≈ 3,000 patients</w:t>
      </w:r>
      <w:r w:rsidRPr="00B330FE">
        <w:rPr>
          <w:rFonts w:ascii="Calibri" w:eastAsia="Times New Roman" w:hAnsi="Calibri" w:cs="Times New Roman"/>
          <w:lang w:val="en-US" w:eastAsia="en-US"/>
        </w:rPr>
        <w:t xml:space="preserve">, Figure 6), </w:t>
      </w:r>
      <w:proofErr w:type="spellStart"/>
      <w:r w:rsidRPr="00B330FE">
        <w:rPr>
          <w:rFonts w:ascii="Calibri" w:eastAsia="Times New Roman" w:hAnsi="Calibri" w:cs="Times New Roman"/>
          <w:lang w:val="en-US" w:eastAsia="en-US"/>
        </w:rPr>
        <w:t>gliptin</w:t>
      </w:r>
      <w:proofErr w:type="spellEnd"/>
      <w:r w:rsidRPr="00B330FE">
        <w:rPr>
          <w:rFonts w:ascii="Calibri" w:eastAsia="Times New Roman" w:hAnsi="Calibri" w:cs="Times New Roman"/>
          <w:lang w:val="en-US" w:eastAsia="en-US"/>
        </w:rPr>
        <w:t xml:space="preserve"> (</w:t>
      </w:r>
      <w:r w:rsidRPr="00B330FE">
        <w:rPr>
          <w:rFonts w:ascii="Calibri" w:eastAsia="Times New Roman" w:hAnsi="Calibri" w:cs="Times New Roman"/>
          <w:lang w:eastAsia="en-US"/>
        </w:rPr>
        <w:t>≈</w:t>
      </w:r>
      <w:r w:rsidRPr="00B330FE">
        <w:rPr>
          <w:rFonts w:ascii="Calibri" w:eastAsia="Times New Roman" w:hAnsi="Calibri" w:cs="Times New Roman"/>
          <w:lang w:val="en-US" w:eastAsia="en-US"/>
        </w:rPr>
        <w:t xml:space="preserve"> 8,000 patients, Figure 8) and </w:t>
      </w:r>
      <w:proofErr w:type="spellStart"/>
      <w:r w:rsidRPr="00B330FE">
        <w:rPr>
          <w:rFonts w:ascii="Calibri" w:eastAsia="Times New Roman" w:hAnsi="Calibri" w:cs="Times New Roman"/>
          <w:lang w:val="en-US" w:eastAsia="en-US"/>
        </w:rPr>
        <w:t>exenatide</w:t>
      </w:r>
      <w:proofErr w:type="spellEnd"/>
      <w:r w:rsidRPr="00B330FE">
        <w:rPr>
          <w:rFonts w:ascii="Calibri" w:eastAsia="Times New Roman" w:hAnsi="Calibri" w:cs="Times New Roman"/>
          <w:lang w:val="en-US" w:eastAsia="en-US"/>
        </w:rPr>
        <w:t xml:space="preserve"> (</w:t>
      </w:r>
      <w:r w:rsidRPr="00B330FE">
        <w:rPr>
          <w:rFonts w:ascii="Calibri" w:eastAsia="Times New Roman" w:hAnsi="Calibri" w:cs="Times New Roman"/>
          <w:lang w:eastAsia="en-US"/>
        </w:rPr>
        <w:t>≈ 1,200 patients, Figure 13). The u</w:t>
      </w:r>
      <w:r w:rsidRPr="00B330FE">
        <w:rPr>
          <w:rFonts w:ascii="Calibri" w:eastAsia="Times New Roman" w:hAnsi="Calibri" w:cs="Times New Roman"/>
          <w:lang w:val="en-US" w:eastAsia="en-US"/>
        </w:rPr>
        <w:t xml:space="preserve">se of </w:t>
      </w:r>
      <w:proofErr w:type="spellStart"/>
      <w:r w:rsidRPr="00B330FE">
        <w:rPr>
          <w:rFonts w:ascii="Calibri" w:eastAsia="Times New Roman" w:hAnsi="Calibri" w:cs="Times New Roman"/>
          <w:lang w:val="en-US" w:eastAsia="en-US"/>
        </w:rPr>
        <w:t>flozin</w:t>
      </w:r>
      <w:proofErr w:type="spellEnd"/>
      <w:r w:rsidRPr="00B330FE">
        <w:rPr>
          <w:rFonts w:ascii="Calibri" w:eastAsia="Times New Roman" w:hAnsi="Calibri" w:cs="Times New Roman"/>
          <w:lang w:val="en-US" w:eastAsia="en-US"/>
        </w:rPr>
        <w:t xml:space="preserve">, </w:t>
      </w:r>
      <w:proofErr w:type="spellStart"/>
      <w:r w:rsidRPr="00B330FE">
        <w:rPr>
          <w:rFonts w:ascii="Calibri" w:eastAsia="Times New Roman" w:hAnsi="Calibri" w:cs="Times New Roman"/>
          <w:lang w:val="en-US" w:eastAsia="en-US"/>
        </w:rPr>
        <w:t>gliptin</w:t>
      </w:r>
      <w:proofErr w:type="spellEnd"/>
      <w:r w:rsidRPr="00B330FE">
        <w:rPr>
          <w:rFonts w:ascii="Calibri" w:eastAsia="Times New Roman" w:hAnsi="Calibri" w:cs="Times New Roman"/>
          <w:lang w:val="en-US" w:eastAsia="en-US"/>
        </w:rPr>
        <w:t xml:space="preserve"> and/or GLP-1 analogues in combination each other (</w:t>
      </w:r>
      <w:r w:rsidRPr="00B330FE">
        <w:rPr>
          <w:rFonts w:ascii="Calibri" w:eastAsia="Times New Roman" w:hAnsi="Calibri" w:cs="Times New Roman"/>
          <w:lang w:eastAsia="en-US"/>
        </w:rPr>
        <w:t>≈</w:t>
      </w:r>
      <w:proofErr w:type="gramStart"/>
      <w:r w:rsidRPr="00B330FE">
        <w:rPr>
          <w:rFonts w:ascii="Calibri" w:eastAsia="Times New Roman" w:hAnsi="Calibri" w:cs="Times New Roman"/>
          <w:lang w:eastAsia="en-US"/>
        </w:rPr>
        <w:t>27,389  instances</w:t>
      </w:r>
      <w:proofErr w:type="gramEnd"/>
      <w:r w:rsidRPr="00B330FE">
        <w:rPr>
          <w:rFonts w:ascii="Calibri" w:eastAsia="Times New Roman" w:hAnsi="Calibri" w:cs="Times New Roman"/>
          <w:lang w:eastAsia="en-US"/>
        </w:rPr>
        <w:t xml:space="preserve"> of regimens containing 2 or more of these drug groups. This is calculated by adding patients in regimen groups in Table 11, but excluding the groups “metformin + </w:t>
      </w:r>
      <w:proofErr w:type="spellStart"/>
      <w:r w:rsidRPr="00B330FE">
        <w:rPr>
          <w:rFonts w:ascii="Calibri" w:eastAsia="Times New Roman" w:hAnsi="Calibri" w:cs="Times New Roman"/>
          <w:lang w:eastAsia="en-US"/>
        </w:rPr>
        <w:t>gliptin</w:t>
      </w:r>
      <w:proofErr w:type="spellEnd"/>
      <w:r w:rsidRPr="00B330FE">
        <w:rPr>
          <w:rFonts w:ascii="Calibri" w:eastAsia="Times New Roman" w:hAnsi="Calibri" w:cs="Times New Roman"/>
          <w:lang w:eastAsia="en-US"/>
        </w:rPr>
        <w:t xml:space="preserve"> + insulin”, “sulfonylurea + </w:t>
      </w:r>
      <w:proofErr w:type="spellStart"/>
      <w:r w:rsidRPr="00B330FE">
        <w:rPr>
          <w:rFonts w:ascii="Calibri" w:eastAsia="Times New Roman" w:hAnsi="Calibri" w:cs="Times New Roman"/>
          <w:lang w:eastAsia="en-US"/>
        </w:rPr>
        <w:t>gliptin</w:t>
      </w:r>
      <w:proofErr w:type="spellEnd"/>
      <w:r w:rsidRPr="00B330FE">
        <w:rPr>
          <w:rFonts w:ascii="Calibri" w:eastAsia="Times New Roman" w:hAnsi="Calibri" w:cs="Times New Roman"/>
          <w:lang w:eastAsia="en-US"/>
        </w:rPr>
        <w:t xml:space="preserve"> + insulin” and “Any combination of insulin with three oral therapies”).</w:t>
      </w:r>
    </w:p>
    <w:p w:rsidR="00B330FE" w:rsidRPr="00B330FE" w:rsidRDefault="00B330FE" w:rsidP="00B330FE">
      <w:pPr>
        <w:numPr>
          <w:ilvl w:val="0"/>
          <w:numId w:val="22"/>
        </w:numPr>
        <w:spacing w:after="0"/>
        <w:contextualSpacing/>
        <w:rPr>
          <w:rFonts w:ascii="Calibri" w:eastAsia="Times New Roman" w:hAnsi="Calibri" w:cs="Times New Roman"/>
          <w:lang w:eastAsia="en-US"/>
        </w:rPr>
      </w:pPr>
      <w:r w:rsidRPr="00B330FE">
        <w:rPr>
          <w:rFonts w:ascii="Calibri" w:eastAsia="Times New Roman" w:hAnsi="Calibri" w:cs="Times New Roman"/>
          <w:lang w:eastAsia="en-US"/>
        </w:rPr>
        <w:t xml:space="preserve">It was possible that some of the apparent </w:t>
      </w:r>
      <w:proofErr w:type="spellStart"/>
      <w:r w:rsidRPr="00B330FE">
        <w:rPr>
          <w:rFonts w:ascii="Calibri" w:eastAsia="Times New Roman" w:hAnsi="Calibri" w:cs="Times New Roman"/>
          <w:lang w:eastAsia="en-US"/>
        </w:rPr>
        <w:t>monotherapy</w:t>
      </w:r>
      <w:proofErr w:type="spellEnd"/>
      <w:r w:rsidRPr="00B330FE">
        <w:rPr>
          <w:rFonts w:ascii="Calibri" w:eastAsia="Times New Roman" w:hAnsi="Calibri" w:cs="Times New Roman"/>
          <w:lang w:eastAsia="en-US"/>
        </w:rPr>
        <w:t xml:space="preserve"> with a </w:t>
      </w:r>
      <w:proofErr w:type="spellStart"/>
      <w:r w:rsidRPr="00B330FE">
        <w:rPr>
          <w:rFonts w:ascii="Calibri" w:eastAsia="Times New Roman" w:hAnsi="Calibri" w:cs="Times New Roman"/>
          <w:lang w:val="en-US" w:eastAsia="en-US"/>
        </w:rPr>
        <w:t>flozin</w:t>
      </w:r>
      <w:proofErr w:type="spellEnd"/>
      <w:r w:rsidRPr="00B330FE">
        <w:rPr>
          <w:rFonts w:ascii="Calibri" w:eastAsia="Times New Roman" w:hAnsi="Calibri" w:cs="Times New Roman"/>
          <w:lang w:val="en-US" w:eastAsia="en-US"/>
        </w:rPr>
        <w:t xml:space="preserve">, </w:t>
      </w:r>
      <w:proofErr w:type="spellStart"/>
      <w:r w:rsidRPr="00B330FE">
        <w:rPr>
          <w:rFonts w:ascii="Calibri" w:eastAsia="Times New Roman" w:hAnsi="Calibri" w:cs="Times New Roman"/>
          <w:lang w:val="en-US" w:eastAsia="en-US"/>
        </w:rPr>
        <w:t>gliptin</w:t>
      </w:r>
      <w:proofErr w:type="spellEnd"/>
      <w:r w:rsidRPr="00B330FE">
        <w:rPr>
          <w:rFonts w:ascii="Calibri" w:eastAsia="Times New Roman" w:hAnsi="Calibri" w:cs="Times New Roman"/>
          <w:lang w:val="en-US" w:eastAsia="en-US"/>
        </w:rPr>
        <w:t xml:space="preserve"> or </w:t>
      </w:r>
      <w:proofErr w:type="spellStart"/>
      <w:r w:rsidRPr="00B330FE">
        <w:rPr>
          <w:rFonts w:ascii="Calibri" w:eastAsia="Times New Roman" w:hAnsi="Calibri" w:cs="Times New Roman"/>
          <w:lang w:val="en-US" w:eastAsia="en-US"/>
        </w:rPr>
        <w:t>exenatide</w:t>
      </w:r>
      <w:proofErr w:type="spellEnd"/>
      <w:r w:rsidRPr="00B330FE">
        <w:rPr>
          <w:rFonts w:ascii="Calibri" w:eastAsia="Times New Roman" w:hAnsi="Calibri" w:cs="Times New Roman"/>
          <w:lang w:val="en-US" w:eastAsia="en-US"/>
        </w:rPr>
        <w:t xml:space="preserve"> is actually dual therapy with metformin, where the metformin has been supplied on a private script and so not part of the PBS prescription data.</w:t>
      </w:r>
    </w:p>
    <w:p w:rsidR="00B330FE" w:rsidRPr="00B330FE" w:rsidRDefault="00B330FE" w:rsidP="00B330FE">
      <w:pPr>
        <w:numPr>
          <w:ilvl w:val="0"/>
          <w:numId w:val="22"/>
        </w:numPr>
        <w:spacing w:after="0"/>
        <w:contextualSpacing/>
        <w:rPr>
          <w:rFonts w:ascii="Calibri" w:eastAsia="Times New Roman" w:hAnsi="Calibri" w:cs="Times New Roman"/>
          <w:lang w:eastAsia="en-US"/>
        </w:rPr>
      </w:pPr>
      <w:r w:rsidRPr="00B330FE">
        <w:rPr>
          <w:rFonts w:ascii="Calibri" w:eastAsia="Times New Roman" w:hAnsi="Calibri" w:cs="Times New Roman"/>
          <w:lang w:val="en-US" w:eastAsia="en-US"/>
        </w:rPr>
        <w:t>There has been a global shortage of some metformin</w:t>
      </w:r>
      <w:r w:rsidRPr="00B330FE">
        <w:rPr>
          <w:rFonts w:ascii="Calibri" w:eastAsia="Times New Roman" w:hAnsi="Calibri" w:cs="Times New Roman"/>
          <w:lang w:eastAsia="en-US"/>
        </w:rPr>
        <w:t xml:space="preserve"> extended release tablet</w:t>
      </w:r>
      <w:r w:rsidRPr="00B330FE">
        <w:rPr>
          <w:rFonts w:ascii="Calibri" w:eastAsia="Times New Roman" w:hAnsi="Calibri" w:cs="Times New Roman"/>
          <w:lang w:val="en-US" w:eastAsia="en-US"/>
        </w:rPr>
        <w:t xml:space="preserve"> products. This was first reported by the TGA on 17 June 2016. This shortage is unlikely to have significantly affected this analysis as drug regimen results are only reported up until the end of July 2016 (based on date of supply). This shortage may need to be taken into account in future analyses of diabetes medicines.  </w:t>
      </w:r>
    </w:p>
    <w:p w:rsidR="00B330FE" w:rsidRPr="00B330FE" w:rsidRDefault="00B330FE" w:rsidP="00B330FE">
      <w:pPr>
        <w:numPr>
          <w:ilvl w:val="0"/>
          <w:numId w:val="22"/>
        </w:numPr>
        <w:spacing w:after="0"/>
        <w:contextualSpacing/>
        <w:rPr>
          <w:rFonts w:ascii="Calibri" w:eastAsia="Times New Roman" w:hAnsi="Calibri" w:cs="Times New Roman"/>
          <w:lang w:eastAsia="en-US"/>
        </w:rPr>
      </w:pPr>
      <w:r w:rsidRPr="00B330FE">
        <w:rPr>
          <w:rFonts w:ascii="Calibri" w:eastAsia="Times New Roman" w:hAnsi="Calibri" w:cs="Times New Roman"/>
          <w:lang w:eastAsia="en-US"/>
        </w:rPr>
        <w:t xml:space="preserve">Some patients were on metformin in an FDC product as well as in a plain product (e.g. see Figure 10, approximately 10% of patients on </w:t>
      </w:r>
      <w:proofErr w:type="spellStart"/>
      <w:r w:rsidRPr="00B330FE">
        <w:rPr>
          <w:rFonts w:ascii="Calibri" w:eastAsia="Times New Roman" w:hAnsi="Calibri" w:cs="Times New Roman"/>
          <w:lang w:eastAsia="en-US"/>
        </w:rPr>
        <w:t>gliptin</w:t>
      </w:r>
      <w:proofErr w:type="spellEnd"/>
      <w:r w:rsidRPr="00B330FE">
        <w:rPr>
          <w:rFonts w:ascii="Calibri" w:eastAsia="Times New Roman" w:hAnsi="Calibri" w:cs="Times New Roman"/>
          <w:lang w:eastAsia="en-US"/>
        </w:rPr>
        <w:t xml:space="preserve"> and metformin dual </w:t>
      </w:r>
      <w:proofErr w:type="gramStart"/>
      <w:r w:rsidRPr="00B330FE">
        <w:rPr>
          <w:rFonts w:ascii="Calibri" w:eastAsia="Times New Roman" w:hAnsi="Calibri" w:cs="Times New Roman"/>
          <w:lang w:eastAsia="en-US"/>
        </w:rPr>
        <w:t>therapy were</w:t>
      </w:r>
      <w:proofErr w:type="gramEnd"/>
      <w:r w:rsidRPr="00B330FE">
        <w:rPr>
          <w:rFonts w:ascii="Calibri" w:eastAsia="Times New Roman" w:hAnsi="Calibri" w:cs="Times New Roman"/>
          <w:lang w:eastAsia="en-US"/>
        </w:rPr>
        <w:t xml:space="preserve"> in this category). It is not possible to tell the proportion of these that were </w:t>
      </w:r>
      <w:r w:rsidRPr="00B330FE">
        <w:rPr>
          <w:rFonts w:ascii="Calibri" w:eastAsia="Times New Roman" w:hAnsi="Calibri" w:cs="Times New Roman"/>
          <w:lang w:eastAsia="en-US"/>
        </w:rPr>
        <w:lastRenderedPageBreak/>
        <w:t>intentional (to achieve the required metformin dose) or unintentional (i.e. an error of not ceasing the plain form when the FDC was added).</w:t>
      </w:r>
    </w:p>
    <w:p w:rsidR="00B330FE" w:rsidRPr="00B330FE" w:rsidRDefault="00B330FE" w:rsidP="00B330FE">
      <w:pPr>
        <w:tabs>
          <w:tab w:val="num" w:pos="720"/>
        </w:tabs>
        <w:spacing w:after="0"/>
        <w:rPr>
          <w:rFonts w:ascii="Calibri" w:eastAsia="Times New Roman" w:hAnsi="Calibri" w:cs="Calibri"/>
          <w:lang w:val="en-US" w:eastAsia="en-US"/>
        </w:rPr>
      </w:pPr>
    </w:p>
    <w:p w:rsidR="00B330FE" w:rsidRPr="00B330FE" w:rsidRDefault="00B330FE" w:rsidP="00B330FE">
      <w:pPr>
        <w:tabs>
          <w:tab w:val="num" w:pos="720"/>
        </w:tabs>
        <w:spacing w:after="0"/>
        <w:rPr>
          <w:rFonts w:ascii="Calibri" w:eastAsia="Times New Roman" w:hAnsi="Calibri" w:cs="Calibri"/>
          <w:lang w:eastAsia="en-US"/>
        </w:rPr>
      </w:pPr>
      <w:r w:rsidRPr="00B330FE">
        <w:rPr>
          <w:rFonts w:ascii="Calibri" w:eastAsia="Times New Roman" w:hAnsi="Calibri" w:cs="Calibri"/>
          <w:lang w:val="en-US" w:eastAsia="en-US"/>
        </w:rPr>
        <w:t xml:space="preserve">DUSC noted that </w:t>
      </w:r>
      <w:r w:rsidRPr="00B330FE">
        <w:rPr>
          <w:rFonts w:ascii="Calibri" w:eastAsia="Times New Roman" w:hAnsi="Calibri" w:cs="Calibri"/>
          <w:lang w:eastAsia="en-US"/>
        </w:rPr>
        <w:t xml:space="preserve">NPS MedicineWise diabetes program was launched July 2016. This was a multifaceted program with face-to-face visiting, print publications, online case studies and clinical audits. It focussed on the place of non-insulin blood glucose-lowering medicines, and in particular on second and third line therapy options. To date </w:t>
      </w:r>
      <w:r w:rsidR="004522B3">
        <w:rPr>
          <w:rFonts w:ascii="Calibri" w:eastAsia="Times New Roman" w:hAnsi="Calibri" w:cs="Calibri"/>
          <w:lang w:eastAsia="en-US"/>
        </w:rPr>
        <w:t>9,788</w:t>
      </w:r>
      <w:r w:rsidRPr="00B330FE">
        <w:rPr>
          <w:rFonts w:ascii="Calibri" w:eastAsia="Times New Roman" w:hAnsi="Calibri" w:cs="Calibri"/>
          <w:lang w:eastAsia="en-US"/>
        </w:rPr>
        <w:t xml:space="preserve"> GPs</w:t>
      </w:r>
      <w:bookmarkStart w:id="0" w:name="_GoBack"/>
      <w:bookmarkEnd w:id="0"/>
      <w:r w:rsidRPr="00B330FE">
        <w:rPr>
          <w:rFonts w:ascii="Calibri" w:eastAsia="Times New Roman" w:hAnsi="Calibri" w:cs="Calibri"/>
          <w:lang w:eastAsia="en-US"/>
        </w:rPr>
        <w:t xml:space="preserve">, </w:t>
      </w:r>
      <w:r w:rsidR="004522B3">
        <w:rPr>
          <w:rFonts w:ascii="Calibri" w:eastAsia="Times New Roman" w:hAnsi="Calibri" w:cs="Calibri"/>
          <w:lang w:eastAsia="en-US"/>
        </w:rPr>
        <w:t>1,211</w:t>
      </w:r>
      <w:r w:rsidRPr="00B330FE">
        <w:rPr>
          <w:rFonts w:ascii="Calibri" w:eastAsia="Times New Roman" w:hAnsi="Calibri" w:cs="Calibri"/>
          <w:lang w:eastAsia="en-US"/>
        </w:rPr>
        <w:t xml:space="preserve"> nurses and </w:t>
      </w:r>
      <w:r w:rsidR="004522B3">
        <w:rPr>
          <w:rFonts w:ascii="Calibri" w:eastAsia="Times New Roman" w:hAnsi="Calibri" w:cs="Calibri"/>
          <w:lang w:eastAsia="en-US"/>
        </w:rPr>
        <w:t>1,922</w:t>
      </w:r>
      <w:r w:rsidRPr="00B330FE">
        <w:rPr>
          <w:rFonts w:ascii="Calibri" w:eastAsia="Times New Roman" w:hAnsi="Calibri" w:cs="Calibri"/>
          <w:lang w:eastAsia="en-US"/>
        </w:rPr>
        <w:t xml:space="preserve"> pharmacists have participated in an activity.</w:t>
      </w:r>
    </w:p>
    <w:p w:rsidR="00B330FE" w:rsidRPr="00B330FE" w:rsidRDefault="00B330FE" w:rsidP="00B330FE">
      <w:pPr>
        <w:spacing w:after="0"/>
        <w:rPr>
          <w:rFonts w:ascii="Calibri" w:eastAsia="Times New Roman" w:hAnsi="Calibri" w:cs="Calibri"/>
          <w:lang w:val="en-US" w:eastAsia="en-US"/>
        </w:rPr>
      </w:pPr>
    </w:p>
    <w:p w:rsidR="00B330FE" w:rsidRPr="00B330FE" w:rsidRDefault="00B330FE" w:rsidP="00B330FE">
      <w:pPr>
        <w:spacing w:after="0"/>
        <w:rPr>
          <w:rFonts w:ascii="Calibri" w:eastAsia="Times New Roman" w:hAnsi="Calibri" w:cs="Calibri"/>
          <w:lang w:eastAsia="en-US"/>
        </w:rPr>
      </w:pPr>
      <w:r w:rsidRPr="00B330FE">
        <w:rPr>
          <w:rFonts w:ascii="Calibri" w:eastAsia="Times New Roman" w:hAnsi="Calibri" w:cs="Calibri"/>
          <w:lang w:eastAsia="en-US"/>
        </w:rPr>
        <w:t>DUSC noted that:</w:t>
      </w:r>
    </w:p>
    <w:p w:rsidR="00B330FE" w:rsidRPr="00B330FE" w:rsidRDefault="00B330FE" w:rsidP="00B330FE">
      <w:pPr>
        <w:numPr>
          <w:ilvl w:val="0"/>
          <w:numId w:val="23"/>
        </w:numPr>
        <w:spacing w:after="0"/>
        <w:contextualSpacing/>
        <w:rPr>
          <w:rFonts w:ascii="Calibri" w:eastAsia="Times New Roman" w:hAnsi="Calibri" w:cs="Times New Roman"/>
          <w:lang w:eastAsia="en-US"/>
        </w:rPr>
      </w:pPr>
      <w:r w:rsidRPr="00B330FE">
        <w:rPr>
          <w:rFonts w:ascii="Calibri" w:eastAsia="Times New Roman" w:hAnsi="Calibri" w:cs="Times New Roman"/>
          <w:lang w:val="en-US" w:eastAsia="en-US"/>
        </w:rPr>
        <w:t>Six sponsors provided feedback on the DUSC analysis, many highlighting that the majority of use is consistent with PBS restrictions. Reasons proposed by Sponsors  for use outside of restrictions were;</w:t>
      </w:r>
    </w:p>
    <w:p w:rsidR="00B330FE" w:rsidRPr="00B330FE" w:rsidRDefault="00B330FE" w:rsidP="00B330FE">
      <w:pPr>
        <w:numPr>
          <w:ilvl w:val="1"/>
          <w:numId w:val="23"/>
        </w:numPr>
        <w:spacing w:after="0"/>
        <w:ind w:left="567" w:hanging="283"/>
        <w:contextualSpacing/>
        <w:rPr>
          <w:rFonts w:ascii="Calibri" w:eastAsia="Times New Roman" w:hAnsi="Calibri" w:cs="Times New Roman"/>
          <w:lang w:val="en-US" w:eastAsia="en-US"/>
        </w:rPr>
      </w:pPr>
      <w:r w:rsidRPr="00B330FE">
        <w:rPr>
          <w:rFonts w:ascii="Calibri" w:eastAsia="Times New Roman" w:hAnsi="Calibri" w:cs="Times New Roman"/>
          <w:lang w:val="en-US" w:eastAsia="en-US"/>
        </w:rPr>
        <w:t>Complexity of the PBS restrictions.</w:t>
      </w:r>
      <w:r w:rsidRPr="00B330FE">
        <w:rPr>
          <w:rFonts w:ascii="Calibri" w:eastAsia="Times New Roman" w:hAnsi="Calibri" w:cs="Calibri"/>
          <w:lang w:val="en-US" w:eastAsia="en-US"/>
        </w:rPr>
        <w:t xml:space="preserve"> </w:t>
      </w:r>
      <w:r w:rsidRPr="00B330FE">
        <w:rPr>
          <w:rFonts w:ascii="Calibri" w:eastAsia="Times New Roman" w:hAnsi="Calibri" w:cs="Times New Roman"/>
          <w:lang w:val="en-US" w:eastAsia="en-US"/>
        </w:rPr>
        <w:t xml:space="preserve">One Sponsor suggested that the DUSC and PBAC may wish to consider simplification of the PBS restrictions for diabetes medicines, which could lead to a greater understanding by prescribers of PBS-listed treatment regimens. DUSC agreed that the restrictions were complex and recalled that this issue was raised during the Post-Market Review of Products Used in the Management of Diabetes. A suggestion at that time was the development of a flow chart of the PBS restrictions for type 2 diabetes medicines, similar to the General Statement for lipid lowering drugs, to reduce confusion. However, the establishment of a general statement is challenging because not all medicines in the same class have the same PBS listed indications. For example, not all </w:t>
      </w:r>
      <w:proofErr w:type="spellStart"/>
      <w:r w:rsidRPr="00B330FE">
        <w:rPr>
          <w:rFonts w:ascii="Calibri" w:eastAsia="Times New Roman" w:hAnsi="Calibri" w:cs="Times New Roman"/>
          <w:lang w:val="en-US" w:eastAsia="en-US"/>
        </w:rPr>
        <w:t>gliptins</w:t>
      </w:r>
      <w:proofErr w:type="spellEnd"/>
      <w:r w:rsidRPr="00B330FE">
        <w:rPr>
          <w:rFonts w:ascii="Calibri" w:eastAsia="Times New Roman" w:hAnsi="Calibri" w:cs="Times New Roman"/>
          <w:lang w:val="en-US" w:eastAsia="en-US"/>
        </w:rPr>
        <w:t xml:space="preserve"> are listed for triple therapy with metformin and a sulfonylurea, or for use with insulin. </w:t>
      </w:r>
    </w:p>
    <w:p w:rsidR="00B330FE" w:rsidRPr="00B330FE" w:rsidRDefault="00B330FE" w:rsidP="00B330FE">
      <w:pPr>
        <w:numPr>
          <w:ilvl w:val="1"/>
          <w:numId w:val="23"/>
        </w:numPr>
        <w:spacing w:after="0"/>
        <w:ind w:left="567" w:hanging="283"/>
        <w:contextualSpacing/>
        <w:rPr>
          <w:rFonts w:ascii="Calibri" w:eastAsia="Times New Roman" w:hAnsi="Calibri" w:cs="Times New Roman"/>
          <w:lang w:eastAsia="en-US"/>
        </w:rPr>
      </w:pPr>
      <w:r w:rsidRPr="00B330FE">
        <w:rPr>
          <w:rFonts w:ascii="Calibri" w:eastAsia="Times New Roman" w:hAnsi="Calibri" w:cs="Times New Roman"/>
          <w:lang w:val="en-US" w:eastAsia="en-US"/>
        </w:rPr>
        <w:t>That the</w:t>
      </w:r>
      <w:r w:rsidRPr="00B330FE">
        <w:rPr>
          <w:rFonts w:ascii="Calibri" w:eastAsia="Times New Roman" w:hAnsi="Calibri" w:cs="Times New Roman"/>
          <w:lang w:eastAsia="en-US"/>
        </w:rPr>
        <w:t xml:space="preserve"> Standard Coverage Days (SCDs) method used to distinguish between </w:t>
      </w:r>
      <w:proofErr w:type="gramStart"/>
      <w:r w:rsidRPr="00B330FE">
        <w:rPr>
          <w:rFonts w:ascii="Calibri" w:eastAsia="Times New Roman" w:hAnsi="Calibri" w:cs="Times New Roman"/>
          <w:lang w:eastAsia="en-US"/>
        </w:rPr>
        <w:t>an add</w:t>
      </w:r>
      <w:proofErr w:type="gramEnd"/>
      <w:r w:rsidRPr="00B330FE">
        <w:rPr>
          <w:rFonts w:ascii="Calibri" w:eastAsia="Times New Roman" w:hAnsi="Calibri" w:cs="Times New Roman"/>
          <w:lang w:eastAsia="en-US"/>
        </w:rPr>
        <w:t xml:space="preserve"> and a switch may overestimate use outside of restrictions. DUSC commented that the method used in the analysis to distinguish adds and switches requires that an apparent medication overlap period be chosen such that that the opposite errors of imputing an overlap in treatment when there was none (</w:t>
      </w:r>
      <w:proofErr w:type="spellStart"/>
      <w:r w:rsidRPr="00B330FE">
        <w:rPr>
          <w:rFonts w:ascii="Calibri" w:eastAsia="Times New Roman" w:hAnsi="Calibri" w:cs="Times New Roman"/>
          <w:lang w:eastAsia="en-US"/>
        </w:rPr>
        <w:t>ie</w:t>
      </w:r>
      <w:proofErr w:type="spellEnd"/>
      <w:r w:rsidRPr="00B330FE">
        <w:rPr>
          <w:rFonts w:ascii="Calibri" w:eastAsia="Times New Roman" w:hAnsi="Calibri" w:cs="Times New Roman"/>
          <w:lang w:eastAsia="en-US"/>
        </w:rPr>
        <w:t>. the patient actually switched) and not imputing is a period of overlapping treatment when there was one (</w:t>
      </w:r>
      <w:proofErr w:type="spellStart"/>
      <w:r w:rsidRPr="00B330FE">
        <w:rPr>
          <w:rFonts w:ascii="Calibri" w:eastAsia="Times New Roman" w:hAnsi="Calibri" w:cs="Times New Roman"/>
          <w:lang w:eastAsia="en-US"/>
        </w:rPr>
        <w:t>ie</w:t>
      </w:r>
      <w:proofErr w:type="spellEnd"/>
      <w:r w:rsidRPr="00B330FE">
        <w:rPr>
          <w:rFonts w:ascii="Calibri" w:eastAsia="Times New Roman" w:hAnsi="Calibri" w:cs="Times New Roman"/>
          <w:lang w:eastAsia="en-US"/>
        </w:rPr>
        <w:t xml:space="preserve">. the patient actually added a medication for a period of time) are approximately equal. Logic and experience has shown that an overlap period of less than one SCD of the prior drug (to define a switch) minimises and balances these errors and gives the least biased estimate. </w:t>
      </w:r>
    </w:p>
    <w:p w:rsidR="00B330FE" w:rsidRPr="00B330FE" w:rsidRDefault="00B330FE" w:rsidP="00B330FE">
      <w:pPr>
        <w:numPr>
          <w:ilvl w:val="1"/>
          <w:numId w:val="23"/>
        </w:numPr>
        <w:spacing w:after="0"/>
        <w:ind w:left="567" w:hanging="283"/>
        <w:contextualSpacing/>
        <w:rPr>
          <w:rFonts w:ascii="Calibri" w:eastAsia="Times New Roman" w:hAnsi="Calibri" w:cs="Times New Roman"/>
          <w:lang w:eastAsia="en-US"/>
        </w:rPr>
      </w:pPr>
      <w:r w:rsidRPr="00B330FE">
        <w:rPr>
          <w:rFonts w:ascii="Calibri" w:eastAsia="Times New Roman" w:hAnsi="Calibri" w:cs="Times New Roman"/>
          <w:lang w:eastAsia="en-US"/>
        </w:rPr>
        <w:t>Concern that some double counting may also lead to an overestimate. The report acknowledges in the footnote to Table 11 that “Some regimens are classified into more than one regimen group”. Thus if regimen groups are combined then the resulting measure is more accurately described as “instances of regimens being outside the PBS restrictions” rather than patients.</w:t>
      </w:r>
    </w:p>
    <w:p w:rsidR="00B330FE" w:rsidRPr="00B330FE" w:rsidRDefault="00B330FE" w:rsidP="00B330FE">
      <w:pPr>
        <w:numPr>
          <w:ilvl w:val="1"/>
          <w:numId w:val="23"/>
        </w:numPr>
        <w:spacing w:after="0"/>
        <w:ind w:left="567" w:hanging="283"/>
        <w:contextualSpacing/>
        <w:rPr>
          <w:rFonts w:ascii="Calibri" w:eastAsia="Times New Roman" w:hAnsi="Calibri" w:cs="Times New Roman"/>
          <w:lang w:eastAsia="en-US"/>
        </w:rPr>
      </w:pPr>
      <w:proofErr w:type="gramStart"/>
      <w:r w:rsidRPr="00B330FE">
        <w:rPr>
          <w:rFonts w:ascii="Calibri" w:eastAsia="Times New Roman" w:hAnsi="Calibri" w:cs="Times New Roman"/>
          <w:lang w:eastAsia="en-US"/>
        </w:rPr>
        <w:t>Use</w:t>
      </w:r>
      <w:proofErr w:type="gramEnd"/>
      <w:r w:rsidRPr="00B330FE">
        <w:rPr>
          <w:rFonts w:ascii="Calibri" w:eastAsia="Times New Roman" w:hAnsi="Calibri" w:cs="Times New Roman"/>
          <w:lang w:eastAsia="en-US"/>
        </w:rPr>
        <w:t xml:space="preserve"> of regimens that do not meet the PBS criteria demonstrate an unmet clinical need. </w:t>
      </w:r>
    </w:p>
    <w:p w:rsidR="00B330FE" w:rsidRPr="00B330FE" w:rsidRDefault="00B330FE" w:rsidP="00720B54">
      <w:pPr>
        <w:numPr>
          <w:ilvl w:val="2"/>
          <w:numId w:val="24"/>
        </w:numPr>
        <w:spacing w:after="0"/>
        <w:ind w:left="567" w:hanging="283"/>
        <w:contextualSpacing/>
        <w:rPr>
          <w:rFonts w:ascii="Calibri" w:eastAsia="Times New Roman" w:hAnsi="Calibri" w:cs="Times New Roman"/>
          <w:lang w:eastAsia="en-US"/>
        </w:rPr>
      </w:pPr>
      <w:r w:rsidRPr="00B330FE">
        <w:rPr>
          <w:rFonts w:ascii="Calibri" w:eastAsia="Times New Roman" w:hAnsi="Calibri" w:cs="Times New Roman"/>
          <w:lang w:eastAsia="en-US"/>
        </w:rPr>
        <w:t xml:space="preserve">Patients unable to use metformin or sulfonylurea may be using </w:t>
      </w:r>
      <w:proofErr w:type="spellStart"/>
      <w:r w:rsidRPr="00B330FE">
        <w:rPr>
          <w:rFonts w:ascii="Calibri" w:eastAsia="Times New Roman" w:hAnsi="Calibri" w:cs="Times New Roman"/>
          <w:lang w:eastAsia="en-US"/>
        </w:rPr>
        <w:t>gliptins</w:t>
      </w:r>
      <w:proofErr w:type="spellEnd"/>
      <w:r w:rsidRPr="00B330FE">
        <w:rPr>
          <w:rFonts w:ascii="Calibri" w:eastAsia="Times New Roman" w:hAnsi="Calibri" w:cs="Times New Roman"/>
          <w:lang w:eastAsia="en-US"/>
        </w:rPr>
        <w:t xml:space="preserve">, </w:t>
      </w:r>
      <w:proofErr w:type="spellStart"/>
      <w:r w:rsidRPr="00B330FE">
        <w:rPr>
          <w:rFonts w:ascii="Calibri" w:eastAsia="Times New Roman" w:hAnsi="Calibri" w:cs="Times New Roman"/>
          <w:lang w:eastAsia="en-US"/>
        </w:rPr>
        <w:t>flozins</w:t>
      </w:r>
      <w:proofErr w:type="spellEnd"/>
      <w:r w:rsidRPr="00B330FE">
        <w:rPr>
          <w:rFonts w:ascii="Calibri" w:eastAsia="Times New Roman" w:hAnsi="Calibri" w:cs="Times New Roman"/>
          <w:lang w:eastAsia="en-US"/>
        </w:rPr>
        <w:t xml:space="preserve"> or </w:t>
      </w:r>
      <w:proofErr w:type="spellStart"/>
      <w:r w:rsidRPr="00B330FE">
        <w:rPr>
          <w:rFonts w:ascii="Calibri" w:eastAsia="Times New Roman" w:hAnsi="Calibri" w:cs="Times New Roman"/>
          <w:lang w:eastAsia="en-US"/>
        </w:rPr>
        <w:t>exenatide</w:t>
      </w:r>
      <w:proofErr w:type="spellEnd"/>
      <w:r w:rsidRPr="00B330FE">
        <w:rPr>
          <w:rFonts w:ascii="Calibri" w:eastAsia="Times New Roman" w:hAnsi="Calibri" w:cs="Times New Roman"/>
          <w:lang w:eastAsia="en-US"/>
        </w:rPr>
        <w:t xml:space="preserve"> as </w:t>
      </w:r>
      <w:proofErr w:type="spellStart"/>
      <w:r w:rsidRPr="00B330FE">
        <w:rPr>
          <w:rFonts w:ascii="Calibri" w:eastAsia="Times New Roman" w:hAnsi="Calibri" w:cs="Times New Roman"/>
          <w:lang w:eastAsia="en-US"/>
        </w:rPr>
        <w:t>monotherapy</w:t>
      </w:r>
      <w:proofErr w:type="spellEnd"/>
      <w:r w:rsidRPr="00B330FE">
        <w:rPr>
          <w:rFonts w:ascii="Calibri" w:eastAsia="Times New Roman" w:hAnsi="Calibri" w:cs="Times New Roman"/>
          <w:lang w:eastAsia="en-US"/>
        </w:rPr>
        <w:t xml:space="preserve">. For example, dialysis patients with diabetes taking </w:t>
      </w:r>
      <w:proofErr w:type="spellStart"/>
      <w:r w:rsidRPr="00B330FE">
        <w:rPr>
          <w:rFonts w:ascii="Calibri" w:eastAsia="Times New Roman" w:hAnsi="Calibri" w:cs="Times New Roman"/>
          <w:lang w:eastAsia="en-US"/>
        </w:rPr>
        <w:t>gliptin</w:t>
      </w:r>
      <w:proofErr w:type="spellEnd"/>
      <w:r w:rsidRPr="00B330FE">
        <w:rPr>
          <w:rFonts w:ascii="Calibri" w:eastAsia="Times New Roman" w:hAnsi="Calibri" w:cs="Times New Roman"/>
          <w:lang w:eastAsia="en-US"/>
        </w:rPr>
        <w:t xml:space="preserve"> </w:t>
      </w:r>
      <w:proofErr w:type="spellStart"/>
      <w:r w:rsidRPr="00B330FE">
        <w:rPr>
          <w:rFonts w:ascii="Calibri" w:eastAsia="Times New Roman" w:hAnsi="Calibri" w:cs="Times New Roman"/>
          <w:lang w:eastAsia="en-US"/>
        </w:rPr>
        <w:t>monotherapy</w:t>
      </w:r>
      <w:proofErr w:type="spellEnd"/>
      <w:r w:rsidRPr="00B330FE">
        <w:rPr>
          <w:rFonts w:ascii="Calibri" w:eastAsia="Times New Roman" w:hAnsi="Calibri" w:cs="Times New Roman"/>
          <w:lang w:eastAsia="en-US"/>
        </w:rPr>
        <w:t>. DUSC noted that while this use may be clinically reasonable in these specific circumstances, this indication has not been considered by the PBAC for listing on the PBS.</w:t>
      </w:r>
    </w:p>
    <w:p w:rsidR="00B330FE" w:rsidRPr="00B330FE" w:rsidRDefault="00B330FE" w:rsidP="00720B54">
      <w:pPr>
        <w:numPr>
          <w:ilvl w:val="2"/>
          <w:numId w:val="24"/>
        </w:numPr>
        <w:spacing w:after="0"/>
        <w:ind w:left="567" w:hanging="283"/>
        <w:contextualSpacing/>
        <w:rPr>
          <w:rFonts w:ascii="Calibri" w:eastAsia="Times New Roman" w:hAnsi="Calibri" w:cs="Times New Roman"/>
          <w:lang w:eastAsia="en-US"/>
        </w:rPr>
      </w:pPr>
      <w:r w:rsidRPr="00B330FE">
        <w:rPr>
          <w:rFonts w:ascii="Calibri" w:eastAsia="Times New Roman" w:hAnsi="Calibri" w:cs="Times New Roman"/>
          <w:lang w:eastAsia="en-US"/>
        </w:rPr>
        <w:lastRenderedPageBreak/>
        <w:t xml:space="preserve">FDCs for </w:t>
      </w:r>
      <w:proofErr w:type="spellStart"/>
      <w:r w:rsidRPr="00B330FE">
        <w:rPr>
          <w:rFonts w:ascii="Calibri" w:eastAsia="Times New Roman" w:hAnsi="Calibri" w:cs="Times New Roman"/>
          <w:lang w:eastAsia="en-US"/>
        </w:rPr>
        <w:t>empagliflozin</w:t>
      </w:r>
      <w:proofErr w:type="spellEnd"/>
      <w:r w:rsidRPr="00B330FE">
        <w:rPr>
          <w:rFonts w:ascii="Calibri" w:eastAsia="Times New Roman" w:hAnsi="Calibri" w:cs="Times New Roman"/>
          <w:lang w:eastAsia="en-US"/>
        </w:rPr>
        <w:t xml:space="preserve"> with </w:t>
      </w:r>
      <w:proofErr w:type="spellStart"/>
      <w:r w:rsidRPr="00B330FE">
        <w:rPr>
          <w:rFonts w:ascii="Calibri" w:eastAsia="Times New Roman" w:hAnsi="Calibri" w:cs="Times New Roman"/>
          <w:lang w:eastAsia="en-US"/>
        </w:rPr>
        <w:t>linagliptin</w:t>
      </w:r>
      <w:proofErr w:type="spellEnd"/>
      <w:r w:rsidRPr="00B330FE">
        <w:rPr>
          <w:rFonts w:ascii="Calibri" w:eastAsia="Times New Roman" w:hAnsi="Calibri" w:cs="Times New Roman"/>
          <w:lang w:eastAsia="en-US"/>
        </w:rPr>
        <w:t xml:space="preserve"> and </w:t>
      </w:r>
      <w:proofErr w:type="spellStart"/>
      <w:r w:rsidRPr="00B330FE">
        <w:rPr>
          <w:rFonts w:ascii="Calibri" w:eastAsia="Times New Roman" w:hAnsi="Calibri" w:cs="Times New Roman"/>
          <w:lang w:eastAsia="en-US"/>
        </w:rPr>
        <w:t>dapagliflozin</w:t>
      </w:r>
      <w:proofErr w:type="spellEnd"/>
      <w:r w:rsidRPr="00B330FE">
        <w:rPr>
          <w:rFonts w:ascii="Calibri" w:eastAsia="Times New Roman" w:hAnsi="Calibri" w:cs="Times New Roman"/>
          <w:lang w:eastAsia="en-US"/>
        </w:rPr>
        <w:t xml:space="preserve"> with </w:t>
      </w:r>
      <w:proofErr w:type="spellStart"/>
      <w:r w:rsidRPr="00B330FE">
        <w:rPr>
          <w:rFonts w:ascii="Calibri" w:eastAsia="Times New Roman" w:hAnsi="Calibri" w:cs="Times New Roman"/>
          <w:lang w:eastAsia="en-US"/>
        </w:rPr>
        <w:t>saxagliptin</w:t>
      </w:r>
      <w:proofErr w:type="spellEnd"/>
      <w:r w:rsidRPr="00B330FE">
        <w:rPr>
          <w:rFonts w:ascii="Calibri" w:eastAsia="Times New Roman" w:hAnsi="Calibri" w:cs="Times New Roman"/>
          <w:lang w:eastAsia="en-US"/>
        </w:rPr>
        <w:t xml:space="preserve"> recently received TGA approval, and there is a submission to the March 2017 PBAC meeting for the listing of </w:t>
      </w:r>
      <w:proofErr w:type="spellStart"/>
      <w:r w:rsidRPr="00B330FE">
        <w:rPr>
          <w:rFonts w:ascii="Calibri" w:eastAsia="Times New Roman" w:hAnsi="Calibri" w:cs="Times New Roman"/>
          <w:lang w:eastAsia="en-US"/>
        </w:rPr>
        <w:t>empagliflozin</w:t>
      </w:r>
      <w:proofErr w:type="spellEnd"/>
      <w:r w:rsidRPr="00B330FE">
        <w:rPr>
          <w:rFonts w:ascii="Calibri" w:eastAsia="Times New Roman" w:hAnsi="Calibri" w:cs="Times New Roman"/>
          <w:lang w:eastAsia="en-US"/>
        </w:rPr>
        <w:t xml:space="preserve"> with </w:t>
      </w:r>
      <w:proofErr w:type="spellStart"/>
      <w:r w:rsidRPr="00B330FE">
        <w:rPr>
          <w:rFonts w:ascii="Calibri" w:eastAsia="Times New Roman" w:hAnsi="Calibri" w:cs="Times New Roman"/>
          <w:lang w:eastAsia="en-US"/>
        </w:rPr>
        <w:t>linagliptin</w:t>
      </w:r>
      <w:proofErr w:type="spellEnd"/>
      <w:r w:rsidRPr="00B330FE">
        <w:rPr>
          <w:rFonts w:ascii="Calibri" w:eastAsia="Times New Roman" w:hAnsi="Calibri" w:cs="Times New Roman"/>
          <w:lang w:eastAsia="en-US"/>
        </w:rPr>
        <w:t xml:space="preserve">. DUSC considered that there may be sound clinical reasons for the use of a </w:t>
      </w:r>
      <w:proofErr w:type="spellStart"/>
      <w:r w:rsidRPr="00B330FE">
        <w:rPr>
          <w:rFonts w:ascii="Calibri" w:eastAsia="Times New Roman" w:hAnsi="Calibri" w:cs="Times New Roman"/>
          <w:lang w:eastAsia="en-US"/>
        </w:rPr>
        <w:t>gliptin</w:t>
      </w:r>
      <w:proofErr w:type="spellEnd"/>
      <w:r w:rsidRPr="00B330FE">
        <w:rPr>
          <w:rFonts w:ascii="Calibri" w:eastAsia="Times New Roman" w:hAnsi="Calibri" w:cs="Times New Roman"/>
          <w:lang w:eastAsia="en-US"/>
        </w:rPr>
        <w:t xml:space="preserve"> and </w:t>
      </w:r>
      <w:proofErr w:type="spellStart"/>
      <w:r w:rsidRPr="00B330FE">
        <w:rPr>
          <w:rFonts w:ascii="Calibri" w:eastAsia="Times New Roman" w:hAnsi="Calibri" w:cs="Times New Roman"/>
          <w:lang w:eastAsia="en-US"/>
        </w:rPr>
        <w:t>flozin</w:t>
      </w:r>
      <w:proofErr w:type="spellEnd"/>
      <w:r w:rsidRPr="00B330FE">
        <w:rPr>
          <w:rFonts w:ascii="Calibri" w:eastAsia="Times New Roman" w:hAnsi="Calibri" w:cs="Times New Roman"/>
          <w:lang w:eastAsia="en-US"/>
        </w:rPr>
        <w:t xml:space="preserve"> in combination but this combination is not currently subsidised through the PBS.</w:t>
      </w:r>
    </w:p>
    <w:p w:rsidR="00B330FE" w:rsidRPr="00B330FE" w:rsidRDefault="00B330FE" w:rsidP="00B330FE">
      <w:pPr>
        <w:numPr>
          <w:ilvl w:val="0"/>
          <w:numId w:val="23"/>
        </w:numPr>
        <w:spacing w:after="0"/>
        <w:contextualSpacing/>
        <w:rPr>
          <w:rFonts w:ascii="Calibri" w:eastAsia="Times New Roman" w:hAnsi="Calibri" w:cs="Times New Roman"/>
          <w:lang w:eastAsia="en-US"/>
        </w:rPr>
      </w:pPr>
      <w:r w:rsidRPr="00B330FE">
        <w:rPr>
          <w:rFonts w:ascii="Calibri" w:eastAsia="Times New Roman" w:hAnsi="Calibri" w:cs="Times New Roman"/>
          <w:lang w:eastAsia="en-US"/>
        </w:rPr>
        <w:t>A Sponsor requested further data analysis to explore the details of the outside restriction regimens (</w:t>
      </w:r>
      <w:proofErr w:type="spellStart"/>
      <w:r w:rsidRPr="00B330FE">
        <w:rPr>
          <w:rFonts w:ascii="Calibri" w:eastAsia="Times New Roman" w:hAnsi="Calibri" w:cs="Times New Roman"/>
          <w:lang w:eastAsia="en-US"/>
        </w:rPr>
        <w:t>ie</w:t>
      </w:r>
      <w:proofErr w:type="spellEnd"/>
      <w:r w:rsidRPr="00B330FE">
        <w:rPr>
          <w:rFonts w:ascii="Calibri" w:eastAsia="Times New Roman" w:hAnsi="Calibri" w:cs="Times New Roman"/>
          <w:lang w:eastAsia="en-US"/>
        </w:rPr>
        <w:t>. patient demographics and comorbidities, prescriber type, level of kidney disease by linking to MBS items, temporal sequence for drugs in the regimens)  before referral of report to the PBAC. DUSC did not consider any additional analyses to be necessary at the current time.</w:t>
      </w:r>
    </w:p>
    <w:p w:rsidR="00B330FE" w:rsidRPr="00B330FE" w:rsidRDefault="00B330FE" w:rsidP="00B330FE">
      <w:pPr>
        <w:numPr>
          <w:ilvl w:val="0"/>
          <w:numId w:val="23"/>
        </w:numPr>
        <w:spacing w:after="0"/>
        <w:contextualSpacing/>
        <w:rPr>
          <w:rFonts w:ascii="Calibri" w:eastAsia="Times New Roman" w:hAnsi="Calibri" w:cs="Times New Roman"/>
          <w:lang w:eastAsia="en-US"/>
        </w:rPr>
      </w:pPr>
      <w:r w:rsidRPr="00B330FE">
        <w:rPr>
          <w:rFonts w:ascii="Calibri" w:eastAsia="Times New Roman" w:hAnsi="Calibri" w:cs="Times New Roman"/>
          <w:lang w:eastAsia="en-US"/>
        </w:rPr>
        <w:t>A Sponsor indicated they are willing to collaborate to provide education of prescribers</w:t>
      </w:r>
    </w:p>
    <w:p w:rsidR="00B330FE" w:rsidRPr="00B330FE" w:rsidRDefault="00B330FE" w:rsidP="00B330FE">
      <w:pPr>
        <w:spacing w:after="0"/>
        <w:rPr>
          <w:rFonts w:ascii="Calibri" w:eastAsia="Times New Roman" w:hAnsi="Calibri" w:cs="Calibri"/>
          <w:lang w:eastAsia="en-US"/>
        </w:rPr>
      </w:pPr>
    </w:p>
    <w:p w:rsidR="00B330FE" w:rsidRPr="00B330FE" w:rsidRDefault="00B330FE" w:rsidP="00B330FE">
      <w:pPr>
        <w:spacing w:after="0"/>
        <w:rPr>
          <w:rFonts w:ascii="Calibri" w:eastAsia="Times New Roman" w:hAnsi="Calibri" w:cs="Calibri"/>
          <w:b/>
          <w:lang w:eastAsia="en-US"/>
        </w:rPr>
      </w:pPr>
      <w:r w:rsidRPr="00B330FE">
        <w:rPr>
          <w:rFonts w:ascii="Calibri" w:eastAsia="Times New Roman" w:hAnsi="Calibri" w:cs="Calibri"/>
          <w:b/>
          <w:lang w:eastAsia="en-US"/>
        </w:rPr>
        <w:t>Conclusion</w:t>
      </w:r>
    </w:p>
    <w:p w:rsidR="00B330FE" w:rsidRPr="00B330FE" w:rsidRDefault="00B330FE" w:rsidP="00B330FE">
      <w:pPr>
        <w:spacing w:after="0"/>
        <w:rPr>
          <w:rFonts w:ascii="Calibri" w:eastAsia="Times New Roman" w:hAnsi="Calibri" w:cs="Calibri"/>
          <w:lang w:eastAsia="en-US"/>
        </w:rPr>
      </w:pPr>
      <w:r w:rsidRPr="00B330FE">
        <w:rPr>
          <w:rFonts w:ascii="Calibri" w:eastAsia="Times New Roman" w:hAnsi="Calibri" w:cs="Calibri"/>
          <w:lang w:eastAsia="en-US"/>
        </w:rPr>
        <w:t xml:space="preserve">Multiple changes have occurred since last DUSC review and the use of diabetes medicines continues to grow. DUSC considered the high use of metformin </w:t>
      </w:r>
      <w:proofErr w:type="spellStart"/>
      <w:r w:rsidRPr="00B330FE">
        <w:rPr>
          <w:rFonts w:ascii="Calibri" w:eastAsia="Times New Roman" w:hAnsi="Calibri" w:cs="Calibri"/>
          <w:lang w:eastAsia="en-US"/>
        </w:rPr>
        <w:t>monotherapy</w:t>
      </w:r>
      <w:proofErr w:type="spellEnd"/>
      <w:r w:rsidRPr="00B330FE">
        <w:rPr>
          <w:rFonts w:ascii="Calibri" w:eastAsia="Times New Roman" w:hAnsi="Calibri" w:cs="Calibri"/>
          <w:lang w:eastAsia="en-US"/>
        </w:rPr>
        <w:t xml:space="preserve"> to be reassuring and reflects its place in guidelines as first line therapy. The use of </w:t>
      </w:r>
      <w:proofErr w:type="spellStart"/>
      <w:r w:rsidRPr="00B330FE">
        <w:rPr>
          <w:rFonts w:ascii="Calibri" w:eastAsia="Times New Roman" w:hAnsi="Calibri" w:cs="Calibri"/>
          <w:lang w:eastAsia="en-US"/>
        </w:rPr>
        <w:t>flozins</w:t>
      </w:r>
      <w:proofErr w:type="spellEnd"/>
      <w:r w:rsidRPr="00B330FE">
        <w:rPr>
          <w:rFonts w:ascii="Calibri" w:eastAsia="Times New Roman" w:hAnsi="Calibri" w:cs="Calibri"/>
          <w:lang w:eastAsia="en-US"/>
        </w:rPr>
        <w:t xml:space="preserve"> and </w:t>
      </w:r>
      <w:proofErr w:type="spellStart"/>
      <w:r w:rsidRPr="00B330FE">
        <w:rPr>
          <w:rFonts w:ascii="Calibri" w:eastAsia="Times New Roman" w:hAnsi="Calibri" w:cs="Calibri"/>
          <w:lang w:eastAsia="en-US"/>
        </w:rPr>
        <w:t>gliptins</w:t>
      </w:r>
      <w:proofErr w:type="spellEnd"/>
      <w:r w:rsidRPr="00B330FE">
        <w:rPr>
          <w:rFonts w:ascii="Calibri" w:eastAsia="Times New Roman" w:hAnsi="Calibri" w:cs="Calibri"/>
          <w:lang w:eastAsia="en-US"/>
        </w:rPr>
        <w:t xml:space="preserve"> are increasing. Overall use of diabetes medicines appears generally within PBS restrictions. There is some concern about use outside of restrictions, such as possible use of </w:t>
      </w:r>
      <w:proofErr w:type="spellStart"/>
      <w:r w:rsidRPr="00B330FE">
        <w:rPr>
          <w:rFonts w:ascii="Calibri" w:eastAsia="Times New Roman" w:hAnsi="Calibri" w:cs="Calibri"/>
          <w:lang w:eastAsia="en-US"/>
        </w:rPr>
        <w:t>flozins</w:t>
      </w:r>
      <w:proofErr w:type="spellEnd"/>
      <w:r w:rsidRPr="00B330FE">
        <w:rPr>
          <w:rFonts w:ascii="Calibri" w:eastAsia="Times New Roman" w:hAnsi="Calibri" w:cs="Calibri"/>
          <w:lang w:eastAsia="en-US"/>
        </w:rPr>
        <w:t xml:space="preserve">, </w:t>
      </w:r>
      <w:proofErr w:type="spellStart"/>
      <w:r w:rsidRPr="00B330FE">
        <w:rPr>
          <w:rFonts w:ascii="Calibri" w:eastAsia="Times New Roman" w:hAnsi="Calibri" w:cs="Calibri"/>
          <w:lang w:eastAsia="en-US"/>
        </w:rPr>
        <w:t>gliptins</w:t>
      </w:r>
      <w:proofErr w:type="spellEnd"/>
      <w:r w:rsidRPr="00B330FE">
        <w:rPr>
          <w:rFonts w:ascii="Calibri" w:eastAsia="Times New Roman" w:hAnsi="Calibri" w:cs="Calibri"/>
          <w:lang w:eastAsia="en-US"/>
        </w:rPr>
        <w:t xml:space="preserve"> or </w:t>
      </w:r>
      <w:proofErr w:type="spellStart"/>
      <w:r w:rsidRPr="00B330FE">
        <w:rPr>
          <w:rFonts w:ascii="Calibri" w:eastAsia="Times New Roman" w:hAnsi="Calibri" w:cs="Calibri"/>
          <w:lang w:eastAsia="en-US"/>
        </w:rPr>
        <w:t>exenatide</w:t>
      </w:r>
      <w:proofErr w:type="spellEnd"/>
      <w:r w:rsidRPr="00B330FE">
        <w:rPr>
          <w:rFonts w:ascii="Calibri" w:eastAsia="Times New Roman" w:hAnsi="Calibri" w:cs="Calibri"/>
          <w:lang w:eastAsia="en-US"/>
        </w:rPr>
        <w:t xml:space="preserve"> as </w:t>
      </w:r>
      <w:proofErr w:type="spellStart"/>
      <w:r w:rsidRPr="00B330FE">
        <w:rPr>
          <w:rFonts w:ascii="Calibri" w:eastAsia="Times New Roman" w:hAnsi="Calibri" w:cs="Calibri"/>
          <w:lang w:eastAsia="en-US"/>
        </w:rPr>
        <w:t>monotherapy</w:t>
      </w:r>
      <w:proofErr w:type="spellEnd"/>
      <w:r w:rsidRPr="00B330FE">
        <w:rPr>
          <w:rFonts w:ascii="Calibri" w:eastAsia="Times New Roman" w:hAnsi="Calibri" w:cs="Calibri"/>
          <w:lang w:eastAsia="en-US"/>
        </w:rPr>
        <w:t xml:space="preserve"> and regimens containing combinations of </w:t>
      </w:r>
      <w:proofErr w:type="spellStart"/>
      <w:r w:rsidRPr="00B330FE">
        <w:rPr>
          <w:rFonts w:ascii="Calibri" w:eastAsia="Times New Roman" w:hAnsi="Calibri" w:cs="Calibri"/>
          <w:lang w:eastAsia="en-US"/>
        </w:rPr>
        <w:t>flozins</w:t>
      </w:r>
      <w:proofErr w:type="spellEnd"/>
      <w:r w:rsidRPr="00B330FE">
        <w:rPr>
          <w:rFonts w:ascii="Calibri" w:eastAsia="Times New Roman" w:hAnsi="Calibri" w:cs="Calibri"/>
          <w:lang w:eastAsia="en-US"/>
        </w:rPr>
        <w:t xml:space="preserve">, </w:t>
      </w:r>
      <w:proofErr w:type="spellStart"/>
      <w:r w:rsidRPr="00B330FE">
        <w:rPr>
          <w:rFonts w:ascii="Calibri" w:eastAsia="Times New Roman" w:hAnsi="Calibri" w:cs="Calibri"/>
          <w:lang w:eastAsia="en-US"/>
        </w:rPr>
        <w:t>gliptins</w:t>
      </w:r>
      <w:proofErr w:type="spellEnd"/>
      <w:r w:rsidRPr="00B330FE">
        <w:rPr>
          <w:rFonts w:ascii="Calibri" w:eastAsia="Times New Roman" w:hAnsi="Calibri" w:cs="Calibri"/>
          <w:lang w:eastAsia="en-US"/>
        </w:rPr>
        <w:t xml:space="preserve"> and/or </w:t>
      </w:r>
      <w:proofErr w:type="spellStart"/>
      <w:r w:rsidRPr="00B330FE">
        <w:rPr>
          <w:rFonts w:ascii="Calibri" w:eastAsia="Times New Roman" w:hAnsi="Calibri" w:cs="Calibri"/>
          <w:lang w:eastAsia="en-US"/>
        </w:rPr>
        <w:t>exenatide</w:t>
      </w:r>
      <w:proofErr w:type="spellEnd"/>
      <w:r w:rsidRPr="00B330FE">
        <w:rPr>
          <w:rFonts w:ascii="Calibri" w:eastAsia="Times New Roman" w:hAnsi="Calibri" w:cs="Calibri"/>
          <w:lang w:eastAsia="en-US"/>
        </w:rPr>
        <w:t xml:space="preserve">. An application to list the combination of </w:t>
      </w:r>
      <w:proofErr w:type="spellStart"/>
      <w:r w:rsidRPr="00B330FE">
        <w:rPr>
          <w:rFonts w:ascii="Calibri" w:eastAsia="Times New Roman" w:hAnsi="Calibri" w:cs="Calibri"/>
          <w:lang w:eastAsia="en-US"/>
        </w:rPr>
        <w:t>empagliflozin</w:t>
      </w:r>
      <w:proofErr w:type="spellEnd"/>
      <w:r w:rsidRPr="00B330FE">
        <w:rPr>
          <w:rFonts w:ascii="Calibri" w:eastAsia="Times New Roman" w:hAnsi="Calibri" w:cs="Calibri"/>
          <w:lang w:eastAsia="en-US"/>
        </w:rPr>
        <w:t xml:space="preserve"> and </w:t>
      </w:r>
      <w:proofErr w:type="spellStart"/>
      <w:r w:rsidRPr="00B330FE">
        <w:rPr>
          <w:rFonts w:ascii="Calibri" w:eastAsia="Times New Roman" w:hAnsi="Calibri" w:cs="Calibri"/>
          <w:lang w:eastAsia="en-US"/>
        </w:rPr>
        <w:t>linagliptin</w:t>
      </w:r>
      <w:proofErr w:type="spellEnd"/>
      <w:r w:rsidRPr="00B330FE">
        <w:rPr>
          <w:rFonts w:ascii="Calibri" w:eastAsia="Times New Roman" w:hAnsi="Calibri" w:cs="Calibri"/>
          <w:lang w:eastAsia="en-US"/>
        </w:rPr>
        <w:t xml:space="preserve"> on the PBS will be considered by the PBAC at the March 2017 meeting. If successful this may partly address the latter concern.</w:t>
      </w:r>
    </w:p>
    <w:p w:rsidR="006A4C8F" w:rsidRPr="001F7271" w:rsidRDefault="006A4C8F" w:rsidP="006A4C8F">
      <w:pPr>
        <w:rPr>
          <w:b/>
        </w:rPr>
      </w:pPr>
    </w:p>
    <w:p w:rsidR="006A4C8F" w:rsidRPr="00EC35C8" w:rsidRDefault="006A4C8F" w:rsidP="006A4C8F">
      <w:pPr>
        <w:rPr>
          <w:b/>
          <w:sz w:val="32"/>
          <w:szCs w:val="32"/>
        </w:rPr>
      </w:pPr>
      <w:r>
        <w:rPr>
          <w:b/>
          <w:sz w:val="32"/>
          <w:szCs w:val="32"/>
        </w:rPr>
        <w:t>DUSC actions</w:t>
      </w:r>
    </w:p>
    <w:p w:rsidR="006A4C8F" w:rsidRPr="00EC35C8" w:rsidRDefault="006A4C8F" w:rsidP="006A4C8F">
      <w:r>
        <w:t>A copy of this report was provided to the sponsors of diabetes medicines.</w:t>
      </w:r>
    </w:p>
    <w:p w:rsidR="006A4C8F" w:rsidRPr="001F7271" w:rsidRDefault="006A4C8F" w:rsidP="006A4C8F">
      <w:pPr>
        <w:keepNext/>
        <w:keepLines/>
        <w:spacing w:before="480" w:after="240"/>
        <w:outlineLvl w:val="0"/>
        <w:rPr>
          <w:rFonts w:ascii="Calibri" w:eastAsia="MS Gothic" w:hAnsi="Calibri" w:cs="Times New Roman"/>
          <w:b/>
          <w:bCs/>
          <w:sz w:val="32"/>
          <w:szCs w:val="32"/>
        </w:rPr>
      </w:pPr>
      <w:r w:rsidRPr="001F7271">
        <w:rPr>
          <w:rFonts w:ascii="Calibri" w:eastAsia="MS Gothic" w:hAnsi="Calibri" w:cs="Times New Roman"/>
          <w:b/>
          <w:bCs/>
          <w:sz w:val="32"/>
          <w:szCs w:val="32"/>
        </w:rPr>
        <w:t>Context for analysis</w:t>
      </w:r>
    </w:p>
    <w:p w:rsidR="006A4C8F" w:rsidRPr="001F7271" w:rsidRDefault="006A4C8F" w:rsidP="006A4C8F">
      <w:pPr>
        <w:rPr>
          <w:rFonts w:ascii="Calibri" w:eastAsia="MS Mincho" w:hAnsi="Calibri" w:cs="Times New Roman"/>
        </w:rPr>
      </w:pPr>
      <w:r w:rsidRPr="001F7271">
        <w:rPr>
          <w:rFonts w:ascii="Calibri" w:eastAsia="MS Mincho" w:hAnsi="Calibri" w:cs="Times New Roman"/>
        </w:rPr>
        <w:t>The DUSC is a Sub Committee of the Pharmaceutical Benefits Advisory Committee (PBAC). The DUSC assesses estimates on projected usage and financial cost of medicines.</w:t>
      </w:r>
    </w:p>
    <w:p w:rsidR="006A4C8F" w:rsidRPr="001F7271" w:rsidRDefault="006A4C8F" w:rsidP="006A4C8F">
      <w:pPr>
        <w:rPr>
          <w:rFonts w:ascii="Calibri" w:eastAsia="MS Mincho" w:hAnsi="Calibri" w:cs="Times New Roman"/>
        </w:rPr>
      </w:pPr>
      <w:r w:rsidRPr="001F7271">
        <w:rPr>
          <w:rFonts w:ascii="Calibri" w:eastAsia="MS Mincho" w:hAnsi="Calibri" w:cs="Times New Roman"/>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6A4C8F" w:rsidRPr="001F7271" w:rsidRDefault="006A4C8F" w:rsidP="006A4C8F">
      <w:pPr>
        <w:rPr>
          <w:rFonts w:ascii="Calibri" w:eastAsia="MS Mincho" w:hAnsi="Calibri" w:cs="Times New Roman"/>
        </w:rPr>
      </w:pPr>
      <w:r w:rsidRPr="001F7271">
        <w:rPr>
          <w:rFonts w:ascii="Calibri" w:eastAsia="MS Mincho" w:hAnsi="Calibri" w:cs="Times New Roman"/>
        </w:rP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6A4C8F" w:rsidRPr="001F7271" w:rsidRDefault="006A4C8F" w:rsidP="006A4C8F">
      <w:pPr>
        <w:rPr>
          <w:rFonts w:ascii="Calibri" w:eastAsia="MS Mincho" w:hAnsi="Calibri" w:cs="Times New Roman"/>
        </w:rPr>
      </w:pPr>
      <w:r w:rsidRPr="001F7271">
        <w:rPr>
          <w:rFonts w:ascii="Calibri" w:eastAsia="MS Mincho" w:hAnsi="Calibri" w:cs="Times New Roman"/>
        </w:rPr>
        <w:t>The utilisation analysis report was provided to the pharmaceutical sponsors of each drug and comments on the report were provided to DUSC prior to its consideration of the analysis.</w:t>
      </w:r>
    </w:p>
    <w:p w:rsidR="006A4C8F" w:rsidRDefault="006A4C8F" w:rsidP="006A4C8F">
      <w:pPr>
        <w:keepNext/>
        <w:keepLines/>
        <w:spacing w:before="480" w:after="240"/>
        <w:outlineLvl w:val="0"/>
        <w:rPr>
          <w:rFonts w:ascii="Calibri" w:eastAsia="MS Gothic" w:hAnsi="Calibri" w:cs="Times New Roman"/>
          <w:b/>
          <w:bCs/>
          <w:sz w:val="32"/>
          <w:szCs w:val="32"/>
        </w:rPr>
      </w:pPr>
      <w:r w:rsidRPr="001B679D">
        <w:rPr>
          <w:rFonts w:ascii="Calibri" w:eastAsia="MS Gothic" w:hAnsi="Calibri" w:cs="Times New Roman"/>
          <w:b/>
          <w:bCs/>
          <w:sz w:val="32"/>
          <w:szCs w:val="32"/>
        </w:rPr>
        <w:lastRenderedPageBreak/>
        <w:t>Sponsors’ comments</w:t>
      </w:r>
    </w:p>
    <w:p w:rsidR="00E7171F" w:rsidRDefault="00E7171F" w:rsidP="001B679D">
      <w:pPr>
        <w:keepNext/>
        <w:keepLines/>
        <w:spacing w:after="240"/>
        <w:outlineLvl w:val="0"/>
        <w:rPr>
          <w:rFonts w:ascii="Calibri" w:eastAsia="MS Gothic" w:hAnsi="Calibri" w:cs="Times New Roman"/>
          <w:bCs/>
        </w:rPr>
      </w:pPr>
      <w:r>
        <w:rPr>
          <w:rFonts w:ascii="Calibri" w:eastAsia="MS Gothic" w:hAnsi="Calibri" w:cs="Times New Roman"/>
          <w:bCs/>
        </w:rPr>
        <w:t xml:space="preserve">AstraZeneca: </w:t>
      </w:r>
      <w:r w:rsidRPr="00E7171F">
        <w:rPr>
          <w:rFonts w:ascii="Calibri" w:eastAsia="MS Gothic" w:hAnsi="Calibri" w:cs="Times New Roman"/>
          <w:bCs/>
        </w:rPr>
        <w:t>The DUSC report highlights that the majority of diabetes medicines are prescribed in accordance with their PBS</w:t>
      </w:r>
      <w:r>
        <w:rPr>
          <w:rFonts w:ascii="Calibri" w:eastAsia="MS Gothic" w:hAnsi="Calibri" w:cs="Times New Roman"/>
          <w:bCs/>
        </w:rPr>
        <w:t xml:space="preserve"> </w:t>
      </w:r>
      <w:r w:rsidRPr="00E7171F">
        <w:rPr>
          <w:rFonts w:ascii="Calibri" w:eastAsia="MS Gothic" w:hAnsi="Calibri" w:cs="Times New Roman"/>
          <w:bCs/>
        </w:rPr>
        <w:t xml:space="preserve">listings. A small number of </w:t>
      </w:r>
      <w:proofErr w:type="gramStart"/>
      <w:r w:rsidRPr="00E7171F">
        <w:rPr>
          <w:rFonts w:ascii="Calibri" w:eastAsia="MS Gothic" w:hAnsi="Calibri" w:cs="Times New Roman"/>
          <w:bCs/>
        </w:rPr>
        <w:t>patient</w:t>
      </w:r>
      <w:proofErr w:type="gramEnd"/>
      <w:r w:rsidRPr="00E7171F">
        <w:rPr>
          <w:rFonts w:ascii="Calibri" w:eastAsia="MS Gothic" w:hAnsi="Calibri" w:cs="Times New Roman"/>
          <w:bCs/>
        </w:rPr>
        <w:t xml:space="preserve"> are receiving apparent off</w:t>
      </w:r>
      <w:r w:rsidRPr="00E7171F">
        <w:rPr>
          <w:rFonts w:ascii="Calibri" w:eastAsia="MS Gothic" w:hAnsi="Calibri" w:cs="Times New Roman"/>
          <w:bCs/>
        </w:rPr>
        <w:noBreakHyphen/>
        <w:t xml:space="preserve">restriction usage (e.g. </w:t>
      </w:r>
      <w:proofErr w:type="spellStart"/>
      <w:r w:rsidRPr="00E7171F">
        <w:rPr>
          <w:rFonts w:ascii="Calibri" w:eastAsia="MS Gothic" w:hAnsi="Calibri" w:cs="Times New Roman"/>
          <w:bCs/>
        </w:rPr>
        <w:t>flozins</w:t>
      </w:r>
      <w:proofErr w:type="spellEnd"/>
      <w:r w:rsidRPr="00E7171F">
        <w:rPr>
          <w:rFonts w:ascii="Calibri" w:eastAsia="MS Gothic" w:hAnsi="Calibri" w:cs="Times New Roman"/>
          <w:bCs/>
        </w:rPr>
        <w:t xml:space="preserve"> and </w:t>
      </w:r>
      <w:proofErr w:type="spellStart"/>
      <w:r w:rsidRPr="00E7171F">
        <w:rPr>
          <w:rFonts w:ascii="Calibri" w:eastAsia="MS Gothic" w:hAnsi="Calibri" w:cs="Times New Roman"/>
          <w:bCs/>
        </w:rPr>
        <w:t>gliptins</w:t>
      </w:r>
      <w:proofErr w:type="spellEnd"/>
      <w:r w:rsidRPr="00E7171F">
        <w:rPr>
          <w:rFonts w:ascii="Calibri" w:eastAsia="MS Gothic" w:hAnsi="Calibri" w:cs="Times New Roman"/>
          <w:bCs/>
        </w:rPr>
        <w:t xml:space="preserve"> together). This indicates a strong clinical need.</w:t>
      </w:r>
    </w:p>
    <w:p w:rsidR="00E7171F" w:rsidRPr="00E7171F" w:rsidRDefault="001B679D" w:rsidP="006A4C8F">
      <w:pPr>
        <w:keepNext/>
        <w:keepLines/>
        <w:spacing w:before="480" w:after="240"/>
        <w:outlineLvl w:val="0"/>
        <w:rPr>
          <w:rFonts w:ascii="Calibri" w:eastAsia="MS Gothic" w:hAnsi="Calibri" w:cs="Times New Roman"/>
          <w:bCs/>
        </w:rPr>
      </w:pPr>
      <w:r>
        <w:rPr>
          <w:rFonts w:ascii="Calibri" w:eastAsia="MS Gothic" w:hAnsi="Calibri" w:cs="Times New Roman"/>
          <w:bCs/>
        </w:rPr>
        <w:t>Other sponsors: no comments received.</w:t>
      </w:r>
    </w:p>
    <w:p w:rsidR="006A4C8F" w:rsidRPr="001F7271" w:rsidRDefault="006A4C8F" w:rsidP="006A4C8F">
      <w:pPr>
        <w:keepNext/>
        <w:keepLines/>
        <w:spacing w:before="480" w:after="240"/>
        <w:outlineLvl w:val="0"/>
        <w:rPr>
          <w:rFonts w:ascii="Calibri" w:eastAsia="MS Gothic" w:hAnsi="Calibri" w:cs="Times New Roman"/>
          <w:b/>
          <w:bCs/>
          <w:sz w:val="32"/>
          <w:szCs w:val="32"/>
        </w:rPr>
      </w:pPr>
      <w:r w:rsidRPr="001F7271">
        <w:rPr>
          <w:rFonts w:ascii="Calibri" w:eastAsia="MS Gothic" w:hAnsi="Calibri" w:cs="Times New Roman"/>
          <w:b/>
          <w:bCs/>
          <w:sz w:val="32"/>
          <w:szCs w:val="32"/>
        </w:rPr>
        <w:t>Disclaimer</w:t>
      </w:r>
    </w:p>
    <w:p w:rsidR="006A4C8F" w:rsidRPr="001F7271" w:rsidRDefault="006A4C8F" w:rsidP="006A4C8F">
      <w:pPr>
        <w:rPr>
          <w:rFonts w:ascii="Calibri" w:eastAsia="MS Mincho" w:hAnsi="Calibri" w:cs="Times New Roman"/>
        </w:rPr>
      </w:pPr>
      <w:r w:rsidRPr="001F7271">
        <w:rPr>
          <w:rFonts w:ascii="Calibri" w:eastAsia="MS Mincho" w:hAnsi="Calibri" w:cs="Times New Roman"/>
        </w:rP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6A4C8F" w:rsidRPr="001F7271" w:rsidRDefault="006A4C8F" w:rsidP="006A4C8F">
      <w:pPr>
        <w:rPr>
          <w:rFonts w:ascii="Calibri" w:eastAsia="MS Mincho" w:hAnsi="Calibri" w:cs="Times New Roman"/>
        </w:rPr>
      </w:pPr>
      <w:r w:rsidRPr="001F7271">
        <w:rPr>
          <w:rFonts w:ascii="Calibri" w:eastAsia="MS Mincho" w:hAnsi="Calibri" w:cs="Times New Roman"/>
        </w:rPr>
        <w:t>The Department of Health (</w:t>
      </w:r>
      <w:proofErr w:type="spellStart"/>
      <w:r w:rsidRPr="001F7271">
        <w:rPr>
          <w:rFonts w:ascii="Calibri" w:eastAsia="MS Mincho" w:hAnsi="Calibri" w:cs="Times New Roman"/>
        </w:rPr>
        <w:t>DoH</w:t>
      </w:r>
      <w:proofErr w:type="spellEnd"/>
      <w:r w:rsidRPr="001F7271">
        <w:rPr>
          <w:rFonts w:ascii="Calibri" w:eastAsia="MS Mincho" w:hAnsi="Calibri" w:cs="Times New Roman"/>
        </w:rP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6A4C8F" w:rsidRPr="001F7271" w:rsidRDefault="006A4C8F" w:rsidP="006A4C8F">
      <w:pPr>
        <w:rPr>
          <w:rFonts w:ascii="Calibri" w:eastAsia="MS Mincho" w:hAnsi="Calibri" w:cs="Times New Roman"/>
        </w:rPr>
      </w:pPr>
      <w:r w:rsidRPr="001F7271">
        <w:rPr>
          <w:rFonts w:ascii="Calibri" w:eastAsia="MS Mincho" w:hAnsi="Calibri" w:cs="Times New Roman"/>
        </w:rPr>
        <w:t xml:space="preserve">To the extent provided by law, </w:t>
      </w:r>
      <w:proofErr w:type="spellStart"/>
      <w:r w:rsidRPr="001F7271">
        <w:rPr>
          <w:rFonts w:ascii="Calibri" w:eastAsia="MS Mincho" w:hAnsi="Calibri" w:cs="Times New Roman"/>
        </w:rPr>
        <w:t>DoH</w:t>
      </w:r>
      <w:proofErr w:type="spellEnd"/>
      <w:r w:rsidRPr="001F7271">
        <w:rPr>
          <w:rFonts w:ascii="Calibri" w:eastAsia="MS Mincho" w:hAnsi="Calibri" w:cs="Times New Roman"/>
        </w:rPr>
        <w:t xml:space="preserve"> makes no warranties or representations as to accuracy or completeness of information contained in this report. </w:t>
      </w:r>
    </w:p>
    <w:p w:rsidR="006A4C8F" w:rsidRPr="001F7271" w:rsidRDefault="006A4C8F" w:rsidP="006A4C8F">
      <w:pPr>
        <w:rPr>
          <w:rFonts w:ascii="Calibri" w:eastAsia="MS Mincho" w:hAnsi="Calibri" w:cs="Times New Roman"/>
        </w:rPr>
      </w:pPr>
      <w:r w:rsidRPr="001F7271">
        <w:rPr>
          <w:rFonts w:ascii="Calibri" w:eastAsia="MS Mincho" w:hAnsi="Calibri" w:cs="Times New Roman"/>
        </w:rPr>
        <w:t xml:space="preserve">To the fullest extent permitted by law, neither the </w:t>
      </w:r>
      <w:proofErr w:type="spellStart"/>
      <w:r w:rsidRPr="001F7271">
        <w:rPr>
          <w:rFonts w:ascii="Calibri" w:eastAsia="MS Mincho" w:hAnsi="Calibri" w:cs="Times New Roman"/>
        </w:rPr>
        <w:t>DoH</w:t>
      </w:r>
      <w:proofErr w:type="spellEnd"/>
      <w:r w:rsidRPr="001F7271">
        <w:rPr>
          <w:rFonts w:ascii="Calibri" w:eastAsia="MS Mincho" w:hAnsi="Calibri" w:cs="Times New Roman"/>
        </w:rPr>
        <w:t xml:space="preserve"> nor any </w:t>
      </w:r>
      <w:proofErr w:type="spellStart"/>
      <w:r w:rsidRPr="001F7271">
        <w:rPr>
          <w:rFonts w:ascii="Calibri" w:eastAsia="MS Mincho" w:hAnsi="Calibri" w:cs="Times New Roman"/>
        </w:rPr>
        <w:t>DoH</w:t>
      </w:r>
      <w:proofErr w:type="spellEnd"/>
      <w:r w:rsidRPr="001F7271">
        <w:rPr>
          <w:rFonts w:ascii="Calibri" w:eastAsia="MS Mincho" w:hAnsi="Calibri" w:cs="Times New Roman"/>
        </w:rP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6A4C8F" w:rsidRDefault="006A4C8F" w:rsidP="006A4C8F"/>
    <w:p w:rsidR="006A4C8F" w:rsidRDefault="006A4C8F">
      <w:pPr>
        <w:spacing w:line="276" w:lineRule="auto"/>
        <w:rPr>
          <w:b/>
          <w:sz w:val="32"/>
          <w:szCs w:val="32"/>
        </w:rPr>
      </w:pPr>
      <w:r>
        <w:rPr>
          <w:b/>
          <w:sz w:val="32"/>
          <w:szCs w:val="32"/>
        </w:rPr>
        <w:br w:type="page"/>
      </w:r>
    </w:p>
    <w:p w:rsidR="00235D4B" w:rsidRDefault="00481011" w:rsidP="00813FF0">
      <w:pPr>
        <w:rPr>
          <w:b/>
          <w:sz w:val="28"/>
          <w:szCs w:val="28"/>
        </w:rPr>
      </w:pPr>
      <w:r w:rsidRPr="00CE518D">
        <w:rPr>
          <w:b/>
          <w:sz w:val="32"/>
          <w:szCs w:val="32"/>
        </w:rPr>
        <w:lastRenderedPageBreak/>
        <w:t xml:space="preserve">Appendix </w:t>
      </w:r>
      <w:r w:rsidR="000E77FF" w:rsidRPr="00CE518D">
        <w:rPr>
          <w:b/>
          <w:sz w:val="32"/>
          <w:szCs w:val="32"/>
        </w:rPr>
        <w:t>A</w:t>
      </w:r>
      <w:r w:rsidR="001B1D99">
        <w:rPr>
          <w:b/>
          <w:sz w:val="32"/>
          <w:szCs w:val="32"/>
        </w:rPr>
        <w:t xml:space="preserve">: </w:t>
      </w:r>
      <w:r w:rsidR="001B1D99">
        <w:rPr>
          <w:b/>
          <w:sz w:val="32"/>
          <w:szCs w:val="32"/>
        </w:rPr>
        <w:br/>
      </w:r>
      <w:r w:rsidR="00235D4B" w:rsidRPr="00CE518D">
        <w:rPr>
          <w:b/>
          <w:sz w:val="28"/>
          <w:szCs w:val="28"/>
        </w:rPr>
        <w:t>PBS-subsidised combinations of diabetes medicines (at 1 Oct 2016).</w:t>
      </w:r>
    </w:p>
    <w:tbl>
      <w:tblPr>
        <w:tblW w:w="53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605"/>
        <w:gridCol w:w="3095"/>
        <w:gridCol w:w="5064"/>
      </w:tblGrid>
      <w:tr w:rsidR="00235D4B" w:rsidRPr="001B1D99" w:rsidTr="001B1D99">
        <w:trPr>
          <w:cantSplit/>
          <w:tblHeader/>
        </w:trPr>
        <w:tc>
          <w:tcPr>
            <w:tcW w:w="1605" w:type="dxa"/>
            <w:shd w:val="clear" w:color="auto" w:fill="D9D9D9" w:themeFill="background1" w:themeFillShade="D9"/>
            <w:vAlign w:val="center"/>
          </w:tcPr>
          <w:p w:rsidR="00235D4B" w:rsidRPr="001B1D99" w:rsidRDefault="00235D4B" w:rsidP="00813FF0">
            <w:pPr>
              <w:spacing w:after="0"/>
              <w:rPr>
                <w:b/>
                <w:sz w:val="20"/>
                <w:szCs w:val="20"/>
              </w:rPr>
            </w:pPr>
            <w:r w:rsidRPr="001B1D99">
              <w:rPr>
                <w:b/>
                <w:sz w:val="20"/>
                <w:szCs w:val="20"/>
              </w:rPr>
              <w:t>Use</w:t>
            </w:r>
          </w:p>
        </w:tc>
        <w:tc>
          <w:tcPr>
            <w:tcW w:w="3095" w:type="dxa"/>
            <w:shd w:val="clear" w:color="auto" w:fill="D9D9D9" w:themeFill="background1" w:themeFillShade="D9"/>
            <w:vAlign w:val="center"/>
          </w:tcPr>
          <w:p w:rsidR="00235D4B" w:rsidRPr="001B1D99" w:rsidRDefault="00235D4B" w:rsidP="00813FF0">
            <w:pPr>
              <w:spacing w:after="0"/>
              <w:rPr>
                <w:b/>
                <w:sz w:val="20"/>
                <w:szCs w:val="20"/>
              </w:rPr>
            </w:pPr>
            <w:r w:rsidRPr="001B1D99">
              <w:rPr>
                <w:b/>
                <w:sz w:val="20"/>
                <w:szCs w:val="20"/>
              </w:rPr>
              <w:t>Oral only</w:t>
            </w:r>
          </w:p>
        </w:tc>
        <w:tc>
          <w:tcPr>
            <w:tcW w:w="5064" w:type="dxa"/>
            <w:shd w:val="clear" w:color="auto" w:fill="D9D9D9" w:themeFill="background1" w:themeFillShade="D9"/>
            <w:vAlign w:val="center"/>
          </w:tcPr>
          <w:p w:rsidR="00235D4B" w:rsidRPr="001B1D99" w:rsidRDefault="00235D4B" w:rsidP="00813FF0">
            <w:pPr>
              <w:spacing w:after="0"/>
              <w:rPr>
                <w:b/>
                <w:sz w:val="20"/>
                <w:szCs w:val="20"/>
              </w:rPr>
            </w:pPr>
            <w:r w:rsidRPr="001B1D99">
              <w:rPr>
                <w:b/>
                <w:sz w:val="20"/>
                <w:szCs w:val="20"/>
              </w:rPr>
              <w:t>Injections ± oral</w:t>
            </w:r>
          </w:p>
        </w:tc>
      </w:tr>
      <w:tr w:rsidR="00235D4B" w:rsidRPr="001B1D99" w:rsidTr="00CE518D">
        <w:trPr>
          <w:cantSplit/>
        </w:trPr>
        <w:tc>
          <w:tcPr>
            <w:tcW w:w="1605" w:type="dxa"/>
            <w:vAlign w:val="center"/>
          </w:tcPr>
          <w:p w:rsidR="00235D4B" w:rsidRPr="001B1D99" w:rsidRDefault="00235D4B" w:rsidP="00813FF0">
            <w:pPr>
              <w:rPr>
                <w:sz w:val="20"/>
                <w:szCs w:val="20"/>
              </w:rPr>
            </w:pPr>
            <w:proofErr w:type="spellStart"/>
            <w:r w:rsidRPr="001B1D99">
              <w:rPr>
                <w:sz w:val="20"/>
                <w:szCs w:val="20"/>
              </w:rPr>
              <w:t>Monotherapy</w:t>
            </w:r>
            <w:proofErr w:type="spellEnd"/>
          </w:p>
        </w:tc>
        <w:tc>
          <w:tcPr>
            <w:tcW w:w="3095" w:type="dxa"/>
            <w:vAlign w:val="center"/>
          </w:tcPr>
          <w:p w:rsidR="00235D4B" w:rsidRPr="001B1D99" w:rsidRDefault="00235D4B" w:rsidP="00813FF0">
            <w:pPr>
              <w:rPr>
                <w:sz w:val="20"/>
                <w:szCs w:val="20"/>
              </w:rPr>
            </w:pPr>
            <w:r w:rsidRPr="001B1D99">
              <w:rPr>
                <w:sz w:val="20"/>
                <w:szCs w:val="20"/>
              </w:rPr>
              <w:t>Metformin</w:t>
            </w:r>
          </w:p>
          <w:p w:rsidR="00235D4B" w:rsidRPr="001B1D99" w:rsidRDefault="00235D4B" w:rsidP="00813FF0">
            <w:pPr>
              <w:rPr>
                <w:sz w:val="20"/>
                <w:szCs w:val="20"/>
              </w:rPr>
            </w:pPr>
            <w:r w:rsidRPr="001B1D99">
              <w:rPr>
                <w:sz w:val="20"/>
                <w:szCs w:val="20"/>
              </w:rPr>
              <w:t>SU</w:t>
            </w:r>
          </w:p>
          <w:p w:rsidR="00235D4B" w:rsidRPr="001B1D99" w:rsidRDefault="00235D4B" w:rsidP="00813FF0">
            <w:pPr>
              <w:rPr>
                <w:sz w:val="20"/>
                <w:szCs w:val="20"/>
              </w:rPr>
            </w:pPr>
            <w:proofErr w:type="spellStart"/>
            <w:r w:rsidRPr="001B1D99">
              <w:rPr>
                <w:sz w:val="20"/>
                <w:szCs w:val="20"/>
              </w:rPr>
              <w:t>Acarbose</w:t>
            </w:r>
            <w:proofErr w:type="spellEnd"/>
          </w:p>
        </w:tc>
        <w:tc>
          <w:tcPr>
            <w:tcW w:w="5064" w:type="dxa"/>
            <w:vAlign w:val="center"/>
          </w:tcPr>
          <w:p w:rsidR="00235D4B" w:rsidRPr="001B1D99" w:rsidRDefault="00235D4B" w:rsidP="00813FF0">
            <w:pPr>
              <w:rPr>
                <w:sz w:val="20"/>
                <w:szCs w:val="20"/>
              </w:rPr>
            </w:pPr>
            <w:r w:rsidRPr="001B1D99">
              <w:rPr>
                <w:sz w:val="20"/>
                <w:szCs w:val="20"/>
              </w:rPr>
              <w:t>Insulin</w:t>
            </w:r>
          </w:p>
        </w:tc>
      </w:tr>
      <w:tr w:rsidR="00235D4B" w:rsidRPr="001B1D99" w:rsidTr="00CE518D">
        <w:trPr>
          <w:cantSplit/>
        </w:trPr>
        <w:tc>
          <w:tcPr>
            <w:tcW w:w="1605" w:type="dxa"/>
            <w:vAlign w:val="center"/>
          </w:tcPr>
          <w:p w:rsidR="00235D4B" w:rsidRPr="001B1D99" w:rsidRDefault="00235D4B" w:rsidP="00813FF0">
            <w:pPr>
              <w:rPr>
                <w:sz w:val="20"/>
                <w:szCs w:val="20"/>
              </w:rPr>
            </w:pPr>
            <w:r w:rsidRPr="001B1D99">
              <w:rPr>
                <w:sz w:val="20"/>
                <w:szCs w:val="20"/>
              </w:rPr>
              <w:t>Dual combination therapy</w:t>
            </w:r>
          </w:p>
        </w:tc>
        <w:tc>
          <w:tcPr>
            <w:tcW w:w="3095" w:type="dxa"/>
            <w:vAlign w:val="center"/>
          </w:tcPr>
          <w:p w:rsidR="00235D4B" w:rsidRPr="001B1D99" w:rsidRDefault="00235D4B" w:rsidP="00813FF0">
            <w:pPr>
              <w:rPr>
                <w:sz w:val="20"/>
                <w:szCs w:val="20"/>
              </w:rPr>
            </w:pPr>
            <w:r w:rsidRPr="001B1D99">
              <w:rPr>
                <w:sz w:val="20"/>
                <w:szCs w:val="20"/>
              </w:rPr>
              <w:t>Metformin + SU</w:t>
            </w:r>
          </w:p>
          <w:p w:rsidR="00235D4B" w:rsidRPr="001B1D99" w:rsidRDefault="00235D4B" w:rsidP="00813FF0">
            <w:pPr>
              <w:rPr>
                <w:sz w:val="20"/>
                <w:szCs w:val="20"/>
              </w:rPr>
            </w:pPr>
            <w:r w:rsidRPr="001B1D99">
              <w:rPr>
                <w:sz w:val="20"/>
                <w:szCs w:val="20"/>
              </w:rPr>
              <w:t xml:space="preserve">Metformin + </w:t>
            </w:r>
            <w:proofErr w:type="spellStart"/>
            <w:r w:rsidRPr="001B1D99">
              <w:rPr>
                <w:sz w:val="20"/>
                <w:szCs w:val="20"/>
              </w:rPr>
              <w:t>acarbose</w:t>
            </w:r>
            <w:proofErr w:type="spellEnd"/>
          </w:p>
          <w:p w:rsidR="00235D4B" w:rsidRPr="001B1D99" w:rsidRDefault="00235D4B" w:rsidP="00813FF0">
            <w:pPr>
              <w:rPr>
                <w:sz w:val="20"/>
                <w:szCs w:val="20"/>
              </w:rPr>
            </w:pPr>
            <w:r w:rsidRPr="001B1D99">
              <w:rPr>
                <w:sz w:val="20"/>
                <w:szCs w:val="20"/>
              </w:rPr>
              <w:t xml:space="preserve">SU + </w:t>
            </w:r>
            <w:proofErr w:type="spellStart"/>
            <w:r w:rsidRPr="001B1D99">
              <w:rPr>
                <w:sz w:val="20"/>
                <w:szCs w:val="20"/>
              </w:rPr>
              <w:t>acarbose</w:t>
            </w:r>
            <w:proofErr w:type="spellEnd"/>
          </w:p>
          <w:p w:rsidR="00235D4B" w:rsidRPr="001B1D99" w:rsidRDefault="00235D4B" w:rsidP="00813FF0">
            <w:pPr>
              <w:rPr>
                <w:sz w:val="20"/>
                <w:szCs w:val="20"/>
              </w:rPr>
            </w:pPr>
            <w:r w:rsidRPr="001B1D99">
              <w:rPr>
                <w:b/>
                <w:sz w:val="20"/>
                <w:szCs w:val="20"/>
              </w:rPr>
              <w:t xml:space="preserve">DPP-4 </w:t>
            </w:r>
            <w:r w:rsidRPr="001B1D99">
              <w:rPr>
                <w:sz w:val="20"/>
                <w:szCs w:val="20"/>
              </w:rPr>
              <w:t>+ metformin</w:t>
            </w:r>
          </w:p>
          <w:p w:rsidR="00235D4B" w:rsidRPr="001B1D99" w:rsidRDefault="00235D4B" w:rsidP="00813FF0">
            <w:pPr>
              <w:rPr>
                <w:sz w:val="20"/>
                <w:szCs w:val="20"/>
              </w:rPr>
            </w:pPr>
            <w:r w:rsidRPr="001B1D99">
              <w:rPr>
                <w:b/>
                <w:sz w:val="20"/>
                <w:szCs w:val="20"/>
              </w:rPr>
              <w:t xml:space="preserve">TZD </w:t>
            </w:r>
            <w:r w:rsidRPr="001B1D99">
              <w:rPr>
                <w:sz w:val="20"/>
                <w:szCs w:val="20"/>
              </w:rPr>
              <w:t>+ metformin</w:t>
            </w:r>
          </w:p>
          <w:p w:rsidR="00235D4B" w:rsidRPr="001B1D99" w:rsidRDefault="00235D4B" w:rsidP="00813FF0">
            <w:pPr>
              <w:rPr>
                <w:sz w:val="20"/>
                <w:szCs w:val="20"/>
              </w:rPr>
            </w:pPr>
            <w:r w:rsidRPr="001B1D99">
              <w:rPr>
                <w:b/>
                <w:sz w:val="20"/>
                <w:szCs w:val="20"/>
              </w:rPr>
              <w:t>SGLT2</w:t>
            </w:r>
            <w:r w:rsidRPr="001B1D99">
              <w:rPr>
                <w:sz w:val="20"/>
                <w:szCs w:val="20"/>
              </w:rPr>
              <w:t xml:space="preserve"> + metformin</w:t>
            </w:r>
          </w:p>
          <w:p w:rsidR="00235D4B" w:rsidRPr="001B1D99" w:rsidRDefault="00235D4B" w:rsidP="00813FF0">
            <w:pPr>
              <w:rPr>
                <w:sz w:val="20"/>
                <w:szCs w:val="20"/>
              </w:rPr>
            </w:pPr>
            <w:r w:rsidRPr="001B1D99">
              <w:rPr>
                <w:b/>
                <w:sz w:val="20"/>
                <w:szCs w:val="20"/>
              </w:rPr>
              <w:t>DPP-4</w:t>
            </w:r>
            <w:r w:rsidRPr="001B1D99">
              <w:rPr>
                <w:sz w:val="20"/>
                <w:szCs w:val="20"/>
              </w:rPr>
              <w:t xml:space="preserve"> + SU</w:t>
            </w:r>
          </w:p>
          <w:p w:rsidR="00235D4B" w:rsidRPr="001B1D99" w:rsidRDefault="00235D4B" w:rsidP="00813FF0">
            <w:pPr>
              <w:rPr>
                <w:sz w:val="20"/>
                <w:szCs w:val="20"/>
              </w:rPr>
            </w:pPr>
            <w:r w:rsidRPr="001B1D99">
              <w:rPr>
                <w:b/>
                <w:sz w:val="20"/>
                <w:szCs w:val="20"/>
              </w:rPr>
              <w:t>TZD</w:t>
            </w:r>
            <w:r w:rsidRPr="001B1D99">
              <w:rPr>
                <w:sz w:val="20"/>
                <w:szCs w:val="20"/>
              </w:rPr>
              <w:t xml:space="preserve"> + SU</w:t>
            </w:r>
          </w:p>
          <w:p w:rsidR="00235D4B" w:rsidRPr="001B1D99" w:rsidRDefault="00235D4B" w:rsidP="00813FF0">
            <w:pPr>
              <w:rPr>
                <w:sz w:val="20"/>
                <w:szCs w:val="20"/>
              </w:rPr>
            </w:pPr>
            <w:r w:rsidRPr="001B1D99">
              <w:rPr>
                <w:b/>
                <w:sz w:val="20"/>
                <w:szCs w:val="20"/>
              </w:rPr>
              <w:t>SGLT2</w:t>
            </w:r>
            <w:r w:rsidRPr="001B1D99">
              <w:rPr>
                <w:sz w:val="20"/>
                <w:szCs w:val="20"/>
              </w:rPr>
              <w:t xml:space="preserve"> + SU</w:t>
            </w:r>
          </w:p>
        </w:tc>
        <w:tc>
          <w:tcPr>
            <w:tcW w:w="5064" w:type="dxa"/>
            <w:vAlign w:val="center"/>
          </w:tcPr>
          <w:p w:rsidR="00235D4B" w:rsidRPr="001B1D99" w:rsidRDefault="00235D4B" w:rsidP="00813FF0">
            <w:pPr>
              <w:rPr>
                <w:sz w:val="20"/>
                <w:szCs w:val="20"/>
              </w:rPr>
            </w:pPr>
            <w:r w:rsidRPr="001B1D99">
              <w:rPr>
                <w:sz w:val="20"/>
                <w:szCs w:val="20"/>
              </w:rPr>
              <w:t>Metformin + insulin</w:t>
            </w:r>
          </w:p>
          <w:p w:rsidR="00235D4B" w:rsidRPr="001B1D99" w:rsidRDefault="00235D4B" w:rsidP="00813FF0">
            <w:pPr>
              <w:rPr>
                <w:sz w:val="20"/>
                <w:szCs w:val="20"/>
              </w:rPr>
            </w:pPr>
            <w:r w:rsidRPr="001B1D99">
              <w:rPr>
                <w:sz w:val="20"/>
                <w:szCs w:val="20"/>
              </w:rPr>
              <w:t>SU + insulin</w:t>
            </w:r>
          </w:p>
          <w:p w:rsidR="00235D4B" w:rsidRPr="001B1D99" w:rsidRDefault="00235D4B" w:rsidP="00813FF0">
            <w:pPr>
              <w:rPr>
                <w:sz w:val="20"/>
                <w:szCs w:val="20"/>
              </w:rPr>
            </w:pPr>
            <w:proofErr w:type="spellStart"/>
            <w:r w:rsidRPr="001B1D99">
              <w:rPr>
                <w:sz w:val="20"/>
                <w:szCs w:val="20"/>
              </w:rPr>
              <w:t>Acarbose</w:t>
            </w:r>
            <w:proofErr w:type="spellEnd"/>
            <w:r w:rsidRPr="001B1D99">
              <w:rPr>
                <w:sz w:val="20"/>
                <w:szCs w:val="20"/>
              </w:rPr>
              <w:t xml:space="preserve"> + insulin</w:t>
            </w:r>
          </w:p>
          <w:p w:rsidR="00235D4B" w:rsidRPr="001B1D99" w:rsidRDefault="00235D4B" w:rsidP="00813FF0">
            <w:pPr>
              <w:rPr>
                <w:sz w:val="20"/>
                <w:szCs w:val="20"/>
              </w:rPr>
            </w:pPr>
            <w:r w:rsidRPr="001B1D99">
              <w:rPr>
                <w:b/>
                <w:sz w:val="20"/>
                <w:szCs w:val="20"/>
              </w:rPr>
              <w:t>Pioglitazone</w:t>
            </w:r>
            <w:r w:rsidRPr="001B1D99">
              <w:rPr>
                <w:sz w:val="20"/>
                <w:szCs w:val="20"/>
              </w:rPr>
              <w:t xml:space="preserve"> + insulin</w:t>
            </w:r>
          </w:p>
          <w:p w:rsidR="00235D4B" w:rsidRPr="001B1D99" w:rsidRDefault="00235D4B" w:rsidP="00813FF0">
            <w:pPr>
              <w:rPr>
                <w:sz w:val="20"/>
                <w:szCs w:val="20"/>
              </w:rPr>
            </w:pPr>
            <w:proofErr w:type="spellStart"/>
            <w:r w:rsidRPr="001B1D99">
              <w:rPr>
                <w:b/>
                <w:sz w:val="20"/>
                <w:szCs w:val="20"/>
              </w:rPr>
              <w:t>Exenatide</w:t>
            </w:r>
            <w:proofErr w:type="spellEnd"/>
            <w:r w:rsidRPr="001B1D99">
              <w:rPr>
                <w:sz w:val="20"/>
                <w:szCs w:val="20"/>
              </w:rPr>
              <w:t xml:space="preserve"> + metformin</w:t>
            </w:r>
          </w:p>
          <w:p w:rsidR="00235D4B" w:rsidRPr="001B1D99" w:rsidRDefault="00235D4B" w:rsidP="00813FF0">
            <w:pPr>
              <w:rPr>
                <w:sz w:val="20"/>
                <w:szCs w:val="20"/>
              </w:rPr>
            </w:pPr>
            <w:proofErr w:type="spellStart"/>
            <w:r w:rsidRPr="001B1D99">
              <w:rPr>
                <w:b/>
                <w:sz w:val="20"/>
                <w:szCs w:val="20"/>
              </w:rPr>
              <w:t>Exenatide</w:t>
            </w:r>
            <w:proofErr w:type="spellEnd"/>
            <w:r w:rsidRPr="001B1D99">
              <w:rPr>
                <w:sz w:val="20"/>
                <w:szCs w:val="20"/>
              </w:rPr>
              <w:t xml:space="preserve"> + SU</w:t>
            </w:r>
          </w:p>
          <w:p w:rsidR="00235D4B" w:rsidRPr="001B1D99" w:rsidRDefault="00235D4B" w:rsidP="00813FF0">
            <w:pPr>
              <w:rPr>
                <w:sz w:val="20"/>
                <w:szCs w:val="20"/>
              </w:rPr>
            </w:pPr>
            <w:r w:rsidRPr="001B1D99">
              <w:rPr>
                <w:b/>
                <w:sz w:val="20"/>
                <w:szCs w:val="20"/>
              </w:rPr>
              <w:t>DPP-4 (</w:t>
            </w:r>
            <w:proofErr w:type="spellStart"/>
            <w:r w:rsidRPr="001B1D99">
              <w:rPr>
                <w:b/>
                <w:sz w:val="20"/>
                <w:szCs w:val="20"/>
              </w:rPr>
              <w:t>sitaglitin</w:t>
            </w:r>
            <w:proofErr w:type="spellEnd"/>
            <w:r w:rsidRPr="001B1D99">
              <w:rPr>
                <w:b/>
                <w:sz w:val="20"/>
                <w:szCs w:val="20"/>
              </w:rPr>
              <w:t xml:space="preserve"> and </w:t>
            </w:r>
            <w:proofErr w:type="spellStart"/>
            <w:r w:rsidRPr="001B1D99">
              <w:rPr>
                <w:b/>
                <w:sz w:val="20"/>
                <w:szCs w:val="20"/>
              </w:rPr>
              <w:t>linagliptin</w:t>
            </w:r>
            <w:proofErr w:type="spellEnd"/>
            <w:r w:rsidRPr="001B1D99">
              <w:rPr>
                <w:b/>
                <w:sz w:val="20"/>
                <w:szCs w:val="20"/>
              </w:rPr>
              <w:t xml:space="preserve"> only)</w:t>
            </w:r>
            <w:r w:rsidRPr="001B1D99">
              <w:rPr>
                <w:sz w:val="20"/>
                <w:szCs w:val="20"/>
              </w:rPr>
              <w:t>+ insulin (</w:t>
            </w:r>
            <w:proofErr w:type="spellStart"/>
            <w:r w:rsidRPr="001B1D99">
              <w:rPr>
                <w:sz w:val="20"/>
                <w:szCs w:val="20"/>
              </w:rPr>
              <w:t>sita</w:t>
            </w:r>
            <w:proofErr w:type="spellEnd"/>
            <w:r w:rsidRPr="001B1D99">
              <w:rPr>
                <w:sz w:val="20"/>
                <w:szCs w:val="20"/>
              </w:rPr>
              <w:t xml:space="preserve"> Oct16, </w:t>
            </w:r>
            <w:proofErr w:type="spellStart"/>
            <w:r w:rsidRPr="001B1D99">
              <w:rPr>
                <w:sz w:val="20"/>
                <w:szCs w:val="20"/>
              </w:rPr>
              <w:t>lina</w:t>
            </w:r>
            <w:proofErr w:type="spellEnd"/>
            <w:r w:rsidRPr="001B1D99">
              <w:rPr>
                <w:sz w:val="20"/>
                <w:szCs w:val="20"/>
              </w:rPr>
              <w:t xml:space="preserve"> Oct16)</w:t>
            </w:r>
            <w:r w:rsidR="00CE518D" w:rsidRPr="001B1D99">
              <w:rPr>
                <w:sz w:val="20"/>
                <w:szCs w:val="20"/>
              </w:rPr>
              <w:t>*</w:t>
            </w:r>
          </w:p>
          <w:p w:rsidR="00235D4B" w:rsidRPr="001B1D99" w:rsidRDefault="00235D4B" w:rsidP="00813FF0">
            <w:pPr>
              <w:rPr>
                <w:sz w:val="20"/>
                <w:szCs w:val="20"/>
              </w:rPr>
            </w:pPr>
            <w:r w:rsidRPr="001B1D99">
              <w:rPr>
                <w:b/>
                <w:sz w:val="20"/>
                <w:szCs w:val="20"/>
              </w:rPr>
              <w:t>SGLT2</w:t>
            </w:r>
            <w:r w:rsidRPr="001B1D99">
              <w:rPr>
                <w:sz w:val="20"/>
                <w:szCs w:val="20"/>
              </w:rPr>
              <w:t xml:space="preserve"> + insulin (</w:t>
            </w:r>
            <w:proofErr w:type="spellStart"/>
            <w:r w:rsidRPr="001B1D99">
              <w:rPr>
                <w:sz w:val="20"/>
                <w:szCs w:val="20"/>
              </w:rPr>
              <w:t>dapa</w:t>
            </w:r>
            <w:proofErr w:type="spellEnd"/>
            <w:r w:rsidRPr="001B1D99">
              <w:rPr>
                <w:sz w:val="20"/>
                <w:szCs w:val="20"/>
              </w:rPr>
              <w:t xml:space="preserve"> Apr15, </w:t>
            </w:r>
            <w:proofErr w:type="spellStart"/>
            <w:r w:rsidRPr="001B1D99">
              <w:rPr>
                <w:sz w:val="20"/>
                <w:szCs w:val="20"/>
              </w:rPr>
              <w:t>empag</w:t>
            </w:r>
            <w:proofErr w:type="spellEnd"/>
            <w:r w:rsidRPr="001B1D99">
              <w:rPr>
                <w:sz w:val="20"/>
                <w:szCs w:val="20"/>
              </w:rPr>
              <w:t xml:space="preserve"> Mar16)</w:t>
            </w:r>
          </w:p>
        </w:tc>
      </w:tr>
      <w:tr w:rsidR="00235D4B" w:rsidRPr="001B1D99" w:rsidTr="00CE518D">
        <w:trPr>
          <w:cantSplit/>
        </w:trPr>
        <w:tc>
          <w:tcPr>
            <w:tcW w:w="1605" w:type="dxa"/>
            <w:vAlign w:val="center"/>
          </w:tcPr>
          <w:p w:rsidR="00235D4B" w:rsidRPr="001B1D99" w:rsidRDefault="00235D4B" w:rsidP="00813FF0">
            <w:pPr>
              <w:rPr>
                <w:sz w:val="20"/>
                <w:szCs w:val="20"/>
              </w:rPr>
            </w:pPr>
            <w:r w:rsidRPr="001B1D99">
              <w:rPr>
                <w:sz w:val="20"/>
                <w:szCs w:val="20"/>
              </w:rPr>
              <w:t>Triple combination therapy</w:t>
            </w:r>
          </w:p>
        </w:tc>
        <w:tc>
          <w:tcPr>
            <w:tcW w:w="3095" w:type="dxa"/>
            <w:vAlign w:val="center"/>
          </w:tcPr>
          <w:p w:rsidR="00235D4B" w:rsidRPr="001B1D99" w:rsidRDefault="00235D4B" w:rsidP="00813FF0">
            <w:pPr>
              <w:rPr>
                <w:sz w:val="20"/>
                <w:szCs w:val="20"/>
              </w:rPr>
            </w:pPr>
            <w:r w:rsidRPr="001B1D99">
              <w:rPr>
                <w:sz w:val="20"/>
                <w:szCs w:val="20"/>
              </w:rPr>
              <w:t xml:space="preserve">Metformin + </w:t>
            </w:r>
            <w:proofErr w:type="spellStart"/>
            <w:r w:rsidRPr="001B1D99">
              <w:rPr>
                <w:sz w:val="20"/>
                <w:szCs w:val="20"/>
              </w:rPr>
              <w:t>acarbose</w:t>
            </w:r>
            <w:proofErr w:type="spellEnd"/>
            <w:r w:rsidRPr="001B1D99">
              <w:rPr>
                <w:sz w:val="20"/>
                <w:szCs w:val="20"/>
              </w:rPr>
              <w:t xml:space="preserve"> + SU</w:t>
            </w:r>
          </w:p>
          <w:p w:rsidR="00235D4B" w:rsidRPr="001B1D99" w:rsidRDefault="00235D4B" w:rsidP="00813FF0">
            <w:pPr>
              <w:rPr>
                <w:sz w:val="20"/>
                <w:szCs w:val="20"/>
              </w:rPr>
            </w:pPr>
            <w:r w:rsidRPr="001B1D99">
              <w:rPr>
                <w:b/>
                <w:sz w:val="20"/>
                <w:szCs w:val="20"/>
              </w:rPr>
              <w:t>Pioglitazone</w:t>
            </w:r>
            <w:r w:rsidRPr="001B1D99">
              <w:rPr>
                <w:sz w:val="20"/>
                <w:szCs w:val="20"/>
              </w:rPr>
              <w:t xml:space="preserve"> + metformin + SU</w:t>
            </w:r>
          </w:p>
          <w:p w:rsidR="00235D4B" w:rsidRPr="001B1D99" w:rsidRDefault="00235D4B" w:rsidP="00813FF0">
            <w:pPr>
              <w:rPr>
                <w:sz w:val="20"/>
                <w:szCs w:val="20"/>
              </w:rPr>
            </w:pPr>
            <w:r w:rsidRPr="001B1D99">
              <w:rPr>
                <w:b/>
                <w:sz w:val="20"/>
                <w:szCs w:val="20"/>
              </w:rPr>
              <w:t xml:space="preserve">DPP-4 (excluding </w:t>
            </w:r>
            <w:proofErr w:type="spellStart"/>
            <w:r w:rsidRPr="001B1D99">
              <w:rPr>
                <w:b/>
                <w:sz w:val="20"/>
                <w:szCs w:val="20"/>
              </w:rPr>
              <w:t>alogliptin</w:t>
            </w:r>
            <w:proofErr w:type="spellEnd"/>
            <w:r w:rsidRPr="001B1D99">
              <w:rPr>
                <w:b/>
                <w:sz w:val="20"/>
                <w:szCs w:val="20"/>
              </w:rPr>
              <w:t xml:space="preserve">) </w:t>
            </w:r>
            <w:r w:rsidRPr="001B1D99">
              <w:rPr>
                <w:sz w:val="20"/>
                <w:szCs w:val="20"/>
              </w:rPr>
              <w:t>+ metformin + SU (</w:t>
            </w:r>
            <w:proofErr w:type="spellStart"/>
            <w:r w:rsidRPr="001B1D99">
              <w:rPr>
                <w:sz w:val="20"/>
                <w:szCs w:val="20"/>
              </w:rPr>
              <w:t>sita</w:t>
            </w:r>
            <w:proofErr w:type="spellEnd"/>
            <w:r w:rsidRPr="001B1D99">
              <w:rPr>
                <w:sz w:val="20"/>
                <w:szCs w:val="20"/>
              </w:rPr>
              <w:t xml:space="preserve"> Dec15, </w:t>
            </w:r>
            <w:proofErr w:type="spellStart"/>
            <w:r w:rsidRPr="001B1D99">
              <w:rPr>
                <w:sz w:val="20"/>
                <w:szCs w:val="20"/>
              </w:rPr>
              <w:t>vilda</w:t>
            </w:r>
            <w:proofErr w:type="spellEnd"/>
            <w:r w:rsidRPr="001B1D99">
              <w:rPr>
                <w:sz w:val="20"/>
                <w:szCs w:val="20"/>
              </w:rPr>
              <w:t xml:space="preserve"> Sep16, </w:t>
            </w:r>
            <w:proofErr w:type="spellStart"/>
            <w:r w:rsidRPr="001B1D99">
              <w:rPr>
                <w:sz w:val="20"/>
                <w:szCs w:val="20"/>
              </w:rPr>
              <w:t>saxa</w:t>
            </w:r>
            <w:proofErr w:type="spellEnd"/>
            <w:r w:rsidRPr="001B1D99">
              <w:rPr>
                <w:sz w:val="20"/>
                <w:szCs w:val="20"/>
              </w:rPr>
              <w:t xml:space="preserve"> Dec15, </w:t>
            </w:r>
            <w:proofErr w:type="spellStart"/>
            <w:r w:rsidRPr="001B1D99">
              <w:rPr>
                <w:sz w:val="20"/>
                <w:szCs w:val="20"/>
              </w:rPr>
              <w:t>lina</w:t>
            </w:r>
            <w:proofErr w:type="spellEnd"/>
            <w:r w:rsidRPr="001B1D99">
              <w:rPr>
                <w:sz w:val="20"/>
                <w:szCs w:val="20"/>
              </w:rPr>
              <w:t xml:space="preserve"> Sep16)</w:t>
            </w:r>
          </w:p>
          <w:p w:rsidR="00235D4B" w:rsidRPr="001B1D99" w:rsidRDefault="00235D4B" w:rsidP="00813FF0">
            <w:pPr>
              <w:rPr>
                <w:sz w:val="20"/>
                <w:szCs w:val="20"/>
              </w:rPr>
            </w:pPr>
            <w:r w:rsidRPr="001B1D99">
              <w:rPr>
                <w:b/>
                <w:sz w:val="20"/>
                <w:szCs w:val="20"/>
              </w:rPr>
              <w:t>SGLT2</w:t>
            </w:r>
            <w:r w:rsidRPr="001B1D99">
              <w:rPr>
                <w:sz w:val="20"/>
                <w:szCs w:val="20"/>
              </w:rPr>
              <w:t xml:space="preserve"> + metformin + SU (</w:t>
            </w:r>
            <w:proofErr w:type="spellStart"/>
            <w:r w:rsidRPr="001B1D99">
              <w:rPr>
                <w:sz w:val="20"/>
                <w:szCs w:val="20"/>
              </w:rPr>
              <w:t>dapa</w:t>
            </w:r>
            <w:proofErr w:type="spellEnd"/>
            <w:r w:rsidRPr="001B1D99">
              <w:rPr>
                <w:sz w:val="20"/>
                <w:szCs w:val="20"/>
              </w:rPr>
              <w:t xml:space="preserve"> Jul15, </w:t>
            </w:r>
            <w:proofErr w:type="spellStart"/>
            <w:r w:rsidRPr="001B1D99">
              <w:rPr>
                <w:sz w:val="20"/>
                <w:szCs w:val="20"/>
              </w:rPr>
              <w:t>empag</w:t>
            </w:r>
            <w:proofErr w:type="spellEnd"/>
            <w:r w:rsidRPr="001B1D99">
              <w:rPr>
                <w:sz w:val="20"/>
                <w:szCs w:val="20"/>
              </w:rPr>
              <w:t xml:space="preserve"> Mar16)</w:t>
            </w:r>
          </w:p>
          <w:p w:rsidR="00235D4B" w:rsidRPr="001B1D99" w:rsidRDefault="00235D4B" w:rsidP="00813FF0">
            <w:pPr>
              <w:rPr>
                <w:sz w:val="20"/>
                <w:szCs w:val="20"/>
              </w:rPr>
            </w:pPr>
          </w:p>
        </w:tc>
        <w:tc>
          <w:tcPr>
            <w:tcW w:w="5064" w:type="dxa"/>
            <w:vAlign w:val="center"/>
          </w:tcPr>
          <w:p w:rsidR="00235D4B" w:rsidRPr="001B1D99" w:rsidRDefault="00235D4B" w:rsidP="00813FF0">
            <w:pPr>
              <w:rPr>
                <w:sz w:val="20"/>
                <w:szCs w:val="20"/>
              </w:rPr>
            </w:pPr>
            <w:r w:rsidRPr="001B1D99">
              <w:rPr>
                <w:sz w:val="20"/>
                <w:szCs w:val="20"/>
              </w:rPr>
              <w:t>Metformin + SU + insulin</w:t>
            </w:r>
          </w:p>
          <w:p w:rsidR="00235D4B" w:rsidRPr="001B1D99" w:rsidRDefault="00235D4B" w:rsidP="00813FF0">
            <w:pPr>
              <w:rPr>
                <w:sz w:val="20"/>
                <w:szCs w:val="20"/>
              </w:rPr>
            </w:pPr>
            <w:r w:rsidRPr="001B1D99">
              <w:rPr>
                <w:sz w:val="20"/>
                <w:szCs w:val="20"/>
              </w:rPr>
              <w:t xml:space="preserve">Metformin + </w:t>
            </w:r>
            <w:proofErr w:type="spellStart"/>
            <w:r w:rsidRPr="001B1D99">
              <w:rPr>
                <w:sz w:val="20"/>
                <w:szCs w:val="20"/>
              </w:rPr>
              <w:t>acarbose</w:t>
            </w:r>
            <w:proofErr w:type="spellEnd"/>
            <w:r w:rsidRPr="001B1D99">
              <w:rPr>
                <w:sz w:val="20"/>
                <w:szCs w:val="20"/>
              </w:rPr>
              <w:t xml:space="preserve"> + insulin</w:t>
            </w:r>
          </w:p>
          <w:p w:rsidR="00235D4B" w:rsidRPr="001B1D99" w:rsidRDefault="00235D4B" w:rsidP="00813FF0">
            <w:pPr>
              <w:rPr>
                <w:sz w:val="20"/>
                <w:szCs w:val="20"/>
              </w:rPr>
            </w:pPr>
            <w:r w:rsidRPr="001B1D99">
              <w:rPr>
                <w:sz w:val="20"/>
                <w:szCs w:val="20"/>
              </w:rPr>
              <w:t xml:space="preserve">SU + </w:t>
            </w:r>
            <w:proofErr w:type="spellStart"/>
            <w:r w:rsidRPr="001B1D99">
              <w:rPr>
                <w:sz w:val="20"/>
                <w:szCs w:val="20"/>
              </w:rPr>
              <w:t>acarbose</w:t>
            </w:r>
            <w:proofErr w:type="spellEnd"/>
            <w:r w:rsidRPr="001B1D99">
              <w:rPr>
                <w:sz w:val="20"/>
                <w:szCs w:val="20"/>
              </w:rPr>
              <w:t xml:space="preserve"> + insulin</w:t>
            </w:r>
          </w:p>
          <w:p w:rsidR="00235D4B" w:rsidRPr="001B1D99" w:rsidRDefault="00235D4B" w:rsidP="00813FF0">
            <w:pPr>
              <w:rPr>
                <w:sz w:val="20"/>
                <w:szCs w:val="20"/>
              </w:rPr>
            </w:pPr>
            <w:proofErr w:type="spellStart"/>
            <w:r w:rsidRPr="001B1D99">
              <w:rPr>
                <w:b/>
                <w:sz w:val="20"/>
                <w:szCs w:val="20"/>
              </w:rPr>
              <w:t>Exenatide</w:t>
            </w:r>
            <w:proofErr w:type="spellEnd"/>
            <w:r w:rsidRPr="001B1D99">
              <w:rPr>
                <w:sz w:val="20"/>
                <w:szCs w:val="20"/>
              </w:rPr>
              <w:t xml:space="preserve"> + metformin + SU</w:t>
            </w:r>
          </w:p>
          <w:p w:rsidR="00235D4B" w:rsidRPr="001B1D99" w:rsidRDefault="00235D4B" w:rsidP="00813FF0">
            <w:pPr>
              <w:rPr>
                <w:sz w:val="20"/>
                <w:szCs w:val="20"/>
              </w:rPr>
            </w:pPr>
            <w:r w:rsidRPr="001B1D99">
              <w:rPr>
                <w:b/>
                <w:sz w:val="20"/>
                <w:szCs w:val="20"/>
              </w:rPr>
              <w:t>Pioglitazone</w:t>
            </w:r>
            <w:r w:rsidRPr="001B1D99">
              <w:rPr>
                <w:sz w:val="20"/>
                <w:szCs w:val="20"/>
              </w:rPr>
              <w:t xml:space="preserve"> + metformin + insulin</w:t>
            </w:r>
          </w:p>
          <w:p w:rsidR="00235D4B" w:rsidRPr="001B1D99" w:rsidRDefault="00235D4B" w:rsidP="00813FF0">
            <w:pPr>
              <w:rPr>
                <w:sz w:val="20"/>
                <w:szCs w:val="20"/>
              </w:rPr>
            </w:pPr>
            <w:r w:rsidRPr="001B1D99">
              <w:rPr>
                <w:b/>
                <w:sz w:val="20"/>
                <w:szCs w:val="20"/>
              </w:rPr>
              <w:t xml:space="preserve">Pioglitazone </w:t>
            </w:r>
            <w:r w:rsidRPr="001B1D99">
              <w:rPr>
                <w:sz w:val="20"/>
                <w:szCs w:val="20"/>
              </w:rPr>
              <w:t>+ SU + insulin</w:t>
            </w:r>
          </w:p>
          <w:p w:rsidR="00235D4B" w:rsidRPr="001B1D99" w:rsidRDefault="00235D4B" w:rsidP="00813FF0">
            <w:pPr>
              <w:rPr>
                <w:sz w:val="20"/>
                <w:szCs w:val="20"/>
              </w:rPr>
            </w:pPr>
            <w:r w:rsidRPr="001B1D99">
              <w:rPr>
                <w:b/>
                <w:sz w:val="20"/>
                <w:szCs w:val="20"/>
              </w:rPr>
              <w:t>Pioglitazone</w:t>
            </w:r>
            <w:r w:rsidRPr="001B1D99">
              <w:rPr>
                <w:sz w:val="20"/>
                <w:szCs w:val="20"/>
              </w:rPr>
              <w:t xml:space="preserve"> + </w:t>
            </w:r>
            <w:proofErr w:type="spellStart"/>
            <w:r w:rsidRPr="001B1D99">
              <w:rPr>
                <w:sz w:val="20"/>
                <w:szCs w:val="20"/>
              </w:rPr>
              <w:t>acarbose</w:t>
            </w:r>
            <w:proofErr w:type="spellEnd"/>
            <w:r w:rsidRPr="001B1D99">
              <w:rPr>
                <w:sz w:val="20"/>
                <w:szCs w:val="20"/>
              </w:rPr>
              <w:t xml:space="preserve"> + insulin</w:t>
            </w:r>
          </w:p>
          <w:p w:rsidR="00235D4B" w:rsidRPr="001B1D99" w:rsidRDefault="00235D4B" w:rsidP="00813FF0">
            <w:pPr>
              <w:rPr>
                <w:sz w:val="20"/>
                <w:szCs w:val="20"/>
              </w:rPr>
            </w:pPr>
            <w:proofErr w:type="spellStart"/>
            <w:r w:rsidRPr="001B1D99">
              <w:rPr>
                <w:b/>
                <w:sz w:val="20"/>
                <w:szCs w:val="20"/>
              </w:rPr>
              <w:t>Exenatide</w:t>
            </w:r>
            <w:proofErr w:type="spellEnd"/>
            <w:r w:rsidRPr="001B1D99">
              <w:rPr>
                <w:sz w:val="20"/>
                <w:szCs w:val="20"/>
              </w:rPr>
              <w:t xml:space="preserve"> + insulin + metformin (Oct 15)</w:t>
            </w:r>
          </w:p>
          <w:p w:rsidR="00235D4B" w:rsidRPr="001B1D99" w:rsidRDefault="00235D4B" w:rsidP="00813FF0">
            <w:pPr>
              <w:rPr>
                <w:sz w:val="20"/>
                <w:szCs w:val="20"/>
              </w:rPr>
            </w:pPr>
            <w:r w:rsidRPr="001B1D99">
              <w:rPr>
                <w:b/>
                <w:sz w:val="20"/>
                <w:szCs w:val="20"/>
              </w:rPr>
              <w:t>DPP-4 (</w:t>
            </w:r>
            <w:proofErr w:type="spellStart"/>
            <w:r w:rsidRPr="001B1D99">
              <w:rPr>
                <w:b/>
                <w:sz w:val="20"/>
                <w:szCs w:val="20"/>
              </w:rPr>
              <w:t>sitaglitin</w:t>
            </w:r>
            <w:proofErr w:type="spellEnd"/>
            <w:r w:rsidRPr="001B1D99">
              <w:rPr>
                <w:b/>
                <w:sz w:val="20"/>
                <w:szCs w:val="20"/>
              </w:rPr>
              <w:t xml:space="preserve"> and </w:t>
            </w:r>
            <w:proofErr w:type="spellStart"/>
            <w:r w:rsidRPr="001B1D99">
              <w:rPr>
                <w:b/>
                <w:sz w:val="20"/>
                <w:szCs w:val="20"/>
              </w:rPr>
              <w:t>linagliptin</w:t>
            </w:r>
            <w:proofErr w:type="spellEnd"/>
            <w:r w:rsidRPr="001B1D99">
              <w:rPr>
                <w:b/>
                <w:sz w:val="20"/>
                <w:szCs w:val="20"/>
              </w:rPr>
              <w:t xml:space="preserve"> only) </w:t>
            </w:r>
            <w:r w:rsidRPr="001B1D99">
              <w:rPr>
                <w:sz w:val="20"/>
                <w:szCs w:val="20"/>
              </w:rPr>
              <w:t>+ insulin + metformin  (</w:t>
            </w:r>
            <w:proofErr w:type="spellStart"/>
            <w:r w:rsidRPr="001B1D99">
              <w:rPr>
                <w:sz w:val="20"/>
                <w:szCs w:val="20"/>
              </w:rPr>
              <w:t>sita</w:t>
            </w:r>
            <w:proofErr w:type="spellEnd"/>
            <w:r w:rsidRPr="001B1D99">
              <w:rPr>
                <w:sz w:val="20"/>
                <w:szCs w:val="20"/>
              </w:rPr>
              <w:t xml:space="preserve"> Oct16, </w:t>
            </w:r>
            <w:proofErr w:type="spellStart"/>
            <w:r w:rsidRPr="001B1D99">
              <w:rPr>
                <w:sz w:val="20"/>
                <w:szCs w:val="20"/>
              </w:rPr>
              <w:t>lina</w:t>
            </w:r>
            <w:proofErr w:type="spellEnd"/>
            <w:r w:rsidRPr="001B1D99">
              <w:rPr>
                <w:sz w:val="20"/>
                <w:szCs w:val="20"/>
              </w:rPr>
              <w:t xml:space="preserve"> Oct16)</w:t>
            </w:r>
          </w:p>
          <w:p w:rsidR="00235D4B" w:rsidRPr="001B1D99" w:rsidRDefault="00235D4B" w:rsidP="00813FF0">
            <w:pPr>
              <w:rPr>
                <w:b/>
                <w:sz w:val="20"/>
                <w:szCs w:val="20"/>
              </w:rPr>
            </w:pPr>
            <w:r w:rsidRPr="001B1D99">
              <w:rPr>
                <w:b/>
                <w:sz w:val="20"/>
                <w:szCs w:val="20"/>
              </w:rPr>
              <w:t>DPP-4 (</w:t>
            </w:r>
            <w:proofErr w:type="spellStart"/>
            <w:r w:rsidRPr="001B1D99">
              <w:rPr>
                <w:b/>
                <w:sz w:val="20"/>
                <w:szCs w:val="20"/>
              </w:rPr>
              <w:t>sitaglitin</w:t>
            </w:r>
            <w:proofErr w:type="spellEnd"/>
            <w:r w:rsidRPr="001B1D99">
              <w:rPr>
                <w:b/>
                <w:sz w:val="20"/>
                <w:szCs w:val="20"/>
              </w:rPr>
              <w:t xml:space="preserve"> and </w:t>
            </w:r>
            <w:proofErr w:type="spellStart"/>
            <w:r w:rsidRPr="001B1D99">
              <w:rPr>
                <w:b/>
                <w:sz w:val="20"/>
                <w:szCs w:val="20"/>
              </w:rPr>
              <w:t>linagliptin</w:t>
            </w:r>
            <w:proofErr w:type="spellEnd"/>
            <w:r w:rsidRPr="001B1D99">
              <w:rPr>
                <w:b/>
                <w:sz w:val="20"/>
                <w:szCs w:val="20"/>
              </w:rPr>
              <w:t xml:space="preserve"> only) </w:t>
            </w:r>
            <w:r w:rsidRPr="001B1D99">
              <w:rPr>
                <w:sz w:val="20"/>
                <w:szCs w:val="20"/>
              </w:rPr>
              <w:t>+ insulin + SU  (</w:t>
            </w:r>
            <w:proofErr w:type="spellStart"/>
            <w:r w:rsidRPr="001B1D99">
              <w:rPr>
                <w:sz w:val="20"/>
                <w:szCs w:val="20"/>
              </w:rPr>
              <w:t>sita</w:t>
            </w:r>
            <w:proofErr w:type="spellEnd"/>
            <w:r w:rsidRPr="001B1D99">
              <w:rPr>
                <w:sz w:val="20"/>
                <w:szCs w:val="20"/>
              </w:rPr>
              <w:t xml:space="preserve"> Oct16, </w:t>
            </w:r>
            <w:proofErr w:type="spellStart"/>
            <w:r w:rsidRPr="001B1D99">
              <w:rPr>
                <w:sz w:val="20"/>
                <w:szCs w:val="20"/>
              </w:rPr>
              <w:t>lina</w:t>
            </w:r>
            <w:proofErr w:type="spellEnd"/>
            <w:r w:rsidRPr="001B1D99">
              <w:rPr>
                <w:sz w:val="20"/>
                <w:szCs w:val="20"/>
              </w:rPr>
              <w:t xml:space="preserve"> Oct16)</w:t>
            </w:r>
          </w:p>
          <w:p w:rsidR="00235D4B" w:rsidRPr="001B1D99" w:rsidRDefault="00235D4B" w:rsidP="00813FF0">
            <w:pPr>
              <w:rPr>
                <w:sz w:val="20"/>
                <w:szCs w:val="20"/>
              </w:rPr>
            </w:pPr>
            <w:r w:rsidRPr="001B1D99">
              <w:rPr>
                <w:b/>
                <w:sz w:val="20"/>
                <w:szCs w:val="20"/>
              </w:rPr>
              <w:t>DPP-4 (</w:t>
            </w:r>
            <w:proofErr w:type="spellStart"/>
            <w:r w:rsidRPr="001B1D99">
              <w:rPr>
                <w:b/>
                <w:sz w:val="20"/>
                <w:szCs w:val="20"/>
              </w:rPr>
              <w:t>sitaglitin</w:t>
            </w:r>
            <w:proofErr w:type="spellEnd"/>
            <w:r w:rsidRPr="001B1D99">
              <w:rPr>
                <w:b/>
                <w:sz w:val="20"/>
                <w:szCs w:val="20"/>
              </w:rPr>
              <w:t xml:space="preserve"> and </w:t>
            </w:r>
            <w:proofErr w:type="spellStart"/>
            <w:r w:rsidRPr="001B1D99">
              <w:rPr>
                <w:b/>
                <w:sz w:val="20"/>
                <w:szCs w:val="20"/>
              </w:rPr>
              <w:t>linagliptin</w:t>
            </w:r>
            <w:proofErr w:type="spellEnd"/>
            <w:r w:rsidRPr="001B1D99">
              <w:rPr>
                <w:b/>
                <w:sz w:val="20"/>
                <w:szCs w:val="20"/>
              </w:rPr>
              <w:t xml:space="preserve"> only) </w:t>
            </w:r>
            <w:r w:rsidRPr="001B1D99">
              <w:rPr>
                <w:sz w:val="20"/>
                <w:szCs w:val="20"/>
              </w:rPr>
              <w:t xml:space="preserve">+ insulin + </w:t>
            </w:r>
            <w:proofErr w:type="spellStart"/>
            <w:r w:rsidRPr="001B1D99">
              <w:rPr>
                <w:sz w:val="20"/>
                <w:szCs w:val="20"/>
              </w:rPr>
              <w:t>acarbose</w:t>
            </w:r>
            <w:proofErr w:type="spellEnd"/>
            <w:r w:rsidRPr="001B1D99">
              <w:rPr>
                <w:sz w:val="20"/>
                <w:szCs w:val="20"/>
              </w:rPr>
              <w:t xml:space="preserve"> (</w:t>
            </w:r>
            <w:proofErr w:type="spellStart"/>
            <w:r w:rsidRPr="001B1D99">
              <w:rPr>
                <w:sz w:val="20"/>
                <w:szCs w:val="20"/>
              </w:rPr>
              <w:t>sita</w:t>
            </w:r>
            <w:proofErr w:type="spellEnd"/>
            <w:r w:rsidRPr="001B1D99">
              <w:rPr>
                <w:sz w:val="20"/>
                <w:szCs w:val="20"/>
              </w:rPr>
              <w:t xml:space="preserve"> Oct16, </w:t>
            </w:r>
            <w:proofErr w:type="spellStart"/>
            <w:r w:rsidRPr="001B1D99">
              <w:rPr>
                <w:sz w:val="20"/>
                <w:szCs w:val="20"/>
              </w:rPr>
              <w:t>lina</w:t>
            </w:r>
            <w:proofErr w:type="spellEnd"/>
            <w:r w:rsidRPr="001B1D99">
              <w:rPr>
                <w:sz w:val="20"/>
                <w:szCs w:val="20"/>
              </w:rPr>
              <w:t xml:space="preserve"> Oct16)</w:t>
            </w:r>
          </w:p>
          <w:p w:rsidR="00235D4B" w:rsidRPr="001B1D99" w:rsidRDefault="00235D4B" w:rsidP="00813FF0">
            <w:pPr>
              <w:rPr>
                <w:sz w:val="20"/>
                <w:szCs w:val="20"/>
              </w:rPr>
            </w:pPr>
            <w:r w:rsidRPr="001B1D99">
              <w:rPr>
                <w:b/>
                <w:sz w:val="20"/>
                <w:szCs w:val="20"/>
              </w:rPr>
              <w:t>SGLT2</w:t>
            </w:r>
            <w:r w:rsidRPr="001B1D99">
              <w:rPr>
                <w:sz w:val="20"/>
                <w:szCs w:val="20"/>
              </w:rPr>
              <w:t xml:space="preserve"> + insulin + metformin (</w:t>
            </w:r>
            <w:proofErr w:type="spellStart"/>
            <w:r w:rsidRPr="001B1D99">
              <w:rPr>
                <w:sz w:val="20"/>
                <w:szCs w:val="20"/>
              </w:rPr>
              <w:t>dapa</w:t>
            </w:r>
            <w:proofErr w:type="spellEnd"/>
            <w:r w:rsidRPr="001B1D99">
              <w:rPr>
                <w:sz w:val="20"/>
                <w:szCs w:val="20"/>
              </w:rPr>
              <w:t xml:space="preserve"> Apr15, </w:t>
            </w:r>
            <w:proofErr w:type="spellStart"/>
            <w:r w:rsidRPr="001B1D99">
              <w:rPr>
                <w:sz w:val="20"/>
                <w:szCs w:val="20"/>
              </w:rPr>
              <w:t>empag</w:t>
            </w:r>
            <w:proofErr w:type="spellEnd"/>
            <w:r w:rsidRPr="001B1D99">
              <w:rPr>
                <w:sz w:val="20"/>
                <w:szCs w:val="20"/>
              </w:rPr>
              <w:t xml:space="preserve"> Mar16)</w:t>
            </w:r>
          </w:p>
          <w:p w:rsidR="00235D4B" w:rsidRPr="001B1D99" w:rsidRDefault="00235D4B" w:rsidP="00813FF0">
            <w:pPr>
              <w:rPr>
                <w:sz w:val="20"/>
                <w:szCs w:val="20"/>
              </w:rPr>
            </w:pPr>
            <w:r w:rsidRPr="001B1D99">
              <w:rPr>
                <w:b/>
                <w:sz w:val="20"/>
                <w:szCs w:val="20"/>
              </w:rPr>
              <w:t>SGLT2</w:t>
            </w:r>
            <w:r w:rsidRPr="001B1D99">
              <w:rPr>
                <w:sz w:val="20"/>
                <w:szCs w:val="20"/>
              </w:rPr>
              <w:t xml:space="preserve"> + insulin + SU (</w:t>
            </w:r>
            <w:proofErr w:type="spellStart"/>
            <w:r w:rsidRPr="001B1D99">
              <w:rPr>
                <w:sz w:val="20"/>
                <w:szCs w:val="20"/>
              </w:rPr>
              <w:t>dapa</w:t>
            </w:r>
            <w:proofErr w:type="spellEnd"/>
            <w:r w:rsidRPr="001B1D99">
              <w:rPr>
                <w:sz w:val="20"/>
                <w:szCs w:val="20"/>
              </w:rPr>
              <w:t xml:space="preserve"> Apr15, </w:t>
            </w:r>
            <w:proofErr w:type="spellStart"/>
            <w:r w:rsidRPr="001B1D99">
              <w:rPr>
                <w:sz w:val="20"/>
                <w:szCs w:val="20"/>
              </w:rPr>
              <w:t>empag</w:t>
            </w:r>
            <w:proofErr w:type="spellEnd"/>
            <w:r w:rsidRPr="001B1D99">
              <w:rPr>
                <w:sz w:val="20"/>
                <w:szCs w:val="20"/>
              </w:rPr>
              <w:t xml:space="preserve"> Mar16)</w:t>
            </w:r>
          </w:p>
          <w:p w:rsidR="00235D4B" w:rsidRPr="001B1D99" w:rsidRDefault="00235D4B" w:rsidP="00813FF0">
            <w:pPr>
              <w:rPr>
                <w:sz w:val="20"/>
                <w:szCs w:val="20"/>
              </w:rPr>
            </w:pPr>
            <w:r w:rsidRPr="001B1D99">
              <w:rPr>
                <w:b/>
                <w:sz w:val="20"/>
                <w:szCs w:val="20"/>
              </w:rPr>
              <w:t>SGLT2</w:t>
            </w:r>
            <w:r w:rsidRPr="001B1D99">
              <w:rPr>
                <w:sz w:val="20"/>
                <w:szCs w:val="20"/>
              </w:rPr>
              <w:t xml:space="preserve"> + insulin + </w:t>
            </w:r>
            <w:proofErr w:type="spellStart"/>
            <w:r w:rsidRPr="001B1D99">
              <w:rPr>
                <w:sz w:val="20"/>
                <w:szCs w:val="20"/>
              </w:rPr>
              <w:t>arcarbose</w:t>
            </w:r>
            <w:proofErr w:type="spellEnd"/>
            <w:r w:rsidRPr="001B1D99">
              <w:rPr>
                <w:sz w:val="20"/>
                <w:szCs w:val="20"/>
              </w:rPr>
              <w:t xml:space="preserve"> (</w:t>
            </w:r>
            <w:proofErr w:type="spellStart"/>
            <w:r w:rsidRPr="001B1D99">
              <w:rPr>
                <w:sz w:val="20"/>
                <w:szCs w:val="20"/>
              </w:rPr>
              <w:t>dapa</w:t>
            </w:r>
            <w:proofErr w:type="spellEnd"/>
            <w:r w:rsidRPr="001B1D99">
              <w:rPr>
                <w:sz w:val="20"/>
                <w:szCs w:val="20"/>
              </w:rPr>
              <w:t xml:space="preserve"> Apr15, </w:t>
            </w:r>
            <w:proofErr w:type="spellStart"/>
            <w:r w:rsidRPr="001B1D99">
              <w:rPr>
                <w:sz w:val="20"/>
                <w:szCs w:val="20"/>
              </w:rPr>
              <w:t>empag</w:t>
            </w:r>
            <w:proofErr w:type="spellEnd"/>
            <w:r w:rsidRPr="001B1D99">
              <w:rPr>
                <w:sz w:val="20"/>
                <w:szCs w:val="20"/>
              </w:rPr>
              <w:t xml:space="preserve"> Mar16)</w:t>
            </w:r>
          </w:p>
        </w:tc>
      </w:tr>
      <w:tr w:rsidR="00235D4B" w:rsidRPr="001B1D99" w:rsidTr="00CE518D">
        <w:trPr>
          <w:cantSplit/>
        </w:trPr>
        <w:tc>
          <w:tcPr>
            <w:tcW w:w="1605" w:type="dxa"/>
            <w:vAlign w:val="center"/>
          </w:tcPr>
          <w:p w:rsidR="00235D4B" w:rsidRPr="001B1D99" w:rsidRDefault="00235D4B" w:rsidP="00813FF0">
            <w:pPr>
              <w:rPr>
                <w:sz w:val="20"/>
                <w:szCs w:val="20"/>
              </w:rPr>
            </w:pPr>
            <w:r w:rsidRPr="001B1D99">
              <w:rPr>
                <w:sz w:val="20"/>
                <w:szCs w:val="20"/>
              </w:rPr>
              <w:lastRenderedPageBreak/>
              <w:t>Other combinations</w:t>
            </w:r>
          </w:p>
        </w:tc>
        <w:tc>
          <w:tcPr>
            <w:tcW w:w="3095" w:type="dxa"/>
            <w:vAlign w:val="center"/>
          </w:tcPr>
          <w:p w:rsidR="00235D4B" w:rsidRPr="001B1D99" w:rsidRDefault="00235D4B" w:rsidP="00813FF0">
            <w:pPr>
              <w:rPr>
                <w:sz w:val="20"/>
                <w:szCs w:val="20"/>
              </w:rPr>
            </w:pPr>
            <w:r w:rsidRPr="001B1D99">
              <w:rPr>
                <w:b/>
                <w:sz w:val="20"/>
                <w:szCs w:val="20"/>
              </w:rPr>
              <w:t xml:space="preserve">DPP-4 (excluding </w:t>
            </w:r>
            <w:proofErr w:type="spellStart"/>
            <w:r w:rsidRPr="001B1D99">
              <w:rPr>
                <w:b/>
                <w:sz w:val="20"/>
                <w:szCs w:val="20"/>
              </w:rPr>
              <w:t>alogliptin</w:t>
            </w:r>
            <w:proofErr w:type="spellEnd"/>
            <w:r w:rsidRPr="001B1D99">
              <w:rPr>
                <w:b/>
                <w:sz w:val="20"/>
                <w:szCs w:val="20"/>
              </w:rPr>
              <w:t xml:space="preserve">) </w:t>
            </w:r>
            <w:r w:rsidRPr="001B1D99">
              <w:rPr>
                <w:sz w:val="20"/>
                <w:szCs w:val="20"/>
              </w:rPr>
              <w:t xml:space="preserve">+ metformin + SU + </w:t>
            </w:r>
            <w:proofErr w:type="spellStart"/>
            <w:r w:rsidRPr="001B1D99">
              <w:rPr>
                <w:sz w:val="20"/>
                <w:szCs w:val="20"/>
              </w:rPr>
              <w:t>acarbose</w:t>
            </w:r>
            <w:proofErr w:type="spellEnd"/>
            <w:r w:rsidRPr="001B1D99">
              <w:rPr>
                <w:sz w:val="20"/>
                <w:szCs w:val="20"/>
              </w:rPr>
              <w:t xml:space="preserve"> (</w:t>
            </w:r>
            <w:proofErr w:type="spellStart"/>
            <w:r w:rsidRPr="001B1D99">
              <w:rPr>
                <w:sz w:val="20"/>
                <w:szCs w:val="20"/>
              </w:rPr>
              <w:t>sita</w:t>
            </w:r>
            <w:proofErr w:type="spellEnd"/>
            <w:r w:rsidRPr="001B1D99">
              <w:rPr>
                <w:sz w:val="20"/>
                <w:szCs w:val="20"/>
              </w:rPr>
              <w:t xml:space="preserve"> Dec15, </w:t>
            </w:r>
            <w:proofErr w:type="spellStart"/>
            <w:r w:rsidRPr="001B1D99">
              <w:rPr>
                <w:sz w:val="20"/>
                <w:szCs w:val="20"/>
              </w:rPr>
              <w:t>vilda</w:t>
            </w:r>
            <w:proofErr w:type="spellEnd"/>
            <w:r w:rsidRPr="001B1D99">
              <w:rPr>
                <w:sz w:val="20"/>
                <w:szCs w:val="20"/>
              </w:rPr>
              <w:t xml:space="preserve"> Sep16, </w:t>
            </w:r>
            <w:proofErr w:type="spellStart"/>
            <w:r w:rsidRPr="001B1D99">
              <w:rPr>
                <w:sz w:val="20"/>
                <w:szCs w:val="20"/>
              </w:rPr>
              <w:t>saxa</w:t>
            </w:r>
            <w:proofErr w:type="spellEnd"/>
            <w:r w:rsidRPr="001B1D99">
              <w:rPr>
                <w:sz w:val="20"/>
                <w:szCs w:val="20"/>
              </w:rPr>
              <w:t xml:space="preserve"> Dec15, </w:t>
            </w:r>
            <w:proofErr w:type="spellStart"/>
            <w:r w:rsidRPr="001B1D99">
              <w:rPr>
                <w:sz w:val="20"/>
                <w:szCs w:val="20"/>
              </w:rPr>
              <w:t>lina</w:t>
            </w:r>
            <w:proofErr w:type="spellEnd"/>
            <w:r w:rsidRPr="001B1D99">
              <w:rPr>
                <w:sz w:val="20"/>
                <w:szCs w:val="20"/>
              </w:rPr>
              <w:t xml:space="preserve"> Sep16)</w:t>
            </w:r>
          </w:p>
          <w:p w:rsidR="00235D4B" w:rsidRPr="001B1D99" w:rsidRDefault="00235D4B" w:rsidP="00813FF0">
            <w:pPr>
              <w:rPr>
                <w:sz w:val="20"/>
                <w:szCs w:val="20"/>
              </w:rPr>
            </w:pPr>
            <w:r w:rsidRPr="001B1D99">
              <w:rPr>
                <w:b/>
                <w:sz w:val="20"/>
                <w:szCs w:val="20"/>
              </w:rPr>
              <w:t>SGLT2</w:t>
            </w:r>
            <w:r w:rsidRPr="001B1D99">
              <w:rPr>
                <w:sz w:val="20"/>
                <w:szCs w:val="20"/>
              </w:rPr>
              <w:t xml:space="preserve"> + metformin + SU + </w:t>
            </w:r>
            <w:proofErr w:type="spellStart"/>
            <w:r w:rsidRPr="001B1D99">
              <w:rPr>
                <w:sz w:val="20"/>
                <w:szCs w:val="20"/>
              </w:rPr>
              <w:t>acarbose</w:t>
            </w:r>
            <w:proofErr w:type="spellEnd"/>
            <w:r w:rsidRPr="001B1D99">
              <w:rPr>
                <w:sz w:val="20"/>
                <w:szCs w:val="20"/>
              </w:rPr>
              <w:t xml:space="preserve"> (</w:t>
            </w:r>
            <w:proofErr w:type="spellStart"/>
            <w:r w:rsidRPr="001B1D99">
              <w:rPr>
                <w:sz w:val="20"/>
                <w:szCs w:val="20"/>
              </w:rPr>
              <w:t>dapa</w:t>
            </w:r>
            <w:proofErr w:type="spellEnd"/>
            <w:r w:rsidRPr="001B1D99">
              <w:rPr>
                <w:sz w:val="20"/>
                <w:szCs w:val="20"/>
              </w:rPr>
              <w:t xml:space="preserve"> Jul15, </w:t>
            </w:r>
            <w:proofErr w:type="spellStart"/>
            <w:r w:rsidRPr="001B1D99">
              <w:rPr>
                <w:sz w:val="20"/>
                <w:szCs w:val="20"/>
              </w:rPr>
              <w:t>empag</w:t>
            </w:r>
            <w:proofErr w:type="spellEnd"/>
            <w:r w:rsidRPr="001B1D99">
              <w:rPr>
                <w:sz w:val="20"/>
                <w:szCs w:val="20"/>
              </w:rPr>
              <w:t xml:space="preserve"> Mar16)</w:t>
            </w:r>
          </w:p>
          <w:p w:rsidR="00235D4B" w:rsidRPr="001B1D99" w:rsidRDefault="00235D4B" w:rsidP="00813FF0">
            <w:pPr>
              <w:rPr>
                <w:sz w:val="20"/>
                <w:szCs w:val="20"/>
              </w:rPr>
            </w:pPr>
          </w:p>
        </w:tc>
        <w:tc>
          <w:tcPr>
            <w:tcW w:w="5064" w:type="dxa"/>
            <w:vAlign w:val="center"/>
          </w:tcPr>
          <w:p w:rsidR="00235D4B" w:rsidRPr="001B1D99" w:rsidRDefault="00235D4B" w:rsidP="00813FF0">
            <w:pPr>
              <w:rPr>
                <w:sz w:val="20"/>
                <w:szCs w:val="20"/>
              </w:rPr>
            </w:pPr>
            <w:r w:rsidRPr="001B1D99">
              <w:rPr>
                <w:sz w:val="20"/>
                <w:szCs w:val="20"/>
              </w:rPr>
              <w:t xml:space="preserve">Metformin + </w:t>
            </w:r>
            <w:proofErr w:type="spellStart"/>
            <w:r w:rsidRPr="001B1D99">
              <w:rPr>
                <w:sz w:val="20"/>
                <w:szCs w:val="20"/>
              </w:rPr>
              <w:t>acarbose</w:t>
            </w:r>
            <w:proofErr w:type="spellEnd"/>
            <w:r w:rsidRPr="001B1D99">
              <w:rPr>
                <w:sz w:val="20"/>
                <w:szCs w:val="20"/>
              </w:rPr>
              <w:t xml:space="preserve"> + SU + insulin</w:t>
            </w:r>
          </w:p>
          <w:p w:rsidR="00235D4B" w:rsidRPr="001B1D99" w:rsidRDefault="00235D4B" w:rsidP="00813FF0">
            <w:pPr>
              <w:rPr>
                <w:sz w:val="20"/>
                <w:szCs w:val="20"/>
              </w:rPr>
            </w:pPr>
            <w:r w:rsidRPr="001B1D99">
              <w:rPr>
                <w:b/>
                <w:sz w:val="20"/>
                <w:szCs w:val="20"/>
              </w:rPr>
              <w:t>Pioglitazone</w:t>
            </w:r>
            <w:r w:rsidRPr="001B1D99">
              <w:rPr>
                <w:sz w:val="20"/>
                <w:szCs w:val="20"/>
              </w:rPr>
              <w:t xml:space="preserve"> + metformin + SU + insulin</w:t>
            </w:r>
          </w:p>
          <w:p w:rsidR="00235D4B" w:rsidRPr="001B1D99" w:rsidRDefault="00235D4B" w:rsidP="00813FF0">
            <w:pPr>
              <w:rPr>
                <w:sz w:val="20"/>
                <w:szCs w:val="20"/>
              </w:rPr>
            </w:pPr>
            <w:r w:rsidRPr="001B1D99">
              <w:rPr>
                <w:b/>
                <w:sz w:val="20"/>
                <w:szCs w:val="20"/>
              </w:rPr>
              <w:t>Pioglitazone</w:t>
            </w:r>
            <w:r w:rsidRPr="001B1D99">
              <w:rPr>
                <w:sz w:val="20"/>
                <w:szCs w:val="20"/>
              </w:rPr>
              <w:t xml:space="preserve"> + metformin + </w:t>
            </w:r>
            <w:proofErr w:type="spellStart"/>
            <w:r w:rsidRPr="001B1D99">
              <w:rPr>
                <w:sz w:val="20"/>
                <w:szCs w:val="20"/>
              </w:rPr>
              <w:t>acarbose</w:t>
            </w:r>
            <w:proofErr w:type="spellEnd"/>
            <w:r w:rsidRPr="001B1D99">
              <w:rPr>
                <w:sz w:val="20"/>
                <w:szCs w:val="20"/>
              </w:rPr>
              <w:t xml:space="preserve"> + insulin</w:t>
            </w:r>
          </w:p>
          <w:p w:rsidR="00235D4B" w:rsidRPr="001B1D99" w:rsidRDefault="00235D4B" w:rsidP="00813FF0">
            <w:pPr>
              <w:rPr>
                <w:sz w:val="20"/>
                <w:szCs w:val="20"/>
              </w:rPr>
            </w:pPr>
            <w:r w:rsidRPr="001B1D99">
              <w:rPr>
                <w:b/>
                <w:sz w:val="20"/>
                <w:szCs w:val="20"/>
              </w:rPr>
              <w:t>Pioglitazone</w:t>
            </w:r>
            <w:r w:rsidRPr="001B1D99">
              <w:rPr>
                <w:sz w:val="20"/>
                <w:szCs w:val="20"/>
              </w:rPr>
              <w:t xml:space="preserve"> + SU + </w:t>
            </w:r>
            <w:proofErr w:type="spellStart"/>
            <w:r w:rsidRPr="001B1D99">
              <w:rPr>
                <w:sz w:val="20"/>
                <w:szCs w:val="20"/>
              </w:rPr>
              <w:t>acarbose</w:t>
            </w:r>
            <w:proofErr w:type="spellEnd"/>
            <w:r w:rsidRPr="001B1D99">
              <w:rPr>
                <w:sz w:val="20"/>
                <w:szCs w:val="20"/>
              </w:rPr>
              <w:t xml:space="preserve"> + insulin</w:t>
            </w:r>
          </w:p>
          <w:p w:rsidR="00235D4B" w:rsidRPr="001B1D99" w:rsidRDefault="00235D4B" w:rsidP="00813FF0">
            <w:pPr>
              <w:rPr>
                <w:sz w:val="20"/>
                <w:szCs w:val="20"/>
              </w:rPr>
            </w:pPr>
            <w:r w:rsidRPr="001B1D99">
              <w:rPr>
                <w:b/>
                <w:sz w:val="20"/>
                <w:szCs w:val="20"/>
              </w:rPr>
              <w:t>Pioglitazone</w:t>
            </w:r>
            <w:r w:rsidRPr="001B1D99">
              <w:rPr>
                <w:sz w:val="20"/>
                <w:szCs w:val="20"/>
              </w:rPr>
              <w:t xml:space="preserve"> + metformin + SU + </w:t>
            </w:r>
            <w:proofErr w:type="spellStart"/>
            <w:r w:rsidRPr="001B1D99">
              <w:rPr>
                <w:sz w:val="20"/>
                <w:szCs w:val="20"/>
              </w:rPr>
              <w:t>acarbose</w:t>
            </w:r>
            <w:proofErr w:type="spellEnd"/>
            <w:r w:rsidRPr="001B1D99">
              <w:rPr>
                <w:sz w:val="20"/>
                <w:szCs w:val="20"/>
              </w:rPr>
              <w:t xml:space="preserve"> + insulin</w:t>
            </w:r>
          </w:p>
          <w:p w:rsidR="00235D4B" w:rsidRPr="001B1D99" w:rsidRDefault="00235D4B" w:rsidP="00813FF0">
            <w:pPr>
              <w:rPr>
                <w:sz w:val="20"/>
                <w:szCs w:val="20"/>
              </w:rPr>
            </w:pPr>
            <w:proofErr w:type="spellStart"/>
            <w:r w:rsidRPr="001B1D99">
              <w:rPr>
                <w:b/>
                <w:sz w:val="20"/>
                <w:szCs w:val="20"/>
              </w:rPr>
              <w:t>Exenatide</w:t>
            </w:r>
            <w:proofErr w:type="spellEnd"/>
            <w:r w:rsidRPr="001B1D99">
              <w:rPr>
                <w:sz w:val="20"/>
                <w:szCs w:val="20"/>
              </w:rPr>
              <w:t xml:space="preserve"> + insulin + metformin + SU (Oct 15)</w:t>
            </w:r>
          </w:p>
          <w:p w:rsidR="00235D4B" w:rsidRPr="001B1D99" w:rsidRDefault="00235D4B" w:rsidP="00813FF0">
            <w:pPr>
              <w:rPr>
                <w:sz w:val="20"/>
                <w:szCs w:val="20"/>
              </w:rPr>
            </w:pPr>
            <w:proofErr w:type="spellStart"/>
            <w:r w:rsidRPr="001B1D99">
              <w:rPr>
                <w:b/>
                <w:sz w:val="20"/>
                <w:szCs w:val="20"/>
              </w:rPr>
              <w:t>Exenatide</w:t>
            </w:r>
            <w:proofErr w:type="spellEnd"/>
            <w:r w:rsidRPr="001B1D99">
              <w:rPr>
                <w:sz w:val="20"/>
                <w:szCs w:val="20"/>
              </w:rPr>
              <w:t xml:space="preserve"> + insulin + metformin + </w:t>
            </w:r>
            <w:proofErr w:type="spellStart"/>
            <w:r w:rsidRPr="001B1D99">
              <w:rPr>
                <w:sz w:val="20"/>
                <w:szCs w:val="20"/>
              </w:rPr>
              <w:t>acarbose</w:t>
            </w:r>
            <w:proofErr w:type="spellEnd"/>
            <w:r w:rsidRPr="001B1D99">
              <w:rPr>
                <w:sz w:val="20"/>
                <w:szCs w:val="20"/>
              </w:rPr>
              <w:t xml:space="preserve"> (Oct 15)</w:t>
            </w:r>
          </w:p>
          <w:p w:rsidR="00560366" w:rsidRPr="001B1D99" w:rsidRDefault="009A2C72" w:rsidP="00813FF0">
            <w:pPr>
              <w:rPr>
                <w:sz w:val="20"/>
                <w:szCs w:val="20"/>
              </w:rPr>
            </w:pPr>
            <w:proofErr w:type="spellStart"/>
            <w:r w:rsidRPr="001B1D99">
              <w:rPr>
                <w:b/>
                <w:sz w:val="20"/>
                <w:szCs w:val="20"/>
              </w:rPr>
              <w:t>Exenatide</w:t>
            </w:r>
            <w:proofErr w:type="spellEnd"/>
            <w:r w:rsidRPr="001B1D99">
              <w:rPr>
                <w:sz w:val="20"/>
                <w:szCs w:val="20"/>
              </w:rPr>
              <w:t xml:space="preserve"> + </w:t>
            </w:r>
            <w:r w:rsidR="00235D4B" w:rsidRPr="001B1D99">
              <w:rPr>
                <w:sz w:val="20"/>
                <w:szCs w:val="20"/>
              </w:rPr>
              <w:t xml:space="preserve">insulin + metformin + SU + </w:t>
            </w:r>
            <w:proofErr w:type="spellStart"/>
            <w:r w:rsidR="00235D4B" w:rsidRPr="001B1D99">
              <w:rPr>
                <w:sz w:val="20"/>
                <w:szCs w:val="20"/>
              </w:rPr>
              <w:t>acarbose</w:t>
            </w:r>
            <w:proofErr w:type="spellEnd"/>
            <w:r w:rsidR="00235D4B" w:rsidRPr="001B1D99">
              <w:rPr>
                <w:sz w:val="20"/>
                <w:szCs w:val="20"/>
              </w:rPr>
              <w:t xml:space="preserve"> (Oct 15)</w:t>
            </w:r>
          </w:p>
          <w:p w:rsidR="00560366" w:rsidRPr="001B1D99" w:rsidRDefault="00560366" w:rsidP="00813FF0">
            <w:pPr>
              <w:rPr>
                <w:sz w:val="20"/>
                <w:szCs w:val="20"/>
              </w:rPr>
            </w:pPr>
            <w:r w:rsidRPr="001B1D99">
              <w:rPr>
                <w:b/>
                <w:sz w:val="20"/>
                <w:szCs w:val="20"/>
              </w:rPr>
              <w:t xml:space="preserve">DPP-4 </w:t>
            </w:r>
            <w:r w:rsidR="00235D4B" w:rsidRPr="001B1D99">
              <w:rPr>
                <w:b/>
                <w:sz w:val="20"/>
                <w:szCs w:val="20"/>
              </w:rPr>
              <w:t>(</w:t>
            </w:r>
            <w:proofErr w:type="spellStart"/>
            <w:r w:rsidR="00235D4B" w:rsidRPr="001B1D99">
              <w:rPr>
                <w:b/>
                <w:sz w:val="20"/>
                <w:szCs w:val="20"/>
              </w:rPr>
              <w:t>sitaglitin</w:t>
            </w:r>
            <w:proofErr w:type="spellEnd"/>
            <w:r w:rsidR="00235D4B" w:rsidRPr="001B1D99">
              <w:rPr>
                <w:b/>
                <w:sz w:val="20"/>
                <w:szCs w:val="20"/>
              </w:rPr>
              <w:t xml:space="preserve"> and </w:t>
            </w:r>
            <w:proofErr w:type="spellStart"/>
            <w:r w:rsidR="00235D4B" w:rsidRPr="001B1D99">
              <w:rPr>
                <w:b/>
                <w:sz w:val="20"/>
                <w:szCs w:val="20"/>
              </w:rPr>
              <w:t>linagliptin</w:t>
            </w:r>
            <w:proofErr w:type="spellEnd"/>
            <w:r w:rsidR="00235D4B" w:rsidRPr="001B1D99">
              <w:rPr>
                <w:b/>
                <w:sz w:val="20"/>
                <w:szCs w:val="20"/>
              </w:rPr>
              <w:t xml:space="preserve"> only) </w:t>
            </w:r>
            <w:r w:rsidR="00235D4B" w:rsidRPr="001B1D99">
              <w:rPr>
                <w:sz w:val="20"/>
                <w:szCs w:val="20"/>
              </w:rPr>
              <w:t>+ insulin + metformin + SU (</w:t>
            </w:r>
            <w:proofErr w:type="spellStart"/>
            <w:r w:rsidR="00235D4B" w:rsidRPr="001B1D99">
              <w:rPr>
                <w:sz w:val="20"/>
                <w:szCs w:val="20"/>
              </w:rPr>
              <w:t>sita</w:t>
            </w:r>
            <w:proofErr w:type="spellEnd"/>
            <w:r w:rsidR="00235D4B" w:rsidRPr="001B1D99">
              <w:rPr>
                <w:sz w:val="20"/>
                <w:szCs w:val="20"/>
              </w:rPr>
              <w:t xml:space="preserve"> Oct16, </w:t>
            </w:r>
            <w:proofErr w:type="spellStart"/>
            <w:r w:rsidR="00235D4B" w:rsidRPr="001B1D99">
              <w:rPr>
                <w:sz w:val="20"/>
                <w:szCs w:val="20"/>
              </w:rPr>
              <w:t>lina</w:t>
            </w:r>
            <w:proofErr w:type="spellEnd"/>
            <w:r w:rsidR="00235D4B" w:rsidRPr="001B1D99">
              <w:rPr>
                <w:sz w:val="20"/>
                <w:szCs w:val="20"/>
              </w:rPr>
              <w:t xml:space="preserve"> Oct16)</w:t>
            </w:r>
          </w:p>
          <w:p w:rsidR="00235D4B" w:rsidRPr="001B1D99" w:rsidRDefault="00235D4B" w:rsidP="00813FF0">
            <w:pPr>
              <w:rPr>
                <w:sz w:val="20"/>
                <w:szCs w:val="20"/>
              </w:rPr>
            </w:pPr>
            <w:r w:rsidRPr="001B1D99">
              <w:rPr>
                <w:b/>
                <w:sz w:val="20"/>
                <w:szCs w:val="20"/>
              </w:rPr>
              <w:t>DPP-4 (</w:t>
            </w:r>
            <w:proofErr w:type="spellStart"/>
            <w:r w:rsidRPr="001B1D99">
              <w:rPr>
                <w:b/>
                <w:sz w:val="20"/>
                <w:szCs w:val="20"/>
              </w:rPr>
              <w:t>sitaglitin</w:t>
            </w:r>
            <w:proofErr w:type="spellEnd"/>
            <w:r w:rsidRPr="001B1D99">
              <w:rPr>
                <w:b/>
                <w:sz w:val="20"/>
                <w:szCs w:val="20"/>
              </w:rPr>
              <w:t xml:space="preserve"> and </w:t>
            </w:r>
            <w:proofErr w:type="spellStart"/>
            <w:r w:rsidRPr="001B1D99">
              <w:rPr>
                <w:b/>
                <w:sz w:val="20"/>
                <w:szCs w:val="20"/>
              </w:rPr>
              <w:t>linagliptin</w:t>
            </w:r>
            <w:proofErr w:type="spellEnd"/>
            <w:r w:rsidRPr="001B1D99">
              <w:rPr>
                <w:b/>
                <w:sz w:val="20"/>
                <w:szCs w:val="20"/>
              </w:rPr>
              <w:t xml:space="preserve"> only) </w:t>
            </w:r>
            <w:r w:rsidRPr="001B1D99">
              <w:rPr>
                <w:sz w:val="20"/>
                <w:szCs w:val="20"/>
              </w:rPr>
              <w:t xml:space="preserve">+ insulin + metformin + </w:t>
            </w:r>
            <w:proofErr w:type="spellStart"/>
            <w:r w:rsidRPr="001B1D99">
              <w:rPr>
                <w:sz w:val="20"/>
                <w:szCs w:val="20"/>
              </w:rPr>
              <w:t>acarbose</w:t>
            </w:r>
            <w:proofErr w:type="spellEnd"/>
            <w:r w:rsidRPr="001B1D99">
              <w:rPr>
                <w:sz w:val="20"/>
                <w:szCs w:val="20"/>
              </w:rPr>
              <w:t xml:space="preserve"> (</w:t>
            </w:r>
            <w:proofErr w:type="spellStart"/>
            <w:r w:rsidRPr="001B1D99">
              <w:rPr>
                <w:sz w:val="20"/>
                <w:szCs w:val="20"/>
              </w:rPr>
              <w:t>sita</w:t>
            </w:r>
            <w:proofErr w:type="spellEnd"/>
            <w:r w:rsidRPr="001B1D99">
              <w:rPr>
                <w:sz w:val="20"/>
                <w:szCs w:val="20"/>
              </w:rPr>
              <w:t xml:space="preserve"> Oct16, </w:t>
            </w:r>
            <w:proofErr w:type="spellStart"/>
            <w:r w:rsidRPr="001B1D99">
              <w:rPr>
                <w:sz w:val="20"/>
                <w:szCs w:val="20"/>
              </w:rPr>
              <w:t>lina</w:t>
            </w:r>
            <w:proofErr w:type="spellEnd"/>
            <w:r w:rsidRPr="001B1D99">
              <w:rPr>
                <w:sz w:val="20"/>
                <w:szCs w:val="20"/>
              </w:rPr>
              <w:t xml:space="preserve"> Oct16)</w:t>
            </w:r>
          </w:p>
          <w:p w:rsidR="00235D4B" w:rsidRPr="001B1D99" w:rsidRDefault="00235D4B" w:rsidP="00813FF0">
            <w:pPr>
              <w:rPr>
                <w:sz w:val="20"/>
                <w:szCs w:val="20"/>
              </w:rPr>
            </w:pPr>
            <w:r w:rsidRPr="001B1D99">
              <w:rPr>
                <w:b/>
                <w:sz w:val="20"/>
                <w:szCs w:val="20"/>
              </w:rPr>
              <w:t>DPP-4 (</w:t>
            </w:r>
            <w:proofErr w:type="spellStart"/>
            <w:r w:rsidRPr="001B1D99">
              <w:rPr>
                <w:b/>
                <w:sz w:val="20"/>
                <w:szCs w:val="20"/>
              </w:rPr>
              <w:t>sitaglitin</w:t>
            </w:r>
            <w:proofErr w:type="spellEnd"/>
            <w:r w:rsidRPr="001B1D99">
              <w:rPr>
                <w:b/>
                <w:sz w:val="20"/>
                <w:szCs w:val="20"/>
              </w:rPr>
              <w:t xml:space="preserve"> and </w:t>
            </w:r>
            <w:proofErr w:type="spellStart"/>
            <w:r w:rsidRPr="001B1D99">
              <w:rPr>
                <w:b/>
                <w:sz w:val="20"/>
                <w:szCs w:val="20"/>
              </w:rPr>
              <w:t>linagliptin</w:t>
            </w:r>
            <w:proofErr w:type="spellEnd"/>
            <w:r w:rsidRPr="001B1D99">
              <w:rPr>
                <w:b/>
                <w:sz w:val="20"/>
                <w:szCs w:val="20"/>
              </w:rPr>
              <w:t xml:space="preserve"> only) </w:t>
            </w:r>
            <w:r w:rsidRPr="001B1D99">
              <w:rPr>
                <w:sz w:val="20"/>
                <w:szCs w:val="20"/>
              </w:rPr>
              <w:t xml:space="preserve">+ insulin + </w:t>
            </w:r>
            <w:proofErr w:type="spellStart"/>
            <w:r w:rsidRPr="001B1D99">
              <w:rPr>
                <w:sz w:val="20"/>
                <w:szCs w:val="20"/>
              </w:rPr>
              <w:t>acarbose</w:t>
            </w:r>
            <w:proofErr w:type="spellEnd"/>
            <w:r w:rsidRPr="001B1D99">
              <w:rPr>
                <w:sz w:val="20"/>
                <w:szCs w:val="20"/>
              </w:rPr>
              <w:t xml:space="preserve"> + SU (</w:t>
            </w:r>
            <w:proofErr w:type="spellStart"/>
            <w:r w:rsidRPr="001B1D99">
              <w:rPr>
                <w:sz w:val="20"/>
                <w:szCs w:val="20"/>
              </w:rPr>
              <w:t>sita</w:t>
            </w:r>
            <w:proofErr w:type="spellEnd"/>
            <w:r w:rsidRPr="001B1D99">
              <w:rPr>
                <w:sz w:val="20"/>
                <w:szCs w:val="20"/>
              </w:rPr>
              <w:t xml:space="preserve"> Oct16, </w:t>
            </w:r>
            <w:proofErr w:type="spellStart"/>
            <w:r w:rsidRPr="001B1D99">
              <w:rPr>
                <w:sz w:val="20"/>
                <w:szCs w:val="20"/>
              </w:rPr>
              <w:t>lina</w:t>
            </w:r>
            <w:proofErr w:type="spellEnd"/>
            <w:r w:rsidRPr="001B1D99">
              <w:rPr>
                <w:sz w:val="20"/>
                <w:szCs w:val="20"/>
              </w:rPr>
              <w:t xml:space="preserve"> Oct16)</w:t>
            </w:r>
          </w:p>
          <w:p w:rsidR="00235D4B" w:rsidRPr="001B1D99" w:rsidRDefault="00235D4B" w:rsidP="00813FF0">
            <w:pPr>
              <w:rPr>
                <w:sz w:val="20"/>
                <w:szCs w:val="20"/>
              </w:rPr>
            </w:pPr>
            <w:r w:rsidRPr="001B1D99">
              <w:rPr>
                <w:b/>
                <w:sz w:val="20"/>
                <w:szCs w:val="20"/>
              </w:rPr>
              <w:t>DPP-4 (</w:t>
            </w:r>
            <w:proofErr w:type="spellStart"/>
            <w:r w:rsidRPr="001B1D99">
              <w:rPr>
                <w:b/>
                <w:sz w:val="20"/>
                <w:szCs w:val="20"/>
              </w:rPr>
              <w:t>sitaglitin</w:t>
            </w:r>
            <w:proofErr w:type="spellEnd"/>
            <w:r w:rsidRPr="001B1D99">
              <w:rPr>
                <w:b/>
                <w:sz w:val="20"/>
                <w:szCs w:val="20"/>
              </w:rPr>
              <w:t xml:space="preserve"> and </w:t>
            </w:r>
            <w:proofErr w:type="spellStart"/>
            <w:r w:rsidRPr="001B1D99">
              <w:rPr>
                <w:b/>
                <w:sz w:val="20"/>
                <w:szCs w:val="20"/>
              </w:rPr>
              <w:t>linagliptin</w:t>
            </w:r>
            <w:proofErr w:type="spellEnd"/>
            <w:r w:rsidRPr="001B1D99">
              <w:rPr>
                <w:b/>
                <w:sz w:val="20"/>
                <w:szCs w:val="20"/>
              </w:rPr>
              <w:t xml:space="preserve"> only) </w:t>
            </w:r>
            <w:r w:rsidRPr="001B1D99">
              <w:rPr>
                <w:sz w:val="20"/>
                <w:szCs w:val="20"/>
              </w:rPr>
              <w:t xml:space="preserve">+ insulin + metformin + SU + </w:t>
            </w:r>
            <w:proofErr w:type="spellStart"/>
            <w:r w:rsidRPr="001B1D99">
              <w:rPr>
                <w:sz w:val="20"/>
                <w:szCs w:val="20"/>
              </w:rPr>
              <w:t>acarbose</w:t>
            </w:r>
            <w:proofErr w:type="spellEnd"/>
            <w:r w:rsidRPr="001B1D99">
              <w:rPr>
                <w:sz w:val="20"/>
                <w:szCs w:val="20"/>
              </w:rPr>
              <w:t xml:space="preserve"> (</w:t>
            </w:r>
            <w:proofErr w:type="spellStart"/>
            <w:r w:rsidRPr="001B1D99">
              <w:rPr>
                <w:sz w:val="20"/>
                <w:szCs w:val="20"/>
              </w:rPr>
              <w:t>sita</w:t>
            </w:r>
            <w:proofErr w:type="spellEnd"/>
            <w:r w:rsidRPr="001B1D99">
              <w:rPr>
                <w:sz w:val="20"/>
                <w:szCs w:val="20"/>
              </w:rPr>
              <w:t xml:space="preserve"> Oct16, </w:t>
            </w:r>
            <w:proofErr w:type="spellStart"/>
            <w:r w:rsidRPr="001B1D99">
              <w:rPr>
                <w:sz w:val="20"/>
                <w:szCs w:val="20"/>
              </w:rPr>
              <w:t>lina</w:t>
            </w:r>
            <w:proofErr w:type="spellEnd"/>
            <w:r w:rsidRPr="001B1D99">
              <w:rPr>
                <w:sz w:val="20"/>
                <w:szCs w:val="20"/>
              </w:rPr>
              <w:t xml:space="preserve"> Oct16)</w:t>
            </w:r>
          </w:p>
          <w:p w:rsidR="00235D4B" w:rsidRPr="001B1D99" w:rsidRDefault="00235D4B" w:rsidP="00813FF0">
            <w:pPr>
              <w:rPr>
                <w:sz w:val="20"/>
                <w:szCs w:val="20"/>
              </w:rPr>
            </w:pPr>
            <w:r w:rsidRPr="001B1D99">
              <w:rPr>
                <w:b/>
                <w:sz w:val="20"/>
                <w:szCs w:val="20"/>
              </w:rPr>
              <w:t>SGLT2</w:t>
            </w:r>
            <w:r w:rsidRPr="001B1D99">
              <w:rPr>
                <w:sz w:val="20"/>
                <w:szCs w:val="20"/>
              </w:rPr>
              <w:t xml:space="preserve"> + insulin + metformin + SU (</w:t>
            </w:r>
            <w:proofErr w:type="spellStart"/>
            <w:r w:rsidRPr="001B1D99">
              <w:rPr>
                <w:sz w:val="20"/>
                <w:szCs w:val="20"/>
              </w:rPr>
              <w:t>dapa</w:t>
            </w:r>
            <w:proofErr w:type="spellEnd"/>
            <w:r w:rsidRPr="001B1D99">
              <w:rPr>
                <w:sz w:val="20"/>
                <w:szCs w:val="20"/>
              </w:rPr>
              <w:t xml:space="preserve"> Apr15, </w:t>
            </w:r>
            <w:proofErr w:type="spellStart"/>
            <w:r w:rsidRPr="001B1D99">
              <w:rPr>
                <w:sz w:val="20"/>
                <w:szCs w:val="20"/>
              </w:rPr>
              <w:t>empag</w:t>
            </w:r>
            <w:proofErr w:type="spellEnd"/>
            <w:r w:rsidRPr="001B1D99">
              <w:rPr>
                <w:sz w:val="20"/>
                <w:szCs w:val="20"/>
              </w:rPr>
              <w:t xml:space="preserve"> Mar16)</w:t>
            </w:r>
          </w:p>
          <w:p w:rsidR="00235D4B" w:rsidRPr="001B1D99" w:rsidRDefault="00235D4B" w:rsidP="00813FF0">
            <w:pPr>
              <w:rPr>
                <w:sz w:val="20"/>
                <w:szCs w:val="20"/>
              </w:rPr>
            </w:pPr>
            <w:r w:rsidRPr="001B1D99">
              <w:rPr>
                <w:b/>
                <w:sz w:val="20"/>
                <w:szCs w:val="20"/>
              </w:rPr>
              <w:t>SGLT2</w:t>
            </w:r>
            <w:r w:rsidRPr="001B1D99">
              <w:rPr>
                <w:sz w:val="20"/>
                <w:szCs w:val="20"/>
              </w:rPr>
              <w:t xml:space="preserve"> + insulin + metformin  + </w:t>
            </w:r>
            <w:proofErr w:type="spellStart"/>
            <w:r w:rsidRPr="001B1D99">
              <w:rPr>
                <w:sz w:val="20"/>
                <w:szCs w:val="20"/>
              </w:rPr>
              <w:t>acarbose</w:t>
            </w:r>
            <w:proofErr w:type="spellEnd"/>
            <w:r w:rsidRPr="001B1D99">
              <w:rPr>
                <w:sz w:val="20"/>
                <w:szCs w:val="20"/>
              </w:rPr>
              <w:t xml:space="preserve"> (</w:t>
            </w:r>
            <w:proofErr w:type="spellStart"/>
            <w:r w:rsidRPr="001B1D99">
              <w:rPr>
                <w:sz w:val="20"/>
                <w:szCs w:val="20"/>
              </w:rPr>
              <w:t>dapa</w:t>
            </w:r>
            <w:proofErr w:type="spellEnd"/>
            <w:r w:rsidRPr="001B1D99">
              <w:rPr>
                <w:sz w:val="20"/>
                <w:szCs w:val="20"/>
              </w:rPr>
              <w:t xml:space="preserve"> Apr15, </w:t>
            </w:r>
            <w:proofErr w:type="spellStart"/>
            <w:r w:rsidRPr="001B1D99">
              <w:rPr>
                <w:sz w:val="20"/>
                <w:szCs w:val="20"/>
              </w:rPr>
              <w:t>empag</w:t>
            </w:r>
            <w:proofErr w:type="spellEnd"/>
            <w:r w:rsidRPr="001B1D99">
              <w:rPr>
                <w:sz w:val="20"/>
                <w:szCs w:val="20"/>
              </w:rPr>
              <w:t xml:space="preserve"> Mar16)</w:t>
            </w:r>
          </w:p>
          <w:p w:rsidR="00235D4B" w:rsidRPr="001B1D99" w:rsidRDefault="00235D4B" w:rsidP="00813FF0">
            <w:pPr>
              <w:rPr>
                <w:sz w:val="20"/>
                <w:szCs w:val="20"/>
              </w:rPr>
            </w:pPr>
            <w:r w:rsidRPr="001B1D99">
              <w:rPr>
                <w:b/>
                <w:sz w:val="20"/>
                <w:szCs w:val="20"/>
              </w:rPr>
              <w:t>SGLT2</w:t>
            </w:r>
            <w:r w:rsidRPr="001B1D99">
              <w:rPr>
                <w:sz w:val="20"/>
                <w:szCs w:val="20"/>
              </w:rPr>
              <w:t xml:space="preserve"> + insulin + SU + </w:t>
            </w:r>
            <w:proofErr w:type="spellStart"/>
            <w:r w:rsidRPr="001B1D99">
              <w:rPr>
                <w:sz w:val="20"/>
                <w:szCs w:val="20"/>
              </w:rPr>
              <w:t>acarbose</w:t>
            </w:r>
            <w:proofErr w:type="spellEnd"/>
            <w:r w:rsidRPr="001B1D99">
              <w:rPr>
                <w:sz w:val="20"/>
                <w:szCs w:val="20"/>
              </w:rPr>
              <w:t xml:space="preserve"> (</w:t>
            </w:r>
            <w:proofErr w:type="spellStart"/>
            <w:r w:rsidRPr="001B1D99">
              <w:rPr>
                <w:sz w:val="20"/>
                <w:szCs w:val="20"/>
              </w:rPr>
              <w:t>dapa</w:t>
            </w:r>
            <w:proofErr w:type="spellEnd"/>
            <w:r w:rsidRPr="001B1D99">
              <w:rPr>
                <w:sz w:val="20"/>
                <w:szCs w:val="20"/>
              </w:rPr>
              <w:t xml:space="preserve"> Apr15, </w:t>
            </w:r>
            <w:proofErr w:type="spellStart"/>
            <w:r w:rsidRPr="001B1D99">
              <w:rPr>
                <w:sz w:val="20"/>
                <w:szCs w:val="20"/>
              </w:rPr>
              <w:t>empag</w:t>
            </w:r>
            <w:proofErr w:type="spellEnd"/>
            <w:r w:rsidRPr="001B1D99">
              <w:rPr>
                <w:sz w:val="20"/>
                <w:szCs w:val="20"/>
              </w:rPr>
              <w:t xml:space="preserve"> Mar16)</w:t>
            </w:r>
          </w:p>
          <w:p w:rsidR="00235D4B" w:rsidRPr="001B1D99" w:rsidRDefault="00235D4B" w:rsidP="00813FF0">
            <w:pPr>
              <w:rPr>
                <w:sz w:val="20"/>
                <w:szCs w:val="20"/>
              </w:rPr>
            </w:pPr>
            <w:r w:rsidRPr="001B1D99">
              <w:rPr>
                <w:b/>
                <w:sz w:val="20"/>
                <w:szCs w:val="20"/>
              </w:rPr>
              <w:t>SGLT2</w:t>
            </w:r>
            <w:r w:rsidRPr="001B1D99">
              <w:rPr>
                <w:sz w:val="20"/>
                <w:szCs w:val="20"/>
              </w:rPr>
              <w:t xml:space="preserve"> + insulin + metformin + SU + </w:t>
            </w:r>
            <w:proofErr w:type="spellStart"/>
            <w:r w:rsidRPr="001B1D99">
              <w:rPr>
                <w:sz w:val="20"/>
                <w:szCs w:val="20"/>
              </w:rPr>
              <w:t>acarbose</w:t>
            </w:r>
            <w:proofErr w:type="spellEnd"/>
            <w:r w:rsidRPr="001B1D99">
              <w:rPr>
                <w:sz w:val="20"/>
                <w:szCs w:val="20"/>
              </w:rPr>
              <w:t>(</w:t>
            </w:r>
            <w:proofErr w:type="spellStart"/>
            <w:r w:rsidRPr="001B1D99">
              <w:rPr>
                <w:sz w:val="20"/>
                <w:szCs w:val="20"/>
              </w:rPr>
              <w:t>dapa</w:t>
            </w:r>
            <w:proofErr w:type="spellEnd"/>
            <w:r w:rsidRPr="001B1D99">
              <w:rPr>
                <w:sz w:val="20"/>
                <w:szCs w:val="20"/>
              </w:rPr>
              <w:t xml:space="preserve"> Apr15, </w:t>
            </w:r>
            <w:proofErr w:type="spellStart"/>
            <w:r w:rsidRPr="001B1D99">
              <w:rPr>
                <w:sz w:val="20"/>
                <w:szCs w:val="20"/>
              </w:rPr>
              <w:t>empag</w:t>
            </w:r>
            <w:proofErr w:type="spellEnd"/>
            <w:r w:rsidRPr="001B1D99">
              <w:rPr>
                <w:sz w:val="20"/>
                <w:szCs w:val="20"/>
              </w:rPr>
              <w:t xml:space="preserve"> Mar16)</w:t>
            </w:r>
          </w:p>
          <w:p w:rsidR="00235D4B" w:rsidRPr="001B1D99" w:rsidRDefault="00235D4B" w:rsidP="00813FF0">
            <w:pPr>
              <w:rPr>
                <w:sz w:val="20"/>
                <w:szCs w:val="20"/>
              </w:rPr>
            </w:pPr>
          </w:p>
        </w:tc>
      </w:tr>
    </w:tbl>
    <w:p w:rsidR="00235D4B" w:rsidRPr="001B1D99" w:rsidRDefault="00235D4B" w:rsidP="00813FF0">
      <w:pPr>
        <w:rPr>
          <w:sz w:val="20"/>
          <w:szCs w:val="20"/>
          <w:lang w:val="en-US"/>
        </w:rPr>
      </w:pPr>
      <w:r w:rsidRPr="001B1D99">
        <w:rPr>
          <w:sz w:val="20"/>
          <w:szCs w:val="20"/>
          <w:u w:val="single"/>
          <w:lang w:val="en-US"/>
        </w:rPr>
        <w:t>Abbreviations</w:t>
      </w:r>
      <w:r w:rsidRPr="001B1D99">
        <w:rPr>
          <w:sz w:val="20"/>
          <w:szCs w:val="20"/>
          <w:lang w:val="en-US"/>
        </w:rPr>
        <w:t>: DPP-4 = DPP-4 inhibitor; SGLT2 = SGLT2 inhibitor; and SU = sulfonylurea.</w:t>
      </w:r>
    </w:p>
    <w:p w:rsidR="00235D4B" w:rsidRPr="001B1D99" w:rsidRDefault="00235D4B" w:rsidP="00813FF0">
      <w:pPr>
        <w:rPr>
          <w:b/>
          <w:sz w:val="20"/>
          <w:szCs w:val="20"/>
          <w:lang w:val="en-US"/>
        </w:rPr>
      </w:pPr>
      <w:r w:rsidRPr="001B1D99">
        <w:rPr>
          <w:sz w:val="20"/>
          <w:szCs w:val="20"/>
          <w:u w:val="single"/>
          <w:lang w:val="en-US"/>
        </w:rPr>
        <w:t>Notes</w:t>
      </w:r>
      <w:r w:rsidRPr="001B1D99">
        <w:rPr>
          <w:sz w:val="20"/>
          <w:szCs w:val="20"/>
          <w:lang w:val="en-US"/>
        </w:rPr>
        <w:t xml:space="preserve">: </w:t>
      </w:r>
      <w:r w:rsidR="00CE518D" w:rsidRPr="001B1D99">
        <w:rPr>
          <w:sz w:val="20"/>
          <w:szCs w:val="20"/>
          <w:lang w:val="en-US"/>
        </w:rPr>
        <w:br/>
      </w:r>
      <w:r w:rsidR="00CE518D" w:rsidRPr="001B1D99">
        <w:rPr>
          <w:sz w:val="20"/>
          <w:szCs w:val="20"/>
        </w:rPr>
        <w:t>* the information in brackets refers to individual drugs and PBS listing dates within the drug group</w:t>
      </w:r>
      <w:r w:rsidR="00CE518D" w:rsidRPr="001B1D99">
        <w:rPr>
          <w:b/>
          <w:sz w:val="20"/>
          <w:szCs w:val="20"/>
          <w:lang w:val="en-US"/>
        </w:rPr>
        <w:t>.</w:t>
      </w:r>
      <w:r w:rsidR="002D6F33" w:rsidRPr="001B1D99">
        <w:rPr>
          <w:b/>
          <w:sz w:val="20"/>
          <w:szCs w:val="20"/>
          <w:lang w:val="en-US"/>
        </w:rPr>
        <w:t xml:space="preserve"> </w:t>
      </w:r>
      <w:r w:rsidRPr="001B1D99">
        <w:rPr>
          <w:b/>
          <w:sz w:val="20"/>
          <w:szCs w:val="20"/>
          <w:lang w:val="en-US"/>
        </w:rPr>
        <w:t>Bolded</w:t>
      </w:r>
      <w:r w:rsidRPr="001B1D99">
        <w:rPr>
          <w:sz w:val="20"/>
          <w:szCs w:val="20"/>
          <w:lang w:val="en-US"/>
        </w:rPr>
        <w:t xml:space="preserve"> medications represent the newer agents with restrictions. TZDs include pioglitazone and rosiglitazone. DPP-4 inhibitors include </w:t>
      </w:r>
      <w:proofErr w:type="spellStart"/>
      <w:r w:rsidRPr="001B1D99">
        <w:rPr>
          <w:sz w:val="20"/>
          <w:szCs w:val="20"/>
          <w:lang w:val="en-US"/>
        </w:rPr>
        <w:t>linagliptin</w:t>
      </w:r>
      <w:proofErr w:type="spellEnd"/>
      <w:r w:rsidRPr="001B1D99">
        <w:rPr>
          <w:sz w:val="20"/>
          <w:szCs w:val="20"/>
          <w:lang w:val="en-US"/>
        </w:rPr>
        <w:t xml:space="preserve">, </w:t>
      </w:r>
      <w:proofErr w:type="spellStart"/>
      <w:r w:rsidRPr="001B1D99">
        <w:rPr>
          <w:sz w:val="20"/>
          <w:szCs w:val="20"/>
          <w:lang w:val="en-US"/>
        </w:rPr>
        <w:t>saxagliptin</w:t>
      </w:r>
      <w:proofErr w:type="spellEnd"/>
      <w:r w:rsidRPr="001B1D99">
        <w:rPr>
          <w:sz w:val="20"/>
          <w:szCs w:val="20"/>
          <w:lang w:val="en-US"/>
        </w:rPr>
        <w:t xml:space="preserve">, sitagliptin, </w:t>
      </w:r>
      <w:proofErr w:type="spellStart"/>
      <w:r w:rsidRPr="001B1D99">
        <w:rPr>
          <w:sz w:val="20"/>
          <w:szCs w:val="20"/>
          <w:lang w:val="en-US"/>
        </w:rPr>
        <w:t>vildagliptin</w:t>
      </w:r>
      <w:proofErr w:type="spellEnd"/>
      <w:r w:rsidRPr="001B1D99">
        <w:rPr>
          <w:sz w:val="20"/>
          <w:szCs w:val="20"/>
          <w:lang w:val="en-US"/>
        </w:rPr>
        <w:t xml:space="preserve"> and </w:t>
      </w:r>
      <w:proofErr w:type="spellStart"/>
      <w:r w:rsidRPr="001B1D99">
        <w:rPr>
          <w:sz w:val="20"/>
          <w:szCs w:val="20"/>
          <w:lang w:val="en-US"/>
        </w:rPr>
        <w:t>alogliptin</w:t>
      </w:r>
      <w:proofErr w:type="spellEnd"/>
      <w:r w:rsidRPr="001B1D99">
        <w:rPr>
          <w:sz w:val="20"/>
          <w:szCs w:val="20"/>
          <w:lang w:val="en-US"/>
        </w:rPr>
        <w:t xml:space="preserve">. SGLT2 inhibitors include </w:t>
      </w:r>
      <w:proofErr w:type="spellStart"/>
      <w:r w:rsidRPr="001B1D99">
        <w:rPr>
          <w:sz w:val="20"/>
          <w:szCs w:val="20"/>
          <w:lang w:val="en-US"/>
        </w:rPr>
        <w:t>dapagliflozin</w:t>
      </w:r>
      <w:proofErr w:type="spellEnd"/>
      <w:r w:rsidRPr="001B1D99">
        <w:rPr>
          <w:sz w:val="20"/>
          <w:szCs w:val="20"/>
          <w:lang w:val="en-US"/>
        </w:rPr>
        <w:t xml:space="preserve"> and </w:t>
      </w:r>
      <w:proofErr w:type="spellStart"/>
      <w:r w:rsidRPr="001B1D99">
        <w:rPr>
          <w:sz w:val="20"/>
          <w:szCs w:val="20"/>
          <w:lang w:val="en-US"/>
        </w:rPr>
        <w:t>empagliflozin</w:t>
      </w:r>
      <w:proofErr w:type="spellEnd"/>
      <w:r w:rsidRPr="001B1D99">
        <w:rPr>
          <w:sz w:val="20"/>
          <w:szCs w:val="20"/>
          <w:lang w:val="en-US"/>
        </w:rPr>
        <w:t xml:space="preserve">. </w:t>
      </w:r>
    </w:p>
    <w:p w:rsidR="00235D4B" w:rsidRPr="00235D4B" w:rsidRDefault="00235D4B" w:rsidP="00813FF0">
      <w:pPr>
        <w:rPr>
          <w:lang w:val="en-US"/>
        </w:rPr>
      </w:pPr>
      <w:r w:rsidRPr="001B1D99">
        <w:rPr>
          <w:sz w:val="20"/>
          <w:szCs w:val="20"/>
          <w:lang w:val="en-US"/>
        </w:rPr>
        <w:t>It is assumed that unrestricted PBS medications can be used in possible combinations which reflect clinical practice/individual physician therapeutic decisions; the PBS neither explicitly restricts nor mandates such combination use. Some of these possible combinations may not reflect best practice or likely combinations seen in practice.</w:t>
      </w:r>
      <w:r w:rsidRPr="00235D4B">
        <w:rPr>
          <w:lang w:val="en-US"/>
        </w:rPr>
        <w:t xml:space="preserve"> </w:t>
      </w:r>
    </w:p>
    <w:p w:rsidR="00235D4B" w:rsidRDefault="00235D4B" w:rsidP="00813FF0">
      <w:pPr>
        <w:spacing w:line="276" w:lineRule="auto"/>
        <w:rPr>
          <w:b/>
          <w:sz w:val="32"/>
          <w:szCs w:val="28"/>
        </w:rPr>
      </w:pPr>
      <w:r>
        <w:rPr>
          <w:i/>
          <w:sz w:val="32"/>
        </w:rPr>
        <w:br w:type="page"/>
      </w:r>
    </w:p>
    <w:p w:rsidR="00D74F47" w:rsidRPr="00B85AEE" w:rsidRDefault="00D74F47" w:rsidP="00813FF0">
      <w:pPr>
        <w:pStyle w:val="Heading3"/>
        <w:rPr>
          <w:i w:val="0"/>
          <w:sz w:val="32"/>
        </w:rPr>
      </w:pPr>
      <w:r w:rsidRPr="00B85AEE">
        <w:rPr>
          <w:i w:val="0"/>
          <w:sz w:val="32"/>
        </w:rPr>
        <w:lastRenderedPageBreak/>
        <w:t xml:space="preserve">Appendix </w:t>
      </w:r>
      <w:r w:rsidR="000E77FF">
        <w:rPr>
          <w:i w:val="0"/>
          <w:sz w:val="32"/>
        </w:rPr>
        <w:t>B</w:t>
      </w:r>
    </w:p>
    <w:p w:rsidR="00223085" w:rsidRPr="005C2C82" w:rsidRDefault="00223085" w:rsidP="00813FF0">
      <w:pPr>
        <w:pStyle w:val="Heading2"/>
        <w:rPr>
          <w:sz w:val="28"/>
        </w:rPr>
      </w:pPr>
      <w:r w:rsidRPr="005C2C82">
        <w:rPr>
          <w:sz w:val="28"/>
        </w:rPr>
        <w:t>Detailed methodology to estimate drug regimens and regimen transitions</w:t>
      </w:r>
    </w:p>
    <w:p w:rsidR="00223085" w:rsidRPr="003C6919" w:rsidRDefault="00223085" w:rsidP="00813FF0">
      <w:pPr>
        <w:rPr>
          <w:rFonts w:cstheme="minorHAnsi"/>
          <w:u w:val="single"/>
          <w:lang w:val="en-US"/>
        </w:rPr>
      </w:pPr>
      <w:r w:rsidRPr="003C6919">
        <w:rPr>
          <w:rFonts w:cstheme="minorHAnsi"/>
          <w:u w:val="single"/>
          <w:lang w:val="en-US"/>
        </w:rPr>
        <w:t>Drug treatment regimens are estimated</w:t>
      </w:r>
      <w:r>
        <w:rPr>
          <w:rFonts w:cstheme="minorHAnsi"/>
          <w:u w:val="single"/>
          <w:lang w:val="en-US"/>
        </w:rPr>
        <w:t xml:space="preserve"> from prescription supply dates</w:t>
      </w:r>
    </w:p>
    <w:p w:rsidR="00223085" w:rsidRPr="003C6919" w:rsidRDefault="00223085" w:rsidP="00813FF0">
      <w:pPr>
        <w:rPr>
          <w:rFonts w:cstheme="minorHAnsi"/>
        </w:rPr>
      </w:pPr>
      <w:r w:rsidRPr="003C6919">
        <w:rPr>
          <w:rFonts w:cstheme="minorHAnsi"/>
        </w:rPr>
        <w:t xml:space="preserve">The prescription data contains date of supply of each prescription, but no information on whether or not medicines should be </w:t>
      </w:r>
      <w:r>
        <w:rPr>
          <w:rFonts w:cstheme="minorHAnsi"/>
        </w:rPr>
        <w:t>(</w:t>
      </w:r>
      <w:r w:rsidRPr="003C6919">
        <w:rPr>
          <w:rFonts w:cstheme="minorHAnsi"/>
        </w:rPr>
        <w:t>or were</w:t>
      </w:r>
      <w:r>
        <w:rPr>
          <w:rFonts w:cstheme="minorHAnsi"/>
        </w:rPr>
        <w:t>)</w:t>
      </w:r>
      <w:r w:rsidRPr="003C6919">
        <w:rPr>
          <w:rFonts w:cstheme="minorHAnsi"/>
        </w:rPr>
        <w:t xml:space="preserve"> co-administered. Thus co-administration was estimated from the data in the following way;</w:t>
      </w:r>
    </w:p>
    <w:p w:rsidR="00223085" w:rsidRPr="003C6919" w:rsidRDefault="00223085" w:rsidP="00813FF0">
      <w:pPr>
        <w:rPr>
          <w:rFonts w:cstheme="minorHAnsi"/>
          <w:lang w:val="en-US"/>
        </w:rPr>
      </w:pPr>
      <w:r w:rsidRPr="003C6919">
        <w:rPr>
          <w:rFonts w:cstheme="minorHAnsi"/>
          <w:lang w:val="en-US"/>
        </w:rPr>
        <w:t xml:space="preserve">Step 1: </w:t>
      </w:r>
    </w:p>
    <w:p w:rsidR="00223085" w:rsidRPr="003C6919" w:rsidRDefault="00223085" w:rsidP="00813FF0">
      <w:pPr>
        <w:rPr>
          <w:rFonts w:cstheme="minorHAnsi"/>
          <w:lang w:val="en-US"/>
        </w:rPr>
      </w:pPr>
      <w:r w:rsidRPr="003C6919">
        <w:rPr>
          <w:rFonts w:cstheme="minorHAnsi"/>
          <w:lang w:val="en-US"/>
        </w:rPr>
        <w:t xml:space="preserve">Determine the estimated medication coverage days for </w:t>
      </w:r>
      <w:r w:rsidRPr="003C6919">
        <w:rPr>
          <w:rFonts w:cstheme="minorHAnsi"/>
          <w:b/>
          <w:lang w:val="en-US"/>
        </w:rPr>
        <w:t>each</w:t>
      </w:r>
      <w:r w:rsidRPr="003C6919">
        <w:rPr>
          <w:rFonts w:cstheme="minorHAnsi"/>
          <w:lang w:val="en-US"/>
        </w:rPr>
        <w:t xml:space="preserve"> drug or drug group. </w:t>
      </w:r>
    </w:p>
    <w:p w:rsidR="00223085" w:rsidRPr="003C6919" w:rsidRDefault="00223085" w:rsidP="00813FF0">
      <w:pPr>
        <w:rPr>
          <w:rFonts w:cstheme="minorHAnsi"/>
          <w:lang w:val="en-US"/>
        </w:rPr>
      </w:pPr>
      <w:r w:rsidRPr="003C6919">
        <w:rPr>
          <w:rFonts w:cstheme="minorHAnsi"/>
          <w:lang w:val="en-US"/>
        </w:rPr>
        <w:t>This mainly involves detecting breaks in treatment</w:t>
      </w:r>
      <w:r>
        <w:rPr>
          <w:rFonts w:cstheme="minorHAnsi"/>
          <w:lang w:val="en-US"/>
        </w:rPr>
        <w:t>. T</w:t>
      </w:r>
      <w:r w:rsidRPr="003C6919">
        <w:rPr>
          <w:rFonts w:cstheme="minorHAnsi"/>
          <w:lang w:val="en-US"/>
        </w:rPr>
        <w:t xml:space="preserve">he outcome is the start and estimated end date for each episode of treatment for each drug or drug group. </w:t>
      </w:r>
    </w:p>
    <w:p w:rsidR="00223085" w:rsidRPr="003C6919" w:rsidRDefault="00223085" w:rsidP="00813FF0">
      <w:pPr>
        <w:rPr>
          <w:rFonts w:cstheme="minorHAnsi"/>
          <w:lang w:val="en-US"/>
        </w:rPr>
      </w:pPr>
      <w:r w:rsidRPr="003C6919">
        <w:rPr>
          <w:rFonts w:cstheme="minorHAnsi"/>
          <w:lang w:val="en-US"/>
        </w:rPr>
        <w:t xml:space="preserve">Step 2: </w:t>
      </w:r>
    </w:p>
    <w:p w:rsidR="00223085" w:rsidRPr="003C6919" w:rsidRDefault="00223085" w:rsidP="00813FF0">
      <w:pPr>
        <w:pStyle w:val="Heading3"/>
        <w:rPr>
          <w:rFonts w:cstheme="minorHAnsi"/>
          <w:lang w:val="en-US"/>
        </w:rPr>
      </w:pPr>
      <w:r w:rsidRPr="003C6919">
        <w:rPr>
          <w:rFonts w:cstheme="minorHAnsi"/>
          <w:lang w:val="en-US"/>
        </w:rPr>
        <w:t xml:space="preserve">Determine the estimated medication coverage days </w:t>
      </w:r>
      <w:r w:rsidRPr="003C6919">
        <w:rPr>
          <w:rFonts w:cstheme="minorHAnsi"/>
          <w:b w:val="0"/>
          <w:lang w:val="en-US"/>
        </w:rPr>
        <w:t>across all</w:t>
      </w:r>
      <w:r w:rsidRPr="003C6919">
        <w:rPr>
          <w:rFonts w:cstheme="minorHAnsi"/>
          <w:lang w:val="en-US"/>
        </w:rPr>
        <w:t xml:space="preserve"> drug and drug group episodes defined in Step 1. The outcome is an estimated treatment regimen for each patient for every day in the data period. </w:t>
      </w:r>
    </w:p>
    <w:p w:rsidR="00223085" w:rsidRPr="003C6919" w:rsidRDefault="00223085" w:rsidP="00813FF0">
      <w:pPr>
        <w:rPr>
          <w:rFonts w:cstheme="minorHAnsi"/>
          <w:lang w:val="en-US"/>
        </w:rPr>
      </w:pPr>
      <w:r w:rsidRPr="003C6919">
        <w:rPr>
          <w:rFonts w:cstheme="minorHAnsi"/>
          <w:lang w:val="en-US"/>
        </w:rPr>
        <w:t xml:space="preserve">Similar methods have been used for assessing medicine use in Australian </w:t>
      </w:r>
      <w:proofErr w:type="gramStart"/>
      <w:r w:rsidRPr="003C6919">
        <w:rPr>
          <w:rFonts w:cstheme="minorHAnsi"/>
          <w:lang w:val="en-US"/>
        </w:rPr>
        <w:t>populations.</w:t>
      </w:r>
      <w:r w:rsidRPr="003C6919">
        <w:rPr>
          <w:rStyle w:val="FootnoteReference"/>
          <w:rFonts w:cstheme="minorHAnsi"/>
          <w:lang w:val="en-US"/>
        </w:rPr>
        <w:footnoteReference w:id="9"/>
      </w:r>
      <w:r w:rsidRPr="003C6919">
        <w:rPr>
          <w:rFonts w:cstheme="minorHAnsi"/>
          <w:vertAlign w:val="superscript"/>
          <w:lang w:val="en-US"/>
        </w:rPr>
        <w:t>,</w:t>
      </w:r>
      <w:proofErr w:type="gramEnd"/>
      <w:r w:rsidRPr="003C6919">
        <w:rPr>
          <w:rStyle w:val="FootnoteReference"/>
          <w:rFonts w:cstheme="minorHAnsi"/>
          <w:lang w:val="en-US"/>
        </w:rPr>
        <w:footnoteReference w:id="10"/>
      </w:r>
      <w:r w:rsidRPr="003C6919">
        <w:rPr>
          <w:rFonts w:cstheme="minorHAnsi"/>
          <w:lang w:val="en-US"/>
        </w:rPr>
        <w:t xml:space="preserve"> </w:t>
      </w:r>
      <w:proofErr w:type="spellStart"/>
      <w:r w:rsidRPr="003C6919">
        <w:rPr>
          <w:rFonts w:cstheme="minorHAnsi"/>
          <w:lang w:val="en-US"/>
        </w:rPr>
        <w:t>Hallas</w:t>
      </w:r>
      <w:proofErr w:type="spellEnd"/>
      <w:r w:rsidRPr="003C6919">
        <w:rPr>
          <w:rStyle w:val="FootnoteReference"/>
          <w:rFonts w:cstheme="minorHAnsi"/>
          <w:lang w:val="en-US"/>
        </w:rPr>
        <w:footnoteReference w:id="11"/>
      </w:r>
      <w:r w:rsidRPr="003C6919">
        <w:rPr>
          <w:rFonts w:cstheme="minorHAnsi"/>
          <w:lang w:val="en-US"/>
        </w:rPr>
        <w:t xml:space="preserve"> describes the method and provides references to early variants. </w:t>
      </w:r>
    </w:p>
    <w:p w:rsidR="00223085" w:rsidRPr="003C6919" w:rsidRDefault="002E02FE" w:rsidP="00813FF0">
      <w:pPr>
        <w:rPr>
          <w:rFonts w:cstheme="minorHAnsi"/>
        </w:rPr>
      </w:pPr>
      <w:r>
        <w:rPr>
          <w:rFonts w:cstheme="minorHAnsi"/>
        </w:rPr>
        <w:t>Figure A.</w:t>
      </w:r>
      <w:r w:rsidR="00223085" w:rsidRPr="003C6919">
        <w:rPr>
          <w:rFonts w:cstheme="minorHAnsi"/>
        </w:rPr>
        <w:t>1 illustrates the method specified above.</w:t>
      </w:r>
      <w:r w:rsidR="00223085">
        <w:rPr>
          <w:rFonts w:cstheme="minorHAnsi"/>
        </w:rPr>
        <w:t xml:space="preserve"> </w:t>
      </w:r>
      <w:r>
        <w:rPr>
          <w:rFonts w:cstheme="minorHAnsi"/>
        </w:rPr>
        <w:t xml:space="preserve">It addresses the scenario where the research question is concerned with the drug regimens before and after initiation to a third line agent (Drug C in this example). However the method of determining a patient’s drug regimen at any point in time </w:t>
      </w:r>
      <w:r w:rsidR="00E27308">
        <w:rPr>
          <w:rFonts w:cstheme="minorHAnsi"/>
        </w:rPr>
        <w:t>is the same for other scenarios (</w:t>
      </w:r>
      <w:proofErr w:type="spellStart"/>
      <w:r w:rsidR="00E27308">
        <w:rPr>
          <w:rFonts w:cstheme="minorHAnsi"/>
        </w:rPr>
        <w:t>eg</w:t>
      </w:r>
      <w:proofErr w:type="spellEnd"/>
      <w:r w:rsidR="00E27308">
        <w:rPr>
          <w:rFonts w:cstheme="minorHAnsi"/>
        </w:rPr>
        <w:t xml:space="preserve">. when the regimens are estimated in each calendar weeks rather than in weeks relative to an initiation event). </w:t>
      </w:r>
      <w:r w:rsidR="00223085" w:rsidRPr="003C6919">
        <w:rPr>
          <w:rFonts w:cstheme="minorHAnsi"/>
        </w:rPr>
        <w:t xml:space="preserve">The standard coverage days (SCD) for each drug A, B &amp; C have been shortened to 5 days to enable the figure to fit on one page. The Step 1 process results in the production of the episodes (pink bars) and the Step 2 process results in the production of the treatment regimen (blue bar). The days in this illustration are days from initiation (applicable to an incident patient analysis) but they can also be calendar days (applicable to a prevalent patient analysis). </w:t>
      </w:r>
    </w:p>
    <w:p w:rsidR="00223085" w:rsidRPr="003C6919" w:rsidRDefault="00223085" w:rsidP="00813FF0">
      <w:pPr>
        <w:rPr>
          <w:rFonts w:cstheme="minorHAnsi"/>
        </w:rPr>
      </w:pPr>
      <w:r w:rsidRPr="003C6919">
        <w:rPr>
          <w:rFonts w:cstheme="minorHAnsi"/>
        </w:rPr>
        <w:t xml:space="preserve">In this illustration, a break in treatment is defined as a coverage gap of 2 or more SCDs (i.e. the patient has not received re-supply at two consecutive expected refill dates.  The first </w:t>
      </w:r>
      <w:r w:rsidRPr="003C6919">
        <w:rPr>
          <w:rFonts w:cstheme="minorHAnsi"/>
        </w:rPr>
        <w:lastRenderedPageBreak/>
        <w:t xml:space="preserve">gap in drug A coverage (from days -39 to -35) is not deemed to be a break in the drug A Episode 1 as the estimated gap in coverage is only 1 x SCD. The </w:t>
      </w:r>
      <w:r w:rsidR="00011DD5">
        <w:rPr>
          <w:rFonts w:cstheme="minorHAnsi"/>
        </w:rPr>
        <w:t>second</w:t>
      </w:r>
      <w:r w:rsidR="00011DD5" w:rsidRPr="003C6919">
        <w:rPr>
          <w:rFonts w:cstheme="minorHAnsi"/>
        </w:rPr>
        <w:t xml:space="preserve"> </w:t>
      </w:r>
      <w:r w:rsidRPr="003C6919">
        <w:rPr>
          <w:rFonts w:cstheme="minorHAnsi"/>
        </w:rPr>
        <w:t>gap in drug A coverage from days -29 to -20 is deemed to be a break in treatment and the end of Episode 1 because the gap in estimated coverage is 2 x SCD.</w:t>
      </w:r>
    </w:p>
    <w:p w:rsidR="00223085" w:rsidRPr="003C6919" w:rsidRDefault="00223085" w:rsidP="00813FF0">
      <w:pPr>
        <w:rPr>
          <w:rFonts w:cstheme="minorHAnsi"/>
        </w:rPr>
      </w:pPr>
      <w:r w:rsidRPr="003C6919">
        <w:rPr>
          <w:rFonts w:cstheme="minorHAnsi"/>
        </w:rPr>
        <w:t>The two prescriptions for drug B supplied on day -9 are interpreted as dose escalation of drug B, if each prescription is for a different strength. The two prescriptions are deemed to be necessary to supply one SCD period and not used to extend the drug coverage period. If each prescription of drug B were for the same strength then this would be interpreted as “stockpiling” and assumed to extend the drug coverage period (see Details of Methodology below for details)</w:t>
      </w:r>
    </w:p>
    <w:p w:rsidR="00223085" w:rsidRPr="003C6919" w:rsidRDefault="00223085" w:rsidP="00813FF0">
      <w:pPr>
        <w:rPr>
          <w:rFonts w:cstheme="minorHAnsi"/>
        </w:rPr>
      </w:pPr>
      <w:r w:rsidRPr="003C6919">
        <w:rPr>
          <w:rFonts w:cstheme="minorHAnsi"/>
        </w:rPr>
        <w:t xml:space="preserve">Drug C is a </w:t>
      </w:r>
      <w:r w:rsidR="00011DD5">
        <w:rPr>
          <w:rFonts w:cstheme="minorHAnsi"/>
        </w:rPr>
        <w:t>third</w:t>
      </w:r>
      <w:r w:rsidR="00011DD5" w:rsidRPr="003C6919">
        <w:rPr>
          <w:rFonts w:cstheme="minorHAnsi"/>
        </w:rPr>
        <w:t xml:space="preserve"> </w:t>
      </w:r>
      <w:r w:rsidRPr="003C6919">
        <w:rPr>
          <w:rFonts w:cstheme="minorHAnsi"/>
        </w:rPr>
        <w:t>line agent and initiated on day 0 (by definition).  The basic method imputes a short period of B+C, but a refinement of the method includes the calculation of an adjusted treatment regimen which removes short periods of overlap when it is likely that a switch has occurred before prior medicine is deemed to be fully used.</w:t>
      </w:r>
    </w:p>
    <w:p w:rsidR="00223085" w:rsidRPr="005E6C3B" w:rsidRDefault="00223085" w:rsidP="00813FF0">
      <w:pPr>
        <w:rPr>
          <w:rFonts w:cstheme="minorHAnsi"/>
        </w:rPr>
      </w:pPr>
      <w:r w:rsidRPr="003C6919">
        <w:rPr>
          <w:rFonts w:cstheme="minorHAnsi"/>
        </w:rPr>
        <w:t xml:space="preserve">The final method for estimating the drug treatment regimen includes several refinements which are </w:t>
      </w:r>
      <w:r w:rsidRPr="005E6C3B">
        <w:rPr>
          <w:rFonts w:cstheme="minorHAnsi"/>
        </w:rPr>
        <w:t>explained in below.  Briefly they are:</w:t>
      </w:r>
    </w:p>
    <w:p w:rsidR="00223085" w:rsidRPr="005E6C3B" w:rsidRDefault="00223085" w:rsidP="00813FF0">
      <w:pPr>
        <w:pStyle w:val="ListParagraph"/>
        <w:numPr>
          <w:ilvl w:val="0"/>
          <w:numId w:val="3"/>
        </w:numPr>
        <w:spacing w:after="0"/>
        <w:ind w:left="567" w:hanging="567"/>
        <w:rPr>
          <w:rFonts w:cstheme="minorHAnsi"/>
        </w:rPr>
      </w:pPr>
      <w:r w:rsidRPr="005E6C3B">
        <w:rPr>
          <w:rFonts w:cstheme="minorHAnsi"/>
        </w:rPr>
        <w:t>Calculation of the treatment regimen on a weekly rather than daily basis.</w:t>
      </w:r>
    </w:p>
    <w:p w:rsidR="00223085" w:rsidRPr="005E6C3B" w:rsidRDefault="00223085" w:rsidP="00813FF0">
      <w:pPr>
        <w:pStyle w:val="ListParagraph"/>
        <w:numPr>
          <w:ilvl w:val="0"/>
          <w:numId w:val="3"/>
        </w:numPr>
        <w:spacing w:after="0"/>
        <w:ind w:left="567" w:hanging="567"/>
        <w:rPr>
          <w:rFonts w:cstheme="minorHAnsi"/>
        </w:rPr>
      </w:pPr>
      <w:r w:rsidRPr="005E6C3B">
        <w:rPr>
          <w:rFonts w:cstheme="minorHAnsi"/>
        </w:rPr>
        <w:t>Calculation of drug treatment regimen transitions – including an adjustment to allow for switching when the prior medication is not fully used.</w:t>
      </w:r>
    </w:p>
    <w:p w:rsidR="00223085" w:rsidRPr="005E6C3B" w:rsidRDefault="00223085" w:rsidP="00813FF0">
      <w:pPr>
        <w:pStyle w:val="ListParagraph"/>
        <w:numPr>
          <w:ilvl w:val="0"/>
          <w:numId w:val="3"/>
        </w:numPr>
        <w:spacing w:after="0"/>
        <w:ind w:left="567" w:hanging="567"/>
        <w:rPr>
          <w:rFonts w:cstheme="minorHAnsi"/>
        </w:rPr>
      </w:pPr>
      <w:r w:rsidRPr="005E6C3B">
        <w:rPr>
          <w:rFonts w:cstheme="minorHAnsi"/>
        </w:rPr>
        <w:t>Adjustment to allow for stockpiling of medication, both same-day supply and supplies on different days.</w:t>
      </w:r>
    </w:p>
    <w:p w:rsidR="00223085" w:rsidRDefault="00223085" w:rsidP="00813FF0">
      <w:pPr>
        <w:pStyle w:val="ListParagraph"/>
        <w:numPr>
          <w:ilvl w:val="0"/>
          <w:numId w:val="3"/>
        </w:numPr>
        <w:spacing w:after="0"/>
        <w:ind w:left="567" w:hanging="567"/>
        <w:rPr>
          <w:rFonts w:cstheme="minorHAnsi"/>
        </w:rPr>
      </w:pPr>
      <w:r w:rsidRPr="005E6C3B">
        <w:rPr>
          <w:rFonts w:cstheme="minorHAnsi"/>
        </w:rPr>
        <w:t xml:space="preserve">Change in the rules for </w:t>
      </w:r>
      <w:r>
        <w:rPr>
          <w:rFonts w:cstheme="minorHAnsi"/>
        </w:rPr>
        <w:t>prescriptions</w:t>
      </w:r>
      <w:r w:rsidRPr="005E6C3B">
        <w:rPr>
          <w:rFonts w:cstheme="minorHAnsi"/>
        </w:rPr>
        <w:t xml:space="preserve"> whose coverage spans the initiation data</w:t>
      </w:r>
      <w:r>
        <w:rPr>
          <w:rFonts w:cstheme="minorHAnsi"/>
        </w:rPr>
        <w:t>;</w:t>
      </w:r>
      <w:r>
        <w:rPr>
          <w:rFonts w:cstheme="minorHAnsi"/>
        </w:rPr>
        <w:br/>
        <w:t xml:space="preserve">- removal of </w:t>
      </w:r>
      <w:r w:rsidR="00E27308">
        <w:rPr>
          <w:rFonts w:cstheme="minorHAnsi"/>
        </w:rPr>
        <w:t xml:space="preserve">the </w:t>
      </w:r>
      <w:r>
        <w:rPr>
          <w:rFonts w:cstheme="minorHAnsi"/>
        </w:rPr>
        <w:t>stockpiling rule</w:t>
      </w:r>
    </w:p>
    <w:p w:rsidR="00223085" w:rsidRDefault="00223085" w:rsidP="00813FF0">
      <w:pPr>
        <w:pStyle w:val="ListParagraph"/>
        <w:numPr>
          <w:ilvl w:val="0"/>
          <w:numId w:val="3"/>
        </w:numPr>
        <w:spacing w:after="0"/>
        <w:ind w:left="567" w:hanging="567"/>
        <w:rPr>
          <w:rFonts w:cstheme="minorHAnsi"/>
        </w:rPr>
      </w:pPr>
      <w:r w:rsidRPr="004E05E6">
        <w:rPr>
          <w:rFonts w:cstheme="minorHAnsi"/>
        </w:rPr>
        <w:t xml:space="preserve">Estimating if a patient is continuing or stopping </w:t>
      </w:r>
      <w:r w:rsidR="00E27308">
        <w:rPr>
          <w:rFonts w:cstheme="minorHAnsi"/>
        </w:rPr>
        <w:t xml:space="preserve">treatment </w:t>
      </w:r>
      <w:r w:rsidRPr="004E05E6">
        <w:rPr>
          <w:rFonts w:cstheme="minorHAnsi"/>
        </w:rPr>
        <w:t>after their last script</w:t>
      </w:r>
    </w:p>
    <w:p w:rsidR="00223085" w:rsidRDefault="00223085" w:rsidP="00813FF0">
      <w:pPr>
        <w:spacing w:after="0"/>
        <w:rPr>
          <w:rFonts w:cstheme="minorHAnsi"/>
        </w:rPr>
        <w:sectPr w:rsidR="00223085" w:rsidSect="00223085">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644" w:right="1361" w:bottom="1644" w:left="1588" w:header="709" w:footer="709" w:gutter="0"/>
          <w:cols w:space="708"/>
          <w:docGrid w:linePitch="360"/>
        </w:sectPr>
      </w:pPr>
    </w:p>
    <w:p w:rsidR="00223085" w:rsidRPr="003C6919" w:rsidRDefault="00223085" w:rsidP="00813FF0">
      <w:pPr>
        <w:rPr>
          <w:rFonts w:cstheme="minorHAnsi"/>
        </w:rPr>
      </w:pPr>
      <w:r w:rsidRPr="003C6919">
        <w:rPr>
          <w:rFonts w:cstheme="minorHAnsi"/>
          <w:noProof/>
        </w:rPr>
        <w:lastRenderedPageBreak/>
        <w:drawing>
          <wp:inline distT="0" distB="0" distL="0" distR="0" wp14:anchorId="3BB8F542" wp14:editId="41A5AA96">
            <wp:extent cx="8800077" cy="2937314"/>
            <wp:effectExtent l="0" t="0" r="1270" b="0"/>
            <wp:docPr id="2" name="Picture 2" title="Figure A1 is a diagrammatic representation of the methodlogy that was used to determine treatment regi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25023" cy="2945641"/>
                    </a:xfrm>
                    <a:prstGeom prst="rect">
                      <a:avLst/>
                    </a:prstGeom>
                    <a:noFill/>
                    <a:ln>
                      <a:noFill/>
                    </a:ln>
                  </pic:spPr>
                </pic:pic>
              </a:graphicData>
            </a:graphic>
          </wp:inline>
        </w:drawing>
      </w:r>
    </w:p>
    <w:p w:rsidR="00223085" w:rsidRPr="00F70A07" w:rsidRDefault="002E02FE" w:rsidP="00813FF0">
      <w:pPr>
        <w:pStyle w:val="Tabletitle"/>
        <w:rPr>
          <w:i w:val="0"/>
          <w:sz w:val="24"/>
          <w:lang w:val="en-US"/>
        </w:rPr>
        <w:sectPr w:rsidR="00223085" w:rsidRPr="00F70A07" w:rsidSect="001B348B">
          <w:footerReference w:type="default" r:id="rId31"/>
          <w:pgSz w:w="16838" w:h="11906" w:orient="landscape" w:code="9"/>
          <w:pgMar w:top="1644" w:right="1361" w:bottom="1644" w:left="1588" w:header="708" w:footer="708" w:gutter="0"/>
          <w:cols w:space="708"/>
          <w:docGrid w:linePitch="360"/>
        </w:sectPr>
      </w:pPr>
      <w:r w:rsidRPr="00F70A07">
        <w:rPr>
          <w:i w:val="0"/>
          <w:sz w:val="24"/>
          <w:lang w:val="en-US"/>
        </w:rPr>
        <w:t>Figure A.</w:t>
      </w:r>
      <w:r w:rsidR="00223085" w:rsidRPr="00F70A07">
        <w:rPr>
          <w:i w:val="0"/>
          <w:sz w:val="24"/>
          <w:lang w:val="en-US"/>
        </w:rPr>
        <w:t>1 Diagrammatic representation of the methodology used to determine treatment regimen</w:t>
      </w:r>
    </w:p>
    <w:p w:rsidR="00223085" w:rsidRPr="0073795F" w:rsidRDefault="00223085" w:rsidP="00813FF0">
      <w:pPr>
        <w:pStyle w:val="Heading5"/>
        <w:rPr>
          <w:b/>
          <w:u w:val="single"/>
        </w:rPr>
      </w:pPr>
      <w:r w:rsidRPr="0073795F">
        <w:rPr>
          <w:b/>
          <w:u w:val="single"/>
        </w:rPr>
        <w:lastRenderedPageBreak/>
        <w:t>Details of Methodology</w:t>
      </w:r>
    </w:p>
    <w:p w:rsidR="00223085" w:rsidRPr="00C52D77" w:rsidRDefault="00223085" w:rsidP="00813FF0">
      <w:pPr>
        <w:rPr>
          <w:rFonts w:cstheme="minorHAnsi"/>
          <w:b/>
        </w:rPr>
      </w:pPr>
      <w:r w:rsidRPr="00C52D77">
        <w:rPr>
          <w:rFonts w:cstheme="minorHAnsi"/>
          <w:b/>
        </w:rPr>
        <w:t>1.</w:t>
      </w:r>
      <w:r w:rsidRPr="00C52D77">
        <w:rPr>
          <w:rFonts w:cstheme="minorHAnsi"/>
          <w:b/>
        </w:rPr>
        <w:tab/>
        <w:t>Calcu</w:t>
      </w:r>
      <w:r>
        <w:rPr>
          <w:rFonts w:cstheme="minorHAnsi"/>
          <w:b/>
        </w:rPr>
        <w:t>lation of the treatment regimen</w:t>
      </w:r>
    </w:p>
    <w:p w:rsidR="00223085" w:rsidRPr="00C52D77" w:rsidRDefault="00223085" w:rsidP="00813FF0">
      <w:r w:rsidRPr="00C52D77">
        <w:t>Drug treatment regimens are estimated from prescription supply dates in the following way;</w:t>
      </w:r>
    </w:p>
    <w:p w:rsidR="00223085" w:rsidRPr="00C52D77" w:rsidRDefault="00223085" w:rsidP="00813FF0">
      <w:r w:rsidRPr="00C52D77">
        <w:t xml:space="preserve">Step 1: </w:t>
      </w:r>
    </w:p>
    <w:p w:rsidR="00223085" w:rsidRPr="00C52D77" w:rsidRDefault="00223085" w:rsidP="00813FF0">
      <w:r w:rsidRPr="00C52D77">
        <w:t xml:space="preserve">Determine the estimated medication coverage days for </w:t>
      </w:r>
      <w:r w:rsidRPr="002717D1">
        <w:rPr>
          <w:b/>
        </w:rPr>
        <w:t>each</w:t>
      </w:r>
      <w:r w:rsidRPr="00C52D77">
        <w:t xml:space="preserve"> drug or drug group. </w:t>
      </w:r>
    </w:p>
    <w:p w:rsidR="00223085" w:rsidRPr="00C52D77" w:rsidRDefault="00223085" w:rsidP="00813FF0">
      <w:r w:rsidRPr="00C52D77">
        <w:t xml:space="preserve">This mainly involves detecting breaks in treatment. The outcome is the start and estimated end date for each episode for each drug or drug group. </w:t>
      </w:r>
    </w:p>
    <w:p w:rsidR="00223085" w:rsidRPr="00C52D77" w:rsidRDefault="00223085" w:rsidP="00813FF0">
      <w:r w:rsidRPr="00C52D77">
        <w:t xml:space="preserve">Step 2: </w:t>
      </w:r>
    </w:p>
    <w:p w:rsidR="00223085" w:rsidRPr="00C52D77" w:rsidRDefault="00223085" w:rsidP="00813FF0">
      <w:r w:rsidRPr="00C52D77">
        <w:t xml:space="preserve">Determine the estimated medication coverage days </w:t>
      </w:r>
      <w:r w:rsidRPr="002717D1">
        <w:rPr>
          <w:b/>
        </w:rPr>
        <w:t>across</w:t>
      </w:r>
      <w:r w:rsidRPr="00700670">
        <w:rPr>
          <w:b/>
        </w:rPr>
        <w:t xml:space="preserve"> all</w:t>
      </w:r>
      <w:r w:rsidRPr="00C52D77">
        <w:t xml:space="preserve"> drug and drug group episodes defined in Step 1. The outcome is an estimated treatment regimen for each patient for every day in the data period. </w:t>
      </w:r>
    </w:p>
    <w:p w:rsidR="00223085" w:rsidRDefault="00223085" w:rsidP="00813FF0">
      <w:r w:rsidRPr="00C52D77">
        <w:t>Step 2 above was modified so that the treatment regimen was estimated on a weekly rather than daily basis. This modification was deemed necessary to keep the data volume at a manageable level. This modification means that if the a medication coverage start date falls in a particular calendar week (for prevalent patient analysis)  or week since initiation (for initiation analysis) then the medication is deemed to cover that week. The same rule was applied to the medication coverage end date.</w:t>
      </w:r>
    </w:p>
    <w:p w:rsidR="00223085" w:rsidRPr="003251AF" w:rsidRDefault="00223085" w:rsidP="00813FF0">
      <w:pPr>
        <w:ind w:left="720" w:hanging="720"/>
        <w:rPr>
          <w:b/>
        </w:rPr>
      </w:pPr>
      <w:r w:rsidRPr="003251AF">
        <w:rPr>
          <w:b/>
        </w:rPr>
        <w:t>2.</w:t>
      </w:r>
      <w:r w:rsidRPr="003251AF">
        <w:rPr>
          <w:b/>
        </w:rPr>
        <w:tab/>
        <w:t>Drug regimen transitions - including an adjustment to allow for switching when the prior medication is not fully used</w:t>
      </w:r>
    </w:p>
    <w:p w:rsidR="00223085" w:rsidRDefault="00223085" w:rsidP="00813FF0">
      <w:r>
        <w:t xml:space="preserve">Once estimated drug regimens have been determined for every week, </w:t>
      </w:r>
      <w:proofErr w:type="gramStart"/>
      <w:r>
        <w:t>then</w:t>
      </w:r>
      <w:proofErr w:type="gramEnd"/>
      <w:r>
        <w:t xml:space="preserve"> transitions can be computed.</w:t>
      </w:r>
    </w:p>
    <w:p w:rsidR="00223085" w:rsidRDefault="00223085" w:rsidP="00813FF0">
      <w:r>
        <w:t xml:space="preserve">These are useful for determining patient behaviour upon initiation of a drug; e.g. </w:t>
      </w:r>
      <w:proofErr w:type="gramStart"/>
      <w:r>
        <w:t>A</w:t>
      </w:r>
      <w:proofErr w:type="gramEnd"/>
      <w:r w:rsidRPr="005E6C3B">
        <w:rPr>
          <w:rFonts w:cstheme="minorHAnsi"/>
          <w:lang w:val="en-US"/>
        </w:rPr>
        <w:sym w:font="Wingdings" w:char="F0E0"/>
      </w:r>
      <w:r>
        <w:t>A+B (adding to existing therapy), A</w:t>
      </w:r>
      <w:r w:rsidRPr="005E6C3B">
        <w:rPr>
          <w:rFonts w:cstheme="minorHAnsi"/>
          <w:lang w:val="en-US"/>
        </w:rPr>
        <w:sym w:font="Wingdings" w:char="F0E0"/>
      </w:r>
      <w:r>
        <w:t>B (switching) or None</w:t>
      </w:r>
      <w:r w:rsidRPr="005E6C3B">
        <w:rPr>
          <w:rFonts w:cstheme="minorHAnsi"/>
          <w:lang w:val="en-US"/>
        </w:rPr>
        <w:sym w:font="Wingdings" w:char="F0E0"/>
      </w:r>
      <w:r>
        <w:t>A (starting therapy).</w:t>
      </w:r>
    </w:p>
    <w:p w:rsidR="00A7030C" w:rsidRDefault="006603F0" w:rsidP="00813FF0">
      <w:pPr>
        <w:rPr>
          <w:rFonts w:cstheme="minorHAnsi"/>
          <w:lang w:val="en-US"/>
        </w:rPr>
      </w:pPr>
      <w:r>
        <w:rPr>
          <w:rFonts w:cstheme="minorHAnsi"/>
          <w:lang w:val="en-US"/>
        </w:rPr>
        <w:t xml:space="preserve">Ever drug regimen </w:t>
      </w:r>
      <w:r w:rsidR="006E30A3">
        <w:rPr>
          <w:rFonts w:cstheme="minorHAnsi"/>
          <w:lang w:val="en-US"/>
        </w:rPr>
        <w:t>transition</w:t>
      </w:r>
      <w:r>
        <w:rPr>
          <w:rFonts w:cstheme="minorHAnsi"/>
          <w:lang w:val="en-US"/>
        </w:rPr>
        <w:t xml:space="preserve"> is assessed as to whether or not it is likely to be </w:t>
      </w:r>
      <w:r w:rsidR="00A7030C">
        <w:rPr>
          <w:rFonts w:cstheme="minorHAnsi"/>
          <w:lang w:val="en-US"/>
        </w:rPr>
        <w:t>a real change, or an apparent addition of a drug that is really a substitution of another drug (</w:t>
      </w:r>
      <w:proofErr w:type="spellStart"/>
      <w:r w:rsidR="00A7030C">
        <w:rPr>
          <w:rFonts w:cstheme="minorHAnsi"/>
          <w:lang w:val="en-US"/>
        </w:rPr>
        <w:t>ie</w:t>
      </w:r>
      <w:proofErr w:type="spellEnd"/>
      <w:r w:rsidR="00A7030C">
        <w:rPr>
          <w:rFonts w:cstheme="minorHAnsi"/>
          <w:lang w:val="en-US"/>
        </w:rPr>
        <w:t xml:space="preserve">. a switch of drugs). An apparent addition occurs when </w:t>
      </w:r>
      <w:r w:rsidR="006E30A3">
        <w:rPr>
          <w:rFonts w:cstheme="minorHAnsi"/>
          <w:lang w:val="en-US"/>
        </w:rPr>
        <w:t xml:space="preserve">a patient has not consumed </w:t>
      </w:r>
      <w:proofErr w:type="gramStart"/>
      <w:r w:rsidR="006E30A3">
        <w:rPr>
          <w:rFonts w:cstheme="minorHAnsi"/>
          <w:lang w:val="en-US"/>
        </w:rPr>
        <w:t>all of the</w:t>
      </w:r>
      <w:proofErr w:type="gramEnd"/>
      <w:r w:rsidR="006E30A3">
        <w:rPr>
          <w:rFonts w:cstheme="minorHAnsi"/>
          <w:lang w:val="en-US"/>
        </w:rPr>
        <w:t xml:space="preserve"> prior drug before starting a new drug. As the coverage of the prior drug is based on when the script was supplied and the SCD for that drug, there may be apparent overly of coverage of the two drugs that does not occur in reality.</w:t>
      </w:r>
    </w:p>
    <w:p w:rsidR="006603F0" w:rsidRDefault="00A7030C" w:rsidP="00813FF0">
      <w:pPr>
        <w:rPr>
          <w:rFonts w:cstheme="minorHAnsi"/>
          <w:lang w:val="en-US"/>
        </w:rPr>
      </w:pPr>
      <w:r>
        <w:rPr>
          <w:rFonts w:cstheme="minorHAnsi"/>
          <w:lang w:val="en-US"/>
        </w:rPr>
        <w:t>This is assessed by noting the composition and length of the current, prior and post drug regimens. For example, if the regimen being assessed is A+B and the prior regimen is A, the post regimen is B and the length of the A+B regimen is less than or equal to the SCD of prior regimen (</w:t>
      </w:r>
      <w:proofErr w:type="spellStart"/>
      <w:r>
        <w:rPr>
          <w:rFonts w:cstheme="minorHAnsi"/>
          <w:lang w:val="en-US"/>
        </w:rPr>
        <w:t>ie</w:t>
      </w:r>
      <w:proofErr w:type="spellEnd"/>
      <w:r>
        <w:rPr>
          <w:rFonts w:cstheme="minorHAnsi"/>
          <w:lang w:val="en-US"/>
        </w:rPr>
        <w:t xml:space="preserve">. A) </w:t>
      </w:r>
      <w:proofErr w:type="gramStart"/>
      <w:r>
        <w:rPr>
          <w:rFonts w:cstheme="minorHAnsi"/>
          <w:lang w:val="en-US"/>
        </w:rPr>
        <w:t>then</w:t>
      </w:r>
      <w:proofErr w:type="gramEnd"/>
      <w:r>
        <w:rPr>
          <w:rFonts w:cstheme="minorHAnsi"/>
          <w:lang w:val="en-US"/>
        </w:rPr>
        <w:t xml:space="preserve"> </w:t>
      </w:r>
      <w:r w:rsidR="006E30A3">
        <w:rPr>
          <w:rFonts w:cstheme="minorHAnsi"/>
          <w:lang w:val="en-US"/>
        </w:rPr>
        <w:t>the A+B regimen is deemed to have not occurred and the regimen is changed to the post regimen (</w:t>
      </w:r>
      <w:proofErr w:type="spellStart"/>
      <w:r w:rsidR="006E30A3">
        <w:rPr>
          <w:rFonts w:cstheme="minorHAnsi"/>
          <w:lang w:val="en-US"/>
        </w:rPr>
        <w:t>ie</w:t>
      </w:r>
      <w:proofErr w:type="spellEnd"/>
      <w:r w:rsidR="006E30A3">
        <w:rPr>
          <w:rFonts w:cstheme="minorHAnsi"/>
          <w:lang w:val="en-US"/>
        </w:rPr>
        <w:t xml:space="preserve">. B). Thus before adjustment the regimen sequence would </w:t>
      </w:r>
      <w:r w:rsidR="006E30A3">
        <w:rPr>
          <w:rFonts w:cstheme="minorHAnsi"/>
          <w:lang w:val="en-US"/>
        </w:rPr>
        <w:lastRenderedPageBreak/>
        <w:t xml:space="preserve">have been </w:t>
      </w:r>
      <w:proofErr w:type="gramStart"/>
      <w:r w:rsidR="006E30A3">
        <w:t>A</w:t>
      </w:r>
      <w:proofErr w:type="gramEnd"/>
      <w:r w:rsidR="006E30A3" w:rsidRPr="005E6C3B">
        <w:rPr>
          <w:rFonts w:cstheme="minorHAnsi"/>
          <w:lang w:val="en-US"/>
        </w:rPr>
        <w:sym w:font="Wingdings" w:char="F0E0"/>
      </w:r>
      <w:r w:rsidR="006E30A3">
        <w:t>A+B</w:t>
      </w:r>
      <w:r w:rsidR="006E30A3" w:rsidRPr="005E6C3B">
        <w:rPr>
          <w:rFonts w:cstheme="minorHAnsi"/>
          <w:lang w:val="en-US"/>
        </w:rPr>
        <w:sym w:font="Wingdings" w:char="F0E0"/>
      </w:r>
      <w:r w:rsidR="006E30A3">
        <w:rPr>
          <w:rFonts w:cstheme="minorHAnsi"/>
          <w:lang w:val="en-US"/>
        </w:rPr>
        <w:t xml:space="preserve">B and after adjustment the sequence is </w:t>
      </w:r>
      <w:r w:rsidR="006E30A3">
        <w:t>A</w:t>
      </w:r>
      <w:r w:rsidR="006E30A3" w:rsidRPr="005E6C3B">
        <w:rPr>
          <w:rFonts w:cstheme="minorHAnsi"/>
          <w:lang w:val="en-US"/>
        </w:rPr>
        <w:sym w:font="Wingdings" w:char="F0E0"/>
      </w:r>
      <w:r w:rsidR="006E30A3">
        <w:t>B</w:t>
      </w:r>
      <w:r w:rsidR="006E30A3" w:rsidRPr="005E6C3B">
        <w:rPr>
          <w:rFonts w:cstheme="minorHAnsi"/>
          <w:lang w:val="en-US"/>
        </w:rPr>
        <w:sym w:font="Wingdings" w:char="F0E0"/>
      </w:r>
      <w:r w:rsidR="006E30A3">
        <w:rPr>
          <w:rFonts w:cstheme="minorHAnsi"/>
          <w:lang w:val="en-US"/>
        </w:rPr>
        <w:t xml:space="preserve">B which is the same as </w:t>
      </w:r>
      <w:r w:rsidR="006E30A3">
        <w:t>A</w:t>
      </w:r>
      <w:r w:rsidR="006E30A3" w:rsidRPr="005E6C3B">
        <w:rPr>
          <w:rFonts w:cstheme="minorHAnsi"/>
          <w:lang w:val="en-US"/>
        </w:rPr>
        <w:sym w:font="Wingdings" w:char="F0E0"/>
      </w:r>
      <w:r w:rsidR="006E30A3">
        <w:rPr>
          <w:rFonts w:cstheme="minorHAnsi"/>
          <w:lang w:val="en-US"/>
        </w:rPr>
        <w:t>B. In this way all apparent overlaps, which are really switches, are corrected for.</w:t>
      </w:r>
    </w:p>
    <w:p w:rsidR="006E30A3" w:rsidRDefault="006E30A3" w:rsidP="00813FF0">
      <w:pPr>
        <w:rPr>
          <w:rFonts w:cstheme="minorHAnsi"/>
          <w:lang w:val="en-US"/>
        </w:rPr>
      </w:pPr>
      <w:proofErr w:type="gramStart"/>
      <w:r>
        <w:rPr>
          <w:rFonts w:cstheme="minorHAnsi"/>
          <w:lang w:val="en-US"/>
        </w:rPr>
        <w:t xml:space="preserve">If the prior regimen contains multiple drugs </w:t>
      </w:r>
      <w:r w:rsidR="00BE7C09">
        <w:rPr>
          <w:rFonts w:cstheme="minorHAnsi"/>
          <w:lang w:val="en-US"/>
        </w:rPr>
        <w:t>(</w:t>
      </w:r>
      <w:proofErr w:type="spellStart"/>
      <w:r w:rsidR="00BE7C09">
        <w:rPr>
          <w:rFonts w:cstheme="minorHAnsi"/>
          <w:lang w:val="en-US"/>
        </w:rPr>
        <w:t>eg</w:t>
      </w:r>
      <w:proofErr w:type="spellEnd"/>
      <w:r w:rsidR="00BE7C09">
        <w:rPr>
          <w:rFonts w:cstheme="minorHAnsi"/>
          <w:lang w:val="en-US"/>
        </w:rPr>
        <w:t>.</w:t>
      </w:r>
      <w:proofErr w:type="gramEnd"/>
      <w:r w:rsidR="00BE7C09">
        <w:rPr>
          <w:rFonts w:cstheme="minorHAnsi"/>
          <w:lang w:val="en-US"/>
        </w:rPr>
        <w:t xml:space="preserve"> A+B+C) </w:t>
      </w:r>
      <w:r>
        <w:rPr>
          <w:rFonts w:cstheme="minorHAnsi"/>
          <w:lang w:val="en-US"/>
        </w:rPr>
        <w:t xml:space="preserve">then the minimum </w:t>
      </w:r>
      <w:r w:rsidR="00BE7C09">
        <w:rPr>
          <w:rFonts w:cstheme="minorHAnsi"/>
          <w:lang w:val="en-US"/>
        </w:rPr>
        <w:t xml:space="preserve">period </w:t>
      </w:r>
      <w:r>
        <w:rPr>
          <w:rFonts w:cstheme="minorHAnsi"/>
          <w:lang w:val="en-US"/>
        </w:rPr>
        <w:t xml:space="preserve">overlap </w:t>
      </w:r>
      <w:r w:rsidR="00BE7C09">
        <w:rPr>
          <w:rFonts w:cstheme="minorHAnsi"/>
          <w:lang w:val="en-US"/>
        </w:rPr>
        <w:t>of</w:t>
      </w:r>
      <w:r>
        <w:rPr>
          <w:rFonts w:cstheme="minorHAnsi"/>
          <w:lang w:val="en-US"/>
        </w:rPr>
        <w:t xml:space="preserve"> </w:t>
      </w:r>
      <w:r w:rsidR="00BE7C09">
        <w:rPr>
          <w:rFonts w:cstheme="minorHAnsi"/>
          <w:lang w:val="en-US"/>
        </w:rPr>
        <w:t>regimens required for the transition to be deemed real, and not apparent, is equal to the longest SCD of the drugs in the prior regimen (</w:t>
      </w:r>
      <w:proofErr w:type="spellStart"/>
      <w:r w:rsidR="00BE7C09">
        <w:rPr>
          <w:rFonts w:cstheme="minorHAnsi"/>
          <w:lang w:val="en-US"/>
        </w:rPr>
        <w:t>eg</w:t>
      </w:r>
      <w:proofErr w:type="spellEnd"/>
      <w:r w:rsidR="00BE7C09">
        <w:rPr>
          <w:rFonts w:cstheme="minorHAnsi"/>
          <w:lang w:val="en-US"/>
        </w:rPr>
        <w:t>. if A &amp; B have a SCDs of 5 weeks and C has and SCD of 9 weeks then the overlap period needs to be 9 weeks).</w:t>
      </w:r>
    </w:p>
    <w:p w:rsidR="00BE7C09" w:rsidRDefault="00BE7C09" w:rsidP="00813FF0">
      <w:pPr>
        <w:rPr>
          <w:rFonts w:cstheme="minorHAnsi"/>
          <w:lang w:val="en-US"/>
        </w:rPr>
      </w:pPr>
      <w:r>
        <w:rPr>
          <w:rFonts w:cstheme="minorHAnsi"/>
          <w:lang w:val="en-US"/>
        </w:rPr>
        <w:t>Further criteria for defining a switch are;</w:t>
      </w:r>
    </w:p>
    <w:p w:rsidR="00BE7C09" w:rsidRDefault="00B8096C" w:rsidP="00813FF0">
      <w:pPr>
        <w:pStyle w:val="ListParagraph"/>
        <w:numPr>
          <w:ilvl w:val="0"/>
          <w:numId w:val="10"/>
        </w:numPr>
        <w:rPr>
          <w:rFonts w:cstheme="minorHAnsi"/>
          <w:lang w:val="en-US"/>
        </w:rPr>
      </w:pPr>
      <w:r>
        <w:rPr>
          <w:rFonts w:cstheme="minorHAnsi"/>
          <w:lang w:val="en-US"/>
        </w:rPr>
        <w:t>a</w:t>
      </w:r>
      <w:r w:rsidR="00BE7C09">
        <w:rPr>
          <w:rFonts w:cstheme="minorHAnsi"/>
          <w:lang w:val="en-US"/>
        </w:rPr>
        <w:t>ll drugs in the prior and post regimen are in the current regimen</w:t>
      </w:r>
      <w:r>
        <w:rPr>
          <w:rFonts w:cstheme="minorHAnsi"/>
          <w:lang w:val="en-US"/>
        </w:rPr>
        <w:t xml:space="preserve">; and </w:t>
      </w:r>
    </w:p>
    <w:p w:rsidR="00BE7C09" w:rsidRPr="00BE7C09" w:rsidRDefault="00B8096C" w:rsidP="00813FF0">
      <w:pPr>
        <w:pStyle w:val="ListParagraph"/>
        <w:numPr>
          <w:ilvl w:val="0"/>
          <w:numId w:val="10"/>
        </w:numPr>
        <w:rPr>
          <w:rFonts w:cstheme="minorHAnsi"/>
          <w:lang w:val="en-US"/>
        </w:rPr>
      </w:pPr>
      <w:r>
        <w:rPr>
          <w:rFonts w:cstheme="minorHAnsi"/>
          <w:lang w:val="en-US"/>
        </w:rPr>
        <w:t>t</w:t>
      </w:r>
      <w:r w:rsidR="00BE7C09">
        <w:rPr>
          <w:rFonts w:cstheme="minorHAnsi"/>
          <w:lang w:val="en-US"/>
        </w:rPr>
        <w:t>he prior and post regimens are different</w:t>
      </w:r>
    </w:p>
    <w:p w:rsidR="00223085" w:rsidRPr="00D402A6" w:rsidRDefault="00223085" w:rsidP="00813FF0">
      <w:pPr>
        <w:ind w:left="720" w:hanging="720"/>
        <w:rPr>
          <w:b/>
        </w:rPr>
      </w:pPr>
      <w:r w:rsidRPr="00D402A6">
        <w:rPr>
          <w:b/>
        </w:rPr>
        <w:t>3.</w:t>
      </w:r>
      <w:r w:rsidRPr="00D402A6">
        <w:rPr>
          <w:b/>
        </w:rPr>
        <w:tab/>
        <w:t>Adjustment to allow for stockpiling of medication, both same-day supply and supplies on different days</w:t>
      </w:r>
    </w:p>
    <w:p w:rsidR="00223085" w:rsidRPr="00344683" w:rsidRDefault="00223085" w:rsidP="00813FF0">
      <w:pPr>
        <w:rPr>
          <w:rFonts w:cstheme="minorHAnsi"/>
        </w:rPr>
      </w:pPr>
      <w:r w:rsidRPr="00344683">
        <w:rPr>
          <w:rFonts w:cstheme="minorHAnsi"/>
        </w:rPr>
        <w:t>The two step methodology outlined in point 1 and refined by logic in point 2 above did not take into account the phenomenon of stockpiling. This often occurs towards the end of the calendar year when a Safety Net card holder fills prescriptions more frequently than expected, so as to stockpile the medicine and avoid a higher co-payment in the next calendar year when they lose Safety Net eligibility. Stockpiling can also occur at other times of the year. Step 1 can impute higher rates of breaks in episodes around February. This is likely to be due to the stockpiling effect and not due to genuine breaks in treatment. Thus the rule to estimate the prescription coverage end date was modified to be the greater of;</w:t>
      </w:r>
    </w:p>
    <w:p w:rsidR="00223085" w:rsidRDefault="00223085" w:rsidP="00813FF0">
      <w:pPr>
        <w:pStyle w:val="ListParagraph"/>
        <w:numPr>
          <w:ilvl w:val="0"/>
          <w:numId w:val="4"/>
        </w:numPr>
        <w:ind w:left="360"/>
      </w:pPr>
      <w:r w:rsidRPr="00344683">
        <w:t>the predicted coverage end date of the previous prescription plus the standard coverage days (SCD); and,</w:t>
      </w:r>
    </w:p>
    <w:p w:rsidR="00223085" w:rsidRDefault="00223085" w:rsidP="00813FF0">
      <w:pPr>
        <w:pStyle w:val="ListParagraph"/>
        <w:numPr>
          <w:ilvl w:val="0"/>
          <w:numId w:val="4"/>
        </w:numPr>
        <w:ind w:left="360"/>
      </w:pPr>
      <w:proofErr w:type="gramStart"/>
      <w:r w:rsidRPr="00344683">
        <w:t>the</w:t>
      </w:r>
      <w:proofErr w:type="gramEnd"/>
      <w:r w:rsidRPr="00344683">
        <w:t xml:space="preserve"> actual </w:t>
      </w:r>
      <w:r w:rsidR="00D402A6">
        <w:t xml:space="preserve">supply </w:t>
      </w:r>
      <w:r w:rsidRPr="00344683">
        <w:t>date of the prescription plus the SCD.</w:t>
      </w:r>
    </w:p>
    <w:p w:rsidR="00223085" w:rsidRDefault="00223085" w:rsidP="00813FF0">
      <w:r>
        <w:t>This way of calculating the prescription coverage end date takes into account medication stockpiling (i.e. early supply). The logic of the break rule remained unchanged, that is;</w:t>
      </w:r>
    </w:p>
    <w:p w:rsidR="00223085" w:rsidRDefault="00223085" w:rsidP="00813FF0">
      <w:pPr>
        <w:pStyle w:val="ListParagraph"/>
        <w:numPr>
          <w:ilvl w:val="0"/>
          <w:numId w:val="5"/>
        </w:numPr>
        <w:ind w:left="360"/>
      </w:pPr>
      <w:proofErr w:type="gramStart"/>
      <w:r>
        <w:t>a</w:t>
      </w:r>
      <w:proofErr w:type="gramEnd"/>
      <w:r>
        <w:t xml:space="preserve"> break was where a prescription was supplied 2 x SCD or more after the coverage end date of the previous prescription for the same drug or drug group.</w:t>
      </w:r>
    </w:p>
    <w:p w:rsidR="00223085" w:rsidRDefault="00223085" w:rsidP="00813FF0">
      <w:r>
        <w:t>Application of this refinement results in the reduction of the extent of seasonality in the number of breaks in episodes.</w:t>
      </w:r>
    </w:p>
    <w:p w:rsidR="00223085" w:rsidRDefault="00223085" w:rsidP="00813FF0">
      <w:r>
        <w:t>If multiple prescriptions of the same drug (but not the same strength) or drug group are supplied on the same day, it was assumed that these were necessary for the prescribed dose for the SCD and not for an extension of coverage.</w:t>
      </w:r>
    </w:p>
    <w:p w:rsidR="00223085" w:rsidRDefault="00223085" w:rsidP="00813FF0">
      <w:r>
        <w:t>If multiple prescriptions of the same drug are supplied it is generally for two different strengths to enable the prescribed dose to be administered. If two prescriptions for the same strength (as opposed to increased quantity for a single script) are supplied, the method assumes this is similar to stockpiling (i.e. same day stockpiling) and the predicted coverage end date is extended to be the greater of;</w:t>
      </w:r>
    </w:p>
    <w:p w:rsidR="00223085" w:rsidRDefault="00223085" w:rsidP="00813FF0">
      <w:pPr>
        <w:pStyle w:val="ListParagraph"/>
        <w:numPr>
          <w:ilvl w:val="0"/>
          <w:numId w:val="5"/>
        </w:numPr>
        <w:ind w:left="360"/>
      </w:pPr>
      <w:r>
        <w:t>the predicted coverage end date of the previous prescription plus n x SCD; and,</w:t>
      </w:r>
    </w:p>
    <w:p w:rsidR="00223085" w:rsidRDefault="00223085" w:rsidP="00813FF0">
      <w:pPr>
        <w:pStyle w:val="ListParagraph"/>
        <w:numPr>
          <w:ilvl w:val="0"/>
          <w:numId w:val="5"/>
        </w:numPr>
        <w:spacing w:after="0"/>
        <w:ind w:left="360"/>
      </w:pPr>
      <w:r>
        <w:lastRenderedPageBreak/>
        <w:t xml:space="preserve">the </w:t>
      </w:r>
      <w:r w:rsidR="00D402A6" w:rsidRPr="00344683">
        <w:t xml:space="preserve">actual </w:t>
      </w:r>
      <w:r w:rsidR="00D402A6">
        <w:t xml:space="preserve">supply </w:t>
      </w:r>
      <w:r w:rsidR="00D402A6" w:rsidRPr="00344683">
        <w:t xml:space="preserve">date of the prescription </w:t>
      </w:r>
      <w:r>
        <w:t>plus n x SCD</w:t>
      </w:r>
    </w:p>
    <w:p w:rsidR="00223085" w:rsidRDefault="00223085" w:rsidP="00813FF0">
      <w:proofErr w:type="gramStart"/>
      <w:r>
        <w:t>where</w:t>
      </w:r>
      <w:proofErr w:type="gramEnd"/>
      <w:r>
        <w:t xml:space="preserve"> n = number of prescriptions on the same day.</w:t>
      </w:r>
    </w:p>
    <w:p w:rsidR="00223085" w:rsidRDefault="00223085" w:rsidP="00813FF0">
      <w:r>
        <w:t>A special case of multiple prescriptions being supplied on the same day is Regulation 24 prescriptions.</w:t>
      </w:r>
    </w:p>
    <w:p w:rsidR="00223085" w:rsidRDefault="00223085" w:rsidP="00813FF0">
      <w:r>
        <w:t>If the original and repeat prescriptions were supplied under Regulation 24 on the same day, then this was assumed to extend the coverage period (i.e. coverage period = prescriptions x SCD).</w:t>
      </w:r>
    </w:p>
    <w:p w:rsidR="00D402A6" w:rsidRDefault="00D402A6" w:rsidP="00813FF0">
      <w:r>
        <w:t xml:space="preserve">There is a danger that patients who consistently consume their medicine in less than the SCD period for a particular drug, will be deemed to be stockpiling </w:t>
      </w:r>
      <w:r w:rsidR="00EF4BE5">
        <w:t xml:space="preserve">(when they are not) </w:t>
      </w:r>
      <w:r>
        <w:t xml:space="preserve">and the coverage end date for a prescription will get unrealistically ahead of the supply date. To reduce this risk, </w:t>
      </w:r>
      <w:r w:rsidR="00EF4BE5">
        <w:t xml:space="preserve">the stockpiling rule was modified to limit the stockpiling to 3 extra SCD periods of coverage. </w:t>
      </w:r>
    </w:p>
    <w:p w:rsidR="00223085" w:rsidRPr="00D402A6" w:rsidRDefault="00223085" w:rsidP="00813FF0">
      <w:pPr>
        <w:ind w:left="720" w:hanging="720"/>
        <w:rPr>
          <w:b/>
        </w:rPr>
      </w:pPr>
      <w:r w:rsidRPr="00B36160">
        <w:rPr>
          <w:b/>
        </w:rPr>
        <w:t>4.</w:t>
      </w:r>
      <w:r w:rsidRPr="00B36160">
        <w:rPr>
          <w:b/>
        </w:rPr>
        <w:tab/>
        <w:t>Change in the rules for prescriptions whose co</w:t>
      </w:r>
      <w:r w:rsidR="00D402A6">
        <w:rPr>
          <w:b/>
        </w:rPr>
        <w:t>verage spans an initiation date</w:t>
      </w:r>
      <w:r w:rsidRPr="00B36160">
        <w:rPr>
          <w:b/>
        </w:rPr>
        <w:t>;</w:t>
      </w:r>
      <w:r w:rsidR="00D402A6">
        <w:rPr>
          <w:b/>
        </w:rPr>
        <w:br/>
      </w:r>
      <w:r w:rsidRPr="00B36160">
        <w:rPr>
          <w:b/>
        </w:rPr>
        <w:t xml:space="preserve"> - removal of stockpiling rule</w:t>
      </w:r>
    </w:p>
    <w:p w:rsidR="00223085" w:rsidRDefault="00223085" w:rsidP="00813FF0">
      <w:r>
        <w:t>It was found that the stockpiling rule could result in the script coverage end date getting considerably ahead of the script supply date. This is the intent of the rule, however when a new drug B was initiated the stockpiling rules was resulting in the imputation that the new drug B was being added to an existing drug A, when in all probability it was substituting drug A. To correct for this, the script coverage rule was changed so that if the script coverage period for a drug A script included the initiation date for drug B, then the stockpiling rule would not apply to the drug A script (i.e. its coverage would be from its supply date to the supply date + SCD). The rationale for this change is that even if patient has a lot of drug A on hand, the decision by the prescriber to initiate a new drug means that a switch could have occurred.</w:t>
      </w:r>
    </w:p>
    <w:p w:rsidR="00223085" w:rsidRPr="00DB0EA9" w:rsidRDefault="00223085" w:rsidP="00813FF0">
      <w:pPr>
        <w:rPr>
          <w:b/>
        </w:rPr>
      </w:pPr>
      <w:r w:rsidRPr="00DB0EA9">
        <w:rPr>
          <w:b/>
        </w:rPr>
        <w:t>5.</w:t>
      </w:r>
      <w:r w:rsidRPr="00DB0EA9">
        <w:rPr>
          <w:b/>
        </w:rPr>
        <w:tab/>
        <w:t>Estimating if a patient is continuing or stopping after their last script</w:t>
      </w:r>
    </w:p>
    <w:p w:rsidR="00223085" w:rsidRDefault="00223085" w:rsidP="00813FF0">
      <w:r>
        <w:t>If the last script in a patients script history is supplied within 2 x SCD of the end of the data period then the treatment is estimated to be continuing at the end of the data period (i.e. the episode coverage end date is set to the end date of the data period). Otherwise the treatment episode is estimated to have stopped and the episode coverage end date is equal to If the last script in a patients script history plus 1 x SCD.</w:t>
      </w:r>
    </w:p>
    <w:p w:rsidR="00223085" w:rsidRPr="0091074E" w:rsidRDefault="00223085" w:rsidP="00813FF0">
      <w:pPr>
        <w:pStyle w:val="Tableheading"/>
        <w:jc w:val="left"/>
      </w:pPr>
      <w:r>
        <w:t xml:space="preserve">Table </w:t>
      </w:r>
      <w:r w:rsidR="002B4CB9">
        <w:t>B</w:t>
      </w:r>
      <w:r>
        <w:t xml:space="preserve">.1: </w:t>
      </w:r>
      <w:r w:rsidRPr="0091074E">
        <w:t>Standard Coverage Days used in this analysis</w:t>
      </w:r>
    </w:p>
    <w:tbl>
      <w:tblPr>
        <w:tblStyle w:val="TableGrid"/>
        <w:tblW w:w="4713" w:type="pct"/>
        <w:tblInd w:w="108" w:type="dxa"/>
        <w:tblLook w:val="04A0" w:firstRow="1" w:lastRow="0" w:firstColumn="1" w:lastColumn="0" w:noHBand="0" w:noVBand="1"/>
        <w:tblCaption w:val="Table A1 describes the standard coverage days used in the analysis"/>
        <w:tblDescription w:val="It lists the drug or drug group and the median time to re-supply by any item of the same drug or drug group"/>
      </w:tblPr>
      <w:tblGrid>
        <w:gridCol w:w="5386"/>
        <w:gridCol w:w="3260"/>
      </w:tblGrid>
      <w:tr w:rsidR="00223085" w:rsidRPr="00284A4F" w:rsidTr="00F70A07">
        <w:trPr>
          <w:trHeight w:val="744"/>
          <w:tblHeader/>
        </w:trPr>
        <w:tc>
          <w:tcPr>
            <w:tcW w:w="3115" w:type="pct"/>
            <w:shd w:val="clear" w:color="auto" w:fill="BFBFBF" w:themeFill="background1" w:themeFillShade="BF"/>
          </w:tcPr>
          <w:p w:rsidR="00223085" w:rsidRPr="00284A4F" w:rsidRDefault="00703015" w:rsidP="00813FF0">
            <w:pPr>
              <w:jc w:val="center"/>
              <w:rPr>
                <w:rFonts w:cstheme="minorHAnsi"/>
                <w:b/>
                <w:sz w:val="20"/>
                <w:szCs w:val="20"/>
              </w:rPr>
            </w:pPr>
            <w:r>
              <w:rPr>
                <w:rFonts w:cstheme="minorHAnsi"/>
                <w:b/>
                <w:sz w:val="20"/>
                <w:szCs w:val="20"/>
              </w:rPr>
              <w:t>Drug</w:t>
            </w:r>
          </w:p>
        </w:tc>
        <w:tc>
          <w:tcPr>
            <w:tcW w:w="1885" w:type="pct"/>
            <w:shd w:val="clear" w:color="auto" w:fill="BFBFBF" w:themeFill="background1" w:themeFillShade="BF"/>
          </w:tcPr>
          <w:p w:rsidR="00223085" w:rsidRPr="00284A4F" w:rsidRDefault="00223085" w:rsidP="00813FF0">
            <w:pPr>
              <w:jc w:val="center"/>
              <w:rPr>
                <w:rFonts w:cstheme="minorHAnsi"/>
                <w:b/>
                <w:sz w:val="20"/>
                <w:szCs w:val="20"/>
              </w:rPr>
            </w:pPr>
            <w:r w:rsidRPr="00284A4F">
              <w:rPr>
                <w:rFonts w:cstheme="minorHAnsi"/>
                <w:b/>
                <w:sz w:val="20"/>
                <w:szCs w:val="20"/>
              </w:rPr>
              <w:t>Standard Coverage Days</w:t>
            </w:r>
            <w:r w:rsidRPr="00284A4F">
              <w:rPr>
                <w:rFonts w:cstheme="minorHAnsi"/>
                <w:b/>
                <w:sz w:val="20"/>
                <w:szCs w:val="20"/>
              </w:rPr>
              <w:br/>
              <w:t>(i.e. Median time to re-supply by any item of the same drug)</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Metformin</w:t>
            </w:r>
          </w:p>
        </w:tc>
        <w:tc>
          <w:tcPr>
            <w:tcW w:w="1885" w:type="pct"/>
          </w:tcPr>
          <w:p w:rsidR="00F70A07" w:rsidRPr="00F70A07" w:rsidRDefault="00F70A07" w:rsidP="00813FF0">
            <w:pPr>
              <w:jc w:val="center"/>
              <w:rPr>
                <w:sz w:val="20"/>
                <w:szCs w:val="20"/>
              </w:rPr>
            </w:pPr>
            <w:r w:rsidRPr="00F70A07">
              <w:rPr>
                <w:sz w:val="20"/>
                <w:szCs w:val="20"/>
              </w:rPr>
              <w:t>37</w:t>
            </w:r>
          </w:p>
        </w:tc>
      </w:tr>
      <w:tr w:rsidR="00F70A07" w:rsidTr="00F70A07">
        <w:trPr>
          <w:trHeight w:val="277"/>
        </w:trPr>
        <w:tc>
          <w:tcPr>
            <w:tcW w:w="3115" w:type="pct"/>
          </w:tcPr>
          <w:p w:rsidR="00F70A07" w:rsidRPr="00F70A07" w:rsidRDefault="00042FDB" w:rsidP="00813FF0">
            <w:pPr>
              <w:rPr>
                <w:sz w:val="20"/>
                <w:szCs w:val="20"/>
              </w:rPr>
            </w:pPr>
            <w:proofErr w:type="spellStart"/>
            <w:r w:rsidRPr="00F70A07">
              <w:rPr>
                <w:sz w:val="20"/>
                <w:szCs w:val="20"/>
              </w:rPr>
              <w:t>Gliclazide</w:t>
            </w:r>
            <w:proofErr w:type="spellEnd"/>
          </w:p>
        </w:tc>
        <w:tc>
          <w:tcPr>
            <w:tcW w:w="1885" w:type="pct"/>
          </w:tcPr>
          <w:p w:rsidR="00F70A07" w:rsidRPr="00F70A07" w:rsidRDefault="00F70A07" w:rsidP="00813FF0">
            <w:pPr>
              <w:jc w:val="center"/>
              <w:rPr>
                <w:sz w:val="20"/>
                <w:szCs w:val="20"/>
              </w:rPr>
            </w:pPr>
            <w:r w:rsidRPr="00F70A07">
              <w:rPr>
                <w:sz w:val="20"/>
                <w:szCs w:val="20"/>
              </w:rPr>
              <w:t>34</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Sitagliptin + Metformin</w:t>
            </w:r>
          </w:p>
        </w:tc>
        <w:tc>
          <w:tcPr>
            <w:tcW w:w="1885" w:type="pct"/>
          </w:tcPr>
          <w:p w:rsidR="00F70A07" w:rsidRPr="00F70A07" w:rsidRDefault="00F70A07" w:rsidP="00813FF0">
            <w:pPr>
              <w:jc w:val="center"/>
              <w:rPr>
                <w:sz w:val="20"/>
                <w:szCs w:val="20"/>
              </w:rPr>
            </w:pPr>
            <w:r w:rsidRPr="00F70A07">
              <w:rPr>
                <w:sz w:val="20"/>
                <w:szCs w:val="20"/>
              </w:rPr>
              <w:t>29</w:t>
            </w:r>
          </w:p>
        </w:tc>
      </w:tr>
      <w:tr w:rsidR="00F70A07" w:rsidTr="00F70A07">
        <w:trPr>
          <w:trHeight w:val="295"/>
        </w:trPr>
        <w:tc>
          <w:tcPr>
            <w:tcW w:w="3115" w:type="pct"/>
          </w:tcPr>
          <w:p w:rsidR="00F70A07" w:rsidRPr="00F70A07" w:rsidRDefault="00042FDB" w:rsidP="00813FF0">
            <w:pPr>
              <w:rPr>
                <w:sz w:val="20"/>
                <w:szCs w:val="20"/>
              </w:rPr>
            </w:pPr>
            <w:r w:rsidRPr="00F70A07">
              <w:rPr>
                <w:sz w:val="20"/>
                <w:szCs w:val="20"/>
              </w:rPr>
              <w:t>Sitagliptin</w:t>
            </w:r>
          </w:p>
        </w:tc>
        <w:tc>
          <w:tcPr>
            <w:tcW w:w="1885" w:type="pct"/>
          </w:tcPr>
          <w:p w:rsidR="00F70A07" w:rsidRPr="00F70A07" w:rsidRDefault="00F70A07" w:rsidP="00813FF0">
            <w:pPr>
              <w:jc w:val="center"/>
              <w:rPr>
                <w:sz w:val="20"/>
                <w:szCs w:val="20"/>
              </w:rPr>
            </w:pPr>
            <w:r w:rsidRPr="00F70A07">
              <w:rPr>
                <w:sz w:val="20"/>
                <w:szCs w:val="20"/>
              </w:rPr>
              <w:t>28</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Glimepiride</w:t>
            </w:r>
          </w:p>
        </w:tc>
        <w:tc>
          <w:tcPr>
            <w:tcW w:w="1885" w:type="pct"/>
          </w:tcPr>
          <w:p w:rsidR="00F70A07" w:rsidRPr="00F70A07" w:rsidRDefault="00F70A07" w:rsidP="00813FF0">
            <w:pPr>
              <w:jc w:val="center"/>
              <w:rPr>
                <w:sz w:val="20"/>
                <w:szCs w:val="20"/>
              </w:rPr>
            </w:pPr>
            <w:r w:rsidRPr="00F70A07">
              <w:rPr>
                <w:sz w:val="20"/>
                <w:szCs w:val="20"/>
              </w:rPr>
              <w:t>30</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Pioglitazone</w:t>
            </w:r>
          </w:p>
        </w:tc>
        <w:tc>
          <w:tcPr>
            <w:tcW w:w="1885" w:type="pct"/>
          </w:tcPr>
          <w:p w:rsidR="00F70A07" w:rsidRPr="00F70A07" w:rsidRDefault="00F70A07" w:rsidP="00813FF0">
            <w:pPr>
              <w:jc w:val="center"/>
              <w:rPr>
                <w:sz w:val="20"/>
                <w:szCs w:val="20"/>
              </w:rPr>
            </w:pPr>
            <w:r w:rsidRPr="00F70A07">
              <w:rPr>
                <w:sz w:val="20"/>
                <w:szCs w:val="20"/>
              </w:rPr>
              <w:t>28</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 xml:space="preserve">Insulin </w:t>
            </w:r>
            <w:proofErr w:type="spellStart"/>
            <w:r w:rsidRPr="00F70A07">
              <w:rPr>
                <w:sz w:val="20"/>
                <w:szCs w:val="20"/>
              </w:rPr>
              <w:t>Glargine</w:t>
            </w:r>
            <w:proofErr w:type="spellEnd"/>
          </w:p>
        </w:tc>
        <w:tc>
          <w:tcPr>
            <w:tcW w:w="1885" w:type="pct"/>
          </w:tcPr>
          <w:p w:rsidR="00F70A07" w:rsidRPr="00F70A07" w:rsidRDefault="00F70A07" w:rsidP="00813FF0">
            <w:pPr>
              <w:jc w:val="center"/>
              <w:rPr>
                <w:sz w:val="20"/>
                <w:szCs w:val="20"/>
              </w:rPr>
            </w:pPr>
            <w:r w:rsidRPr="00F70A07">
              <w:rPr>
                <w:sz w:val="20"/>
                <w:szCs w:val="20"/>
              </w:rPr>
              <w:t>137</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lastRenderedPageBreak/>
              <w:t>Vildagliptin + Metformin</w:t>
            </w:r>
          </w:p>
        </w:tc>
        <w:tc>
          <w:tcPr>
            <w:tcW w:w="1885" w:type="pct"/>
          </w:tcPr>
          <w:p w:rsidR="00F70A07" w:rsidRPr="00F70A07" w:rsidRDefault="00F70A07" w:rsidP="00813FF0">
            <w:pPr>
              <w:jc w:val="center"/>
              <w:rPr>
                <w:sz w:val="20"/>
                <w:szCs w:val="20"/>
              </w:rPr>
            </w:pPr>
            <w:r w:rsidRPr="00F70A07">
              <w:rPr>
                <w:sz w:val="20"/>
                <w:szCs w:val="20"/>
              </w:rPr>
              <w:t>31</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 xml:space="preserve">Insulin </w:t>
            </w:r>
            <w:proofErr w:type="spellStart"/>
            <w:r w:rsidRPr="00F70A07">
              <w:rPr>
                <w:sz w:val="20"/>
                <w:szCs w:val="20"/>
              </w:rPr>
              <w:t>Aspart</w:t>
            </w:r>
            <w:proofErr w:type="spellEnd"/>
          </w:p>
        </w:tc>
        <w:tc>
          <w:tcPr>
            <w:tcW w:w="1885" w:type="pct"/>
          </w:tcPr>
          <w:p w:rsidR="00F70A07" w:rsidRPr="00F70A07" w:rsidRDefault="00F70A07" w:rsidP="00813FF0">
            <w:pPr>
              <w:jc w:val="center"/>
              <w:rPr>
                <w:sz w:val="20"/>
                <w:szCs w:val="20"/>
              </w:rPr>
            </w:pPr>
            <w:r w:rsidRPr="00F70A07">
              <w:rPr>
                <w:sz w:val="20"/>
                <w:szCs w:val="20"/>
              </w:rPr>
              <w:t>122</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 xml:space="preserve">Insulin </w:t>
            </w:r>
            <w:proofErr w:type="spellStart"/>
            <w:r w:rsidRPr="00F70A07">
              <w:rPr>
                <w:sz w:val="20"/>
                <w:szCs w:val="20"/>
              </w:rPr>
              <w:t>Aspart</w:t>
            </w:r>
            <w:proofErr w:type="spellEnd"/>
            <w:r w:rsidRPr="00F70A07">
              <w:rPr>
                <w:sz w:val="20"/>
                <w:szCs w:val="20"/>
              </w:rPr>
              <w:t xml:space="preserve"> + Insulin </w:t>
            </w:r>
            <w:proofErr w:type="spellStart"/>
            <w:r w:rsidRPr="00F70A07">
              <w:rPr>
                <w:sz w:val="20"/>
                <w:szCs w:val="20"/>
              </w:rPr>
              <w:t>Aspart</w:t>
            </w:r>
            <w:proofErr w:type="spellEnd"/>
            <w:r w:rsidRPr="00F70A07">
              <w:rPr>
                <w:sz w:val="20"/>
                <w:szCs w:val="20"/>
              </w:rPr>
              <w:t xml:space="preserve"> Protamine</w:t>
            </w:r>
          </w:p>
        </w:tc>
        <w:tc>
          <w:tcPr>
            <w:tcW w:w="1885" w:type="pct"/>
          </w:tcPr>
          <w:p w:rsidR="00F70A07" w:rsidRPr="00F70A07" w:rsidRDefault="00F70A07" w:rsidP="00813FF0">
            <w:pPr>
              <w:jc w:val="center"/>
              <w:rPr>
                <w:sz w:val="20"/>
                <w:szCs w:val="20"/>
              </w:rPr>
            </w:pPr>
            <w:r w:rsidRPr="00F70A07">
              <w:rPr>
                <w:sz w:val="20"/>
                <w:szCs w:val="20"/>
              </w:rPr>
              <w:t>88</w:t>
            </w:r>
          </w:p>
        </w:tc>
      </w:tr>
      <w:tr w:rsidR="00F70A07" w:rsidTr="00F70A07">
        <w:trPr>
          <w:trHeight w:val="277"/>
        </w:trPr>
        <w:tc>
          <w:tcPr>
            <w:tcW w:w="3115" w:type="pct"/>
          </w:tcPr>
          <w:p w:rsidR="00F70A07" w:rsidRPr="00F70A07" w:rsidRDefault="00042FDB" w:rsidP="00813FF0">
            <w:pPr>
              <w:rPr>
                <w:sz w:val="20"/>
                <w:szCs w:val="20"/>
              </w:rPr>
            </w:pPr>
            <w:proofErr w:type="spellStart"/>
            <w:r w:rsidRPr="00F70A07">
              <w:rPr>
                <w:sz w:val="20"/>
                <w:szCs w:val="20"/>
              </w:rPr>
              <w:t>Exenatide</w:t>
            </w:r>
            <w:proofErr w:type="spellEnd"/>
          </w:p>
        </w:tc>
        <w:tc>
          <w:tcPr>
            <w:tcW w:w="1885" w:type="pct"/>
          </w:tcPr>
          <w:p w:rsidR="00F70A07" w:rsidRPr="00F70A07" w:rsidRDefault="00F70A07" w:rsidP="00813FF0">
            <w:pPr>
              <w:jc w:val="center"/>
              <w:rPr>
                <w:sz w:val="20"/>
                <w:szCs w:val="20"/>
              </w:rPr>
            </w:pPr>
            <w:r w:rsidRPr="00F70A07">
              <w:rPr>
                <w:sz w:val="20"/>
                <w:szCs w:val="20"/>
              </w:rPr>
              <w:t>32</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Linagliptin</w:t>
            </w:r>
          </w:p>
        </w:tc>
        <w:tc>
          <w:tcPr>
            <w:tcW w:w="1885" w:type="pct"/>
          </w:tcPr>
          <w:p w:rsidR="00F70A07" w:rsidRPr="00F70A07" w:rsidRDefault="00F70A07" w:rsidP="00813FF0">
            <w:pPr>
              <w:jc w:val="center"/>
              <w:rPr>
                <w:sz w:val="20"/>
                <w:szCs w:val="20"/>
              </w:rPr>
            </w:pPr>
            <w:r w:rsidRPr="00F70A07">
              <w:rPr>
                <w:sz w:val="20"/>
                <w:szCs w:val="20"/>
              </w:rPr>
              <w:t>29</w:t>
            </w:r>
          </w:p>
        </w:tc>
      </w:tr>
      <w:tr w:rsidR="00F70A07" w:rsidTr="00F70A07">
        <w:trPr>
          <w:trHeight w:val="277"/>
        </w:trPr>
        <w:tc>
          <w:tcPr>
            <w:tcW w:w="3115" w:type="pct"/>
          </w:tcPr>
          <w:p w:rsidR="00F70A07" w:rsidRPr="00F70A07" w:rsidRDefault="00042FDB" w:rsidP="00813FF0">
            <w:pPr>
              <w:rPr>
                <w:sz w:val="20"/>
                <w:szCs w:val="20"/>
              </w:rPr>
            </w:pPr>
            <w:proofErr w:type="spellStart"/>
            <w:r w:rsidRPr="00F70A07">
              <w:rPr>
                <w:sz w:val="20"/>
                <w:szCs w:val="20"/>
              </w:rPr>
              <w:t>Dapagliflozin</w:t>
            </w:r>
            <w:proofErr w:type="spellEnd"/>
          </w:p>
        </w:tc>
        <w:tc>
          <w:tcPr>
            <w:tcW w:w="1885" w:type="pct"/>
          </w:tcPr>
          <w:p w:rsidR="00F70A07" w:rsidRPr="00F70A07" w:rsidRDefault="00F70A07" w:rsidP="00813FF0">
            <w:pPr>
              <w:jc w:val="center"/>
              <w:rPr>
                <w:sz w:val="20"/>
                <w:szCs w:val="20"/>
              </w:rPr>
            </w:pPr>
            <w:r w:rsidRPr="00F70A07">
              <w:rPr>
                <w:sz w:val="20"/>
                <w:szCs w:val="20"/>
              </w:rPr>
              <w:t>29</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 xml:space="preserve">Metformin + </w:t>
            </w:r>
            <w:proofErr w:type="spellStart"/>
            <w:r w:rsidRPr="00F70A07">
              <w:rPr>
                <w:sz w:val="20"/>
                <w:szCs w:val="20"/>
              </w:rPr>
              <w:t>Glibenclamide</w:t>
            </w:r>
            <w:proofErr w:type="spellEnd"/>
          </w:p>
        </w:tc>
        <w:tc>
          <w:tcPr>
            <w:tcW w:w="1885" w:type="pct"/>
          </w:tcPr>
          <w:p w:rsidR="00F70A07" w:rsidRPr="00F70A07" w:rsidRDefault="00F70A07" w:rsidP="00813FF0">
            <w:pPr>
              <w:jc w:val="center"/>
              <w:rPr>
                <w:sz w:val="20"/>
                <w:szCs w:val="20"/>
              </w:rPr>
            </w:pPr>
            <w:r w:rsidRPr="00F70A07">
              <w:rPr>
                <w:sz w:val="20"/>
                <w:szCs w:val="20"/>
              </w:rPr>
              <w:t>30</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Saxagliptin</w:t>
            </w:r>
          </w:p>
        </w:tc>
        <w:tc>
          <w:tcPr>
            <w:tcW w:w="1885" w:type="pct"/>
          </w:tcPr>
          <w:p w:rsidR="00F70A07" w:rsidRPr="00F70A07" w:rsidRDefault="00F70A07" w:rsidP="00813FF0">
            <w:pPr>
              <w:jc w:val="center"/>
              <w:rPr>
                <w:sz w:val="20"/>
                <w:szCs w:val="20"/>
              </w:rPr>
            </w:pPr>
            <w:r w:rsidRPr="00F70A07">
              <w:rPr>
                <w:sz w:val="20"/>
                <w:szCs w:val="20"/>
              </w:rPr>
              <w:t>28</w:t>
            </w:r>
          </w:p>
        </w:tc>
      </w:tr>
      <w:tr w:rsidR="00F70A07" w:rsidTr="00F70A07">
        <w:trPr>
          <w:trHeight w:val="277"/>
        </w:trPr>
        <w:tc>
          <w:tcPr>
            <w:tcW w:w="3115" w:type="pct"/>
          </w:tcPr>
          <w:p w:rsidR="00F70A07" w:rsidRPr="00F70A07" w:rsidRDefault="00042FDB" w:rsidP="00813FF0">
            <w:pPr>
              <w:rPr>
                <w:sz w:val="20"/>
                <w:szCs w:val="20"/>
              </w:rPr>
            </w:pPr>
            <w:proofErr w:type="spellStart"/>
            <w:r w:rsidRPr="00F70A07">
              <w:rPr>
                <w:sz w:val="20"/>
                <w:szCs w:val="20"/>
              </w:rPr>
              <w:t>Glibenclamide</w:t>
            </w:r>
            <w:proofErr w:type="spellEnd"/>
          </w:p>
        </w:tc>
        <w:tc>
          <w:tcPr>
            <w:tcW w:w="1885" w:type="pct"/>
          </w:tcPr>
          <w:p w:rsidR="00F70A07" w:rsidRPr="00F70A07" w:rsidRDefault="00F70A07" w:rsidP="00813FF0">
            <w:pPr>
              <w:jc w:val="center"/>
              <w:rPr>
                <w:sz w:val="20"/>
                <w:szCs w:val="20"/>
              </w:rPr>
            </w:pPr>
            <w:r w:rsidRPr="00F70A07">
              <w:rPr>
                <w:sz w:val="20"/>
                <w:szCs w:val="20"/>
              </w:rPr>
              <w:t>33</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 xml:space="preserve">Insulin </w:t>
            </w:r>
            <w:proofErr w:type="spellStart"/>
            <w:r w:rsidRPr="00F70A07">
              <w:rPr>
                <w:sz w:val="20"/>
                <w:szCs w:val="20"/>
              </w:rPr>
              <w:t>Isophane</w:t>
            </w:r>
            <w:proofErr w:type="spellEnd"/>
            <w:r w:rsidRPr="00F70A07">
              <w:rPr>
                <w:sz w:val="20"/>
                <w:szCs w:val="20"/>
              </w:rPr>
              <w:t xml:space="preserve"> Human + Insulin Neutral Human</w:t>
            </w:r>
          </w:p>
        </w:tc>
        <w:tc>
          <w:tcPr>
            <w:tcW w:w="1885" w:type="pct"/>
          </w:tcPr>
          <w:p w:rsidR="00F70A07" w:rsidRPr="00F70A07" w:rsidRDefault="00F70A07" w:rsidP="00813FF0">
            <w:pPr>
              <w:jc w:val="center"/>
              <w:rPr>
                <w:sz w:val="20"/>
                <w:szCs w:val="20"/>
              </w:rPr>
            </w:pPr>
            <w:r w:rsidRPr="00F70A07">
              <w:rPr>
                <w:sz w:val="20"/>
                <w:szCs w:val="20"/>
              </w:rPr>
              <w:t>89</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Vildagliptin</w:t>
            </w:r>
          </w:p>
        </w:tc>
        <w:tc>
          <w:tcPr>
            <w:tcW w:w="1885" w:type="pct"/>
          </w:tcPr>
          <w:p w:rsidR="00F70A07" w:rsidRPr="00F70A07" w:rsidRDefault="00F70A07" w:rsidP="00813FF0">
            <w:pPr>
              <w:jc w:val="center"/>
              <w:rPr>
                <w:sz w:val="20"/>
                <w:szCs w:val="20"/>
              </w:rPr>
            </w:pPr>
            <w:r w:rsidRPr="00F70A07">
              <w:rPr>
                <w:sz w:val="20"/>
                <w:szCs w:val="20"/>
              </w:rPr>
              <w:t>32</w:t>
            </w:r>
          </w:p>
        </w:tc>
      </w:tr>
      <w:tr w:rsidR="00F70A07" w:rsidTr="00F70A07">
        <w:trPr>
          <w:trHeight w:val="277"/>
        </w:trPr>
        <w:tc>
          <w:tcPr>
            <w:tcW w:w="3115" w:type="pct"/>
          </w:tcPr>
          <w:p w:rsidR="00F70A07" w:rsidRPr="00F70A07" w:rsidRDefault="00042FDB" w:rsidP="00813FF0">
            <w:pPr>
              <w:rPr>
                <w:sz w:val="20"/>
                <w:szCs w:val="20"/>
              </w:rPr>
            </w:pPr>
            <w:proofErr w:type="spellStart"/>
            <w:r w:rsidRPr="00F70A07">
              <w:rPr>
                <w:sz w:val="20"/>
                <w:szCs w:val="20"/>
              </w:rPr>
              <w:t>Acarbose</w:t>
            </w:r>
            <w:proofErr w:type="spellEnd"/>
          </w:p>
        </w:tc>
        <w:tc>
          <w:tcPr>
            <w:tcW w:w="1885" w:type="pct"/>
          </w:tcPr>
          <w:p w:rsidR="00F70A07" w:rsidRPr="00F70A07" w:rsidRDefault="00F70A07" w:rsidP="00813FF0">
            <w:pPr>
              <w:jc w:val="center"/>
              <w:rPr>
                <w:sz w:val="20"/>
                <w:szCs w:val="20"/>
              </w:rPr>
            </w:pPr>
            <w:r w:rsidRPr="00F70A07">
              <w:rPr>
                <w:sz w:val="20"/>
                <w:szCs w:val="20"/>
              </w:rPr>
              <w:t>31</w:t>
            </w:r>
          </w:p>
        </w:tc>
      </w:tr>
      <w:tr w:rsidR="00F70A07" w:rsidTr="00F70A07">
        <w:trPr>
          <w:trHeight w:val="277"/>
        </w:trPr>
        <w:tc>
          <w:tcPr>
            <w:tcW w:w="3115" w:type="pct"/>
          </w:tcPr>
          <w:p w:rsidR="00F70A07" w:rsidRPr="00F70A07" w:rsidRDefault="00042FDB" w:rsidP="00813FF0">
            <w:pPr>
              <w:rPr>
                <w:sz w:val="20"/>
                <w:szCs w:val="20"/>
              </w:rPr>
            </w:pPr>
            <w:proofErr w:type="spellStart"/>
            <w:r w:rsidRPr="00F70A07">
              <w:rPr>
                <w:sz w:val="20"/>
                <w:szCs w:val="20"/>
              </w:rPr>
              <w:t>Glipizide</w:t>
            </w:r>
            <w:proofErr w:type="spellEnd"/>
          </w:p>
        </w:tc>
        <w:tc>
          <w:tcPr>
            <w:tcW w:w="1885" w:type="pct"/>
          </w:tcPr>
          <w:p w:rsidR="00F70A07" w:rsidRPr="00F70A07" w:rsidRDefault="00F70A07" w:rsidP="00813FF0">
            <w:pPr>
              <w:jc w:val="center"/>
              <w:rPr>
                <w:sz w:val="20"/>
                <w:szCs w:val="20"/>
              </w:rPr>
            </w:pPr>
            <w:r w:rsidRPr="00F70A07">
              <w:rPr>
                <w:sz w:val="20"/>
                <w:szCs w:val="20"/>
              </w:rPr>
              <w:t>32</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 xml:space="preserve">Insulin </w:t>
            </w:r>
            <w:proofErr w:type="spellStart"/>
            <w:r w:rsidRPr="00F70A07">
              <w:rPr>
                <w:sz w:val="20"/>
                <w:szCs w:val="20"/>
              </w:rPr>
              <w:t>Lispro</w:t>
            </w:r>
            <w:proofErr w:type="spellEnd"/>
          </w:p>
        </w:tc>
        <w:tc>
          <w:tcPr>
            <w:tcW w:w="1885" w:type="pct"/>
          </w:tcPr>
          <w:p w:rsidR="00F70A07" w:rsidRPr="00F70A07" w:rsidRDefault="00F70A07" w:rsidP="00813FF0">
            <w:pPr>
              <w:jc w:val="center"/>
              <w:rPr>
                <w:sz w:val="20"/>
                <w:szCs w:val="20"/>
              </w:rPr>
            </w:pPr>
            <w:r w:rsidRPr="00F70A07">
              <w:rPr>
                <w:sz w:val="20"/>
                <w:szCs w:val="20"/>
              </w:rPr>
              <w:t>120</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Linagliptin + Metformin</w:t>
            </w:r>
          </w:p>
        </w:tc>
        <w:tc>
          <w:tcPr>
            <w:tcW w:w="1885" w:type="pct"/>
          </w:tcPr>
          <w:p w:rsidR="00F70A07" w:rsidRPr="00F70A07" w:rsidRDefault="00F70A07" w:rsidP="00813FF0">
            <w:pPr>
              <w:jc w:val="center"/>
              <w:rPr>
                <w:sz w:val="20"/>
                <w:szCs w:val="20"/>
              </w:rPr>
            </w:pPr>
            <w:r w:rsidRPr="00F70A07">
              <w:rPr>
                <w:sz w:val="20"/>
                <w:szCs w:val="20"/>
              </w:rPr>
              <w:t>31</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Saxagliptin + Metformin</w:t>
            </w:r>
          </w:p>
        </w:tc>
        <w:tc>
          <w:tcPr>
            <w:tcW w:w="1885" w:type="pct"/>
          </w:tcPr>
          <w:p w:rsidR="00F70A07" w:rsidRPr="00F70A07" w:rsidRDefault="00F70A07" w:rsidP="00813FF0">
            <w:pPr>
              <w:jc w:val="center"/>
              <w:rPr>
                <w:sz w:val="20"/>
                <w:szCs w:val="20"/>
              </w:rPr>
            </w:pPr>
            <w:r w:rsidRPr="00F70A07">
              <w:rPr>
                <w:sz w:val="20"/>
                <w:szCs w:val="20"/>
              </w:rPr>
              <w:t>29</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 xml:space="preserve">Insulin </w:t>
            </w:r>
            <w:proofErr w:type="spellStart"/>
            <w:r w:rsidRPr="00F70A07">
              <w:rPr>
                <w:sz w:val="20"/>
                <w:szCs w:val="20"/>
              </w:rPr>
              <w:t>Detemir</w:t>
            </w:r>
            <w:proofErr w:type="spellEnd"/>
          </w:p>
        </w:tc>
        <w:tc>
          <w:tcPr>
            <w:tcW w:w="1885" w:type="pct"/>
          </w:tcPr>
          <w:p w:rsidR="00F70A07" w:rsidRPr="00F70A07" w:rsidRDefault="00F70A07" w:rsidP="00813FF0">
            <w:pPr>
              <w:jc w:val="center"/>
              <w:rPr>
                <w:sz w:val="20"/>
                <w:szCs w:val="20"/>
              </w:rPr>
            </w:pPr>
            <w:r w:rsidRPr="00F70A07">
              <w:rPr>
                <w:sz w:val="20"/>
                <w:szCs w:val="20"/>
              </w:rPr>
              <w:t>143</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 xml:space="preserve">Insulin </w:t>
            </w:r>
            <w:proofErr w:type="spellStart"/>
            <w:r w:rsidRPr="00F70A07">
              <w:rPr>
                <w:sz w:val="20"/>
                <w:szCs w:val="20"/>
              </w:rPr>
              <w:t>Isophane</w:t>
            </w:r>
            <w:proofErr w:type="spellEnd"/>
            <w:r w:rsidRPr="00F70A07">
              <w:rPr>
                <w:sz w:val="20"/>
                <w:szCs w:val="20"/>
              </w:rPr>
              <w:t xml:space="preserve"> Human</w:t>
            </w:r>
          </w:p>
        </w:tc>
        <w:tc>
          <w:tcPr>
            <w:tcW w:w="1885" w:type="pct"/>
          </w:tcPr>
          <w:p w:rsidR="00F70A07" w:rsidRPr="00F70A07" w:rsidRDefault="00F70A07" w:rsidP="00813FF0">
            <w:pPr>
              <w:jc w:val="center"/>
              <w:rPr>
                <w:sz w:val="20"/>
                <w:szCs w:val="20"/>
              </w:rPr>
            </w:pPr>
            <w:r w:rsidRPr="00F70A07">
              <w:rPr>
                <w:sz w:val="20"/>
                <w:szCs w:val="20"/>
              </w:rPr>
              <w:t>118</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 xml:space="preserve">Insulin </w:t>
            </w:r>
            <w:proofErr w:type="spellStart"/>
            <w:r w:rsidRPr="00F70A07">
              <w:rPr>
                <w:sz w:val="20"/>
                <w:szCs w:val="20"/>
              </w:rPr>
              <w:t>Lispro</w:t>
            </w:r>
            <w:proofErr w:type="spellEnd"/>
            <w:r w:rsidRPr="00F70A07">
              <w:rPr>
                <w:sz w:val="20"/>
                <w:szCs w:val="20"/>
              </w:rPr>
              <w:t xml:space="preserve"> + Insulin </w:t>
            </w:r>
            <w:proofErr w:type="spellStart"/>
            <w:r w:rsidRPr="00F70A07">
              <w:rPr>
                <w:sz w:val="20"/>
                <w:szCs w:val="20"/>
              </w:rPr>
              <w:t>Lispro</w:t>
            </w:r>
            <w:proofErr w:type="spellEnd"/>
            <w:r w:rsidRPr="00F70A07">
              <w:rPr>
                <w:sz w:val="20"/>
                <w:szCs w:val="20"/>
              </w:rPr>
              <w:t xml:space="preserve"> Protamine</w:t>
            </w:r>
          </w:p>
        </w:tc>
        <w:tc>
          <w:tcPr>
            <w:tcW w:w="1885" w:type="pct"/>
          </w:tcPr>
          <w:p w:rsidR="00F70A07" w:rsidRPr="00F70A07" w:rsidRDefault="00F70A07" w:rsidP="00813FF0">
            <w:pPr>
              <w:jc w:val="center"/>
              <w:rPr>
                <w:sz w:val="20"/>
                <w:szCs w:val="20"/>
              </w:rPr>
            </w:pPr>
            <w:r w:rsidRPr="00F70A07">
              <w:rPr>
                <w:sz w:val="20"/>
                <w:szCs w:val="20"/>
              </w:rPr>
              <w:t>86</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Insulin Neutral Human</w:t>
            </w:r>
          </w:p>
        </w:tc>
        <w:tc>
          <w:tcPr>
            <w:tcW w:w="1885" w:type="pct"/>
          </w:tcPr>
          <w:p w:rsidR="00F70A07" w:rsidRPr="00F70A07" w:rsidRDefault="00F70A07" w:rsidP="00813FF0">
            <w:pPr>
              <w:jc w:val="center"/>
              <w:rPr>
                <w:sz w:val="20"/>
                <w:szCs w:val="20"/>
              </w:rPr>
            </w:pPr>
            <w:r w:rsidRPr="00F70A07">
              <w:rPr>
                <w:sz w:val="20"/>
                <w:szCs w:val="20"/>
              </w:rPr>
              <w:t>122</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Rosiglitazone + Metformin</w:t>
            </w:r>
          </w:p>
        </w:tc>
        <w:tc>
          <w:tcPr>
            <w:tcW w:w="1885" w:type="pct"/>
          </w:tcPr>
          <w:p w:rsidR="00F70A07" w:rsidRPr="00F70A07" w:rsidRDefault="00F70A07" w:rsidP="00813FF0">
            <w:pPr>
              <w:jc w:val="center"/>
              <w:rPr>
                <w:sz w:val="20"/>
                <w:szCs w:val="20"/>
              </w:rPr>
            </w:pPr>
            <w:r w:rsidRPr="00F70A07">
              <w:rPr>
                <w:sz w:val="20"/>
                <w:szCs w:val="20"/>
              </w:rPr>
              <w:t>29</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Rosiglitazone</w:t>
            </w:r>
          </w:p>
        </w:tc>
        <w:tc>
          <w:tcPr>
            <w:tcW w:w="1885" w:type="pct"/>
          </w:tcPr>
          <w:p w:rsidR="00F70A07" w:rsidRPr="00F70A07" w:rsidRDefault="00F70A07" w:rsidP="00813FF0">
            <w:pPr>
              <w:jc w:val="center"/>
              <w:rPr>
                <w:sz w:val="20"/>
                <w:szCs w:val="20"/>
              </w:rPr>
            </w:pPr>
            <w:r w:rsidRPr="00F70A07">
              <w:rPr>
                <w:sz w:val="20"/>
                <w:szCs w:val="20"/>
              </w:rPr>
              <w:t>28</w:t>
            </w:r>
          </w:p>
        </w:tc>
      </w:tr>
      <w:tr w:rsidR="00F70A07" w:rsidTr="00F70A07">
        <w:trPr>
          <w:trHeight w:val="277"/>
        </w:trPr>
        <w:tc>
          <w:tcPr>
            <w:tcW w:w="3115" w:type="pct"/>
          </w:tcPr>
          <w:p w:rsidR="00F70A07" w:rsidRPr="00F70A07" w:rsidRDefault="00042FDB" w:rsidP="00813FF0">
            <w:pPr>
              <w:rPr>
                <w:sz w:val="20"/>
                <w:szCs w:val="20"/>
              </w:rPr>
            </w:pPr>
            <w:proofErr w:type="spellStart"/>
            <w:r w:rsidRPr="00F70A07">
              <w:rPr>
                <w:sz w:val="20"/>
                <w:szCs w:val="20"/>
              </w:rPr>
              <w:t>Empagliflozin</w:t>
            </w:r>
            <w:proofErr w:type="spellEnd"/>
          </w:p>
        </w:tc>
        <w:tc>
          <w:tcPr>
            <w:tcW w:w="1885" w:type="pct"/>
          </w:tcPr>
          <w:p w:rsidR="00F70A07" w:rsidRPr="00F70A07" w:rsidRDefault="00F70A07" w:rsidP="00813FF0">
            <w:pPr>
              <w:jc w:val="center"/>
              <w:rPr>
                <w:sz w:val="20"/>
                <w:szCs w:val="20"/>
              </w:rPr>
            </w:pPr>
            <w:r w:rsidRPr="00F70A07">
              <w:rPr>
                <w:sz w:val="20"/>
                <w:szCs w:val="20"/>
              </w:rPr>
              <w:t>30</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 xml:space="preserve">Insulin </w:t>
            </w:r>
            <w:proofErr w:type="spellStart"/>
            <w:r w:rsidRPr="00F70A07">
              <w:rPr>
                <w:sz w:val="20"/>
                <w:szCs w:val="20"/>
              </w:rPr>
              <w:t>Glulisine</w:t>
            </w:r>
            <w:proofErr w:type="spellEnd"/>
          </w:p>
        </w:tc>
        <w:tc>
          <w:tcPr>
            <w:tcW w:w="1885" w:type="pct"/>
          </w:tcPr>
          <w:p w:rsidR="00F70A07" w:rsidRPr="00F70A07" w:rsidRDefault="00F70A07" w:rsidP="00813FF0">
            <w:pPr>
              <w:jc w:val="center"/>
              <w:rPr>
                <w:sz w:val="20"/>
                <w:szCs w:val="20"/>
              </w:rPr>
            </w:pPr>
            <w:r w:rsidRPr="00F70A07">
              <w:rPr>
                <w:sz w:val="20"/>
                <w:szCs w:val="20"/>
              </w:rPr>
              <w:t>137</w:t>
            </w:r>
          </w:p>
        </w:tc>
      </w:tr>
      <w:tr w:rsidR="00F70A07" w:rsidTr="00F70A07">
        <w:trPr>
          <w:trHeight w:val="277"/>
        </w:trPr>
        <w:tc>
          <w:tcPr>
            <w:tcW w:w="3115" w:type="pct"/>
          </w:tcPr>
          <w:p w:rsidR="00F70A07" w:rsidRPr="00F70A07" w:rsidRDefault="00042FDB" w:rsidP="00813FF0">
            <w:pPr>
              <w:rPr>
                <w:sz w:val="20"/>
                <w:szCs w:val="20"/>
              </w:rPr>
            </w:pPr>
            <w:proofErr w:type="spellStart"/>
            <w:r w:rsidRPr="00F70A07">
              <w:rPr>
                <w:sz w:val="20"/>
                <w:szCs w:val="20"/>
              </w:rPr>
              <w:t>Alogliptin</w:t>
            </w:r>
            <w:proofErr w:type="spellEnd"/>
            <w:r w:rsidRPr="00F70A07">
              <w:rPr>
                <w:sz w:val="20"/>
                <w:szCs w:val="20"/>
              </w:rPr>
              <w:t xml:space="preserve"> + Metformin</w:t>
            </w:r>
          </w:p>
        </w:tc>
        <w:tc>
          <w:tcPr>
            <w:tcW w:w="1885" w:type="pct"/>
          </w:tcPr>
          <w:p w:rsidR="00F70A07" w:rsidRPr="00F70A07" w:rsidRDefault="00F70A07" w:rsidP="00813FF0">
            <w:pPr>
              <w:jc w:val="center"/>
              <w:rPr>
                <w:sz w:val="20"/>
                <w:szCs w:val="20"/>
              </w:rPr>
            </w:pPr>
            <w:r w:rsidRPr="00F70A07">
              <w:rPr>
                <w:sz w:val="20"/>
                <w:szCs w:val="20"/>
              </w:rPr>
              <w:t>30</w:t>
            </w:r>
          </w:p>
        </w:tc>
      </w:tr>
      <w:tr w:rsidR="00F70A07" w:rsidTr="00F70A07">
        <w:trPr>
          <w:trHeight w:val="277"/>
        </w:trPr>
        <w:tc>
          <w:tcPr>
            <w:tcW w:w="3115" w:type="pct"/>
          </w:tcPr>
          <w:p w:rsidR="00F70A07" w:rsidRPr="00F70A07" w:rsidRDefault="00042FDB" w:rsidP="00813FF0">
            <w:pPr>
              <w:rPr>
                <w:sz w:val="20"/>
                <w:szCs w:val="20"/>
              </w:rPr>
            </w:pPr>
            <w:proofErr w:type="spellStart"/>
            <w:r w:rsidRPr="00F70A07">
              <w:rPr>
                <w:sz w:val="20"/>
                <w:szCs w:val="20"/>
              </w:rPr>
              <w:t>Dapagliflozin</w:t>
            </w:r>
            <w:proofErr w:type="spellEnd"/>
            <w:r w:rsidRPr="00F70A07">
              <w:rPr>
                <w:sz w:val="20"/>
                <w:szCs w:val="20"/>
              </w:rPr>
              <w:t xml:space="preserve"> + Metformin</w:t>
            </w:r>
          </w:p>
        </w:tc>
        <w:tc>
          <w:tcPr>
            <w:tcW w:w="1885" w:type="pct"/>
          </w:tcPr>
          <w:p w:rsidR="00F70A07" w:rsidRPr="00F70A07" w:rsidRDefault="00F70A07" w:rsidP="00813FF0">
            <w:pPr>
              <w:jc w:val="center"/>
              <w:rPr>
                <w:sz w:val="20"/>
                <w:szCs w:val="20"/>
              </w:rPr>
            </w:pPr>
            <w:r w:rsidRPr="00F70A07">
              <w:rPr>
                <w:sz w:val="20"/>
                <w:szCs w:val="20"/>
              </w:rPr>
              <w:t>29</w:t>
            </w:r>
          </w:p>
        </w:tc>
      </w:tr>
      <w:tr w:rsidR="00F70A07" w:rsidTr="00F70A07">
        <w:trPr>
          <w:trHeight w:val="277"/>
        </w:trPr>
        <w:tc>
          <w:tcPr>
            <w:tcW w:w="3115" w:type="pct"/>
          </w:tcPr>
          <w:p w:rsidR="00F70A07" w:rsidRPr="00F70A07" w:rsidRDefault="00042FDB" w:rsidP="00813FF0">
            <w:pPr>
              <w:rPr>
                <w:sz w:val="20"/>
                <w:szCs w:val="20"/>
              </w:rPr>
            </w:pPr>
            <w:proofErr w:type="spellStart"/>
            <w:r w:rsidRPr="00F70A07">
              <w:rPr>
                <w:sz w:val="20"/>
                <w:szCs w:val="20"/>
              </w:rPr>
              <w:t>Alogliptin</w:t>
            </w:r>
            <w:proofErr w:type="spellEnd"/>
          </w:p>
        </w:tc>
        <w:tc>
          <w:tcPr>
            <w:tcW w:w="1885" w:type="pct"/>
          </w:tcPr>
          <w:p w:rsidR="00F70A07" w:rsidRPr="00F70A07" w:rsidRDefault="00F70A07" w:rsidP="00813FF0">
            <w:pPr>
              <w:jc w:val="center"/>
              <w:rPr>
                <w:sz w:val="20"/>
                <w:szCs w:val="20"/>
              </w:rPr>
            </w:pPr>
            <w:r w:rsidRPr="00F70A07">
              <w:rPr>
                <w:sz w:val="20"/>
                <w:szCs w:val="20"/>
              </w:rPr>
              <w:t>28</w:t>
            </w:r>
          </w:p>
        </w:tc>
      </w:tr>
      <w:tr w:rsidR="00F70A07" w:rsidTr="00F70A07">
        <w:trPr>
          <w:trHeight w:val="277"/>
        </w:trPr>
        <w:tc>
          <w:tcPr>
            <w:tcW w:w="3115" w:type="pct"/>
          </w:tcPr>
          <w:p w:rsidR="00F70A07" w:rsidRPr="00F70A07" w:rsidRDefault="00042FDB" w:rsidP="00813FF0">
            <w:pPr>
              <w:rPr>
                <w:sz w:val="20"/>
                <w:szCs w:val="20"/>
              </w:rPr>
            </w:pPr>
            <w:proofErr w:type="spellStart"/>
            <w:r w:rsidRPr="00F70A07">
              <w:rPr>
                <w:sz w:val="20"/>
                <w:szCs w:val="20"/>
              </w:rPr>
              <w:t>Canagliflozin</w:t>
            </w:r>
            <w:proofErr w:type="spellEnd"/>
          </w:p>
        </w:tc>
        <w:tc>
          <w:tcPr>
            <w:tcW w:w="1885" w:type="pct"/>
          </w:tcPr>
          <w:p w:rsidR="00F70A07" w:rsidRPr="00F70A07" w:rsidRDefault="00F70A07" w:rsidP="00813FF0">
            <w:pPr>
              <w:jc w:val="center"/>
              <w:rPr>
                <w:sz w:val="20"/>
                <w:szCs w:val="20"/>
              </w:rPr>
            </w:pPr>
            <w:r w:rsidRPr="00F70A07">
              <w:rPr>
                <w:sz w:val="20"/>
                <w:szCs w:val="20"/>
              </w:rPr>
              <w:t>30</w:t>
            </w:r>
          </w:p>
        </w:tc>
      </w:tr>
      <w:tr w:rsidR="00F70A07" w:rsidTr="00F70A07">
        <w:trPr>
          <w:trHeight w:val="277"/>
        </w:trPr>
        <w:tc>
          <w:tcPr>
            <w:tcW w:w="3115" w:type="pct"/>
          </w:tcPr>
          <w:p w:rsidR="00F70A07" w:rsidRPr="00F70A07" w:rsidRDefault="00042FDB" w:rsidP="00813FF0">
            <w:pPr>
              <w:rPr>
                <w:sz w:val="20"/>
                <w:szCs w:val="20"/>
              </w:rPr>
            </w:pPr>
            <w:proofErr w:type="spellStart"/>
            <w:r w:rsidRPr="00F70A07">
              <w:rPr>
                <w:sz w:val="20"/>
                <w:szCs w:val="20"/>
              </w:rPr>
              <w:t>Empagliflozin</w:t>
            </w:r>
            <w:proofErr w:type="spellEnd"/>
            <w:r w:rsidRPr="00F70A07">
              <w:rPr>
                <w:sz w:val="20"/>
                <w:szCs w:val="20"/>
              </w:rPr>
              <w:t xml:space="preserve"> + Metformin</w:t>
            </w:r>
          </w:p>
        </w:tc>
        <w:tc>
          <w:tcPr>
            <w:tcW w:w="1885" w:type="pct"/>
          </w:tcPr>
          <w:p w:rsidR="00F70A07" w:rsidRPr="00F70A07" w:rsidRDefault="00F70A07" w:rsidP="00813FF0">
            <w:pPr>
              <w:jc w:val="center"/>
              <w:rPr>
                <w:sz w:val="20"/>
                <w:szCs w:val="20"/>
              </w:rPr>
            </w:pPr>
            <w:r w:rsidRPr="00F70A07">
              <w:rPr>
                <w:sz w:val="20"/>
                <w:szCs w:val="20"/>
              </w:rPr>
              <w:t>31</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 xml:space="preserve">Insulin </w:t>
            </w:r>
            <w:proofErr w:type="spellStart"/>
            <w:r w:rsidRPr="00F70A07">
              <w:rPr>
                <w:sz w:val="20"/>
                <w:szCs w:val="20"/>
              </w:rPr>
              <w:t>Isophane</w:t>
            </w:r>
            <w:proofErr w:type="spellEnd"/>
            <w:r w:rsidRPr="00F70A07">
              <w:rPr>
                <w:sz w:val="20"/>
                <w:szCs w:val="20"/>
              </w:rPr>
              <w:t xml:space="preserve"> Bovine</w:t>
            </w:r>
          </w:p>
        </w:tc>
        <w:tc>
          <w:tcPr>
            <w:tcW w:w="1885" w:type="pct"/>
          </w:tcPr>
          <w:p w:rsidR="00F70A07" w:rsidRPr="00F70A07" w:rsidRDefault="00F70A07" w:rsidP="00813FF0">
            <w:pPr>
              <w:jc w:val="center"/>
              <w:rPr>
                <w:sz w:val="20"/>
                <w:szCs w:val="20"/>
              </w:rPr>
            </w:pPr>
            <w:r w:rsidRPr="00F70A07">
              <w:rPr>
                <w:sz w:val="20"/>
                <w:szCs w:val="20"/>
              </w:rPr>
              <w:t>90</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Insulin Neutral Bovine</w:t>
            </w:r>
          </w:p>
        </w:tc>
        <w:tc>
          <w:tcPr>
            <w:tcW w:w="1885" w:type="pct"/>
          </w:tcPr>
          <w:p w:rsidR="00F70A07" w:rsidRPr="00F70A07" w:rsidRDefault="00F70A07" w:rsidP="00813FF0">
            <w:pPr>
              <w:jc w:val="center"/>
              <w:rPr>
                <w:sz w:val="20"/>
                <w:szCs w:val="20"/>
              </w:rPr>
            </w:pPr>
            <w:r w:rsidRPr="00F70A07">
              <w:rPr>
                <w:sz w:val="20"/>
                <w:szCs w:val="20"/>
              </w:rPr>
              <w:t>118</w:t>
            </w:r>
          </w:p>
        </w:tc>
      </w:tr>
      <w:tr w:rsidR="00F70A07" w:rsidTr="00F70A07">
        <w:trPr>
          <w:trHeight w:val="277"/>
        </w:trPr>
        <w:tc>
          <w:tcPr>
            <w:tcW w:w="3115" w:type="pct"/>
          </w:tcPr>
          <w:p w:rsidR="00F70A07" w:rsidRPr="00F70A07" w:rsidRDefault="00042FDB" w:rsidP="00813FF0">
            <w:pPr>
              <w:rPr>
                <w:sz w:val="20"/>
                <w:szCs w:val="20"/>
              </w:rPr>
            </w:pPr>
            <w:r w:rsidRPr="00F70A07">
              <w:rPr>
                <w:sz w:val="20"/>
                <w:szCs w:val="20"/>
              </w:rPr>
              <w:t>Sitagliptin + Simvastatin</w:t>
            </w:r>
          </w:p>
        </w:tc>
        <w:tc>
          <w:tcPr>
            <w:tcW w:w="1885" w:type="pct"/>
          </w:tcPr>
          <w:p w:rsidR="00F70A07" w:rsidRPr="00F70A07" w:rsidRDefault="00F70A07" w:rsidP="00813FF0">
            <w:pPr>
              <w:jc w:val="center"/>
              <w:rPr>
                <w:sz w:val="20"/>
                <w:szCs w:val="20"/>
              </w:rPr>
            </w:pPr>
            <w:r w:rsidRPr="00F70A07">
              <w:rPr>
                <w:sz w:val="20"/>
                <w:szCs w:val="20"/>
              </w:rPr>
              <w:t>29.5</w:t>
            </w:r>
          </w:p>
        </w:tc>
      </w:tr>
    </w:tbl>
    <w:p w:rsidR="00223085" w:rsidRDefault="00223085" w:rsidP="00813FF0">
      <w:pPr>
        <w:rPr>
          <w:b/>
        </w:rPr>
      </w:pPr>
    </w:p>
    <w:p w:rsidR="00652EF2" w:rsidRDefault="00652EF2" w:rsidP="00813FF0">
      <w:r>
        <w:t>Even though this analysis estimated drug group regimens</w:t>
      </w:r>
      <w:r w:rsidR="00F70A07">
        <w:t>,</w:t>
      </w:r>
      <w:r>
        <w:t xml:space="preserve"> the SCD of the individual drugs with</w:t>
      </w:r>
      <w:r w:rsidR="00F70A07">
        <w:t>in</w:t>
      </w:r>
      <w:r>
        <w:t xml:space="preserve"> the group were used to calculate the coverage of each prescription.</w:t>
      </w:r>
      <w:r w:rsidR="005D35FC">
        <w:t xml:space="preserve"> The table below </w:t>
      </w:r>
      <w:r w:rsidR="004E1859">
        <w:t>show the SCDs for the drug groups as a whole</w:t>
      </w:r>
      <w:r w:rsidR="00D25822">
        <w:t xml:space="preserve"> (</w:t>
      </w:r>
      <w:proofErr w:type="spellStart"/>
      <w:r w:rsidR="00D25822">
        <w:t>ie</w:t>
      </w:r>
      <w:proofErr w:type="spellEnd"/>
      <w:r w:rsidR="00D25822">
        <w:t>. combining some of the drugs)</w:t>
      </w:r>
      <w:r w:rsidR="004E1859">
        <w:t>, but these were not used in the estimation of the drug group regimens.</w:t>
      </w:r>
    </w:p>
    <w:p w:rsidR="00F70A07" w:rsidRDefault="00F70A07" w:rsidP="00813FF0">
      <w:pPr>
        <w:spacing w:line="276" w:lineRule="auto"/>
        <w:rPr>
          <w:rFonts w:cs="Calibri"/>
          <w:b/>
        </w:rPr>
      </w:pPr>
      <w:r>
        <w:br w:type="page"/>
      </w:r>
    </w:p>
    <w:p w:rsidR="00D25822" w:rsidRPr="0091074E" w:rsidRDefault="00D25822" w:rsidP="00813FF0">
      <w:pPr>
        <w:pStyle w:val="Tableheading"/>
        <w:jc w:val="left"/>
      </w:pPr>
      <w:r>
        <w:lastRenderedPageBreak/>
        <w:t xml:space="preserve">Table </w:t>
      </w:r>
      <w:r w:rsidR="002B4CB9">
        <w:t>B</w:t>
      </w:r>
      <w:r>
        <w:t>.</w:t>
      </w:r>
      <w:r w:rsidR="00F70A07">
        <w:t>2</w:t>
      </w:r>
      <w:r>
        <w:t xml:space="preserve">: </w:t>
      </w:r>
      <w:r w:rsidRPr="0091074E">
        <w:t xml:space="preserve">Standard Coverage Days </w:t>
      </w:r>
      <w:r w:rsidR="00F70A07">
        <w:t>for Drug Groups</w:t>
      </w:r>
    </w:p>
    <w:tbl>
      <w:tblPr>
        <w:tblStyle w:val="TableGrid"/>
        <w:tblW w:w="4941" w:type="pct"/>
        <w:tblInd w:w="108" w:type="dxa"/>
        <w:tblLook w:val="04A0" w:firstRow="1" w:lastRow="0" w:firstColumn="1" w:lastColumn="0" w:noHBand="0" w:noVBand="1"/>
        <w:tblCaption w:val="Table A1 describes the standard coverage days used in the analysis"/>
        <w:tblDescription w:val="It lists the drug or drug group and the median time to re-supply by any item of the same drug or drug group"/>
      </w:tblPr>
      <w:tblGrid>
        <w:gridCol w:w="2110"/>
        <w:gridCol w:w="2426"/>
        <w:gridCol w:w="4529"/>
      </w:tblGrid>
      <w:tr w:rsidR="00C948D8" w:rsidRPr="00284A4F" w:rsidTr="00C948D8">
        <w:trPr>
          <w:trHeight w:val="744"/>
          <w:tblHeader/>
        </w:trPr>
        <w:tc>
          <w:tcPr>
            <w:tcW w:w="1164" w:type="pct"/>
            <w:shd w:val="clear" w:color="auto" w:fill="BFBFBF" w:themeFill="background1" w:themeFillShade="BF"/>
          </w:tcPr>
          <w:p w:rsidR="00C948D8" w:rsidRPr="00284A4F" w:rsidRDefault="00C948D8" w:rsidP="00813FF0">
            <w:pPr>
              <w:jc w:val="center"/>
              <w:rPr>
                <w:rFonts w:cstheme="minorHAnsi"/>
                <w:b/>
                <w:sz w:val="20"/>
                <w:szCs w:val="20"/>
              </w:rPr>
            </w:pPr>
            <w:r w:rsidRPr="00284A4F">
              <w:rPr>
                <w:rFonts w:cstheme="minorHAnsi"/>
                <w:b/>
                <w:sz w:val="20"/>
                <w:szCs w:val="20"/>
              </w:rPr>
              <w:t>Drug Group</w:t>
            </w:r>
          </w:p>
        </w:tc>
        <w:tc>
          <w:tcPr>
            <w:tcW w:w="1338" w:type="pct"/>
            <w:shd w:val="clear" w:color="auto" w:fill="BFBFBF" w:themeFill="background1" w:themeFillShade="BF"/>
          </w:tcPr>
          <w:p w:rsidR="00C948D8" w:rsidRPr="00284A4F" w:rsidRDefault="00C948D8" w:rsidP="00813FF0">
            <w:pPr>
              <w:jc w:val="center"/>
              <w:rPr>
                <w:rFonts w:cstheme="minorHAnsi"/>
                <w:b/>
                <w:sz w:val="20"/>
                <w:szCs w:val="20"/>
              </w:rPr>
            </w:pPr>
            <w:r w:rsidRPr="00284A4F">
              <w:rPr>
                <w:rFonts w:cstheme="minorHAnsi"/>
                <w:b/>
                <w:sz w:val="20"/>
                <w:szCs w:val="20"/>
              </w:rPr>
              <w:t>Standard Coverage Days</w:t>
            </w:r>
            <w:r w:rsidRPr="00284A4F">
              <w:rPr>
                <w:rFonts w:cstheme="minorHAnsi"/>
                <w:b/>
                <w:sz w:val="20"/>
                <w:szCs w:val="20"/>
              </w:rPr>
              <w:br/>
              <w:t xml:space="preserve">(i.e. Median time to re-supply </w:t>
            </w:r>
            <w:r>
              <w:rPr>
                <w:rFonts w:cstheme="minorHAnsi"/>
                <w:b/>
                <w:sz w:val="20"/>
                <w:szCs w:val="20"/>
              </w:rPr>
              <w:t xml:space="preserve">by any item of the same </w:t>
            </w:r>
            <w:r w:rsidRPr="00284A4F">
              <w:rPr>
                <w:rFonts w:cstheme="minorHAnsi"/>
                <w:b/>
                <w:sz w:val="20"/>
                <w:szCs w:val="20"/>
              </w:rPr>
              <w:t>drug group)</w:t>
            </w:r>
          </w:p>
        </w:tc>
        <w:tc>
          <w:tcPr>
            <w:tcW w:w="2498" w:type="pct"/>
            <w:shd w:val="clear" w:color="auto" w:fill="BFBFBF" w:themeFill="background1" w:themeFillShade="BF"/>
          </w:tcPr>
          <w:p w:rsidR="00C948D8" w:rsidRDefault="00C948D8" w:rsidP="00813FF0">
            <w:pPr>
              <w:jc w:val="center"/>
              <w:rPr>
                <w:rFonts w:cstheme="minorHAnsi"/>
                <w:b/>
                <w:sz w:val="20"/>
                <w:szCs w:val="20"/>
              </w:rPr>
            </w:pPr>
            <w:r w:rsidRPr="00284A4F">
              <w:rPr>
                <w:rFonts w:cstheme="minorHAnsi"/>
                <w:b/>
                <w:sz w:val="20"/>
                <w:szCs w:val="20"/>
              </w:rPr>
              <w:t>Standard Coverage Days</w:t>
            </w:r>
          </w:p>
          <w:p w:rsidR="00C948D8" w:rsidRPr="00C948D8" w:rsidRDefault="00C948D8" w:rsidP="00813FF0">
            <w:pPr>
              <w:jc w:val="center"/>
              <w:rPr>
                <w:rFonts w:cstheme="minorHAnsi"/>
                <w:sz w:val="20"/>
                <w:szCs w:val="20"/>
              </w:rPr>
            </w:pPr>
            <w:r w:rsidRPr="00C948D8">
              <w:rPr>
                <w:rFonts w:cstheme="minorHAnsi"/>
                <w:sz w:val="20"/>
                <w:szCs w:val="20"/>
              </w:rPr>
              <w:t>used in DUSC February 2013 analysis for prescriptions supplied from July 2010 to July 2011 (allowing re</w:t>
            </w:r>
            <w:r>
              <w:rPr>
                <w:rFonts w:cstheme="minorHAnsi"/>
                <w:sz w:val="20"/>
                <w:szCs w:val="20"/>
              </w:rPr>
              <w:t>-</w:t>
            </w:r>
            <w:r w:rsidRPr="00C948D8">
              <w:rPr>
                <w:rFonts w:cstheme="minorHAnsi"/>
                <w:sz w:val="20"/>
                <w:szCs w:val="20"/>
              </w:rPr>
              <w:t>supply up to July 2012) for the “concessional only” cohort</w:t>
            </w:r>
          </w:p>
        </w:tc>
      </w:tr>
      <w:tr w:rsidR="00C948D8" w:rsidTr="00C948D8">
        <w:trPr>
          <w:trHeight w:val="277"/>
        </w:trPr>
        <w:tc>
          <w:tcPr>
            <w:tcW w:w="1164" w:type="pct"/>
          </w:tcPr>
          <w:p w:rsidR="00C948D8" w:rsidRPr="00F70A07" w:rsidRDefault="00C948D8" w:rsidP="00813FF0">
            <w:pPr>
              <w:rPr>
                <w:sz w:val="20"/>
                <w:szCs w:val="20"/>
              </w:rPr>
            </w:pPr>
            <w:r w:rsidRPr="00F70A07">
              <w:rPr>
                <w:sz w:val="20"/>
                <w:szCs w:val="20"/>
              </w:rPr>
              <w:t>Metformin</w:t>
            </w:r>
          </w:p>
        </w:tc>
        <w:tc>
          <w:tcPr>
            <w:tcW w:w="1338" w:type="pct"/>
          </w:tcPr>
          <w:p w:rsidR="00C948D8" w:rsidRPr="00F70A07" w:rsidRDefault="00C948D8" w:rsidP="00813FF0">
            <w:pPr>
              <w:jc w:val="center"/>
              <w:rPr>
                <w:sz w:val="20"/>
                <w:szCs w:val="20"/>
              </w:rPr>
            </w:pPr>
            <w:r w:rsidRPr="00F70A07">
              <w:rPr>
                <w:sz w:val="20"/>
                <w:szCs w:val="20"/>
              </w:rPr>
              <w:t>37</w:t>
            </w:r>
          </w:p>
        </w:tc>
        <w:tc>
          <w:tcPr>
            <w:tcW w:w="2498" w:type="pct"/>
          </w:tcPr>
          <w:p w:rsidR="00C948D8" w:rsidRPr="00F70A07" w:rsidRDefault="00C948D8" w:rsidP="00813FF0">
            <w:pPr>
              <w:jc w:val="center"/>
              <w:rPr>
                <w:sz w:val="20"/>
                <w:szCs w:val="20"/>
              </w:rPr>
            </w:pPr>
            <w:r>
              <w:rPr>
                <w:sz w:val="20"/>
                <w:szCs w:val="20"/>
              </w:rPr>
              <w:t>35</w:t>
            </w:r>
          </w:p>
        </w:tc>
      </w:tr>
      <w:tr w:rsidR="00C948D8" w:rsidTr="00C948D8">
        <w:trPr>
          <w:trHeight w:val="277"/>
        </w:trPr>
        <w:tc>
          <w:tcPr>
            <w:tcW w:w="1164" w:type="pct"/>
          </w:tcPr>
          <w:p w:rsidR="00C948D8" w:rsidRPr="00F70A07" w:rsidRDefault="00C948D8" w:rsidP="00813FF0">
            <w:pPr>
              <w:rPr>
                <w:sz w:val="20"/>
                <w:szCs w:val="20"/>
              </w:rPr>
            </w:pPr>
            <w:r w:rsidRPr="00F70A07">
              <w:rPr>
                <w:sz w:val="20"/>
                <w:szCs w:val="20"/>
              </w:rPr>
              <w:t>Sulfonylurea</w:t>
            </w:r>
          </w:p>
        </w:tc>
        <w:tc>
          <w:tcPr>
            <w:tcW w:w="1338" w:type="pct"/>
          </w:tcPr>
          <w:p w:rsidR="00C948D8" w:rsidRPr="00F70A07" w:rsidRDefault="00C948D8" w:rsidP="00813FF0">
            <w:pPr>
              <w:jc w:val="center"/>
              <w:rPr>
                <w:sz w:val="20"/>
                <w:szCs w:val="20"/>
              </w:rPr>
            </w:pPr>
            <w:r w:rsidRPr="00F70A07">
              <w:rPr>
                <w:sz w:val="20"/>
                <w:szCs w:val="20"/>
              </w:rPr>
              <w:t>33</w:t>
            </w:r>
          </w:p>
        </w:tc>
        <w:tc>
          <w:tcPr>
            <w:tcW w:w="2498" w:type="pct"/>
          </w:tcPr>
          <w:p w:rsidR="00C948D8" w:rsidRPr="00F70A07" w:rsidRDefault="00C948D8" w:rsidP="00813FF0">
            <w:pPr>
              <w:jc w:val="center"/>
              <w:rPr>
                <w:sz w:val="20"/>
                <w:szCs w:val="20"/>
              </w:rPr>
            </w:pPr>
            <w:r>
              <w:rPr>
                <w:sz w:val="20"/>
                <w:szCs w:val="20"/>
              </w:rPr>
              <w:t>32</w:t>
            </w:r>
          </w:p>
        </w:tc>
      </w:tr>
      <w:tr w:rsidR="00C948D8" w:rsidTr="00C948D8">
        <w:trPr>
          <w:trHeight w:val="277"/>
        </w:trPr>
        <w:tc>
          <w:tcPr>
            <w:tcW w:w="1164" w:type="pct"/>
          </w:tcPr>
          <w:p w:rsidR="00C948D8" w:rsidRPr="00F70A07" w:rsidRDefault="00C948D8" w:rsidP="00813FF0">
            <w:pPr>
              <w:rPr>
                <w:sz w:val="20"/>
                <w:szCs w:val="20"/>
              </w:rPr>
            </w:pPr>
            <w:proofErr w:type="spellStart"/>
            <w:r w:rsidRPr="00F70A07">
              <w:rPr>
                <w:sz w:val="20"/>
                <w:szCs w:val="20"/>
              </w:rPr>
              <w:t>MetGlipCombo</w:t>
            </w:r>
            <w:proofErr w:type="spellEnd"/>
          </w:p>
        </w:tc>
        <w:tc>
          <w:tcPr>
            <w:tcW w:w="1338" w:type="pct"/>
          </w:tcPr>
          <w:p w:rsidR="00C948D8" w:rsidRPr="00F70A07" w:rsidRDefault="00C948D8" w:rsidP="00813FF0">
            <w:pPr>
              <w:jc w:val="center"/>
              <w:rPr>
                <w:sz w:val="20"/>
                <w:szCs w:val="20"/>
              </w:rPr>
            </w:pPr>
            <w:r w:rsidRPr="00F70A07">
              <w:rPr>
                <w:sz w:val="20"/>
                <w:szCs w:val="20"/>
              </w:rPr>
              <w:t>30</w:t>
            </w:r>
          </w:p>
        </w:tc>
        <w:tc>
          <w:tcPr>
            <w:tcW w:w="2498" w:type="pct"/>
          </w:tcPr>
          <w:p w:rsidR="00C948D8" w:rsidRPr="00F70A07" w:rsidRDefault="00C948D8" w:rsidP="00813FF0">
            <w:pPr>
              <w:jc w:val="center"/>
              <w:rPr>
                <w:sz w:val="20"/>
                <w:szCs w:val="20"/>
              </w:rPr>
            </w:pPr>
            <w:r>
              <w:rPr>
                <w:sz w:val="20"/>
                <w:szCs w:val="20"/>
              </w:rPr>
              <w:t>29</w:t>
            </w:r>
          </w:p>
        </w:tc>
      </w:tr>
      <w:tr w:rsidR="00C948D8" w:rsidTr="00C948D8">
        <w:trPr>
          <w:trHeight w:val="295"/>
        </w:trPr>
        <w:tc>
          <w:tcPr>
            <w:tcW w:w="1164" w:type="pct"/>
          </w:tcPr>
          <w:p w:rsidR="00C948D8" w:rsidRPr="00F70A07" w:rsidRDefault="00C948D8" w:rsidP="00813FF0">
            <w:pPr>
              <w:rPr>
                <w:sz w:val="20"/>
                <w:szCs w:val="20"/>
              </w:rPr>
            </w:pPr>
            <w:r w:rsidRPr="00F70A07">
              <w:rPr>
                <w:sz w:val="20"/>
                <w:szCs w:val="20"/>
              </w:rPr>
              <w:t>Insulin</w:t>
            </w:r>
          </w:p>
        </w:tc>
        <w:tc>
          <w:tcPr>
            <w:tcW w:w="1338" w:type="pct"/>
          </w:tcPr>
          <w:p w:rsidR="00C948D8" w:rsidRPr="00F70A07" w:rsidRDefault="00C948D8" w:rsidP="00813FF0">
            <w:pPr>
              <w:jc w:val="center"/>
              <w:rPr>
                <w:sz w:val="20"/>
                <w:szCs w:val="20"/>
              </w:rPr>
            </w:pPr>
            <w:r w:rsidRPr="00F70A07">
              <w:rPr>
                <w:sz w:val="20"/>
                <w:szCs w:val="20"/>
              </w:rPr>
              <w:t>92</w:t>
            </w:r>
          </w:p>
        </w:tc>
        <w:tc>
          <w:tcPr>
            <w:tcW w:w="2498" w:type="pct"/>
          </w:tcPr>
          <w:p w:rsidR="00C948D8" w:rsidRPr="00F70A07" w:rsidRDefault="00C948D8" w:rsidP="00813FF0">
            <w:pPr>
              <w:jc w:val="center"/>
              <w:rPr>
                <w:sz w:val="20"/>
                <w:szCs w:val="20"/>
              </w:rPr>
            </w:pPr>
            <w:r>
              <w:rPr>
                <w:sz w:val="20"/>
                <w:szCs w:val="20"/>
              </w:rPr>
              <w:t>88</w:t>
            </w:r>
          </w:p>
        </w:tc>
      </w:tr>
      <w:tr w:rsidR="00C948D8" w:rsidTr="00C948D8">
        <w:trPr>
          <w:trHeight w:val="277"/>
        </w:trPr>
        <w:tc>
          <w:tcPr>
            <w:tcW w:w="1164" w:type="pct"/>
          </w:tcPr>
          <w:p w:rsidR="00C948D8" w:rsidRPr="00F70A07" w:rsidRDefault="00C948D8" w:rsidP="00813FF0">
            <w:pPr>
              <w:rPr>
                <w:sz w:val="20"/>
                <w:szCs w:val="20"/>
              </w:rPr>
            </w:pPr>
            <w:proofErr w:type="spellStart"/>
            <w:r w:rsidRPr="00F70A07">
              <w:rPr>
                <w:sz w:val="20"/>
                <w:szCs w:val="20"/>
              </w:rPr>
              <w:t>Gliptin</w:t>
            </w:r>
            <w:proofErr w:type="spellEnd"/>
          </w:p>
        </w:tc>
        <w:tc>
          <w:tcPr>
            <w:tcW w:w="1338" w:type="pct"/>
          </w:tcPr>
          <w:p w:rsidR="00C948D8" w:rsidRPr="00F70A07" w:rsidRDefault="00C948D8" w:rsidP="00813FF0">
            <w:pPr>
              <w:jc w:val="center"/>
              <w:rPr>
                <w:sz w:val="20"/>
                <w:szCs w:val="20"/>
              </w:rPr>
            </w:pPr>
            <w:r w:rsidRPr="00F70A07">
              <w:rPr>
                <w:sz w:val="20"/>
                <w:szCs w:val="20"/>
              </w:rPr>
              <w:t>29</w:t>
            </w:r>
          </w:p>
        </w:tc>
        <w:tc>
          <w:tcPr>
            <w:tcW w:w="2498" w:type="pct"/>
          </w:tcPr>
          <w:p w:rsidR="00C948D8" w:rsidRPr="00F70A07" w:rsidRDefault="00C948D8" w:rsidP="00813FF0">
            <w:pPr>
              <w:jc w:val="center"/>
              <w:rPr>
                <w:sz w:val="20"/>
                <w:szCs w:val="20"/>
              </w:rPr>
            </w:pPr>
            <w:r>
              <w:rPr>
                <w:sz w:val="20"/>
                <w:szCs w:val="20"/>
              </w:rPr>
              <w:t>30</w:t>
            </w:r>
          </w:p>
        </w:tc>
      </w:tr>
      <w:tr w:rsidR="00C948D8" w:rsidTr="00C948D8">
        <w:trPr>
          <w:trHeight w:val="277"/>
        </w:trPr>
        <w:tc>
          <w:tcPr>
            <w:tcW w:w="1164" w:type="pct"/>
          </w:tcPr>
          <w:p w:rsidR="00C948D8" w:rsidRPr="00F70A07" w:rsidRDefault="00C948D8" w:rsidP="00813FF0">
            <w:pPr>
              <w:rPr>
                <w:sz w:val="20"/>
                <w:szCs w:val="20"/>
              </w:rPr>
            </w:pPr>
            <w:r w:rsidRPr="00F70A07">
              <w:rPr>
                <w:sz w:val="20"/>
                <w:szCs w:val="20"/>
              </w:rPr>
              <w:t>Pioglitazone</w:t>
            </w:r>
          </w:p>
        </w:tc>
        <w:tc>
          <w:tcPr>
            <w:tcW w:w="1338" w:type="pct"/>
          </w:tcPr>
          <w:p w:rsidR="00C948D8" w:rsidRPr="00F70A07" w:rsidRDefault="00C948D8" w:rsidP="00813FF0">
            <w:pPr>
              <w:jc w:val="center"/>
              <w:rPr>
                <w:sz w:val="20"/>
                <w:szCs w:val="20"/>
              </w:rPr>
            </w:pPr>
            <w:r w:rsidRPr="00F70A07">
              <w:rPr>
                <w:sz w:val="20"/>
                <w:szCs w:val="20"/>
              </w:rPr>
              <w:t>28</w:t>
            </w:r>
          </w:p>
        </w:tc>
        <w:tc>
          <w:tcPr>
            <w:tcW w:w="2498" w:type="pct"/>
          </w:tcPr>
          <w:p w:rsidR="00C948D8" w:rsidRPr="00F70A07" w:rsidRDefault="00C948D8" w:rsidP="00813FF0">
            <w:pPr>
              <w:jc w:val="center"/>
              <w:rPr>
                <w:sz w:val="20"/>
                <w:szCs w:val="20"/>
              </w:rPr>
            </w:pPr>
            <w:r>
              <w:rPr>
                <w:sz w:val="20"/>
                <w:szCs w:val="20"/>
              </w:rPr>
              <w:t>28</w:t>
            </w:r>
          </w:p>
        </w:tc>
      </w:tr>
      <w:tr w:rsidR="00C948D8" w:rsidTr="00C948D8">
        <w:trPr>
          <w:trHeight w:val="277"/>
        </w:trPr>
        <w:tc>
          <w:tcPr>
            <w:tcW w:w="1164" w:type="pct"/>
          </w:tcPr>
          <w:p w:rsidR="00C948D8" w:rsidRPr="00F70A07" w:rsidRDefault="00C948D8" w:rsidP="00813FF0">
            <w:pPr>
              <w:rPr>
                <w:sz w:val="20"/>
                <w:szCs w:val="20"/>
              </w:rPr>
            </w:pPr>
            <w:proofErr w:type="spellStart"/>
            <w:r w:rsidRPr="00F70A07">
              <w:rPr>
                <w:sz w:val="20"/>
                <w:szCs w:val="20"/>
              </w:rPr>
              <w:t>Exenatide</w:t>
            </w:r>
            <w:proofErr w:type="spellEnd"/>
          </w:p>
        </w:tc>
        <w:tc>
          <w:tcPr>
            <w:tcW w:w="1338" w:type="pct"/>
          </w:tcPr>
          <w:p w:rsidR="00C948D8" w:rsidRPr="00F70A07" w:rsidRDefault="00C948D8" w:rsidP="00813FF0">
            <w:pPr>
              <w:jc w:val="center"/>
              <w:rPr>
                <w:sz w:val="20"/>
                <w:szCs w:val="20"/>
              </w:rPr>
            </w:pPr>
            <w:r w:rsidRPr="00F70A07">
              <w:rPr>
                <w:sz w:val="20"/>
                <w:szCs w:val="20"/>
              </w:rPr>
              <w:t>32</w:t>
            </w:r>
          </w:p>
        </w:tc>
        <w:tc>
          <w:tcPr>
            <w:tcW w:w="2498" w:type="pct"/>
          </w:tcPr>
          <w:p w:rsidR="00C948D8" w:rsidRPr="00F70A07" w:rsidRDefault="00C948D8" w:rsidP="00813FF0">
            <w:pPr>
              <w:jc w:val="center"/>
              <w:rPr>
                <w:sz w:val="20"/>
                <w:szCs w:val="20"/>
              </w:rPr>
            </w:pPr>
            <w:r>
              <w:rPr>
                <w:sz w:val="20"/>
                <w:szCs w:val="20"/>
              </w:rPr>
              <w:t>31</w:t>
            </w:r>
          </w:p>
        </w:tc>
      </w:tr>
      <w:tr w:rsidR="00C948D8" w:rsidTr="00C948D8">
        <w:trPr>
          <w:trHeight w:val="277"/>
        </w:trPr>
        <w:tc>
          <w:tcPr>
            <w:tcW w:w="1164" w:type="pct"/>
          </w:tcPr>
          <w:p w:rsidR="00C948D8" w:rsidRPr="00F70A07" w:rsidRDefault="00C948D8" w:rsidP="00813FF0">
            <w:pPr>
              <w:rPr>
                <w:sz w:val="20"/>
                <w:szCs w:val="20"/>
              </w:rPr>
            </w:pPr>
            <w:proofErr w:type="spellStart"/>
            <w:r w:rsidRPr="00F70A07">
              <w:rPr>
                <w:sz w:val="20"/>
                <w:szCs w:val="20"/>
              </w:rPr>
              <w:t>Flozin</w:t>
            </w:r>
            <w:proofErr w:type="spellEnd"/>
          </w:p>
        </w:tc>
        <w:tc>
          <w:tcPr>
            <w:tcW w:w="1338" w:type="pct"/>
          </w:tcPr>
          <w:p w:rsidR="00C948D8" w:rsidRPr="00F70A07" w:rsidRDefault="00C948D8" w:rsidP="00813FF0">
            <w:pPr>
              <w:jc w:val="center"/>
              <w:rPr>
                <w:sz w:val="20"/>
                <w:szCs w:val="20"/>
              </w:rPr>
            </w:pPr>
            <w:r w:rsidRPr="00F70A07">
              <w:rPr>
                <w:sz w:val="20"/>
                <w:szCs w:val="20"/>
              </w:rPr>
              <w:t>29</w:t>
            </w:r>
          </w:p>
        </w:tc>
        <w:tc>
          <w:tcPr>
            <w:tcW w:w="2498" w:type="pct"/>
          </w:tcPr>
          <w:p w:rsidR="00C948D8" w:rsidRPr="00F70A07" w:rsidRDefault="00C948D8" w:rsidP="00813FF0">
            <w:pPr>
              <w:jc w:val="center"/>
              <w:rPr>
                <w:sz w:val="20"/>
                <w:szCs w:val="20"/>
              </w:rPr>
            </w:pPr>
            <w:r>
              <w:rPr>
                <w:sz w:val="20"/>
                <w:szCs w:val="20"/>
              </w:rPr>
              <w:t>NA</w:t>
            </w:r>
          </w:p>
        </w:tc>
      </w:tr>
      <w:tr w:rsidR="00C948D8" w:rsidTr="00C948D8">
        <w:trPr>
          <w:trHeight w:val="277"/>
        </w:trPr>
        <w:tc>
          <w:tcPr>
            <w:tcW w:w="1164" w:type="pct"/>
          </w:tcPr>
          <w:p w:rsidR="00C948D8" w:rsidRPr="00F70A07" w:rsidRDefault="00C948D8" w:rsidP="00813FF0">
            <w:pPr>
              <w:rPr>
                <w:sz w:val="20"/>
                <w:szCs w:val="20"/>
              </w:rPr>
            </w:pPr>
            <w:proofErr w:type="spellStart"/>
            <w:r w:rsidRPr="00F70A07">
              <w:rPr>
                <w:sz w:val="20"/>
                <w:szCs w:val="20"/>
              </w:rPr>
              <w:t>MetSulfCombo</w:t>
            </w:r>
            <w:proofErr w:type="spellEnd"/>
          </w:p>
        </w:tc>
        <w:tc>
          <w:tcPr>
            <w:tcW w:w="1338" w:type="pct"/>
          </w:tcPr>
          <w:p w:rsidR="00C948D8" w:rsidRPr="00F70A07" w:rsidRDefault="00C948D8" w:rsidP="00813FF0">
            <w:pPr>
              <w:jc w:val="center"/>
              <w:rPr>
                <w:sz w:val="20"/>
                <w:szCs w:val="20"/>
              </w:rPr>
            </w:pPr>
            <w:r w:rsidRPr="00F70A07">
              <w:rPr>
                <w:sz w:val="20"/>
                <w:szCs w:val="20"/>
              </w:rPr>
              <w:t>30</w:t>
            </w:r>
          </w:p>
        </w:tc>
        <w:tc>
          <w:tcPr>
            <w:tcW w:w="2498" w:type="pct"/>
          </w:tcPr>
          <w:p w:rsidR="00C948D8" w:rsidRPr="00F70A07" w:rsidRDefault="00C948D8" w:rsidP="00813FF0">
            <w:pPr>
              <w:jc w:val="center"/>
              <w:rPr>
                <w:sz w:val="20"/>
                <w:szCs w:val="20"/>
              </w:rPr>
            </w:pPr>
            <w:r>
              <w:rPr>
                <w:sz w:val="20"/>
                <w:szCs w:val="20"/>
              </w:rPr>
              <w:t>29</w:t>
            </w:r>
          </w:p>
        </w:tc>
      </w:tr>
      <w:tr w:rsidR="00C948D8" w:rsidTr="00C948D8">
        <w:trPr>
          <w:trHeight w:val="277"/>
        </w:trPr>
        <w:tc>
          <w:tcPr>
            <w:tcW w:w="1164" w:type="pct"/>
          </w:tcPr>
          <w:p w:rsidR="00C948D8" w:rsidRPr="00F70A07" w:rsidRDefault="00C948D8" w:rsidP="00813FF0">
            <w:pPr>
              <w:rPr>
                <w:sz w:val="20"/>
                <w:szCs w:val="20"/>
              </w:rPr>
            </w:pPr>
            <w:proofErr w:type="spellStart"/>
            <w:r w:rsidRPr="00F70A07">
              <w:rPr>
                <w:sz w:val="20"/>
                <w:szCs w:val="20"/>
              </w:rPr>
              <w:t>Acarbose</w:t>
            </w:r>
            <w:proofErr w:type="spellEnd"/>
          </w:p>
        </w:tc>
        <w:tc>
          <w:tcPr>
            <w:tcW w:w="1338" w:type="pct"/>
          </w:tcPr>
          <w:p w:rsidR="00C948D8" w:rsidRPr="00F70A07" w:rsidRDefault="00C948D8" w:rsidP="00813FF0">
            <w:pPr>
              <w:jc w:val="center"/>
              <w:rPr>
                <w:sz w:val="20"/>
                <w:szCs w:val="20"/>
              </w:rPr>
            </w:pPr>
            <w:r w:rsidRPr="00F70A07">
              <w:rPr>
                <w:sz w:val="20"/>
                <w:szCs w:val="20"/>
              </w:rPr>
              <w:t>31</w:t>
            </w:r>
          </w:p>
        </w:tc>
        <w:tc>
          <w:tcPr>
            <w:tcW w:w="2498" w:type="pct"/>
          </w:tcPr>
          <w:p w:rsidR="00C948D8" w:rsidRPr="00F70A07" w:rsidRDefault="00C948D8" w:rsidP="00813FF0">
            <w:pPr>
              <w:jc w:val="center"/>
              <w:rPr>
                <w:sz w:val="20"/>
                <w:szCs w:val="20"/>
              </w:rPr>
            </w:pPr>
            <w:r>
              <w:rPr>
                <w:sz w:val="20"/>
                <w:szCs w:val="20"/>
              </w:rPr>
              <w:t>31</w:t>
            </w:r>
          </w:p>
        </w:tc>
      </w:tr>
      <w:tr w:rsidR="00C948D8" w:rsidTr="00C948D8">
        <w:trPr>
          <w:trHeight w:val="277"/>
        </w:trPr>
        <w:tc>
          <w:tcPr>
            <w:tcW w:w="1164" w:type="pct"/>
          </w:tcPr>
          <w:p w:rsidR="00C948D8" w:rsidRPr="00F70A07" w:rsidRDefault="00C948D8" w:rsidP="00813FF0">
            <w:pPr>
              <w:rPr>
                <w:sz w:val="20"/>
                <w:szCs w:val="20"/>
              </w:rPr>
            </w:pPr>
            <w:proofErr w:type="spellStart"/>
            <w:r w:rsidRPr="00F70A07">
              <w:rPr>
                <w:sz w:val="20"/>
                <w:szCs w:val="20"/>
              </w:rPr>
              <w:t>MetRosiCombo</w:t>
            </w:r>
            <w:proofErr w:type="spellEnd"/>
          </w:p>
        </w:tc>
        <w:tc>
          <w:tcPr>
            <w:tcW w:w="1338" w:type="pct"/>
          </w:tcPr>
          <w:p w:rsidR="00C948D8" w:rsidRPr="00F70A07" w:rsidRDefault="00C948D8" w:rsidP="00813FF0">
            <w:pPr>
              <w:jc w:val="center"/>
              <w:rPr>
                <w:sz w:val="20"/>
                <w:szCs w:val="20"/>
              </w:rPr>
            </w:pPr>
            <w:r w:rsidRPr="00F70A07">
              <w:rPr>
                <w:sz w:val="20"/>
                <w:szCs w:val="20"/>
              </w:rPr>
              <w:t>29</w:t>
            </w:r>
          </w:p>
        </w:tc>
        <w:tc>
          <w:tcPr>
            <w:tcW w:w="2498" w:type="pct"/>
          </w:tcPr>
          <w:p w:rsidR="00C948D8" w:rsidRPr="00F70A07" w:rsidRDefault="00C948D8" w:rsidP="00813FF0">
            <w:pPr>
              <w:jc w:val="center"/>
              <w:rPr>
                <w:sz w:val="20"/>
                <w:szCs w:val="20"/>
              </w:rPr>
            </w:pPr>
            <w:r>
              <w:rPr>
                <w:sz w:val="20"/>
                <w:szCs w:val="20"/>
              </w:rPr>
              <w:t>29</w:t>
            </w:r>
          </w:p>
        </w:tc>
      </w:tr>
      <w:tr w:rsidR="00C948D8" w:rsidTr="00C948D8">
        <w:trPr>
          <w:trHeight w:val="277"/>
        </w:trPr>
        <w:tc>
          <w:tcPr>
            <w:tcW w:w="1164" w:type="pct"/>
          </w:tcPr>
          <w:p w:rsidR="00C948D8" w:rsidRPr="00F70A07" w:rsidRDefault="00C948D8" w:rsidP="00813FF0">
            <w:pPr>
              <w:rPr>
                <w:sz w:val="20"/>
                <w:szCs w:val="20"/>
              </w:rPr>
            </w:pPr>
            <w:r w:rsidRPr="00F70A07">
              <w:rPr>
                <w:sz w:val="20"/>
                <w:szCs w:val="20"/>
              </w:rPr>
              <w:t>Rosiglitazone</w:t>
            </w:r>
          </w:p>
        </w:tc>
        <w:tc>
          <w:tcPr>
            <w:tcW w:w="1338" w:type="pct"/>
          </w:tcPr>
          <w:p w:rsidR="00C948D8" w:rsidRPr="00F70A07" w:rsidRDefault="00C948D8" w:rsidP="00813FF0">
            <w:pPr>
              <w:jc w:val="center"/>
              <w:rPr>
                <w:sz w:val="20"/>
                <w:szCs w:val="20"/>
              </w:rPr>
            </w:pPr>
            <w:r w:rsidRPr="00F70A07">
              <w:rPr>
                <w:sz w:val="20"/>
                <w:szCs w:val="20"/>
              </w:rPr>
              <w:t>28</w:t>
            </w:r>
          </w:p>
        </w:tc>
        <w:tc>
          <w:tcPr>
            <w:tcW w:w="2498" w:type="pct"/>
          </w:tcPr>
          <w:p w:rsidR="00C948D8" w:rsidRPr="00F70A07" w:rsidRDefault="00C948D8" w:rsidP="00813FF0">
            <w:pPr>
              <w:jc w:val="center"/>
              <w:rPr>
                <w:sz w:val="20"/>
                <w:szCs w:val="20"/>
              </w:rPr>
            </w:pPr>
            <w:r>
              <w:rPr>
                <w:sz w:val="20"/>
                <w:szCs w:val="20"/>
              </w:rPr>
              <w:t>28</w:t>
            </w:r>
          </w:p>
        </w:tc>
      </w:tr>
      <w:tr w:rsidR="00C948D8" w:rsidTr="00C948D8">
        <w:trPr>
          <w:trHeight w:val="277"/>
        </w:trPr>
        <w:tc>
          <w:tcPr>
            <w:tcW w:w="1164" w:type="pct"/>
          </w:tcPr>
          <w:p w:rsidR="00C948D8" w:rsidRPr="00F70A07" w:rsidRDefault="00C948D8" w:rsidP="00813FF0">
            <w:pPr>
              <w:rPr>
                <w:sz w:val="20"/>
                <w:szCs w:val="20"/>
              </w:rPr>
            </w:pPr>
            <w:proofErr w:type="spellStart"/>
            <w:r w:rsidRPr="00F70A07">
              <w:rPr>
                <w:sz w:val="20"/>
                <w:szCs w:val="20"/>
              </w:rPr>
              <w:t>MetFlozCombo</w:t>
            </w:r>
            <w:proofErr w:type="spellEnd"/>
          </w:p>
        </w:tc>
        <w:tc>
          <w:tcPr>
            <w:tcW w:w="1338" w:type="pct"/>
          </w:tcPr>
          <w:p w:rsidR="00C948D8" w:rsidRPr="00F70A07" w:rsidRDefault="00C948D8" w:rsidP="00813FF0">
            <w:pPr>
              <w:jc w:val="center"/>
              <w:rPr>
                <w:sz w:val="20"/>
                <w:szCs w:val="20"/>
              </w:rPr>
            </w:pPr>
            <w:r w:rsidRPr="00F70A07">
              <w:rPr>
                <w:sz w:val="20"/>
                <w:szCs w:val="20"/>
              </w:rPr>
              <w:t>29</w:t>
            </w:r>
          </w:p>
        </w:tc>
        <w:tc>
          <w:tcPr>
            <w:tcW w:w="2498" w:type="pct"/>
          </w:tcPr>
          <w:p w:rsidR="00C948D8" w:rsidRPr="00F70A07" w:rsidRDefault="00C948D8" w:rsidP="00813FF0">
            <w:pPr>
              <w:jc w:val="center"/>
              <w:rPr>
                <w:sz w:val="20"/>
                <w:szCs w:val="20"/>
              </w:rPr>
            </w:pPr>
            <w:r>
              <w:rPr>
                <w:sz w:val="20"/>
                <w:szCs w:val="20"/>
              </w:rPr>
              <w:t>NA</w:t>
            </w:r>
          </w:p>
        </w:tc>
      </w:tr>
    </w:tbl>
    <w:p w:rsidR="00F70A07" w:rsidRDefault="00F70A07" w:rsidP="00813FF0"/>
    <w:p w:rsidR="00223085" w:rsidRPr="0033504C" w:rsidRDefault="00223085" w:rsidP="00813FF0">
      <w:r>
        <w:t>If the drug regimens are display by calendar week instead of weeks relative to initiation, then towards the end of the data period there may be some obvious “end effect” artefacts in some of the regimen time series. This is because the true continuation rate may not be well estimated by the continuation logic described above (</w:t>
      </w:r>
      <w:proofErr w:type="spellStart"/>
      <w:r>
        <w:t>ie</w:t>
      </w:r>
      <w:proofErr w:type="spellEnd"/>
      <w:r>
        <w:t xml:space="preserve">. If the last script is supplied within 2 x SCD of the end of the data period then the treatment is estimated to be continuing at the end of the data period). If this is the case then there will be a trend change close to the end of the regimen time series plot. One solution to this problem is to not display approximately the last 2 x SCD </w:t>
      </w:r>
      <w:proofErr w:type="gramStart"/>
      <w:r>
        <w:t>portion</w:t>
      </w:r>
      <w:proofErr w:type="gramEnd"/>
      <w:r>
        <w:t xml:space="preserve"> of the time series.</w:t>
      </w:r>
    </w:p>
    <w:p w:rsidR="00C37995" w:rsidRDefault="00C37995" w:rsidP="00813FF0">
      <w:pPr>
        <w:spacing w:line="276" w:lineRule="auto"/>
        <w:rPr>
          <w:rFonts w:ascii="Cambria" w:eastAsia="Times New Roman" w:hAnsi="Cambria" w:cs="Calibri"/>
          <w:noProof/>
          <w:lang w:eastAsia="en-US"/>
        </w:rPr>
      </w:pPr>
      <w:r>
        <w:br w:type="page"/>
      </w:r>
    </w:p>
    <w:p w:rsidR="00223085" w:rsidRDefault="00C37995" w:rsidP="00813FF0">
      <w:pPr>
        <w:pStyle w:val="Heading3"/>
        <w:rPr>
          <w:b w:val="0"/>
          <w:sz w:val="28"/>
        </w:rPr>
      </w:pPr>
      <w:r>
        <w:rPr>
          <w:i w:val="0"/>
          <w:sz w:val="32"/>
        </w:rPr>
        <w:lastRenderedPageBreak/>
        <w:t xml:space="preserve">Appendix </w:t>
      </w:r>
      <w:r w:rsidR="000E77FF">
        <w:rPr>
          <w:i w:val="0"/>
          <w:sz w:val="32"/>
        </w:rPr>
        <w:t>C</w:t>
      </w:r>
      <w:r w:rsidR="00FA0E83">
        <w:rPr>
          <w:i w:val="0"/>
          <w:sz w:val="32"/>
        </w:rPr>
        <w:t xml:space="preserve">: Comparison of prevalence </w:t>
      </w:r>
      <w:r w:rsidRPr="00FA0E83">
        <w:rPr>
          <w:i w:val="0"/>
          <w:sz w:val="32"/>
        </w:rPr>
        <w:t>measures</w:t>
      </w:r>
    </w:p>
    <w:p w:rsidR="00E55749" w:rsidRDefault="002B4CB9" w:rsidP="00813FF0">
      <w:r>
        <w:t>Table C</w:t>
      </w:r>
      <w:r w:rsidR="00E55749">
        <w:t>.1 below shows patient prevalence to script supply, which is the standard way that patients are counted in DUSC analyses. Prevalence is counted for supply in a year, half year and quarter for comparison with Figure 1 which shows the number of patients estimated to be on a diabetes drug regimen in each week (close to a point prevalence estimate of patients on treatment), regardless of prescription supply in that week or not.</w:t>
      </w:r>
    </w:p>
    <w:p w:rsidR="00E55749" w:rsidRPr="00EE7808" w:rsidRDefault="00E55749" w:rsidP="00813FF0">
      <w:pPr>
        <w:spacing w:after="0"/>
        <w:rPr>
          <w:b/>
        </w:rPr>
      </w:pPr>
      <w:r w:rsidRPr="00EE7808">
        <w:rPr>
          <w:b/>
        </w:rPr>
        <w:t xml:space="preserve">Table </w:t>
      </w:r>
      <w:r w:rsidR="002B4CB9">
        <w:rPr>
          <w:b/>
        </w:rPr>
        <w:t>C</w:t>
      </w:r>
      <w:r>
        <w:rPr>
          <w:b/>
        </w:rPr>
        <w:t>.1</w:t>
      </w:r>
      <w:r w:rsidRPr="00EE7808">
        <w:rPr>
          <w:b/>
        </w:rPr>
        <w:t xml:space="preserve">: Patients prevalent to supply of a diabetes </w:t>
      </w:r>
      <w:r>
        <w:rPr>
          <w:b/>
        </w:rPr>
        <w:t xml:space="preserve">medicine </w:t>
      </w:r>
      <w:r w:rsidRPr="00EE7808">
        <w:rPr>
          <w:b/>
        </w:rPr>
        <w:t xml:space="preserve">prescription for various periods </w:t>
      </w:r>
    </w:p>
    <w:tbl>
      <w:tblPr>
        <w:tblW w:w="8954" w:type="dxa"/>
        <w:tblInd w:w="93" w:type="dxa"/>
        <w:tblLook w:val="04A0" w:firstRow="1" w:lastRow="0" w:firstColumn="1" w:lastColumn="0" w:noHBand="0" w:noVBand="1"/>
      </w:tblPr>
      <w:tblGrid>
        <w:gridCol w:w="1060"/>
        <w:gridCol w:w="1060"/>
        <w:gridCol w:w="1160"/>
        <w:gridCol w:w="1271"/>
        <w:gridCol w:w="989"/>
        <w:gridCol w:w="1138"/>
        <w:gridCol w:w="1182"/>
        <w:gridCol w:w="1130"/>
      </w:tblGrid>
      <w:tr w:rsidR="00061910" w:rsidRPr="00044543" w:rsidTr="00061910">
        <w:trPr>
          <w:trHeight w:val="823"/>
        </w:trPr>
        <w:tc>
          <w:tcPr>
            <w:tcW w:w="10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061910" w:rsidRPr="00044543" w:rsidRDefault="00061910" w:rsidP="00813FF0">
            <w:pPr>
              <w:spacing w:after="0"/>
              <w:jc w:val="center"/>
              <w:rPr>
                <w:rFonts w:ascii="Calibri" w:eastAsia="Times New Roman" w:hAnsi="Calibri" w:cs="Times New Roman"/>
                <w:b/>
                <w:bCs/>
                <w:sz w:val="20"/>
                <w:szCs w:val="20"/>
              </w:rPr>
            </w:pPr>
            <w:r w:rsidRPr="00044543">
              <w:rPr>
                <w:rFonts w:ascii="Calibri" w:eastAsia="Times New Roman" w:hAnsi="Calibri" w:cs="Times New Roman"/>
                <w:b/>
                <w:bCs/>
                <w:sz w:val="20"/>
                <w:szCs w:val="20"/>
              </w:rPr>
              <w:t>Year</w:t>
            </w:r>
          </w:p>
        </w:tc>
        <w:tc>
          <w:tcPr>
            <w:tcW w:w="1060" w:type="dxa"/>
            <w:tcBorders>
              <w:top w:val="single" w:sz="4" w:space="0" w:color="auto"/>
              <w:left w:val="nil"/>
              <w:bottom w:val="single" w:sz="4" w:space="0" w:color="auto"/>
              <w:right w:val="single" w:sz="4" w:space="0" w:color="auto"/>
            </w:tcBorders>
            <w:shd w:val="clear" w:color="000000" w:fill="BFBFBF"/>
            <w:vAlign w:val="center"/>
            <w:hideMark/>
          </w:tcPr>
          <w:p w:rsidR="00061910" w:rsidRPr="00044543" w:rsidRDefault="00061910" w:rsidP="00813FF0">
            <w:pPr>
              <w:spacing w:after="0"/>
              <w:jc w:val="center"/>
              <w:rPr>
                <w:rFonts w:ascii="Calibri" w:eastAsia="Times New Roman" w:hAnsi="Calibri" w:cs="Times New Roman"/>
                <w:b/>
                <w:bCs/>
                <w:sz w:val="20"/>
                <w:szCs w:val="20"/>
              </w:rPr>
            </w:pPr>
            <w:r w:rsidRPr="00044543">
              <w:rPr>
                <w:rFonts w:ascii="Calibri" w:eastAsia="Times New Roman" w:hAnsi="Calibri" w:cs="Times New Roman"/>
                <w:b/>
                <w:bCs/>
                <w:sz w:val="20"/>
                <w:szCs w:val="20"/>
              </w:rPr>
              <w:t xml:space="preserve">prevalent </w:t>
            </w:r>
            <w:r>
              <w:rPr>
                <w:rFonts w:ascii="Calibri" w:eastAsia="Times New Roman" w:hAnsi="Calibri" w:cs="Times New Roman"/>
                <w:b/>
                <w:bCs/>
                <w:sz w:val="20"/>
                <w:szCs w:val="20"/>
              </w:rPr>
              <w:t>to supply</w:t>
            </w:r>
            <w:r w:rsidRPr="00044543">
              <w:rPr>
                <w:rFonts w:ascii="Calibri" w:eastAsia="Times New Roman" w:hAnsi="Calibri" w:cs="Times New Roman"/>
                <w:b/>
                <w:bCs/>
                <w:sz w:val="20"/>
                <w:szCs w:val="20"/>
              </w:rPr>
              <w:t xml:space="preserve"> in year</w:t>
            </w:r>
          </w:p>
        </w:tc>
        <w:tc>
          <w:tcPr>
            <w:tcW w:w="1160" w:type="dxa"/>
            <w:tcBorders>
              <w:top w:val="single" w:sz="4" w:space="0" w:color="auto"/>
              <w:left w:val="nil"/>
              <w:bottom w:val="single" w:sz="4" w:space="0" w:color="auto"/>
              <w:right w:val="single" w:sz="4" w:space="0" w:color="auto"/>
            </w:tcBorders>
            <w:shd w:val="clear" w:color="000000" w:fill="BFBFBF"/>
            <w:noWrap/>
            <w:vAlign w:val="center"/>
            <w:hideMark/>
          </w:tcPr>
          <w:p w:rsidR="00061910" w:rsidRPr="00044543" w:rsidRDefault="00061910" w:rsidP="00813FF0">
            <w:pPr>
              <w:spacing w:after="0"/>
              <w:jc w:val="center"/>
              <w:rPr>
                <w:rFonts w:ascii="Calibri" w:eastAsia="Times New Roman" w:hAnsi="Calibri" w:cs="Times New Roman"/>
                <w:b/>
                <w:bCs/>
                <w:sz w:val="20"/>
                <w:szCs w:val="20"/>
              </w:rPr>
            </w:pPr>
            <w:r w:rsidRPr="00044543">
              <w:rPr>
                <w:rFonts w:ascii="Calibri" w:eastAsia="Times New Roman" w:hAnsi="Calibri" w:cs="Times New Roman"/>
                <w:b/>
                <w:bCs/>
                <w:sz w:val="20"/>
                <w:szCs w:val="20"/>
              </w:rPr>
              <w:t>6 m</w:t>
            </w:r>
            <w:r>
              <w:rPr>
                <w:rFonts w:ascii="Calibri" w:eastAsia="Times New Roman" w:hAnsi="Calibri" w:cs="Times New Roman"/>
                <w:b/>
                <w:bCs/>
                <w:sz w:val="20"/>
                <w:szCs w:val="20"/>
              </w:rPr>
              <w:t>o</w:t>
            </w:r>
            <w:r w:rsidRPr="00044543">
              <w:rPr>
                <w:rFonts w:ascii="Calibri" w:eastAsia="Times New Roman" w:hAnsi="Calibri" w:cs="Times New Roman"/>
                <w:b/>
                <w:bCs/>
                <w:sz w:val="20"/>
                <w:szCs w:val="20"/>
              </w:rPr>
              <w:t>nths</w:t>
            </w:r>
          </w:p>
        </w:tc>
        <w:tc>
          <w:tcPr>
            <w:tcW w:w="1271" w:type="dxa"/>
            <w:tcBorders>
              <w:top w:val="single" w:sz="4" w:space="0" w:color="auto"/>
              <w:left w:val="nil"/>
              <w:bottom w:val="single" w:sz="4" w:space="0" w:color="auto"/>
              <w:right w:val="single" w:sz="4" w:space="0" w:color="auto"/>
            </w:tcBorders>
            <w:shd w:val="clear" w:color="000000" w:fill="BFBFBF"/>
            <w:vAlign w:val="center"/>
            <w:hideMark/>
          </w:tcPr>
          <w:p w:rsidR="00061910" w:rsidRPr="00044543" w:rsidRDefault="00061910" w:rsidP="00813FF0">
            <w:pPr>
              <w:spacing w:after="0"/>
              <w:jc w:val="center"/>
              <w:rPr>
                <w:rFonts w:ascii="Calibri" w:eastAsia="Times New Roman" w:hAnsi="Calibri" w:cs="Times New Roman"/>
                <w:b/>
                <w:bCs/>
                <w:sz w:val="20"/>
                <w:szCs w:val="20"/>
              </w:rPr>
            </w:pPr>
            <w:r w:rsidRPr="00044543">
              <w:rPr>
                <w:rFonts w:ascii="Calibri" w:eastAsia="Times New Roman" w:hAnsi="Calibri" w:cs="Times New Roman"/>
                <w:b/>
                <w:bCs/>
                <w:sz w:val="20"/>
                <w:szCs w:val="20"/>
              </w:rPr>
              <w:t xml:space="preserve">prevalent </w:t>
            </w:r>
            <w:r>
              <w:rPr>
                <w:rFonts w:ascii="Calibri" w:eastAsia="Times New Roman" w:hAnsi="Calibri" w:cs="Times New Roman"/>
                <w:b/>
                <w:bCs/>
                <w:sz w:val="20"/>
                <w:szCs w:val="20"/>
              </w:rPr>
              <w:t xml:space="preserve">to supply </w:t>
            </w:r>
            <w:r w:rsidRPr="00044543">
              <w:rPr>
                <w:rFonts w:ascii="Calibri" w:eastAsia="Times New Roman" w:hAnsi="Calibri" w:cs="Times New Roman"/>
                <w:b/>
                <w:bCs/>
                <w:sz w:val="20"/>
                <w:szCs w:val="20"/>
              </w:rPr>
              <w:t xml:space="preserve"> in 6 months</w:t>
            </w:r>
          </w:p>
        </w:tc>
        <w:tc>
          <w:tcPr>
            <w:tcW w:w="989" w:type="dxa"/>
            <w:tcBorders>
              <w:top w:val="single" w:sz="4" w:space="0" w:color="auto"/>
              <w:left w:val="nil"/>
              <w:bottom w:val="single" w:sz="4" w:space="0" w:color="auto"/>
              <w:right w:val="single" w:sz="4" w:space="0" w:color="auto"/>
            </w:tcBorders>
            <w:shd w:val="clear" w:color="000000" w:fill="BFBFBF"/>
            <w:vAlign w:val="center"/>
            <w:hideMark/>
          </w:tcPr>
          <w:p w:rsidR="00061910" w:rsidRPr="00044543" w:rsidRDefault="00061910" w:rsidP="00813FF0">
            <w:pPr>
              <w:spacing w:after="0"/>
              <w:jc w:val="center"/>
              <w:rPr>
                <w:rFonts w:ascii="Calibri" w:eastAsia="Times New Roman" w:hAnsi="Calibri" w:cs="Times New Roman"/>
                <w:b/>
                <w:bCs/>
                <w:sz w:val="20"/>
                <w:szCs w:val="20"/>
              </w:rPr>
            </w:pPr>
            <w:r w:rsidRPr="00044543">
              <w:rPr>
                <w:rFonts w:ascii="Calibri" w:eastAsia="Times New Roman" w:hAnsi="Calibri" w:cs="Times New Roman"/>
                <w:b/>
                <w:bCs/>
                <w:sz w:val="20"/>
                <w:szCs w:val="20"/>
              </w:rPr>
              <w:t>Quarter</w:t>
            </w:r>
          </w:p>
        </w:tc>
        <w:tc>
          <w:tcPr>
            <w:tcW w:w="1138" w:type="dxa"/>
            <w:tcBorders>
              <w:top w:val="single" w:sz="4" w:space="0" w:color="auto"/>
              <w:left w:val="nil"/>
              <w:bottom w:val="single" w:sz="4" w:space="0" w:color="auto"/>
              <w:right w:val="single" w:sz="4" w:space="0" w:color="auto"/>
            </w:tcBorders>
            <w:shd w:val="clear" w:color="000000" w:fill="BFBFBF"/>
            <w:vAlign w:val="center"/>
            <w:hideMark/>
          </w:tcPr>
          <w:p w:rsidR="00061910" w:rsidRPr="00044543" w:rsidRDefault="00061910" w:rsidP="00813FF0">
            <w:pPr>
              <w:spacing w:after="0"/>
              <w:jc w:val="center"/>
              <w:rPr>
                <w:rFonts w:ascii="Calibri" w:eastAsia="Times New Roman" w:hAnsi="Calibri" w:cs="Times New Roman"/>
                <w:b/>
                <w:bCs/>
                <w:sz w:val="20"/>
                <w:szCs w:val="20"/>
              </w:rPr>
            </w:pPr>
            <w:r w:rsidRPr="00044543">
              <w:rPr>
                <w:rFonts w:ascii="Calibri" w:eastAsia="Times New Roman" w:hAnsi="Calibri" w:cs="Times New Roman"/>
                <w:b/>
                <w:bCs/>
                <w:sz w:val="20"/>
                <w:szCs w:val="20"/>
              </w:rPr>
              <w:t xml:space="preserve">prevalent </w:t>
            </w:r>
            <w:r>
              <w:rPr>
                <w:rFonts w:ascii="Calibri" w:eastAsia="Times New Roman" w:hAnsi="Calibri" w:cs="Times New Roman"/>
                <w:b/>
                <w:bCs/>
                <w:sz w:val="20"/>
                <w:szCs w:val="20"/>
              </w:rPr>
              <w:t xml:space="preserve">to supply </w:t>
            </w:r>
            <w:r w:rsidRPr="00044543">
              <w:rPr>
                <w:rFonts w:ascii="Calibri" w:eastAsia="Times New Roman" w:hAnsi="Calibri" w:cs="Times New Roman"/>
                <w:b/>
                <w:bCs/>
                <w:sz w:val="20"/>
                <w:szCs w:val="20"/>
              </w:rPr>
              <w:t xml:space="preserve"> in Quarter</w:t>
            </w:r>
          </w:p>
        </w:tc>
        <w:tc>
          <w:tcPr>
            <w:tcW w:w="1138" w:type="dxa"/>
            <w:tcBorders>
              <w:top w:val="single" w:sz="4" w:space="0" w:color="auto"/>
              <w:left w:val="nil"/>
              <w:bottom w:val="single" w:sz="4" w:space="0" w:color="auto"/>
              <w:right w:val="single" w:sz="4" w:space="0" w:color="auto"/>
            </w:tcBorders>
            <w:shd w:val="clear" w:color="000000" w:fill="BFBFBF"/>
            <w:vAlign w:val="center"/>
          </w:tcPr>
          <w:p w:rsidR="00061910" w:rsidRPr="00044543" w:rsidRDefault="00061910" w:rsidP="00813FF0">
            <w:pPr>
              <w:spacing w:after="0"/>
              <w:jc w:val="center"/>
              <w:rPr>
                <w:rFonts w:ascii="Calibri" w:eastAsia="Times New Roman" w:hAnsi="Calibri" w:cs="Times New Roman"/>
                <w:b/>
                <w:bCs/>
                <w:sz w:val="20"/>
                <w:szCs w:val="20"/>
              </w:rPr>
            </w:pPr>
            <w:r>
              <w:rPr>
                <w:rFonts w:ascii="Calibri" w:eastAsia="Times New Roman" w:hAnsi="Calibri" w:cs="Times New Roman"/>
                <w:b/>
                <w:bCs/>
                <w:sz w:val="20"/>
                <w:szCs w:val="20"/>
              </w:rPr>
              <w:t>Week starting</w:t>
            </w:r>
          </w:p>
        </w:tc>
        <w:tc>
          <w:tcPr>
            <w:tcW w:w="1138" w:type="dxa"/>
            <w:tcBorders>
              <w:top w:val="single" w:sz="4" w:space="0" w:color="auto"/>
              <w:left w:val="nil"/>
              <w:bottom w:val="single" w:sz="4" w:space="0" w:color="auto"/>
              <w:right w:val="single" w:sz="4" w:space="0" w:color="auto"/>
            </w:tcBorders>
            <w:shd w:val="clear" w:color="000000" w:fill="BFBFBF"/>
            <w:vAlign w:val="center"/>
          </w:tcPr>
          <w:p w:rsidR="00061910" w:rsidRPr="00044543" w:rsidRDefault="00061910" w:rsidP="00813FF0">
            <w:pPr>
              <w:spacing w:after="0"/>
              <w:jc w:val="center"/>
              <w:rPr>
                <w:rFonts w:ascii="Calibri" w:eastAsia="Times New Roman" w:hAnsi="Calibri" w:cs="Times New Roman"/>
                <w:b/>
                <w:bCs/>
                <w:sz w:val="20"/>
                <w:szCs w:val="20"/>
              </w:rPr>
            </w:pPr>
            <w:r>
              <w:rPr>
                <w:rFonts w:ascii="Calibri" w:eastAsia="Times New Roman" w:hAnsi="Calibri" w:cs="Times New Roman"/>
                <w:b/>
                <w:bCs/>
                <w:sz w:val="20"/>
                <w:szCs w:val="20"/>
              </w:rPr>
              <w:t xml:space="preserve">estimated weekly (point) </w:t>
            </w:r>
            <w:r w:rsidR="00C43969">
              <w:rPr>
                <w:rFonts w:ascii="Calibri" w:eastAsia="Times New Roman" w:hAnsi="Calibri" w:cs="Times New Roman"/>
                <w:b/>
                <w:bCs/>
                <w:sz w:val="20"/>
                <w:szCs w:val="20"/>
              </w:rPr>
              <w:t>prevalence to therapy</w:t>
            </w:r>
            <w:r w:rsidRPr="00044543">
              <w:rPr>
                <w:rFonts w:ascii="Calibri" w:eastAsia="Times New Roman" w:hAnsi="Calibri" w:cs="Times New Roman"/>
                <w:b/>
                <w:bCs/>
                <w:sz w:val="20"/>
                <w:szCs w:val="20"/>
              </w:rPr>
              <w:t xml:space="preserve"> </w:t>
            </w:r>
          </w:p>
        </w:tc>
      </w:tr>
      <w:tr w:rsidR="00061910" w:rsidRPr="00044543" w:rsidTr="00EA755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61910" w:rsidRPr="00044543" w:rsidRDefault="00061910" w:rsidP="00813FF0">
            <w:pPr>
              <w:spacing w:after="0"/>
              <w:jc w:val="center"/>
              <w:rPr>
                <w:rFonts w:ascii="Calibri" w:eastAsia="Times New Roman" w:hAnsi="Calibri" w:cs="Times New Roman"/>
                <w:sz w:val="20"/>
                <w:szCs w:val="20"/>
              </w:rPr>
            </w:pPr>
          </w:p>
        </w:tc>
        <w:tc>
          <w:tcPr>
            <w:tcW w:w="1060" w:type="dxa"/>
            <w:tcBorders>
              <w:top w:val="nil"/>
              <w:left w:val="nil"/>
              <w:bottom w:val="single" w:sz="4" w:space="0" w:color="auto"/>
              <w:right w:val="single" w:sz="4" w:space="0" w:color="auto"/>
            </w:tcBorders>
            <w:shd w:val="clear" w:color="auto" w:fill="auto"/>
            <w:noWrap/>
            <w:vAlign w:val="center"/>
            <w:hideMark/>
          </w:tcPr>
          <w:p w:rsidR="00061910" w:rsidRPr="00044543" w:rsidRDefault="00061910" w:rsidP="00813FF0">
            <w:pPr>
              <w:spacing w:after="0"/>
              <w:jc w:val="center"/>
              <w:rPr>
                <w:rFonts w:ascii="Calibri" w:eastAsia="Times New Roman" w:hAnsi="Calibri" w:cs="Times New Roman"/>
                <w:sz w:val="20"/>
                <w:szCs w:val="20"/>
              </w:rPr>
            </w:pPr>
          </w:p>
        </w:tc>
        <w:tc>
          <w:tcPr>
            <w:tcW w:w="1160" w:type="dxa"/>
            <w:tcBorders>
              <w:top w:val="nil"/>
              <w:left w:val="nil"/>
              <w:bottom w:val="single" w:sz="4" w:space="0" w:color="auto"/>
              <w:right w:val="single" w:sz="4" w:space="0" w:color="auto"/>
            </w:tcBorders>
            <w:shd w:val="clear" w:color="auto" w:fill="auto"/>
            <w:noWrap/>
            <w:vAlign w:val="center"/>
            <w:hideMark/>
          </w:tcPr>
          <w:p w:rsidR="00061910" w:rsidRPr="00044543" w:rsidRDefault="00061910"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2013H2</w:t>
            </w:r>
          </w:p>
        </w:tc>
        <w:tc>
          <w:tcPr>
            <w:tcW w:w="1271" w:type="dxa"/>
            <w:tcBorders>
              <w:top w:val="nil"/>
              <w:left w:val="nil"/>
              <w:bottom w:val="single" w:sz="4" w:space="0" w:color="auto"/>
              <w:right w:val="single" w:sz="4" w:space="0" w:color="auto"/>
            </w:tcBorders>
            <w:shd w:val="clear" w:color="auto" w:fill="auto"/>
            <w:noWrap/>
            <w:vAlign w:val="center"/>
            <w:hideMark/>
          </w:tcPr>
          <w:p w:rsidR="00061910" w:rsidRPr="00044543" w:rsidRDefault="00061910"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933,945</w:t>
            </w:r>
          </w:p>
        </w:tc>
        <w:tc>
          <w:tcPr>
            <w:tcW w:w="989" w:type="dxa"/>
            <w:tcBorders>
              <w:top w:val="nil"/>
              <w:left w:val="nil"/>
              <w:bottom w:val="single" w:sz="4" w:space="0" w:color="auto"/>
              <w:right w:val="single" w:sz="4" w:space="0" w:color="auto"/>
            </w:tcBorders>
            <w:shd w:val="clear" w:color="auto" w:fill="auto"/>
            <w:noWrap/>
            <w:vAlign w:val="center"/>
            <w:hideMark/>
          </w:tcPr>
          <w:p w:rsidR="00061910" w:rsidRPr="00044543" w:rsidRDefault="00061910"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2012Q3</w:t>
            </w:r>
          </w:p>
        </w:tc>
        <w:tc>
          <w:tcPr>
            <w:tcW w:w="1138" w:type="dxa"/>
            <w:tcBorders>
              <w:top w:val="nil"/>
              <w:left w:val="nil"/>
              <w:bottom w:val="single" w:sz="4" w:space="0" w:color="auto"/>
              <w:right w:val="single" w:sz="4" w:space="0" w:color="auto"/>
            </w:tcBorders>
            <w:shd w:val="clear" w:color="auto" w:fill="auto"/>
            <w:noWrap/>
            <w:vAlign w:val="center"/>
            <w:hideMark/>
          </w:tcPr>
          <w:p w:rsidR="00061910" w:rsidRPr="00044543" w:rsidRDefault="00061910"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807,066</w:t>
            </w:r>
          </w:p>
        </w:tc>
        <w:tc>
          <w:tcPr>
            <w:tcW w:w="1138" w:type="dxa"/>
            <w:tcBorders>
              <w:top w:val="nil"/>
              <w:left w:val="nil"/>
              <w:bottom w:val="single" w:sz="4" w:space="0" w:color="auto"/>
              <w:right w:val="single" w:sz="4" w:space="0" w:color="auto"/>
            </w:tcBorders>
            <w:vAlign w:val="center"/>
          </w:tcPr>
          <w:p w:rsidR="00061910" w:rsidRPr="00044543" w:rsidRDefault="00C763A3" w:rsidP="00813FF0">
            <w:pPr>
              <w:spacing w:after="0"/>
              <w:jc w:val="center"/>
              <w:rPr>
                <w:rFonts w:ascii="Calibri" w:eastAsia="Times New Roman" w:hAnsi="Calibri" w:cs="Times New Roman"/>
                <w:sz w:val="20"/>
                <w:szCs w:val="20"/>
              </w:rPr>
            </w:pPr>
            <w:r>
              <w:rPr>
                <w:rFonts w:ascii="Calibri" w:eastAsia="Times New Roman" w:hAnsi="Calibri" w:cs="Times New Roman"/>
                <w:sz w:val="20"/>
                <w:szCs w:val="20"/>
              </w:rPr>
              <w:t>31/8/2012</w:t>
            </w:r>
          </w:p>
        </w:tc>
        <w:tc>
          <w:tcPr>
            <w:tcW w:w="1138" w:type="dxa"/>
            <w:tcBorders>
              <w:top w:val="nil"/>
              <w:left w:val="nil"/>
              <w:bottom w:val="single" w:sz="4" w:space="0" w:color="auto"/>
              <w:right w:val="single" w:sz="4" w:space="0" w:color="auto"/>
            </w:tcBorders>
            <w:vAlign w:val="center"/>
          </w:tcPr>
          <w:p w:rsidR="00061910" w:rsidRPr="00044543" w:rsidRDefault="00C763A3" w:rsidP="00813FF0">
            <w:pPr>
              <w:spacing w:after="0"/>
              <w:jc w:val="center"/>
              <w:rPr>
                <w:rFonts w:ascii="Calibri" w:eastAsia="Times New Roman" w:hAnsi="Calibri" w:cs="Times New Roman"/>
                <w:sz w:val="20"/>
                <w:szCs w:val="20"/>
              </w:rPr>
            </w:pPr>
            <w:r>
              <w:rPr>
                <w:rFonts w:ascii="Calibri" w:eastAsia="Times New Roman" w:hAnsi="Calibri" w:cs="Times New Roman"/>
                <w:sz w:val="20"/>
                <w:szCs w:val="20"/>
              </w:rPr>
              <w:t>811,009</w:t>
            </w:r>
          </w:p>
        </w:tc>
      </w:tr>
      <w:tr w:rsidR="00061910" w:rsidRPr="00044543" w:rsidTr="00EA755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61910" w:rsidRPr="00044543" w:rsidRDefault="00061910" w:rsidP="00813FF0">
            <w:pPr>
              <w:spacing w:after="0"/>
              <w:jc w:val="center"/>
              <w:rPr>
                <w:rFonts w:ascii="Calibri" w:eastAsia="Times New Roman" w:hAnsi="Calibri" w:cs="Times New Roman"/>
                <w:sz w:val="20"/>
                <w:szCs w:val="20"/>
              </w:rPr>
            </w:pPr>
          </w:p>
        </w:tc>
        <w:tc>
          <w:tcPr>
            <w:tcW w:w="1060" w:type="dxa"/>
            <w:tcBorders>
              <w:top w:val="nil"/>
              <w:left w:val="nil"/>
              <w:bottom w:val="single" w:sz="4" w:space="0" w:color="auto"/>
              <w:right w:val="single" w:sz="4" w:space="0" w:color="auto"/>
            </w:tcBorders>
            <w:shd w:val="clear" w:color="auto" w:fill="auto"/>
            <w:noWrap/>
            <w:vAlign w:val="center"/>
            <w:hideMark/>
          </w:tcPr>
          <w:p w:rsidR="00061910" w:rsidRPr="00044543" w:rsidRDefault="00061910" w:rsidP="00813FF0">
            <w:pPr>
              <w:spacing w:after="0"/>
              <w:jc w:val="center"/>
              <w:rPr>
                <w:rFonts w:ascii="Calibri" w:eastAsia="Times New Roman" w:hAnsi="Calibri" w:cs="Times New Roman"/>
                <w:sz w:val="20"/>
                <w:szCs w:val="20"/>
              </w:rPr>
            </w:pPr>
          </w:p>
        </w:tc>
        <w:tc>
          <w:tcPr>
            <w:tcW w:w="1160" w:type="dxa"/>
            <w:tcBorders>
              <w:top w:val="nil"/>
              <w:left w:val="nil"/>
              <w:bottom w:val="single" w:sz="4" w:space="0" w:color="auto"/>
              <w:right w:val="single" w:sz="4" w:space="0" w:color="auto"/>
            </w:tcBorders>
            <w:shd w:val="clear" w:color="auto" w:fill="auto"/>
            <w:noWrap/>
            <w:vAlign w:val="center"/>
            <w:hideMark/>
          </w:tcPr>
          <w:p w:rsidR="00061910" w:rsidRPr="00044543" w:rsidRDefault="00061910" w:rsidP="00813FF0">
            <w:pPr>
              <w:spacing w:after="0"/>
              <w:jc w:val="center"/>
              <w:rPr>
                <w:rFonts w:ascii="Calibri" w:eastAsia="Times New Roman" w:hAnsi="Calibri" w:cs="Times New Roman"/>
                <w:sz w:val="20"/>
                <w:szCs w:val="20"/>
              </w:rPr>
            </w:pPr>
          </w:p>
        </w:tc>
        <w:tc>
          <w:tcPr>
            <w:tcW w:w="1271" w:type="dxa"/>
            <w:tcBorders>
              <w:top w:val="nil"/>
              <w:left w:val="nil"/>
              <w:bottom w:val="single" w:sz="4" w:space="0" w:color="auto"/>
              <w:right w:val="single" w:sz="4" w:space="0" w:color="auto"/>
            </w:tcBorders>
            <w:shd w:val="clear" w:color="auto" w:fill="auto"/>
            <w:noWrap/>
            <w:vAlign w:val="center"/>
            <w:hideMark/>
          </w:tcPr>
          <w:p w:rsidR="00061910" w:rsidRPr="00044543" w:rsidRDefault="00061910" w:rsidP="00813FF0">
            <w:pPr>
              <w:spacing w:after="0"/>
              <w:jc w:val="center"/>
              <w:rPr>
                <w:rFonts w:ascii="Calibri" w:eastAsia="Times New Roman" w:hAnsi="Calibri" w:cs="Times New Roman"/>
                <w:sz w:val="20"/>
                <w:szCs w:val="20"/>
              </w:rPr>
            </w:pPr>
          </w:p>
        </w:tc>
        <w:tc>
          <w:tcPr>
            <w:tcW w:w="989" w:type="dxa"/>
            <w:tcBorders>
              <w:top w:val="nil"/>
              <w:left w:val="nil"/>
              <w:bottom w:val="single" w:sz="4" w:space="0" w:color="auto"/>
              <w:right w:val="single" w:sz="4" w:space="0" w:color="auto"/>
            </w:tcBorders>
            <w:shd w:val="clear" w:color="auto" w:fill="auto"/>
            <w:noWrap/>
            <w:vAlign w:val="center"/>
            <w:hideMark/>
          </w:tcPr>
          <w:p w:rsidR="00061910" w:rsidRPr="00044543" w:rsidRDefault="00061910"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2012Q4</w:t>
            </w:r>
          </w:p>
        </w:tc>
        <w:tc>
          <w:tcPr>
            <w:tcW w:w="1138" w:type="dxa"/>
            <w:tcBorders>
              <w:top w:val="nil"/>
              <w:left w:val="nil"/>
              <w:bottom w:val="single" w:sz="4" w:space="0" w:color="auto"/>
              <w:right w:val="single" w:sz="4" w:space="0" w:color="auto"/>
            </w:tcBorders>
            <w:shd w:val="clear" w:color="auto" w:fill="auto"/>
            <w:noWrap/>
            <w:vAlign w:val="center"/>
            <w:hideMark/>
          </w:tcPr>
          <w:p w:rsidR="00061910" w:rsidRPr="00044543" w:rsidRDefault="00061910"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834,111</w:t>
            </w:r>
          </w:p>
        </w:tc>
        <w:tc>
          <w:tcPr>
            <w:tcW w:w="1138" w:type="dxa"/>
            <w:tcBorders>
              <w:top w:val="nil"/>
              <w:left w:val="nil"/>
              <w:bottom w:val="single" w:sz="4" w:space="0" w:color="auto"/>
              <w:right w:val="single" w:sz="4" w:space="0" w:color="auto"/>
            </w:tcBorders>
            <w:vAlign w:val="center"/>
          </w:tcPr>
          <w:p w:rsidR="00061910" w:rsidRPr="00044543" w:rsidRDefault="00C763A3" w:rsidP="00813FF0">
            <w:pPr>
              <w:spacing w:after="0"/>
              <w:jc w:val="center"/>
              <w:rPr>
                <w:rFonts w:ascii="Calibri" w:eastAsia="Times New Roman" w:hAnsi="Calibri" w:cs="Times New Roman"/>
                <w:sz w:val="20"/>
                <w:szCs w:val="20"/>
              </w:rPr>
            </w:pPr>
            <w:r>
              <w:rPr>
                <w:rFonts w:ascii="Calibri" w:eastAsia="Times New Roman" w:hAnsi="Calibri" w:cs="Times New Roman"/>
                <w:sz w:val="20"/>
                <w:szCs w:val="20"/>
              </w:rPr>
              <w:t>5/10/2012</w:t>
            </w:r>
          </w:p>
        </w:tc>
        <w:tc>
          <w:tcPr>
            <w:tcW w:w="1138" w:type="dxa"/>
            <w:tcBorders>
              <w:top w:val="nil"/>
              <w:left w:val="nil"/>
              <w:bottom w:val="single" w:sz="4" w:space="0" w:color="auto"/>
              <w:right w:val="single" w:sz="4" w:space="0" w:color="auto"/>
            </w:tcBorders>
            <w:vAlign w:val="center"/>
          </w:tcPr>
          <w:p w:rsidR="00061910" w:rsidRPr="00044543" w:rsidRDefault="00C763A3" w:rsidP="00813FF0">
            <w:pPr>
              <w:spacing w:after="0"/>
              <w:jc w:val="center"/>
              <w:rPr>
                <w:rFonts w:ascii="Calibri" w:eastAsia="Times New Roman" w:hAnsi="Calibri" w:cs="Times New Roman"/>
                <w:sz w:val="20"/>
                <w:szCs w:val="20"/>
              </w:rPr>
            </w:pPr>
            <w:r>
              <w:rPr>
                <w:rFonts w:ascii="Calibri" w:eastAsia="Times New Roman" w:hAnsi="Calibri" w:cs="Times New Roman"/>
                <w:sz w:val="20"/>
                <w:szCs w:val="20"/>
              </w:rPr>
              <w:t>818,186</w:t>
            </w:r>
          </w:p>
        </w:tc>
      </w:tr>
      <w:tr w:rsidR="00C763A3" w:rsidRPr="00C763A3" w:rsidTr="00EA755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763A3" w:rsidRPr="00044543" w:rsidRDefault="00C763A3"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2013</w:t>
            </w:r>
          </w:p>
        </w:tc>
        <w:tc>
          <w:tcPr>
            <w:tcW w:w="1060" w:type="dxa"/>
            <w:tcBorders>
              <w:top w:val="nil"/>
              <w:left w:val="nil"/>
              <w:bottom w:val="single" w:sz="4" w:space="0" w:color="auto"/>
              <w:right w:val="single" w:sz="4" w:space="0" w:color="auto"/>
            </w:tcBorders>
            <w:shd w:val="clear" w:color="auto" w:fill="auto"/>
            <w:noWrap/>
            <w:vAlign w:val="center"/>
            <w:hideMark/>
          </w:tcPr>
          <w:p w:rsidR="00C763A3" w:rsidRPr="00044543" w:rsidRDefault="00C763A3"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1,058,798</w:t>
            </w:r>
          </w:p>
        </w:tc>
        <w:tc>
          <w:tcPr>
            <w:tcW w:w="1160" w:type="dxa"/>
            <w:tcBorders>
              <w:top w:val="nil"/>
              <w:left w:val="nil"/>
              <w:bottom w:val="single" w:sz="4" w:space="0" w:color="auto"/>
              <w:right w:val="single" w:sz="4" w:space="0" w:color="auto"/>
            </w:tcBorders>
            <w:shd w:val="clear" w:color="auto" w:fill="auto"/>
            <w:noWrap/>
            <w:vAlign w:val="center"/>
            <w:hideMark/>
          </w:tcPr>
          <w:p w:rsidR="00C763A3" w:rsidRPr="00044543" w:rsidRDefault="00C763A3"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2013H1</w:t>
            </w:r>
          </w:p>
        </w:tc>
        <w:tc>
          <w:tcPr>
            <w:tcW w:w="1271" w:type="dxa"/>
            <w:tcBorders>
              <w:top w:val="nil"/>
              <w:left w:val="nil"/>
              <w:bottom w:val="single" w:sz="4" w:space="0" w:color="auto"/>
              <w:right w:val="single" w:sz="4" w:space="0" w:color="auto"/>
            </w:tcBorders>
            <w:shd w:val="clear" w:color="auto" w:fill="auto"/>
            <w:noWrap/>
            <w:vAlign w:val="center"/>
            <w:hideMark/>
          </w:tcPr>
          <w:p w:rsidR="00C763A3" w:rsidRPr="00044543" w:rsidRDefault="00C763A3"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935,028</w:t>
            </w:r>
          </w:p>
        </w:tc>
        <w:tc>
          <w:tcPr>
            <w:tcW w:w="989" w:type="dxa"/>
            <w:tcBorders>
              <w:top w:val="nil"/>
              <w:left w:val="nil"/>
              <w:bottom w:val="single" w:sz="4" w:space="0" w:color="auto"/>
              <w:right w:val="single" w:sz="4" w:space="0" w:color="auto"/>
            </w:tcBorders>
            <w:shd w:val="clear" w:color="auto" w:fill="auto"/>
            <w:noWrap/>
            <w:vAlign w:val="center"/>
            <w:hideMark/>
          </w:tcPr>
          <w:p w:rsidR="00C763A3" w:rsidRPr="00044543" w:rsidRDefault="00C763A3"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2013Q1</w:t>
            </w:r>
          </w:p>
        </w:tc>
        <w:tc>
          <w:tcPr>
            <w:tcW w:w="1138" w:type="dxa"/>
            <w:tcBorders>
              <w:top w:val="nil"/>
              <w:left w:val="nil"/>
              <w:bottom w:val="single" w:sz="4" w:space="0" w:color="auto"/>
              <w:right w:val="single" w:sz="4" w:space="0" w:color="auto"/>
            </w:tcBorders>
            <w:shd w:val="clear" w:color="auto" w:fill="auto"/>
            <w:noWrap/>
            <w:vAlign w:val="center"/>
            <w:hideMark/>
          </w:tcPr>
          <w:p w:rsidR="00C763A3" w:rsidRPr="00044543" w:rsidRDefault="00C763A3"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785,117</w:t>
            </w:r>
          </w:p>
        </w:tc>
        <w:tc>
          <w:tcPr>
            <w:tcW w:w="1138" w:type="dxa"/>
            <w:tcBorders>
              <w:top w:val="nil"/>
              <w:left w:val="nil"/>
              <w:bottom w:val="single" w:sz="4" w:space="0" w:color="auto"/>
              <w:right w:val="single" w:sz="4" w:space="0" w:color="auto"/>
            </w:tcBorders>
            <w:vAlign w:val="center"/>
          </w:tcPr>
          <w:p w:rsidR="00C763A3" w:rsidRPr="00C763A3" w:rsidRDefault="00C763A3" w:rsidP="00813FF0">
            <w:pPr>
              <w:spacing w:after="0"/>
              <w:jc w:val="center"/>
              <w:rPr>
                <w:rFonts w:ascii="Calibri" w:eastAsia="Times New Roman" w:hAnsi="Calibri" w:cs="Times New Roman"/>
                <w:sz w:val="20"/>
                <w:szCs w:val="20"/>
              </w:rPr>
            </w:pPr>
            <w:r w:rsidRPr="00C763A3">
              <w:rPr>
                <w:rFonts w:ascii="Calibri" w:eastAsia="Times New Roman" w:hAnsi="Calibri" w:cs="Times New Roman"/>
                <w:sz w:val="20"/>
                <w:szCs w:val="20"/>
              </w:rPr>
              <w:t>4/01/2013</w:t>
            </w:r>
          </w:p>
        </w:tc>
        <w:tc>
          <w:tcPr>
            <w:tcW w:w="1138" w:type="dxa"/>
            <w:tcBorders>
              <w:top w:val="nil"/>
              <w:left w:val="nil"/>
              <w:bottom w:val="single" w:sz="4" w:space="0" w:color="auto"/>
              <w:right w:val="single" w:sz="4" w:space="0" w:color="auto"/>
            </w:tcBorders>
            <w:vAlign w:val="center"/>
          </w:tcPr>
          <w:p w:rsidR="00C763A3" w:rsidRPr="00C763A3" w:rsidRDefault="00C763A3" w:rsidP="00813FF0">
            <w:pPr>
              <w:spacing w:after="0"/>
              <w:jc w:val="center"/>
              <w:rPr>
                <w:rFonts w:ascii="Calibri" w:eastAsia="Times New Roman" w:hAnsi="Calibri" w:cs="Times New Roman"/>
                <w:sz w:val="20"/>
                <w:szCs w:val="20"/>
              </w:rPr>
            </w:pPr>
            <w:r w:rsidRPr="00C763A3">
              <w:rPr>
                <w:rFonts w:ascii="Calibri" w:eastAsia="Times New Roman" w:hAnsi="Calibri" w:cs="Times New Roman"/>
                <w:sz w:val="20"/>
                <w:szCs w:val="20"/>
              </w:rPr>
              <w:t>832,292</w:t>
            </w:r>
          </w:p>
        </w:tc>
      </w:tr>
      <w:tr w:rsidR="00EA7552" w:rsidRPr="00044543" w:rsidTr="00EA755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A7552" w:rsidRPr="00044543" w:rsidRDefault="00EA7552" w:rsidP="00813FF0">
            <w:pPr>
              <w:spacing w:after="0"/>
              <w:jc w:val="center"/>
              <w:rPr>
                <w:rFonts w:ascii="Calibri" w:eastAsia="Times New Roman" w:hAnsi="Calibri" w:cs="Times New Roman"/>
                <w:sz w:val="20"/>
                <w:szCs w:val="20"/>
              </w:rPr>
            </w:pPr>
          </w:p>
        </w:tc>
        <w:tc>
          <w:tcPr>
            <w:tcW w:w="1060" w:type="dxa"/>
            <w:tcBorders>
              <w:top w:val="nil"/>
              <w:left w:val="nil"/>
              <w:bottom w:val="single" w:sz="4" w:space="0" w:color="auto"/>
              <w:right w:val="single" w:sz="4" w:space="0" w:color="auto"/>
            </w:tcBorders>
            <w:shd w:val="clear" w:color="auto" w:fill="auto"/>
            <w:noWrap/>
            <w:vAlign w:val="center"/>
            <w:hideMark/>
          </w:tcPr>
          <w:p w:rsidR="00EA7552" w:rsidRPr="00044543" w:rsidRDefault="00EA7552" w:rsidP="00813FF0">
            <w:pPr>
              <w:spacing w:after="0"/>
              <w:jc w:val="center"/>
              <w:rPr>
                <w:rFonts w:ascii="Calibri" w:eastAsia="Times New Roman" w:hAnsi="Calibri" w:cs="Times New Roman"/>
                <w:sz w:val="20"/>
                <w:szCs w:val="20"/>
              </w:rPr>
            </w:pPr>
          </w:p>
        </w:tc>
        <w:tc>
          <w:tcPr>
            <w:tcW w:w="1160" w:type="dxa"/>
            <w:tcBorders>
              <w:top w:val="nil"/>
              <w:left w:val="nil"/>
              <w:bottom w:val="single" w:sz="4" w:space="0" w:color="auto"/>
              <w:right w:val="single" w:sz="4" w:space="0" w:color="auto"/>
            </w:tcBorders>
            <w:shd w:val="clear" w:color="auto" w:fill="auto"/>
            <w:noWrap/>
            <w:vAlign w:val="center"/>
            <w:hideMark/>
          </w:tcPr>
          <w:p w:rsidR="00EA7552" w:rsidRPr="00044543" w:rsidRDefault="00EA7552" w:rsidP="00813FF0">
            <w:pPr>
              <w:spacing w:after="0"/>
              <w:jc w:val="center"/>
              <w:rPr>
                <w:rFonts w:ascii="Calibri" w:eastAsia="Times New Roman" w:hAnsi="Calibri" w:cs="Times New Roman"/>
                <w:sz w:val="20"/>
                <w:szCs w:val="20"/>
              </w:rPr>
            </w:pPr>
          </w:p>
        </w:tc>
        <w:tc>
          <w:tcPr>
            <w:tcW w:w="1271" w:type="dxa"/>
            <w:tcBorders>
              <w:top w:val="nil"/>
              <w:left w:val="nil"/>
              <w:bottom w:val="single" w:sz="4" w:space="0" w:color="auto"/>
              <w:right w:val="single" w:sz="4" w:space="0" w:color="auto"/>
            </w:tcBorders>
            <w:shd w:val="clear" w:color="auto" w:fill="auto"/>
            <w:noWrap/>
            <w:vAlign w:val="center"/>
            <w:hideMark/>
          </w:tcPr>
          <w:p w:rsidR="00EA7552" w:rsidRPr="00044543" w:rsidRDefault="00EA7552" w:rsidP="00813FF0">
            <w:pPr>
              <w:spacing w:after="0"/>
              <w:jc w:val="center"/>
              <w:rPr>
                <w:rFonts w:ascii="Calibri" w:eastAsia="Times New Roman" w:hAnsi="Calibri" w:cs="Times New Roman"/>
                <w:sz w:val="20"/>
                <w:szCs w:val="20"/>
              </w:rPr>
            </w:pPr>
          </w:p>
        </w:tc>
        <w:tc>
          <w:tcPr>
            <w:tcW w:w="989" w:type="dxa"/>
            <w:tcBorders>
              <w:top w:val="nil"/>
              <w:left w:val="nil"/>
              <w:bottom w:val="single" w:sz="4" w:space="0" w:color="auto"/>
              <w:right w:val="single" w:sz="4" w:space="0" w:color="auto"/>
            </w:tcBorders>
            <w:shd w:val="clear" w:color="auto" w:fill="auto"/>
            <w:noWrap/>
            <w:vAlign w:val="center"/>
            <w:hideMark/>
          </w:tcPr>
          <w:p w:rsidR="00EA7552" w:rsidRPr="00044543" w:rsidRDefault="00EA7552"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2013Q2</w:t>
            </w:r>
          </w:p>
        </w:tc>
        <w:tc>
          <w:tcPr>
            <w:tcW w:w="1138" w:type="dxa"/>
            <w:tcBorders>
              <w:top w:val="nil"/>
              <w:left w:val="nil"/>
              <w:bottom w:val="single" w:sz="4" w:space="0" w:color="auto"/>
              <w:right w:val="single" w:sz="4" w:space="0" w:color="auto"/>
            </w:tcBorders>
            <w:shd w:val="clear" w:color="auto" w:fill="auto"/>
            <w:noWrap/>
            <w:vAlign w:val="center"/>
            <w:hideMark/>
          </w:tcPr>
          <w:p w:rsidR="00EA7552" w:rsidRPr="00044543" w:rsidRDefault="00EA7552"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827,464</w:t>
            </w:r>
          </w:p>
        </w:tc>
        <w:tc>
          <w:tcPr>
            <w:tcW w:w="1138" w:type="dxa"/>
            <w:tcBorders>
              <w:top w:val="nil"/>
              <w:left w:val="nil"/>
              <w:bottom w:val="single" w:sz="4" w:space="0" w:color="auto"/>
              <w:right w:val="single" w:sz="4" w:space="0" w:color="auto"/>
            </w:tcBorders>
            <w:vAlign w:val="center"/>
          </w:tcPr>
          <w:p w:rsidR="00EA7552" w:rsidRPr="00EA7552" w:rsidRDefault="00EA7552" w:rsidP="00813FF0">
            <w:pPr>
              <w:spacing w:after="0"/>
              <w:jc w:val="center"/>
              <w:rPr>
                <w:rFonts w:ascii="Calibri" w:eastAsia="Times New Roman" w:hAnsi="Calibri" w:cs="Times New Roman"/>
                <w:sz w:val="20"/>
                <w:szCs w:val="20"/>
              </w:rPr>
            </w:pPr>
            <w:r w:rsidRPr="00EA7552">
              <w:rPr>
                <w:rFonts w:ascii="Calibri" w:eastAsia="Times New Roman" w:hAnsi="Calibri" w:cs="Times New Roman"/>
                <w:sz w:val="20"/>
                <w:szCs w:val="20"/>
              </w:rPr>
              <w:t>5/04/2013</w:t>
            </w:r>
          </w:p>
        </w:tc>
        <w:tc>
          <w:tcPr>
            <w:tcW w:w="1138" w:type="dxa"/>
            <w:tcBorders>
              <w:top w:val="nil"/>
              <w:left w:val="nil"/>
              <w:bottom w:val="single" w:sz="4" w:space="0" w:color="auto"/>
              <w:right w:val="single" w:sz="4" w:space="0" w:color="auto"/>
            </w:tcBorders>
            <w:vAlign w:val="center"/>
          </w:tcPr>
          <w:p w:rsidR="00EA7552" w:rsidRPr="00EA7552" w:rsidRDefault="00EA7552" w:rsidP="00813FF0">
            <w:pPr>
              <w:spacing w:after="0"/>
              <w:jc w:val="center"/>
              <w:rPr>
                <w:rFonts w:ascii="Calibri" w:eastAsia="Times New Roman" w:hAnsi="Calibri" w:cs="Times New Roman"/>
                <w:sz w:val="20"/>
                <w:szCs w:val="20"/>
              </w:rPr>
            </w:pPr>
            <w:r w:rsidRPr="00EA7552">
              <w:rPr>
                <w:rFonts w:ascii="Calibri" w:eastAsia="Times New Roman" w:hAnsi="Calibri" w:cs="Times New Roman"/>
                <w:sz w:val="20"/>
                <w:szCs w:val="20"/>
              </w:rPr>
              <w:t>824,889</w:t>
            </w:r>
          </w:p>
        </w:tc>
      </w:tr>
      <w:tr w:rsidR="00EA7552" w:rsidRPr="00044543" w:rsidTr="00EA755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A7552" w:rsidRPr="00044543" w:rsidRDefault="00EA7552" w:rsidP="00813FF0">
            <w:pPr>
              <w:spacing w:after="0"/>
              <w:jc w:val="center"/>
              <w:rPr>
                <w:rFonts w:ascii="Calibri" w:eastAsia="Times New Roman" w:hAnsi="Calibri" w:cs="Times New Roman"/>
                <w:sz w:val="20"/>
                <w:szCs w:val="20"/>
              </w:rPr>
            </w:pPr>
          </w:p>
        </w:tc>
        <w:tc>
          <w:tcPr>
            <w:tcW w:w="1060" w:type="dxa"/>
            <w:tcBorders>
              <w:top w:val="nil"/>
              <w:left w:val="nil"/>
              <w:bottom w:val="single" w:sz="4" w:space="0" w:color="auto"/>
              <w:right w:val="single" w:sz="4" w:space="0" w:color="auto"/>
            </w:tcBorders>
            <w:shd w:val="clear" w:color="auto" w:fill="auto"/>
            <w:noWrap/>
            <w:vAlign w:val="center"/>
            <w:hideMark/>
          </w:tcPr>
          <w:p w:rsidR="00EA7552" w:rsidRPr="00044543" w:rsidRDefault="00EA7552" w:rsidP="00813FF0">
            <w:pPr>
              <w:spacing w:after="0"/>
              <w:jc w:val="center"/>
              <w:rPr>
                <w:rFonts w:ascii="Calibri" w:eastAsia="Times New Roman" w:hAnsi="Calibri" w:cs="Times New Roman"/>
                <w:sz w:val="20"/>
                <w:szCs w:val="20"/>
              </w:rPr>
            </w:pPr>
          </w:p>
        </w:tc>
        <w:tc>
          <w:tcPr>
            <w:tcW w:w="1160" w:type="dxa"/>
            <w:tcBorders>
              <w:top w:val="nil"/>
              <w:left w:val="nil"/>
              <w:bottom w:val="single" w:sz="4" w:space="0" w:color="auto"/>
              <w:right w:val="single" w:sz="4" w:space="0" w:color="auto"/>
            </w:tcBorders>
            <w:shd w:val="clear" w:color="auto" w:fill="auto"/>
            <w:noWrap/>
            <w:vAlign w:val="center"/>
            <w:hideMark/>
          </w:tcPr>
          <w:p w:rsidR="00EA7552" w:rsidRPr="00044543" w:rsidRDefault="00EA7552"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2013H2</w:t>
            </w:r>
          </w:p>
        </w:tc>
        <w:tc>
          <w:tcPr>
            <w:tcW w:w="1271" w:type="dxa"/>
            <w:tcBorders>
              <w:top w:val="nil"/>
              <w:left w:val="nil"/>
              <w:bottom w:val="single" w:sz="4" w:space="0" w:color="auto"/>
              <w:right w:val="single" w:sz="4" w:space="0" w:color="auto"/>
            </w:tcBorders>
            <w:shd w:val="clear" w:color="auto" w:fill="auto"/>
            <w:noWrap/>
            <w:vAlign w:val="center"/>
            <w:hideMark/>
          </w:tcPr>
          <w:p w:rsidR="00EA7552" w:rsidRPr="00044543" w:rsidRDefault="00EA7552"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978,210</w:t>
            </w:r>
          </w:p>
        </w:tc>
        <w:tc>
          <w:tcPr>
            <w:tcW w:w="989" w:type="dxa"/>
            <w:tcBorders>
              <w:top w:val="nil"/>
              <w:left w:val="nil"/>
              <w:bottom w:val="single" w:sz="4" w:space="0" w:color="auto"/>
              <w:right w:val="single" w:sz="4" w:space="0" w:color="auto"/>
            </w:tcBorders>
            <w:shd w:val="clear" w:color="auto" w:fill="auto"/>
            <w:noWrap/>
            <w:vAlign w:val="center"/>
            <w:hideMark/>
          </w:tcPr>
          <w:p w:rsidR="00EA7552" w:rsidRPr="00044543" w:rsidRDefault="00EA7552"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2013Q3</w:t>
            </w:r>
          </w:p>
        </w:tc>
        <w:tc>
          <w:tcPr>
            <w:tcW w:w="1138" w:type="dxa"/>
            <w:tcBorders>
              <w:top w:val="nil"/>
              <w:left w:val="nil"/>
              <w:bottom w:val="single" w:sz="4" w:space="0" w:color="auto"/>
              <w:right w:val="single" w:sz="4" w:space="0" w:color="auto"/>
            </w:tcBorders>
            <w:shd w:val="clear" w:color="auto" w:fill="auto"/>
            <w:noWrap/>
            <w:vAlign w:val="center"/>
            <w:hideMark/>
          </w:tcPr>
          <w:p w:rsidR="00EA7552" w:rsidRPr="00044543" w:rsidRDefault="00EA7552"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848,011</w:t>
            </w:r>
          </w:p>
        </w:tc>
        <w:tc>
          <w:tcPr>
            <w:tcW w:w="1138" w:type="dxa"/>
            <w:tcBorders>
              <w:top w:val="nil"/>
              <w:left w:val="nil"/>
              <w:bottom w:val="single" w:sz="4" w:space="0" w:color="auto"/>
              <w:right w:val="single" w:sz="4" w:space="0" w:color="auto"/>
            </w:tcBorders>
            <w:vAlign w:val="center"/>
          </w:tcPr>
          <w:p w:rsidR="00EA7552" w:rsidRPr="00EA7552" w:rsidRDefault="00EA7552" w:rsidP="00813FF0">
            <w:pPr>
              <w:spacing w:after="0"/>
              <w:jc w:val="center"/>
              <w:rPr>
                <w:rFonts w:ascii="Calibri" w:eastAsia="Times New Roman" w:hAnsi="Calibri" w:cs="Times New Roman"/>
                <w:sz w:val="20"/>
                <w:szCs w:val="20"/>
              </w:rPr>
            </w:pPr>
            <w:r w:rsidRPr="00EA7552">
              <w:rPr>
                <w:rFonts w:ascii="Calibri" w:eastAsia="Times New Roman" w:hAnsi="Calibri" w:cs="Times New Roman"/>
                <w:sz w:val="20"/>
                <w:szCs w:val="20"/>
              </w:rPr>
              <w:t>5/07/2013</w:t>
            </w:r>
          </w:p>
        </w:tc>
        <w:tc>
          <w:tcPr>
            <w:tcW w:w="1138" w:type="dxa"/>
            <w:tcBorders>
              <w:top w:val="nil"/>
              <w:left w:val="nil"/>
              <w:bottom w:val="single" w:sz="4" w:space="0" w:color="auto"/>
              <w:right w:val="single" w:sz="4" w:space="0" w:color="auto"/>
            </w:tcBorders>
            <w:vAlign w:val="center"/>
          </w:tcPr>
          <w:p w:rsidR="00EA7552" w:rsidRPr="00EA7552" w:rsidRDefault="00EA7552" w:rsidP="00813FF0">
            <w:pPr>
              <w:spacing w:after="0"/>
              <w:jc w:val="center"/>
              <w:rPr>
                <w:rFonts w:ascii="Calibri" w:eastAsia="Times New Roman" w:hAnsi="Calibri" w:cs="Times New Roman"/>
                <w:sz w:val="20"/>
                <w:szCs w:val="20"/>
              </w:rPr>
            </w:pPr>
            <w:r w:rsidRPr="00EA7552">
              <w:rPr>
                <w:rFonts w:ascii="Calibri" w:eastAsia="Times New Roman" w:hAnsi="Calibri" w:cs="Times New Roman"/>
                <w:sz w:val="20"/>
                <w:szCs w:val="20"/>
              </w:rPr>
              <w:t>837,910</w:t>
            </w:r>
          </w:p>
        </w:tc>
      </w:tr>
      <w:tr w:rsidR="00EA7552" w:rsidRPr="00044543" w:rsidTr="00EA755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A7552" w:rsidRPr="00044543" w:rsidRDefault="00EA7552" w:rsidP="00813FF0">
            <w:pPr>
              <w:spacing w:after="0"/>
              <w:jc w:val="center"/>
              <w:rPr>
                <w:rFonts w:ascii="Calibri" w:eastAsia="Times New Roman" w:hAnsi="Calibri" w:cs="Times New Roman"/>
                <w:sz w:val="20"/>
                <w:szCs w:val="20"/>
              </w:rPr>
            </w:pPr>
          </w:p>
        </w:tc>
        <w:tc>
          <w:tcPr>
            <w:tcW w:w="1060" w:type="dxa"/>
            <w:tcBorders>
              <w:top w:val="nil"/>
              <w:left w:val="nil"/>
              <w:bottom w:val="single" w:sz="4" w:space="0" w:color="auto"/>
              <w:right w:val="single" w:sz="4" w:space="0" w:color="auto"/>
            </w:tcBorders>
            <w:shd w:val="clear" w:color="auto" w:fill="auto"/>
            <w:noWrap/>
            <w:vAlign w:val="center"/>
            <w:hideMark/>
          </w:tcPr>
          <w:p w:rsidR="00EA7552" w:rsidRPr="00044543" w:rsidRDefault="00EA7552" w:rsidP="00813FF0">
            <w:pPr>
              <w:spacing w:after="0"/>
              <w:jc w:val="center"/>
              <w:rPr>
                <w:rFonts w:ascii="Calibri" w:eastAsia="Times New Roman" w:hAnsi="Calibri" w:cs="Times New Roman"/>
                <w:sz w:val="20"/>
                <w:szCs w:val="20"/>
              </w:rPr>
            </w:pPr>
          </w:p>
        </w:tc>
        <w:tc>
          <w:tcPr>
            <w:tcW w:w="1160" w:type="dxa"/>
            <w:tcBorders>
              <w:top w:val="nil"/>
              <w:left w:val="nil"/>
              <w:bottom w:val="single" w:sz="4" w:space="0" w:color="auto"/>
              <w:right w:val="single" w:sz="4" w:space="0" w:color="auto"/>
            </w:tcBorders>
            <w:shd w:val="clear" w:color="auto" w:fill="auto"/>
            <w:noWrap/>
            <w:vAlign w:val="center"/>
            <w:hideMark/>
          </w:tcPr>
          <w:p w:rsidR="00EA7552" w:rsidRPr="00044543" w:rsidRDefault="00EA7552" w:rsidP="00813FF0">
            <w:pPr>
              <w:spacing w:after="0"/>
              <w:jc w:val="center"/>
              <w:rPr>
                <w:rFonts w:ascii="Calibri" w:eastAsia="Times New Roman" w:hAnsi="Calibri" w:cs="Times New Roman"/>
                <w:sz w:val="20"/>
                <w:szCs w:val="20"/>
              </w:rPr>
            </w:pPr>
          </w:p>
        </w:tc>
        <w:tc>
          <w:tcPr>
            <w:tcW w:w="1271" w:type="dxa"/>
            <w:tcBorders>
              <w:top w:val="nil"/>
              <w:left w:val="nil"/>
              <w:bottom w:val="single" w:sz="4" w:space="0" w:color="auto"/>
              <w:right w:val="single" w:sz="4" w:space="0" w:color="auto"/>
            </w:tcBorders>
            <w:shd w:val="clear" w:color="auto" w:fill="auto"/>
            <w:noWrap/>
            <w:vAlign w:val="center"/>
            <w:hideMark/>
          </w:tcPr>
          <w:p w:rsidR="00EA7552" w:rsidRPr="00044543" w:rsidRDefault="00EA7552" w:rsidP="00813FF0">
            <w:pPr>
              <w:spacing w:after="0"/>
              <w:jc w:val="center"/>
              <w:rPr>
                <w:rFonts w:ascii="Calibri" w:eastAsia="Times New Roman" w:hAnsi="Calibri" w:cs="Times New Roman"/>
                <w:sz w:val="20"/>
                <w:szCs w:val="20"/>
              </w:rPr>
            </w:pPr>
          </w:p>
        </w:tc>
        <w:tc>
          <w:tcPr>
            <w:tcW w:w="989" w:type="dxa"/>
            <w:tcBorders>
              <w:top w:val="nil"/>
              <w:left w:val="nil"/>
              <w:bottom w:val="single" w:sz="4" w:space="0" w:color="auto"/>
              <w:right w:val="single" w:sz="4" w:space="0" w:color="auto"/>
            </w:tcBorders>
            <w:shd w:val="clear" w:color="auto" w:fill="auto"/>
            <w:noWrap/>
            <w:vAlign w:val="center"/>
            <w:hideMark/>
          </w:tcPr>
          <w:p w:rsidR="00EA7552" w:rsidRPr="00044543" w:rsidRDefault="00EA7552"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2013Q4</w:t>
            </w:r>
          </w:p>
        </w:tc>
        <w:tc>
          <w:tcPr>
            <w:tcW w:w="1138" w:type="dxa"/>
            <w:tcBorders>
              <w:top w:val="nil"/>
              <w:left w:val="nil"/>
              <w:bottom w:val="single" w:sz="4" w:space="0" w:color="auto"/>
              <w:right w:val="single" w:sz="4" w:space="0" w:color="auto"/>
            </w:tcBorders>
            <w:shd w:val="clear" w:color="auto" w:fill="auto"/>
            <w:noWrap/>
            <w:vAlign w:val="center"/>
            <w:hideMark/>
          </w:tcPr>
          <w:p w:rsidR="00EA7552" w:rsidRPr="00044543" w:rsidRDefault="00EA7552"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871,385</w:t>
            </w:r>
          </w:p>
        </w:tc>
        <w:tc>
          <w:tcPr>
            <w:tcW w:w="1138" w:type="dxa"/>
            <w:tcBorders>
              <w:top w:val="nil"/>
              <w:left w:val="nil"/>
              <w:bottom w:val="single" w:sz="4" w:space="0" w:color="auto"/>
              <w:right w:val="single" w:sz="4" w:space="0" w:color="auto"/>
            </w:tcBorders>
            <w:vAlign w:val="center"/>
          </w:tcPr>
          <w:p w:rsidR="00EA7552" w:rsidRPr="00EA7552" w:rsidRDefault="00EA7552" w:rsidP="00813FF0">
            <w:pPr>
              <w:spacing w:after="0"/>
              <w:jc w:val="center"/>
              <w:rPr>
                <w:rFonts w:ascii="Calibri" w:eastAsia="Times New Roman" w:hAnsi="Calibri" w:cs="Times New Roman"/>
                <w:sz w:val="20"/>
                <w:szCs w:val="20"/>
              </w:rPr>
            </w:pPr>
            <w:r w:rsidRPr="00EA7552">
              <w:rPr>
                <w:rFonts w:ascii="Calibri" w:eastAsia="Times New Roman" w:hAnsi="Calibri" w:cs="Times New Roman"/>
                <w:sz w:val="20"/>
                <w:szCs w:val="20"/>
              </w:rPr>
              <w:t>4/10/2013</w:t>
            </w:r>
          </w:p>
        </w:tc>
        <w:tc>
          <w:tcPr>
            <w:tcW w:w="1138" w:type="dxa"/>
            <w:tcBorders>
              <w:top w:val="nil"/>
              <w:left w:val="nil"/>
              <w:bottom w:val="single" w:sz="4" w:space="0" w:color="auto"/>
              <w:right w:val="single" w:sz="4" w:space="0" w:color="auto"/>
            </w:tcBorders>
            <w:vAlign w:val="center"/>
          </w:tcPr>
          <w:p w:rsidR="00EA7552" w:rsidRPr="00EA7552" w:rsidRDefault="00EA7552" w:rsidP="00813FF0">
            <w:pPr>
              <w:spacing w:after="0"/>
              <w:jc w:val="center"/>
              <w:rPr>
                <w:rFonts w:ascii="Calibri" w:eastAsia="Times New Roman" w:hAnsi="Calibri" w:cs="Times New Roman"/>
                <w:sz w:val="20"/>
                <w:szCs w:val="20"/>
              </w:rPr>
            </w:pPr>
            <w:r w:rsidRPr="00EA7552">
              <w:rPr>
                <w:rFonts w:ascii="Calibri" w:eastAsia="Times New Roman" w:hAnsi="Calibri" w:cs="Times New Roman"/>
                <w:sz w:val="20"/>
                <w:szCs w:val="20"/>
              </w:rPr>
              <w:t>853,991</w:t>
            </w:r>
          </w:p>
        </w:tc>
      </w:tr>
      <w:tr w:rsidR="00C43969" w:rsidRPr="00044543" w:rsidTr="00E37770">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2014</w:t>
            </w:r>
          </w:p>
        </w:tc>
        <w:tc>
          <w:tcPr>
            <w:tcW w:w="1060"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1,103,872</w:t>
            </w:r>
          </w:p>
        </w:tc>
        <w:tc>
          <w:tcPr>
            <w:tcW w:w="1160"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2014H1</w:t>
            </w:r>
          </w:p>
        </w:tc>
        <w:tc>
          <w:tcPr>
            <w:tcW w:w="1271"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974,928</w:t>
            </w:r>
          </w:p>
        </w:tc>
        <w:tc>
          <w:tcPr>
            <w:tcW w:w="989"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2014Q1</w:t>
            </w:r>
          </w:p>
        </w:tc>
        <w:tc>
          <w:tcPr>
            <w:tcW w:w="1138"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820,613</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3/01/2014</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865,786</w:t>
            </w:r>
          </w:p>
        </w:tc>
      </w:tr>
      <w:tr w:rsidR="00C43969" w:rsidRPr="00044543" w:rsidTr="00E37770">
        <w:trPr>
          <w:trHeight w:val="51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43969" w:rsidRDefault="00C43969" w:rsidP="00813FF0">
            <w:pPr>
              <w:spacing w:after="0"/>
              <w:jc w:val="center"/>
              <w:rPr>
                <w:rFonts w:ascii="Calibri" w:hAnsi="Calibri"/>
                <w:sz w:val="20"/>
                <w:szCs w:val="20"/>
              </w:rPr>
            </w:pPr>
            <w:r>
              <w:rPr>
                <w:rFonts w:ascii="Calibri" w:hAnsi="Calibri"/>
                <w:sz w:val="20"/>
                <w:szCs w:val="20"/>
              </w:rPr>
              <w:t>% annual growth</w:t>
            </w:r>
          </w:p>
        </w:tc>
        <w:tc>
          <w:tcPr>
            <w:tcW w:w="1060" w:type="dxa"/>
            <w:tcBorders>
              <w:top w:val="nil"/>
              <w:left w:val="nil"/>
              <w:bottom w:val="single" w:sz="4" w:space="0" w:color="auto"/>
              <w:right w:val="single" w:sz="4" w:space="0" w:color="auto"/>
            </w:tcBorders>
            <w:shd w:val="clear" w:color="auto" w:fill="auto"/>
            <w:noWrap/>
            <w:vAlign w:val="center"/>
            <w:hideMark/>
          </w:tcPr>
          <w:p w:rsidR="00C43969" w:rsidRDefault="00C43969" w:rsidP="00813FF0">
            <w:pPr>
              <w:spacing w:after="0"/>
              <w:jc w:val="center"/>
              <w:rPr>
                <w:rFonts w:ascii="Calibri" w:hAnsi="Calibri"/>
                <w:sz w:val="20"/>
                <w:szCs w:val="20"/>
              </w:rPr>
            </w:pPr>
            <w:r>
              <w:rPr>
                <w:rFonts w:ascii="Calibri" w:hAnsi="Calibri"/>
                <w:sz w:val="20"/>
                <w:szCs w:val="20"/>
              </w:rPr>
              <w:t>4.3%</w:t>
            </w:r>
          </w:p>
        </w:tc>
        <w:tc>
          <w:tcPr>
            <w:tcW w:w="1160"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1271"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989"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2014Q2</w:t>
            </w:r>
          </w:p>
        </w:tc>
        <w:tc>
          <w:tcPr>
            <w:tcW w:w="1138"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860,876</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4/04/2014</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858,374</w:t>
            </w:r>
          </w:p>
        </w:tc>
      </w:tr>
      <w:tr w:rsidR="00C43969" w:rsidRPr="00044543" w:rsidTr="00E37770">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1060"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1160"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2014H2</w:t>
            </w:r>
          </w:p>
        </w:tc>
        <w:tc>
          <w:tcPr>
            <w:tcW w:w="1271"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1,016,916</w:t>
            </w:r>
          </w:p>
        </w:tc>
        <w:tc>
          <w:tcPr>
            <w:tcW w:w="989"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2014Q3</w:t>
            </w:r>
          </w:p>
        </w:tc>
        <w:tc>
          <w:tcPr>
            <w:tcW w:w="1138"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880,691</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4/07/2014</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870,088</w:t>
            </w:r>
          </w:p>
        </w:tc>
      </w:tr>
      <w:tr w:rsidR="00C43969" w:rsidRPr="00044543" w:rsidTr="00E37770">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1060"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1160"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1271"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989"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2014Q4</w:t>
            </w:r>
          </w:p>
        </w:tc>
        <w:tc>
          <w:tcPr>
            <w:tcW w:w="1138"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904,987</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3/10/2014</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884,025</w:t>
            </w:r>
          </w:p>
        </w:tc>
      </w:tr>
      <w:tr w:rsidR="00C43969" w:rsidRPr="00044543" w:rsidTr="00E37770">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2015</w:t>
            </w:r>
          </w:p>
        </w:tc>
        <w:tc>
          <w:tcPr>
            <w:tcW w:w="1060"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1,153,550</w:t>
            </w:r>
          </w:p>
        </w:tc>
        <w:tc>
          <w:tcPr>
            <w:tcW w:w="1160"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2015H1</w:t>
            </w:r>
          </w:p>
        </w:tc>
        <w:tc>
          <w:tcPr>
            <w:tcW w:w="1271"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1,017,408</w:t>
            </w:r>
          </w:p>
        </w:tc>
        <w:tc>
          <w:tcPr>
            <w:tcW w:w="989"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2015Q1</w:t>
            </w:r>
          </w:p>
        </w:tc>
        <w:tc>
          <w:tcPr>
            <w:tcW w:w="1138"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854,609</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2/01/2015</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896,631</w:t>
            </w:r>
          </w:p>
        </w:tc>
      </w:tr>
      <w:tr w:rsidR="00C43969" w:rsidRPr="00044543" w:rsidTr="00E37770">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43969" w:rsidRDefault="00C43969" w:rsidP="00813FF0">
            <w:pPr>
              <w:spacing w:after="0"/>
              <w:jc w:val="center"/>
              <w:rPr>
                <w:rFonts w:ascii="Calibri" w:hAnsi="Calibri"/>
                <w:sz w:val="20"/>
                <w:szCs w:val="20"/>
              </w:rPr>
            </w:pPr>
            <w:r>
              <w:rPr>
                <w:rFonts w:ascii="Calibri" w:hAnsi="Calibri"/>
                <w:sz w:val="20"/>
                <w:szCs w:val="20"/>
              </w:rPr>
              <w:t>% annual growth</w:t>
            </w:r>
          </w:p>
        </w:tc>
        <w:tc>
          <w:tcPr>
            <w:tcW w:w="1060" w:type="dxa"/>
            <w:tcBorders>
              <w:top w:val="nil"/>
              <w:left w:val="nil"/>
              <w:bottom w:val="single" w:sz="4" w:space="0" w:color="auto"/>
              <w:right w:val="single" w:sz="4" w:space="0" w:color="auto"/>
            </w:tcBorders>
            <w:shd w:val="clear" w:color="auto" w:fill="auto"/>
            <w:noWrap/>
            <w:vAlign w:val="center"/>
            <w:hideMark/>
          </w:tcPr>
          <w:p w:rsidR="00C43969" w:rsidRDefault="00C43969" w:rsidP="00813FF0">
            <w:pPr>
              <w:spacing w:after="0"/>
              <w:jc w:val="center"/>
              <w:rPr>
                <w:rFonts w:ascii="Calibri" w:hAnsi="Calibri"/>
                <w:sz w:val="20"/>
                <w:szCs w:val="20"/>
              </w:rPr>
            </w:pPr>
            <w:r>
              <w:rPr>
                <w:rFonts w:ascii="Calibri" w:hAnsi="Calibri"/>
                <w:sz w:val="20"/>
                <w:szCs w:val="20"/>
              </w:rPr>
              <w:t>4.5%</w:t>
            </w:r>
          </w:p>
        </w:tc>
        <w:tc>
          <w:tcPr>
            <w:tcW w:w="1160"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1271"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989"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2015Q2</w:t>
            </w:r>
          </w:p>
        </w:tc>
        <w:tc>
          <w:tcPr>
            <w:tcW w:w="1138"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898,042</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3/04/2015</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887,744</w:t>
            </w:r>
          </w:p>
        </w:tc>
      </w:tr>
      <w:tr w:rsidR="00C43969" w:rsidRPr="00044543" w:rsidTr="00E37770">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1060"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1160"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2015H2</w:t>
            </w:r>
          </w:p>
        </w:tc>
        <w:tc>
          <w:tcPr>
            <w:tcW w:w="1271"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1,062,821</w:t>
            </w:r>
          </w:p>
        </w:tc>
        <w:tc>
          <w:tcPr>
            <w:tcW w:w="989"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2015Q3</w:t>
            </w:r>
          </w:p>
        </w:tc>
        <w:tc>
          <w:tcPr>
            <w:tcW w:w="1138"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921,075</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3/07/2015</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905,202</w:t>
            </w:r>
          </w:p>
        </w:tc>
      </w:tr>
      <w:tr w:rsidR="00C43969" w:rsidRPr="00044543" w:rsidTr="00E37770">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1060"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1160"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1271"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989"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2015Q4</w:t>
            </w:r>
          </w:p>
        </w:tc>
        <w:tc>
          <w:tcPr>
            <w:tcW w:w="1138"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946,378</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2/10/2015</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920,869</w:t>
            </w:r>
          </w:p>
        </w:tc>
      </w:tr>
      <w:tr w:rsidR="00C43969" w:rsidRPr="00044543" w:rsidTr="00E37770">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2016</w:t>
            </w:r>
          </w:p>
        </w:tc>
        <w:tc>
          <w:tcPr>
            <w:tcW w:w="1060"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NA</w:t>
            </w:r>
          </w:p>
        </w:tc>
        <w:tc>
          <w:tcPr>
            <w:tcW w:w="1160"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2016H1</w:t>
            </w:r>
          </w:p>
        </w:tc>
        <w:tc>
          <w:tcPr>
            <w:tcW w:w="1271"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1,058,314</w:t>
            </w:r>
          </w:p>
        </w:tc>
        <w:tc>
          <w:tcPr>
            <w:tcW w:w="989"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2016Q1</w:t>
            </w:r>
          </w:p>
        </w:tc>
        <w:tc>
          <w:tcPr>
            <w:tcW w:w="1138"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894,885</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1/01/2016</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934,766</w:t>
            </w:r>
          </w:p>
        </w:tc>
      </w:tr>
      <w:tr w:rsidR="00C43969" w:rsidRPr="00044543" w:rsidTr="00E37770">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1060"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1160"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1271"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989"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2016Q2</w:t>
            </w:r>
          </w:p>
        </w:tc>
        <w:tc>
          <w:tcPr>
            <w:tcW w:w="1138"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928,599</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1/04/2016</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922,929</w:t>
            </w:r>
          </w:p>
        </w:tc>
      </w:tr>
      <w:tr w:rsidR="00C43969" w:rsidRPr="00044543" w:rsidTr="00E37770">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1060"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p>
        </w:tc>
        <w:tc>
          <w:tcPr>
            <w:tcW w:w="1160"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2016H2</w:t>
            </w:r>
          </w:p>
        </w:tc>
        <w:tc>
          <w:tcPr>
            <w:tcW w:w="1271"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NA</w:t>
            </w:r>
          </w:p>
        </w:tc>
        <w:tc>
          <w:tcPr>
            <w:tcW w:w="989"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2016Q3</w:t>
            </w:r>
          </w:p>
        </w:tc>
        <w:tc>
          <w:tcPr>
            <w:tcW w:w="1138" w:type="dxa"/>
            <w:tcBorders>
              <w:top w:val="nil"/>
              <w:left w:val="nil"/>
              <w:bottom w:val="single" w:sz="4" w:space="0" w:color="auto"/>
              <w:right w:val="single" w:sz="4" w:space="0" w:color="auto"/>
            </w:tcBorders>
            <w:shd w:val="clear" w:color="auto" w:fill="auto"/>
            <w:noWrap/>
            <w:vAlign w:val="center"/>
            <w:hideMark/>
          </w:tcPr>
          <w:p w:rsidR="00C43969" w:rsidRPr="00044543" w:rsidRDefault="00C43969" w:rsidP="00813FF0">
            <w:pPr>
              <w:spacing w:after="0"/>
              <w:jc w:val="center"/>
              <w:rPr>
                <w:rFonts w:ascii="Calibri" w:eastAsia="Times New Roman" w:hAnsi="Calibri" w:cs="Times New Roman"/>
                <w:sz w:val="20"/>
                <w:szCs w:val="20"/>
              </w:rPr>
            </w:pPr>
            <w:r w:rsidRPr="00044543">
              <w:rPr>
                <w:rFonts w:ascii="Calibri" w:eastAsia="Times New Roman" w:hAnsi="Calibri" w:cs="Times New Roman"/>
                <w:sz w:val="20"/>
                <w:szCs w:val="20"/>
              </w:rPr>
              <w:t>930,205</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29/07/2016</w:t>
            </w:r>
          </w:p>
        </w:tc>
        <w:tc>
          <w:tcPr>
            <w:tcW w:w="1138" w:type="dxa"/>
            <w:tcBorders>
              <w:top w:val="nil"/>
              <w:left w:val="nil"/>
              <w:bottom w:val="single" w:sz="4" w:space="0" w:color="auto"/>
              <w:right w:val="single" w:sz="4" w:space="0" w:color="auto"/>
            </w:tcBorders>
            <w:vAlign w:val="bottom"/>
          </w:tcPr>
          <w:p w:rsidR="00C43969" w:rsidRPr="00C43969" w:rsidRDefault="00C43969" w:rsidP="00813FF0">
            <w:pPr>
              <w:spacing w:after="0"/>
              <w:jc w:val="center"/>
              <w:rPr>
                <w:rFonts w:ascii="Calibri" w:eastAsia="Times New Roman" w:hAnsi="Calibri" w:cs="Times New Roman"/>
                <w:sz w:val="20"/>
                <w:szCs w:val="20"/>
              </w:rPr>
            </w:pPr>
            <w:r w:rsidRPr="00C43969">
              <w:rPr>
                <w:rFonts w:ascii="Calibri" w:eastAsia="Times New Roman" w:hAnsi="Calibri" w:cs="Times New Roman"/>
                <w:sz w:val="20"/>
                <w:szCs w:val="20"/>
              </w:rPr>
              <w:t>928,561</w:t>
            </w:r>
          </w:p>
        </w:tc>
      </w:tr>
    </w:tbl>
    <w:p w:rsidR="00E55749" w:rsidRDefault="00E55749" w:rsidP="00813FF0">
      <w:pPr>
        <w:spacing w:after="0"/>
      </w:pPr>
    </w:p>
    <w:p w:rsidR="00E55749" w:rsidRDefault="002B4CB9" w:rsidP="00813FF0">
      <w:proofErr w:type="gramStart"/>
      <w:r>
        <w:t>Table C</w:t>
      </w:r>
      <w:r w:rsidR="00E55749">
        <w:t>.1 shows that the quarterly prevalence of prescription supply of a diabetes drug is approximately equal to the point prevalence estimate of patients on a diabetes drug regimen (See Figure 1</w:t>
      </w:r>
      <w:r w:rsidR="00C43969">
        <w:t xml:space="preserve"> a</w:t>
      </w:r>
      <w:r w:rsidR="004755A9">
        <w:t>nd final two columns of Table C</w:t>
      </w:r>
      <w:r w:rsidR="00C43969">
        <w:t>.1</w:t>
      </w:r>
      <w:r w:rsidR="00E55749">
        <w:t>).</w:t>
      </w:r>
      <w:proofErr w:type="gramEnd"/>
      <w:r w:rsidR="00E55749">
        <w:t xml:space="preserve"> The difference between the two is that in prescription supply prevalence will include patients who had a supply early in the quarter but stopped therapy early in the quarter. This would make the quarterly prevalence greater than the point prevalence later in the quarter. On the other hand there will be patients on therapy, who stockpiled in the previous quarter but had no supply in the next quarter or had a supply of a drug which is normally supplied infrequently (</w:t>
      </w:r>
      <w:proofErr w:type="spellStart"/>
      <w:r w:rsidR="00E55749">
        <w:t>eg</w:t>
      </w:r>
      <w:proofErr w:type="spellEnd"/>
      <w:r w:rsidR="00E55749">
        <w:t xml:space="preserve">. </w:t>
      </w:r>
      <w:r w:rsidR="00E55749" w:rsidRPr="009B77C3">
        <w:t xml:space="preserve">Insulin </w:t>
      </w:r>
      <w:proofErr w:type="spellStart"/>
      <w:r w:rsidR="00E55749" w:rsidRPr="009B77C3">
        <w:t>Aspart</w:t>
      </w:r>
      <w:proofErr w:type="spellEnd"/>
      <w:r w:rsidR="00E55749">
        <w:t xml:space="preserve">, which has a median time to resupply of </w:t>
      </w:r>
      <w:r w:rsidR="00E55749" w:rsidRPr="009B77C3">
        <w:t>122</w:t>
      </w:r>
      <w:r w:rsidR="00E55749">
        <w:t xml:space="preserve"> days, see Appendix </w:t>
      </w:r>
      <w:r w:rsidR="000E77FF">
        <w:t>B</w:t>
      </w:r>
      <w:r w:rsidR="00E55749">
        <w:t xml:space="preserve">) in the previous quarter and no supply in the next quarter. This would make the quarterly prevalence less than the point prevalence (as the treatment is deemed to continue through the next </w:t>
      </w:r>
      <w:r w:rsidR="00E55749">
        <w:lastRenderedPageBreak/>
        <w:t xml:space="preserve">quarter). It looks like these two effects are approximately equal and cancel each other out at the quarterly level. At the half yearly and yearly level the former effect is bigger than the latter and so the half yearly and yearly prevalence to prescription supply is greater than the estimate of the weekly/point estimate of the number of patients on a diabetes drug regimen shown in </w:t>
      </w:r>
      <w:r w:rsidR="004755A9">
        <w:t>Table C</w:t>
      </w:r>
      <w:r w:rsidR="00C43969">
        <w:t>.1</w:t>
      </w:r>
      <w:r w:rsidR="00E55749">
        <w:t>.</w:t>
      </w:r>
    </w:p>
    <w:p w:rsidR="00C37995" w:rsidRDefault="00C37995" w:rsidP="00813FF0">
      <w:pPr>
        <w:pStyle w:val="BodyText1"/>
      </w:pPr>
    </w:p>
    <w:sectPr w:rsidR="00C37995" w:rsidSect="0050191E">
      <w:headerReference w:type="even" r:id="rId32"/>
      <w:footerReference w:type="even" r:id="rId33"/>
      <w:footerReference w:type="default" r:id="rId34"/>
      <w:headerReference w:type="first" r:id="rId35"/>
      <w:footerReference w:type="first" r:id="rId36"/>
      <w:endnotePr>
        <w:numFmt w:val="decimal"/>
      </w:endnotePr>
      <w:type w:val="continuous"/>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457" w:rsidRDefault="00CC6457" w:rsidP="00821C17">
      <w:pPr>
        <w:spacing w:after="0"/>
      </w:pPr>
      <w:r>
        <w:separator/>
      </w:r>
    </w:p>
  </w:endnote>
  <w:endnote w:type="continuationSeparator" w:id="0">
    <w:p w:rsidR="00CC6457" w:rsidRDefault="00CC6457" w:rsidP="00821C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Times New (W1)">
    <w:altName w:val="Cambria"/>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21" w:rsidRDefault="00683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683221" w:rsidRPr="000E72C6" w:rsidRDefault="00683221" w:rsidP="001B348B">
            <w:pPr>
              <w:pStyle w:val="Footer"/>
              <w:jc w:val="center"/>
              <w:rPr>
                <w:i/>
                <w:sz w:val="20"/>
              </w:rPr>
            </w:pPr>
            <w:r>
              <w:rPr>
                <w:i/>
                <w:sz w:val="20"/>
              </w:rPr>
              <w:t>Public Release Document, February 2017 DUSC Meeting</w:t>
            </w:r>
          </w:p>
          <w:p w:rsidR="00683221" w:rsidRPr="00A4115A" w:rsidRDefault="00683221" w:rsidP="001B348B">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E449FF">
              <w:rPr>
                <w:bCs/>
                <w:i/>
                <w:noProof/>
                <w:sz w:val="20"/>
              </w:rPr>
              <w:t>33</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E449FF">
              <w:rPr>
                <w:bCs/>
                <w:i/>
                <w:noProof/>
                <w:sz w:val="20"/>
              </w:rPr>
              <w:t>47</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160941"/>
      <w:docPartObj>
        <w:docPartGallery w:val="Page Numbers (Bottom of Page)"/>
        <w:docPartUnique/>
      </w:docPartObj>
    </w:sdtPr>
    <w:sdtEndPr/>
    <w:sdtContent>
      <w:sdt>
        <w:sdtPr>
          <w:id w:val="1013494574"/>
          <w:docPartObj>
            <w:docPartGallery w:val="Page Numbers (Top of Page)"/>
            <w:docPartUnique/>
          </w:docPartObj>
        </w:sdtPr>
        <w:sdtEndPr/>
        <w:sdtContent>
          <w:p w:rsidR="00683221" w:rsidRPr="000E72C6" w:rsidRDefault="00683221" w:rsidP="001B348B">
            <w:pPr>
              <w:pStyle w:val="Footer"/>
              <w:jc w:val="center"/>
              <w:rPr>
                <w:i/>
                <w:sz w:val="20"/>
              </w:rPr>
            </w:pPr>
            <w:r>
              <w:rPr>
                <w:i/>
                <w:sz w:val="20"/>
              </w:rPr>
              <w:t>Committee in Confidence</w:t>
            </w:r>
          </w:p>
          <w:p w:rsidR="00683221" w:rsidRPr="00A4115A" w:rsidRDefault="00683221" w:rsidP="001B348B">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noProof/>
                <w:sz w:val="20"/>
              </w:rPr>
              <w:t>42</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E449FF">
              <w:rPr>
                <w:bCs/>
                <w:i/>
                <w:noProof/>
                <w:sz w:val="20"/>
              </w:rPr>
              <w:t>47</w:t>
            </w:r>
            <w:r w:rsidRPr="00DD188C">
              <w:rPr>
                <w:bCs/>
                <w:i/>
                <w:sz w:val="20"/>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325259"/>
      <w:docPartObj>
        <w:docPartGallery w:val="Page Numbers (Bottom of Page)"/>
        <w:docPartUnique/>
      </w:docPartObj>
    </w:sdtPr>
    <w:sdtEndPr/>
    <w:sdtContent>
      <w:sdt>
        <w:sdtPr>
          <w:id w:val="-662087876"/>
          <w:docPartObj>
            <w:docPartGallery w:val="Page Numbers (Top of Page)"/>
            <w:docPartUnique/>
          </w:docPartObj>
        </w:sdtPr>
        <w:sdtEndPr/>
        <w:sdtContent>
          <w:p w:rsidR="00683221" w:rsidRPr="000E72C6" w:rsidRDefault="00683221" w:rsidP="001B348B">
            <w:pPr>
              <w:pStyle w:val="Footer"/>
              <w:jc w:val="center"/>
              <w:rPr>
                <w:i/>
                <w:sz w:val="20"/>
              </w:rPr>
            </w:pPr>
            <w:r>
              <w:rPr>
                <w:i/>
                <w:sz w:val="20"/>
              </w:rPr>
              <w:t>Committee in Confidence</w:t>
            </w:r>
          </w:p>
          <w:p w:rsidR="00683221" w:rsidRPr="008F51E2" w:rsidRDefault="00683221" w:rsidP="001B348B">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E449FF">
              <w:rPr>
                <w:bCs/>
                <w:i/>
                <w:noProof/>
                <w:sz w:val="20"/>
              </w:rPr>
              <w:t>40</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E449FF">
              <w:rPr>
                <w:bCs/>
                <w:i/>
                <w:noProof/>
                <w:sz w:val="20"/>
              </w:rPr>
              <w:t>47</w:t>
            </w:r>
            <w:r w:rsidRPr="00DD188C">
              <w:rPr>
                <w:bCs/>
                <w:i/>
                <w:sz w:val="20"/>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21" w:rsidRDefault="0068322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430444"/>
      <w:docPartObj>
        <w:docPartGallery w:val="Page Numbers (Bottom of Page)"/>
        <w:docPartUnique/>
      </w:docPartObj>
    </w:sdtPr>
    <w:sdtEndPr/>
    <w:sdtContent>
      <w:sdt>
        <w:sdtPr>
          <w:id w:val="-2070178723"/>
          <w:docPartObj>
            <w:docPartGallery w:val="Page Numbers (Top of Page)"/>
            <w:docPartUnique/>
          </w:docPartObj>
        </w:sdtPr>
        <w:sdtEndPr/>
        <w:sdtContent>
          <w:p w:rsidR="00683221" w:rsidRPr="000E72C6" w:rsidRDefault="00683221" w:rsidP="005425A8">
            <w:pPr>
              <w:pStyle w:val="Footer"/>
              <w:jc w:val="center"/>
              <w:rPr>
                <w:i/>
                <w:sz w:val="20"/>
              </w:rPr>
            </w:pPr>
            <w:r>
              <w:rPr>
                <w:i/>
                <w:sz w:val="20"/>
              </w:rPr>
              <w:t>Committee in Confidence</w:t>
            </w:r>
          </w:p>
          <w:p w:rsidR="00683221" w:rsidRPr="008F51E2" w:rsidRDefault="00683221" w:rsidP="005425A8">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E449FF">
              <w:rPr>
                <w:bCs/>
                <w:i/>
                <w:noProof/>
                <w:sz w:val="20"/>
              </w:rPr>
              <w:t>47</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E449FF">
              <w:rPr>
                <w:bCs/>
                <w:i/>
                <w:noProof/>
                <w:sz w:val="20"/>
              </w:rPr>
              <w:t>47</w:t>
            </w:r>
            <w:r w:rsidRPr="00DD188C">
              <w:rPr>
                <w:bCs/>
                <w:i/>
                <w:sz w:val="20"/>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21" w:rsidRDefault="00683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457" w:rsidRDefault="00CC6457" w:rsidP="00821C17">
      <w:pPr>
        <w:spacing w:after="0"/>
      </w:pPr>
      <w:r>
        <w:separator/>
      </w:r>
    </w:p>
  </w:footnote>
  <w:footnote w:type="continuationSeparator" w:id="0">
    <w:p w:rsidR="00CC6457" w:rsidRDefault="00CC6457" w:rsidP="00821C17">
      <w:pPr>
        <w:spacing w:after="0"/>
      </w:pPr>
      <w:r>
        <w:continuationSeparator/>
      </w:r>
    </w:p>
  </w:footnote>
  <w:footnote w:id="1">
    <w:p w:rsidR="00683221" w:rsidRDefault="00683221" w:rsidP="00C45D5C">
      <w:pPr>
        <w:pStyle w:val="FootnoteText"/>
      </w:pPr>
      <w:r>
        <w:rPr>
          <w:rStyle w:val="FootnoteReference"/>
        </w:rPr>
        <w:footnoteRef/>
      </w:r>
      <w:r>
        <w:t xml:space="preserve"> ABS Estimated residential population (ERP) as at 30 June 2016, using ABS Population Clock</w:t>
      </w:r>
    </w:p>
  </w:footnote>
  <w:footnote w:id="2">
    <w:p w:rsidR="00683221" w:rsidRDefault="00683221" w:rsidP="00C45D5C">
      <w:pPr>
        <w:pStyle w:val="FootnoteText"/>
      </w:pPr>
      <w:r>
        <w:rPr>
          <w:rStyle w:val="FootnoteReference"/>
        </w:rPr>
        <w:footnoteRef/>
      </w:r>
      <w:r>
        <w:t xml:space="preserve"> ABS ERP as at 30 June 2012, using </w:t>
      </w:r>
      <w:proofErr w:type="spellStart"/>
      <w:r w:rsidRPr="002E5B02">
        <w:t>ABS.Stat</w:t>
      </w:r>
      <w:proofErr w:type="spellEnd"/>
      <w:r w:rsidRPr="002E5B02">
        <w:t xml:space="preserve"> beta</w:t>
      </w:r>
    </w:p>
  </w:footnote>
  <w:footnote w:id="3">
    <w:p w:rsidR="00683221" w:rsidRDefault="00683221" w:rsidP="000366B0">
      <w:pPr>
        <w:pStyle w:val="FootnoteText"/>
      </w:pPr>
      <w:r>
        <w:rPr>
          <w:rStyle w:val="FootnoteReference"/>
        </w:rPr>
        <w:footnoteRef/>
      </w:r>
      <w:r>
        <w:t xml:space="preserve"> </w:t>
      </w:r>
      <w:hyperlink r:id="rId1" w:history="1">
        <w:r w:rsidRPr="009D76C4">
          <w:rPr>
            <w:rStyle w:val="Hyperlink"/>
          </w:rPr>
          <w:t>Post-Market Review of Products Used in the Management of Diabetes, Part 3: Type 2 Diabetes Medicines, Final Report, October 2014</w:t>
        </w:r>
      </w:hyperlink>
    </w:p>
  </w:footnote>
  <w:footnote w:id="4">
    <w:p w:rsidR="00683221" w:rsidRDefault="00683221" w:rsidP="003D0E82">
      <w:pPr>
        <w:pStyle w:val="FootnoteText"/>
      </w:pPr>
      <w:r>
        <w:rPr>
          <w:rStyle w:val="FootnoteReference"/>
        </w:rPr>
        <w:footnoteRef/>
      </w:r>
      <w:r>
        <w:t xml:space="preserve"> ABS Estimated residential population (ERP) as at 30 June 2016, using ABS Population Clock</w:t>
      </w:r>
    </w:p>
  </w:footnote>
  <w:footnote w:id="5">
    <w:p w:rsidR="00683221" w:rsidRDefault="00683221" w:rsidP="003D0E82">
      <w:pPr>
        <w:pStyle w:val="FootnoteText"/>
      </w:pPr>
      <w:r>
        <w:rPr>
          <w:rStyle w:val="FootnoteReference"/>
        </w:rPr>
        <w:footnoteRef/>
      </w:r>
      <w:r>
        <w:t xml:space="preserve"> ABS ERP as at 30 June 2012, using </w:t>
      </w:r>
      <w:proofErr w:type="spellStart"/>
      <w:r w:rsidRPr="002E5B02">
        <w:t>ABS.Stat</w:t>
      </w:r>
      <w:proofErr w:type="spellEnd"/>
      <w:r w:rsidRPr="002E5B02">
        <w:t xml:space="preserve"> beta</w:t>
      </w:r>
    </w:p>
  </w:footnote>
  <w:footnote w:id="6">
    <w:p w:rsidR="00683221" w:rsidRDefault="00683221">
      <w:pPr>
        <w:pStyle w:val="FootnoteText"/>
      </w:pPr>
      <w:r>
        <w:rPr>
          <w:rStyle w:val="FootnoteReference"/>
        </w:rPr>
        <w:footnoteRef/>
      </w:r>
      <w:r>
        <w:t xml:space="preserve"> </w:t>
      </w:r>
      <w:r w:rsidRPr="00072182">
        <w:t>http://www.pbs.gov.au/reviews/diabetes-files/pbac-minutes-for-type-2-diabetes-medicines.pdf</w:t>
      </w:r>
    </w:p>
  </w:footnote>
  <w:footnote w:id="7">
    <w:p w:rsidR="00683221" w:rsidRDefault="00683221" w:rsidP="00D161B8">
      <w:pPr>
        <w:pStyle w:val="FootnoteText"/>
      </w:pPr>
      <w:r>
        <w:rPr>
          <w:rStyle w:val="FootnoteReference"/>
        </w:rPr>
        <w:footnoteRef/>
      </w:r>
      <w:r>
        <w:t xml:space="preserve"> </w:t>
      </w:r>
      <w:r w:rsidRPr="00072182">
        <w:t>http://www.pbs.gov.au/reviews/diabetes-files/pbac-minutes-for-type-2-diabetes-medicines.pdf</w:t>
      </w:r>
    </w:p>
  </w:footnote>
  <w:footnote w:id="8">
    <w:p w:rsidR="00683221" w:rsidRPr="00A574BB" w:rsidRDefault="00683221" w:rsidP="00B330FE">
      <w:pPr>
        <w:pStyle w:val="FootnoteText"/>
      </w:pPr>
      <w:r w:rsidRPr="00A574BB">
        <w:rPr>
          <w:rStyle w:val="FootnoteReference"/>
        </w:rPr>
        <w:footnoteRef/>
      </w:r>
      <w:r w:rsidRPr="00A574BB">
        <w:t xml:space="preserve"> </w:t>
      </w:r>
      <w:hyperlink r:id="rId2" w:history="1">
        <w:r w:rsidRPr="00A574BB">
          <w:rPr>
            <w:rStyle w:val="Hyperlink"/>
            <w:lang w:val="en-US"/>
          </w:rPr>
          <w:t>http://www.aihw.gov.au/how-common-is-diabetes/</w:t>
        </w:r>
      </w:hyperlink>
      <w:r w:rsidRPr="00A574BB">
        <w:rPr>
          <w:lang w:val="en-US"/>
        </w:rPr>
        <w:t xml:space="preserve"> </w:t>
      </w:r>
    </w:p>
    <w:p w:rsidR="00683221" w:rsidRDefault="00683221" w:rsidP="00B330FE">
      <w:pPr>
        <w:pStyle w:val="FootnoteText"/>
      </w:pPr>
    </w:p>
  </w:footnote>
  <w:footnote w:id="9">
    <w:p w:rsidR="00683221" w:rsidRPr="003C6919" w:rsidRDefault="00683221" w:rsidP="00223085">
      <w:pPr>
        <w:pStyle w:val="FootnoteText"/>
        <w:rPr>
          <w:rFonts w:cstheme="minorHAnsi"/>
          <w:szCs w:val="18"/>
        </w:rPr>
      </w:pPr>
      <w:r w:rsidRPr="003C6919">
        <w:rPr>
          <w:rStyle w:val="FootnoteReference"/>
          <w:rFonts w:cstheme="minorHAnsi"/>
          <w:szCs w:val="18"/>
        </w:rPr>
        <w:footnoteRef/>
      </w:r>
      <w:r w:rsidRPr="003C6919">
        <w:rPr>
          <w:rFonts w:cstheme="minorHAnsi"/>
          <w:szCs w:val="18"/>
        </w:rPr>
        <w:t xml:space="preserve"> Pratt N, Roughead EE, Ramsay E, Salter A, Ryan P 2011 “Risk of hospitalization for hip fracture and pneumonia associated with antipsychotic prescribing in the elderly: a self-controlled case-series analysis in an Australian health care claims database” Drug </w:t>
      </w:r>
      <w:proofErr w:type="spellStart"/>
      <w:r w:rsidRPr="003C6919">
        <w:rPr>
          <w:rFonts w:cstheme="minorHAnsi"/>
          <w:szCs w:val="18"/>
        </w:rPr>
        <w:t>Saf</w:t>
      </w:r>
      <w:proofErr w:type="spellEnd"/>
      <w:r w:rsidRPr="003C6919">
        <w:rPr>
          <w:rFonts w:cstheme="minorHAnsi"/>
          <w:szCs w:val="18"/>
        </w:rPr>
        <w:t xml:space="preserve">. 34(7):567-75. </w:t>
      </w:r>
      <w:proofErr w:type="spellStart"/>
      <w:proofErr w:type="gramStart"/>
      <w:r w:rsidRPr="003C6919">
        <w:rPr>
          <w:rFonts w:cstheme="minorHAnsi"/>
          <w:szCs w:val="18"/>
        </w:rPr>
        <w:t>doi</w:t>
      </w:r>
      <w:proofErr w:type="spellEnd"/>
      <w:proofErr w:type="gramEnd"/>
      <w:r w:rsidRPr="003C6919">
        <w:rPr>
          <w:rFonts w:cstheme="minorHAnsi"/>
          <w:szCs w:val="18"/>
        </w:rPr>
        <w:t>: 10.2165/11588470-000000000-00000</w:t>
      </w:r>
      <w:r>
        <w:rPr>
          <w:rFonts w:cstheme="minorHAnsi"/>
          <w:szCs w:val="18"/>
        </w:rPr>
        <w:t>.</w:t>
      </w:r>
    </w:p>
  </w:footnote>
  <w:footnote w:id="10">
    <w:p w:rsidR="00683221" w:rsidRPr="003C6919" w:rsidRDefault="00683221" w:rsidP="00223085">
      <w:pPr>
        <w:spacing w:after="0"/>
        <w:rPr>
          <w:rFonts w:cstheme="minorHAnsi"/>
          <w:sz w:val="18"/>
          <w:szCs w:val="18"/>
        </w:rPr>
      </w:pPr>
      <w:r w:rsidRPr="003C6919">
        <w:rPr>
          <w:rStyle w:val="FootnoteReference"/>
          <w:rFonts w:cstheme="minorHAnsi"/>
          <w:szCs w:val="18"/>
        </w:rPr>
        <w:footnoteRef/>
      </w:r>
      <w:r w:rsidRPr="003C6919">
        <w:rPr>
          <w:rFonts w:cstheme="minorHAnsi"/>
          <w:sz w:val="18"/>
          <w:szCs w:val="18"/>
        </w:rPr>
        <w:t xml:space="preserve"> </w:t>
      </w:r>
      <w:proofErr w:type="spellStart"/>
      <w:r w:rsidRPr="003C6919">
        <w:rPr>
          <w:rFonts w:cstheme="minorHAnsi"/>
          <w:sz w:val="18"/>
          <w:szCs w:val="18"/>
        </w:rPr>
        <w:t>Vitry</w:t>
      </w:r>
      <w:proofErr w:type="spellEnd"/>
      <w:r w:rsidRPr="003C6919">
        <w:rPr>
          <w:rFonts w:cstheme="minorHAnsi"/>
          <w:sz w:val="18"/>
          <w:szCs w:val="18"/>
        </w:rPr>
        <w:t xml:space="preserve"> AI, Roughead EE, </w:t>
      </w:r>
      <w:proofErr w:type="spellStart"/>
      <w:r w:rsidRPr="003C6919">
        <w:rPr>
          <w:rFonts w:cstheme="minorHAnsi"/>
          <w:sz w:val="18"/>
          <w:szCs w:val="18"/>
        </w:rPr>
        <w:t>Preiss</w:t>
      </w:r>
      <w:proofErr w:type="spellEnd"/>
      <w:r w:rsidRPr="003C6919">
        <w:rPr>
          <w:rFonts w:cstheme="minorHAnsi"/>
          <w:sz w:val="18"/>
          <w:szCs w:val="18"/>
        </w:rPr>
        <w:t xml:space="preserve"> AK, Ryan P, Ramsay EN, Gilbert AL, </w:t>
      </w:r>
      <w:proofErr w:type="spellStart"/>
      <w:r w:rsidRPr="003C6919">
        <w:rPr>
          <w:rFonts w:cstheme="minorHAnsi"/>
          <w:sz w:val="18"/>
          <w:szCs w:val="18"/>
        </w:rPr>
        <w:t>Caughey</w:t>
      </w:r>
      <w:proofErr w:type="spellEnd"/>
      <w:r w:rsidRPr="003C6919">
        <w:rPr>
          <w:rFonts w:cstheme="minorHAnsi"/>
          <w:sz w:val="18"/>
          <w:szCs w:val="18"/>
        </w:rPr>
        <w:t xml:space="preserve"> GE, </w:t>
      </w:r>
      <w:proofErr w:type="spellStart"/>
      <w:r w:rsidRPr="003C6919">
        <w:rPr>
          <w:rFonts w:cstheme="minorHAnsi"/>
          <w:sz w:val="18"/>
          <w:szCs w:val="18"/>
        </w:rPr>
        <w:t>Shakib</w:t>
      </w:r>
      <w:proofErr w:type="spellEnd"/>
      <w:r w:rsidRPr="003C6919">
        <w:rPr>
          <w:rFonts w:cstheme="minorHAnsi"/>
          <w:sz w:val="18"/>
          <w:szCs w:val="18"/>
        </w:rPr>
        <w:t xml:space="preserve"> S, </w:t>
      </w:r>
      <w:proofErr w:type="spellStart"/>
      <w:r w:rsidRPr="003C6919">
        <w:rPr>
          <w:rFonts w:cstheme="minorHAnsi"/>
          <w:sz w:val="18"/>
          <w:szCs w:val="18"/>
        </w:rPr>
        <w:t>Esterman</w:t>
      </w:r>
      <w:proofErr w:type="spellEnd"/>
      <w:r w:rsidRPr="003C6919">
        <w:rPr>
          <w:rFonts w:cstheme="minorHAnsi"/>
          <w:sz w:val="18"/>
          <w:szCs w:val="18"/>
        </w:rPr>
        <w:t xml:space="preserve"> A, Zhang Y, McDermott RA 2010 “Influence of comorbidities on therapeutic progression of diabetes treatment in Australian veterans: a cohort study” </w:t>
      </w:r>
      <w:proofErr w:type="spellStart"/>
      <w:r w:rsidRPr="003C6919">
        <w:rPr>
          <w:rFonts w:cstheme="minorHAnsi"/>
          <w:sz w:val="18"/>
          <w:szCs w:val="18"/>
        </w:rPr>
        <w:t>PLoS</w:t>
      </w:r>
      <w:proofErr w:type="spellEnd"/>
      <w:r w:rsidRPr="003C6919">
        <w:rPr>
          <w:rFonts w:cstheme="minorHAnsi"/>
          <w:sz w:val="18"/>
          <w:szCs w:val="18"/>
        </w:rPr>
        <w:t xml:space="preserve"> One. 5(11):e14024. </w:t>
      </w:r>
      <w:proofErr w:type="spellStart"/>
      <w:proofErr w:type="gramStart"/>
      <w:r w:rsidRPr="003C6919">
        <w:rPr>
          <w:rFonts w:cstheme="minorHAnsi"/>
          <w:sz w:val="18"/>
          <w:szCs w:val="18"/>
        </w:rPr>
        <w:t>do</w:t>
      </w:r>
      <w:r>
        <w:rPr>
          <w:rFonts w:cstheme="minorHAnsi"/>
          <w:sz w:val="18"/>
          <w:szCs w:val="18"/>
        </w:rPr>
        <w:t>i</w:t>
      </w:r>
      <w:proofErr w:type="spellEnd"/>
      <w:proofErr w:type="gramEnd"/>
      <w:r>
        <w:rPr>
          <w:rFonts w:cstheme="minorHAnsi"/>
          <w:sz w:val="18"/>
          <w:szCs w:val="18"/>
        </w:rPr>
        <w:t>: 10.1371/journal.pone.0014024.</w:t>
      </w:r>
    </w:p>
  </w:footnote>
  <w:footnote w:id="11">
    <w:p w:rsidR="00683221" w:rsidRPr="00063231" w:rsidRDefault="00683221" w:rsidP="00223085">
      <w:pPr>
        <w:rPr>
          <w:rFonts w:cstheme="minorHAnsi"/>
          <w:b/>
          <w:sz w:val="18"/>
          <w:szCs w:val="18"/>
          <w:lang w:val="en-US"/>
        </w:rPr>
      </w:pPr>
      <w:r w:rsidRPr="003C6919">
        <w:rPr>
          <w:rStyle w:val="FootnoteReference"/>
          <w:rFonts w:cstheme="minorHAnsi"/>
          <w:szCs w:val="18"/>
        </w:rPr>
        <w:footnoteRef/>
      </w:r>
      <w:r w:rsidRPr="003C6919">
        <w:rPr>
          <w:rFonts w:cstheme="minorHAnsi"/>
          <w:sz w:val="18"/>
          <w:szCs w:val="18"/>
        </w:rPr>
        <w:t xml:space="preserve"> </w:t>
      </w:r>
      <w:proofErr w:type="spellStart"/>
      <w:r w:rsidRPr="003C6919">
        <w:rPr>
          <w:rFonts w:cstheme="minorHAnsi"/>
          <w:sz w:val="18"/>
          <w:szCs w:val="18"/>
        </w:rPr>
        <w:t>Hallas</w:t>
      </w:r>
      <w:proofErr w:type="spellEnd"/>
      <w:r w:rsidRPr="003C6919">
        <w:rPr>
          <w:rFonts w:cstheme="minorHAnsi"/>
          <w:sz w:val="18"/>
          <w:szCs w:val="18"/>
        </w:rPr>
        <w:t xml:space="preserve"> J. 2005 “Drug utilization statistics for individual-level pharmacy dispensing data” </w:t>
      </w:r>
      <w:proofErr w:type="spellStart"/>
      <w:r w:rsidRPr="003C6919">
        <w:rPr>
          <w:rFonts w:cstheme="minorHAnsi"/>
          <w:sz w:val="18"/>
          <w:szCs w:val="18"/>
        </w:rPr>
        <w:t>Pharmacoepidemiol</w:t>
      </w:r>
      <w:proofErr w:type="spellEnd"/>
      <w:r w:rsidRPr="003C6919">
        <w:rPr>
          <w:rFonts w:cstheme="minorHAnsi"/>
          <w:sz w:val="18"/>
          <w:szCs w:val="18"/>
        </w:rPr>
        <w:t xml:space="preserve"> Drug </w:t>
      </w:r>
      <w:proofErr w:type="spellStart"/>
      <w:r w:rsidRPr="003C6919">
        <w:rPr>
          <w:rFonts w:cstheme="minorHAnsi"/>
          <w:sz w:val="18"/>
          <w:szCs w:val="18"/>
        </w:rPr>
        <w:t>Saf</w:t>
      </w:r>
      <w:proofErr w:type="spellEnd"/>
      <w:r w:rsidRPr="003C6919">
        <w:rPr>
          <w:rFonts w:cstheme="minorHAnsi"/>
          <w:sz w:val="18"/>
          <w:szCs w:val="18"/>
        </w:rPr>
        <w:t xml:space="preserve">. 14:455–463. </w:t>
      </w:r>
      <w:proofErr w:type="spellStart"/>
      <w:proofErr w:type="gramStart"/>
      <w:r w:rsidRPr="003C6919">
        <w:rPr>
          <w:rFonts w:cstheme="minorHAnsi"/>
          <w:sz w:val="18"/>
          <w:szCs w:val="18"/>
        </w:rPr>
        <w:t>doi</w:t>
      </w:r>
      <w:proofErr w:type="spellEnd"/>
      <w:proofErr w:type="gramEnd"/>
      <w:r w:rsidRPr="003C6919">
        <w:rPr>
          <w:rFonts w:cstheme="minorHAnsi"/>
          <w:sz w:val="18"/>
          <w:szCs w:val="18"/>
        </w:rPr>
        <w:t>: 10.1002/pds.1063</w:t>
      </w:r>
      <w:r>
        <w:rPr>
          <w:rFonts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21" w:rsidRDefault="00683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21" w:rsidRDefault="006832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21" w:rsidRDefault="00683221" w:rsidP="001B348B">
    <w:pPr>
      <w:pStyle w:val="Header"/>
    </w:pPr>
    <w:r w:rsidRPr="005D4768">
      <w:t>Item 7.</w:t>
    </w:r>
    <w:r>
      <w:t>1</w:t>
    </w:r>
    <w:r w:rsidRPr="005D4768">
      <w:t xml:space="preserve"> DUSC </w:t>
    </w:r>
    <w:r>
      <w:t>October</w:t>
    </w:r>
    <w:r w:rsidRPr="005D4768">
      <w:t xml:space="preserve"> 2015</w:t>
    </w:r>
  </w:p>
  <w:p w:rsidR="00683221" w:rsidRDefault="00683221" w:rsidP="001B34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21" w:rsidRDefault="006832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21" w:rsidRDefault="00683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602"/>
    <w:multiLevelType w:val="hybridMultilevel"/>
    <w:tmpl w:val="6E1A3D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F8647B3"/>
    <w:multiLevelType w:val="hybridMultilevel"/>
    <w:tmpl w:val="C3148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D036D4"/>
    <w:multiLevelType w:val="hybridMultilevel"/>
    <w:tmpl w:val="4A6CA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38B6F0C"/>
    <w:multiLevelType w:val="hybridMultilevel"/>
    <w:tmpl w:val="F168C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15C03B4"/>
    <w:multiLevelType w:val="hybridMultilevel"/>
    <w:tmpl w:val="693EE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57657B9"/>
    <w:multiLevelType w:val="hybridMultilevel"/>
    <w:tmpl w:val="2318CA0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6A24445"/>
    <w:multiLevelType w:val="hybridMultilevel"/>
    <w:tmpl w:val="71C03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BDA770A"/>
    <w:multiLevelType w:val="hybridMultilevel"/>
    <w:tmpl w:val="3AECD7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86F422F"/>
    <w:multiLevelType w:val="hybridMultilevel"/>
    <w:tmpl w:val="A2DA11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CEB55A4"/>
    <w:multiLevelType w:val="hybridMultilevel"/>
    <w:tmpl w:val="7B1A2100"/>
    <w:lvl w:ilvl="0" w:tplc="0C090001">
      <w:start w:val="1"/>
      <w:numFmt w:val="bullet"/>
      <w:lvlText w:val=""/>
      <w:lvlJc w:val="left"/>
      <w:pPr>
        <w:ind w:left="360" w:hanging="360"/>
      </w:pPr>
      <w:rPr>
        <w:rFonts w:ascii="Symbol" w:hAnsi="Symbol" w:hint="default"/>
      </w:rPr>
    </w:lvl>
    <w:lvl w:ilvl="1" w:tplc="A3AC82E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D937E67"/>
    <w:multiLevelType w:val="hybridMultilevel"/>
    <w:tmpl w:val="073CD4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nsid w:val="3F7A6332"/>
    <w:multiLevelType w:val="hybridMultilevel"/>
    <w:tmpl w:val="96ACD74A"/>
    <w:lvl w:ilvl="0" w:tplc="0C090001">
      <w:start w:val="1"/>
      <w:numFmt w:val="bullet"/>
      <w:lvlText w:val=""/>
      <w:lvlJc w:val="left"/>
      <w:pPr>
        <w:ind w:left="720" w:hanging="360"/>
      </w:pPr>
      <w:rPr>
        <w:rFonts w:ascii="Symbol" w:hAnsi="Symbol" w:hint="default"/>
      </w:rPr>
    </w:lvl>
    <w:lvl w:ilvl="1" w:tplc="A3AC82E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2463B0D"/>
    <w:multiLevelType w:val="hybridMultilevel"/>
    <w:tmpl w:val="1F5ED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4E70F50"/>
    <w:multiLevelType w:val="hybridMultilevel"/>
    <w:tmpl w:val="341EE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5DE0D6D"/>
    <w:multiLevelType w:val="hybridMultilevel"/>
    <w:tmpl w:val="A6602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9E32EE6"/>
    <w:multiLevelType w:val="hybridMultilevel"/>
    <w:tmpl w:val="34643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71F6223"/>
    <w:multiLevelType w:val="hybridMultilevel"/>
    <w:tmpl w:val="6054E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D702727"/>
    <w:multiLevelType w:val="hybridMultilevel"/>
    <w:tmpl w:val="A1364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F7E7EE5"/>
    <w:multiLevelType w:val="hybridMultilevel"/>
    <w:tmpl w:val="9A9CF32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71522970"/>
    <w:multiLevelType w:val="hybridMultilevel"/>
    <w:tmpl w:val="E1866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43E3754"/>
    <w:multiLevelType w:val="hybridMultilevel"/>
    <w:tmpl w:val="9252C2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68A530A"/>
    <w:multiLevelType w:val="hybridMultilevel"/>
    <w:tmpl w:val="BA0275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BC6219E"/>
    <w:multiLevelType w:val="hybridMultilevel"/>
    <w:tmpl w:val="A51A5D74"/>
    <w:lvl w:ilvl="0" w:tplc="A3AC82E0">
      <w:start w:val="1"/>
      <w:numFmt w:val="bullet"/>
      <w:lvlText w:val="­"/>
      <w:lvlJc w:val="left"/>
      <w:pPr>
        <w:ind w:left="720" w:hanging="360"/>
      </w:pPr>
      <w:rPr>
        <w:rFonts w:ascii="Courier New" w:hAnsi="Courier New" w:hint="default"/>
      </w:rPr>
    </w:lvl>
    <w:lvl w:ilvl="1" w:tplc="A3AC82E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C0D4696"/>
    <w:multiLevelType w:val="hybridMultilevel"/>
    <w:tmpl w:val="8C480F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3"/>
  </w:num>
  <w:num w:numId="3">
    <w:abstractNumId w:val="5"/>
  </w:num>
  <w:num w:numId="4">
    <w:abstractNumId w:val="16"/>
  </w:num>
  <w:num w:numId="5">
    <w:abstractNumId w:val="6"/>
  </w:num>
  <w:num w:numId="6">
    <w:abstractNumId w:val="12"/>
  </w:num>
  <w:num w:numId="7">
    <w:abstractNumId w:val="15"/>
  </w:num>
  <w:num w:numId="8">
    <w:abstractNumId w:val="13"/>
  </w:num>
  <w:num w:numId="9">
    <w:abstractNumId w:val="14"/>
  </w:num>
  <w:num w:numId="10">
    <w:abstractNumId w:val="4"/>
  </w:num>
  <w:num w:numId="11">
    <w:abstractNumId w:val="19"/>
  </w:num>
  <w:num w:numId="12">
    <w:abstractNumId w:val="3"/>
  </w:num>
  <w:num w:numId="13">
    <w:abstractNumId w:val="10"/>
  </w:num>
  <w:num w:numId="14">
    <w:abstractNumId w:val="7"/>
  </w:num>
  <w:num w:numId="15">
    <w:abstractNumId w:val="8"/>
  </w:num>
  <w:num w:numId="16">
    <w:abstractNumId w:val="18"/>
  </w:num>
  <w:num w:numId="17">
    <w:abstractNumId w:val="17"/>
  </w:num>
  <w:num w:numId="18">
    <w:abstractNumId w:val="1"/>
  </w:num>
  <w:num w:numId="19">
    <w:abstractNumId w:val="9"/>
  </w:num>
  <w:num w:numId="20">
    <w:abstractNumId w:val="11"/>
  </w:num>
  <w:num w:numId="21">
    <w:abstractNumId w:val="22"/>
  </w:num>
  <w:num w:numId="22">
    <w:abstractNumId w:val="21"/>
  </w:num>
  <w:num w:numId="23">
    <w:abstractNumId w:val="0"/>
  </w:num>
  <w:num w:numId="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17"/>
    <w:rsid w:val="00001194"/>
    <w:rsid w:val="00001F68"/>
    <w:rsid w:val="00002365"/>
    <w:rsid w:val="00002F40"/>
    <w:rsid w:val="000059E6"/>
    <w:rsid w:val="00011DD5"/>
    <w:rsid w:val="00013305"/>
    <w:rsid w:val="00017258"/>
    <w:rsid w:val="00021055"/>
    <w:rsid w:val="00021AE6"/>
    <w:rsid w:val="0002290F"/>
    <w:rsid w:val="00022B82"/>
    <w:rsid w:val="000236A3"/>
    <w:rsid w:val="00023B5A"/>
    <w:rsid w:val="000240F2"/>
    <w:rsid w:val="000254BD"/>
    <w:rsid w:val="000257D6"/>
    <w:rsid w:val="00025DC2"/>
    <w:rsid w:val="000268C4"/>
    <w:rsid w:val="00030992"/>
    <w:rsid w:val="0003155F"/>
    <w:rsid w:val="00033741"/>
    <w:rsid w:val="0003660C"/>
    <w:rsid w:val="000366B0"/>
    <w:rsid w:val="000369ED"/>
    <w:rsid w:val="0004079C"/>
    <w:rsid w:val="00042FDB"/>
    <w:rsid w:val="00044543"/>
    <w:rsid w:val="00044A34"/>
    <w:rsid w:val="00046C49"/>
    <w:rsid w:val="00052F09"/>
    <w:rsid w:val="00053324"/>
    <w:rsid w:val="000571FF"/>
    <w:rsid w:val="00061910"/>
    <w:rsid w:val="000666EB"/>
    <w:rsid w:val="00072182"/>
    <w:rsid w:val="00073402"/>
    <w:rsid w:val="0007377C"/>
    <w:rsid w:val="000753C1"/>
    <w:rsid w:val="00076BF9"/>
    <w:rsid w:val="00080EC2"/>
    <w:rsid w:val="000866A2"/>
    <w:rsid w:val="00086A68"/>
    <w:rsid w:val="000915F5"/>
    <w:rsid w:val="00093666"/>
    <w:rsid w:val="00093CCF"/>
    <w:rsid w:val="00093D30"/>
    <w:rsid w:val="00093EAB"/>
    <w:rsid w:val="00094040"/>
    <w:rsid w:val="0009696B"/>
    <w:rsid w:val="000977B0"/>
    <w:rsid w:val="000A28EC"/>
    <w:rsid w:val="000A46B8"/>
    <w:rsid w:val="000A58E3"/>
    <w:rsid w:val="000A6233"/>
    <w:rsid w:val="000B1241"/>
    <w:rsid w:val="000B1D59"/>
    <w:rsid w:val="000B1DB7"/>
    <w:rsid w:val="000B26A7"/>
    <w:rsid w:val="000B296A"/>
    <w:rsid w:val="000B3EF0"/>
    <w:rsid w:val="000B50B7"/>
    <w:rsid w:val="000B524D"/>
    <w:rsid w:val="000B5D26"/>
    <w:rsid w:val="000B6DE1"/>
    <w:rsid w:val="000B6FE0"/>
    <w:rsid w:val="000C228B"/>
    <w:rsid w:val="000C42AE"/>
    <w:rsid w:val="000C47E2"/>
    <w:rsid w:val="000D0C36"/>
    <w:rsid w:val="000D460F"/>
    <w:rsid w:val="000D77CD"/>
    <w:rsid w:val="000E0A13"/>
    <w:rsid w:val="000E29D4"/>
    <w:rsid w:val="000E4CB3"/>
    <w:rsid w:val="000E5629"/>
    <w:rsid w:val="000E586E"/>
    <w:rsid w:val="000E77FF"/>
    <w:rsid w:val="000E7C76"/>
    <w:rsid w:val="000F055C"/>
    <w:rsid w:val="000F1077"/>
    <w:rsid w:val="000F3024"/>
    <w:rsid w:val="000F433A"/>
    <w:rsid w:val="000F7FEC"/>
    <w:rsid w:val="0010072C"/>
    <w:rsid w:val="0010414D"/>
    <w:rsid w:val="00104605"/>
    <w:rsid w:val="0010679D"/>
    <w:rsid w:val="00110D88"/>
    <w:rsid w:val="0011175C"/>
    <w:rsid w:val="001156DF"/>
    <w:rsid w:val="00117420"/>
    <w:rsid w:val="00117B97"/>
    <w:rsid w:val="001225E0"/>
    <w:rsid w:val="001232F7"/>
    <w:rsid w:val="001249C1"/>
    <w:rsid w:val="00125BF6"/>
    <w:rsid w:val="001268EB"/>
    <w:rsid w:val="00126F0F"/>
    <w:rsid w:val="00127BCF"/>
    <w:rsid w:val="00134BF3"/>
    <w:rsid w:val="00135483"/>
    <w:rsid w:val="001376F2"/>
    <w:rsid w:val="0014077C"/>
    <w:rsid w:val="00141CEB"/>
    <w:rsid w:val="0014253B"/>
    <w:rsid w:val="00147072"/>
    <w:rsid w:val="001501C8"/>
    <w:rsid w:val="0015051C"/>
    <w:rsid w:val="00153215"/>
    <w:rsid w:val="00154F8B"/>
    <w:rsid w:val="0015798B"/>
    <w:rsid w:val="001634C1"/>
    <w:rsid w:val="0016506F"/>
    <w:rsid w:val="00167211"/>
    <w:rsid w:val="0017132D"/>
    <w:rsid w:val="00172654"/>
    <w:rsid w:val="0017354A"/>
    <w:rsid w:val="001749CD"/>
    <w:rsid w:val="00177C34"/>
    <w:rsid w:val="00186758"/>
    <w:rsid w:val="001871CE"/>
    <w:rsid w:val="0018772B"/>
    <w:rsid w:val="00190BFF"/>
    <w:rsid w:val="00192C0B"/>
    <w:rsid w:val="00193010"/>
    <w:rsid w:val="00193719"/>
    <w:rsid w:val="00194844"/>
    <w:rsid w:val="00195354"/>
    <w:rsid w:val="001A1141"/>
    <w:rsid w:val="001A175C"/>
    <w:rsid w:val="001B06E5"/>
    <w:rsid w:val="001B08B5"/>
    <w:rsid w:val="001B0E82"/>
    <w:rsid w:val="001B1156"/>
    <w:rsid w:val="001B1D99"/>
    <w:rsid w:val="001B348B"/>
    <w:rsid w:val="001B62E5"/>
    <w:rsid w:val="001B679D"/>
    <w:rsid w:val="001C27E0"/>
    <w:rsid w:val="001C428A"/>
    <w:rsid w:val="001C434C"/>
    <w:rsid w:val="001C6725"/>
    <w:rsid w:val="001D0C6F"/>
    <w:rsid w:val="001D0EA9"/>
    <w:rsid w:val="001D2F46"/>
    <w:rsid w:val="001D3239"/>
    <w:rsid w:val="001D3DC7"/>
    <w:rsid w:val="001D49D6"/>
    <w:rsid w:val="001D4A77"/>
    <w:rsid w:val="001D5183"/>
    <w:rsid w:val="001D6BF7"/>
    <w:rsid w:val="001D7236"/>
    <w:rsid w:val="001D75D4"/>
    <w:rsid w:val="001E1100"/>
    <w:rsid w:val="001E1400"/>
    <w:rsid w:val="001E2346"/>
    <w:rsid w:val="001E3E09"/>
    <w:rsid w:val="001E4637"/>
    <w:rsid w:val="001E5648"/>
    <w:rsid w:val="001E6CE1"/>
    <w:rsid w:val="001F0D94"/>
    <w:rsid w:val="001F13DF"/>
    <w:rsid w:val="001F2FFC"/>
    <w:rsid w:val="001F3229"/>
    <w:rsid w:val="001F4774"/>
    <w:rsid w:val="001F4EC9"/>
    <w:rsid w:val="001F6584"/>
    <w:rsid w:val="001F7FD5"/>
    <w:rsid w:val="00201500"/>
    <w:rsid w:val="00203EA1"/>
    <w:rsid w:val="002047EE"/>
    <w:rsid w:val="002059CA"/>
    <w:rsid w:val="002060B5"/>
    <w:rsid w:val="00211A06"/>
    <w:rsid w:val="0021294F"/>
    <w:rsid w:val="00213581"/>
    <w:rsid w:val="00214337"/>
    <w:rsid w:val="00216C75"/>
    <w:rsid w:val="00217A63"/>
    <w:rsid w:val="00221449"/>
    <w:rsid w:val="00223085"/>
    <w:rsid w:val="00223640"/>
    <w:rsid w:val="00225FB8"/>
    <w:rsid w:val="00226A6E"/>
    <w:rsid w:val="002306EA"/>
    <w:rsid w:val="00231530"/>
    <w:rsid w:val="00231AA6"/>
    <w:rsid w:val="00231B4B"/>
    <w:rsid w:val="00231D30"/>
    <w:rsid w:val="00231D5F"/>
    <w:rsid w:val="00232CC4"/>
    <w:rsid w:val="00234F4B"/>
    <w:rsid w:val="002355CB"/>
    <w:rsid w:val="00235D4B"/>
    <w:rsid w:val="00236AB2"/>
    <w:rsid w:val="002407F2"/>
    <w:rsid w:val="002408C7"/>
    <w:rsid w:val="00243290"/>
    <w:rsid w:val="00243F59"/>
    <w:rsid w:val="00250631"/>
    <w:rsid w:val="00251684"/>
    <w:rsid w:val="00251D3B"/>
    <w:rsid w:val="00251E77"/>
    <w:rsid w:val="0025261C"/>
    <w:rsid w:val="00253C2C"/>
    <w:rsid w:val="00256FE4"/>
    <w:rsid w:val="002621CA"/>
    <w:rsid w:val="00262CEE"/>
    <w:rsid w:val="002641C5"/>
    <w:rsid w:val="00264BF1"/>
    <w:rsid w:val="0026586A"/>
    <w:rsid w:val="00266485"/>
    <w:rsid w:val="002667C2"/>
    <w:rsid w:val="002679C3"/>
    <w:rsid w:val="00271D8C"/>
    <w:rsid w:val="00273BDA"/>
    <w:rsid w:val="00274CCF"/>
    <w:rsid w:val="0027532F"/>
    <w:rsid w:val="002759C1"/>
    <w:rsid w:val="00281E38"/>
    <w:rsid w:val="002822F7"/>
    <w:rsid w:val="00284834"/>
    <w:rsid w:val="00285D3C"/>
    <w:rsid w:val="002865D1"/>
    <w:rsid w:val="00286878"/>
    <w:rsid w:val="00286E26"/>
    <w:rsid w:val="00287E14"/>
    <w:rsid w:val="00291FB0"/>
    <w:rsid w:val="00292E01"/>
    <w:rsid w:val="00293838"/>
    <w:rsid w:val="002941F6"/>
    <w:rsid w:val="002949FC"/>
    <w:rsid w:val="002954C9"/>
    <w:rsid w:val="002A139A"/>
    <w:rsid w:val="002A3A19"/>
    <w:rsid w:val="002A4100"/>
    <w:rsid w:val="002A4AA7"/>
    <w:rsid w:val="002A57D4"/>
    <w:rsid w:val="002B0D6E"/>
    <w:rsid w:val="002B25F9"/>
    <w:rsid w:val="002B3676"/>
    <w:rsid w:val="002B4A93"/>
    <w:rsid w:val="002B4CB9"/>
    <w:rsid w:val="002B543E"/>
    <w:rsid w:val="002B61C2"/>
    <w:rsid w:val="002B6B25"/>
    <w:rsid w:val="002B7741"/>
    <w:rsid w:val="002C3D0F"/>
    <w:rsid w:val="002C413F"/>
    <w:rsid w:val="002C70DC"/>
    <w:rsid w:val="002C7DE1"/>
    <w:rsid w:val="002D46DD"/>
    <w:rsid w:val="002D6F33"/>
    <w:rsid w:val="002E02FE"/>
    <w:rsid w:val="002E0A88"/>
    <w:rsid w:val="002E2039"/>
    <w:rsid w:val="002E2B3B"/>
    <w:rsid w:val="002E3CB1"/>
    <w:rsid w:val="002E5B02"/>
    <w:rsid w:val="002E6B9F"/>
    <w:rsid w:val="002E7C7E"/>
    <w:rsid w:val="002E7EEA"/>
    <w:rsid w:val="002F10DF"/>
    <w:rsid w:val="002F2365"/>
    <w:rsid w:val="002F5097"/>
    <w:rsid w:val="002F572B"/>
    <w:rsid w:val="002F5F31"/>
    <w:rsid w:val="002F6A96"/>
    <w:rsid w:val="002F6BBC"/>
    <w:rsid w:val="002F7112"/>
    <w:rsid w:val="003003F2"/>
    <w:rsid w:val="00300A3C"/>
    <w:rsid w:val="0030131B"/>
    <w:rsid w:val="0030261A"/>
    <w:rsid w:val="00305433"/>
    <w:rsid w:val="003063EE"/>
    <w:rsid w:val="0031000A"/>
    <w:rsid w:val="0031419C"/>
    <w:rsid w:val="00314F6A"/>
    <w:rsid w:val="00315246"/>
    <w:rsid w:val="003166F2"/>
    <w:rsid w:val="003178D1"/>
    <w:rsid w:val="00320280"/>
    <w:rsid w:val="00321A19"/>
    <w:rsid w:val="00326A6A"/>
    <w:rsid w:val="00327A9D"/>
    <w:rsid w:val="003303F7"/>
    <w:rsid w:val="003306B3"/>
    <w:rsid w:val="00330B08"/>
    <w:rsid w:val="0033255E"/>
    <w:rsid w:val="00332D6B"/>
    <w:rsid w:val="00334F91"/>
    <w:rsid w:val="00335018"/>
    <w:rsid w:val="00335FA5"/>
    <w:rsid w:val="00343228"/>
    <w:rsid w:val="003434F0"/>
    <w:rsid w:val="00343EDD"/>
    <w:rsid w:val="00344849"/>
    <w:rsid w:val="003449FE"/>
    <w:rsid w:val="00345597"/>
    <w:rsid w:val="00345CBD"/>
    <w:rsid w:val="00347EF4"/>
    <w:rsid w:val="00350208"/>
    <w:rsid w:val="003507AA"/>
    <w:rsid w:val="00350DA0"/>
    <w:rsid w:val="00354EC7"/>
    <w:rsid w:val="00355CF3"/>
    <w:rsid w:val="00356D4E"/>
    <w:rsid w:val="003572BF"/>
    <w:rsid w:val="0036211E"/>
    <w:rsid w:val="0036350E"/>
    <w:rsid w:val="00363C68"/>
    <w:rsid w:val="0036612C"/>
    <w:rsid w:val="00367808"/>
    <w:rsid w:val="00370894"/>
    <w:rsid w:val="00370898"/>
    <w:rsid w:val="00374A32"/>
    <w:rsid w:val="00380A56"/>
    <w:rsid w:val="00383C8F"/>
    <w:rsid w:val="00384D14"/>
    <w:rsid w:val="00386D98"/>
    <w:rsid w:val="00386E8D"/>
    <w:rsid w:val="003872FC"/>
    <w:rsid w:val="00392B28"/>
    <w:rsid w:val="00392C3C"/>
    <w:rsid w:val="00393FBD"/>
    <w:rsid w:val="00395367"/>
    <w:rsid w:val="003953B1"/>
    <w:rsid w:val="00396157"/>
    <w:rsid w:val="00396951"/>
    <w:rsid w:val="003A1680"/>
    <w:rsid w:val="003A3933"/>
    <w:rsid w:val="003A49D9"/>
    <w:rsid w:val="003A60B7"/>
    <w:rsid w:val="003A7309"/>
    <w:rsid w:val="003A7FA3"/>
    <w:rsid w:val="003B198A"/>
    <w:rsid w:val="003B4A0E"/>
    <w:rsid w:val="003B4FD3"/>
    <w:rsid w:val="003B5833"/>
    <w:rsid w:val="003B6EC5"/>
    <w:rsid w:val="003B7BFC"/>
    <w:rsid w:val="003C09B1"/>
    <w:rsid w:val="003C3B1D"/>
    <w:rsid w:val="003C4609"/>
    <w:rsid w:val="003C5A04"/>
    <w:rsid w:val="003C6EE6"/>
    <w:rsid w:val="003C7187"/>
    <w:rsid w:val="003C738B"/>
    <w:rsid w:val="003D0E82"/>
    <w:rsid w:val="003D13DE"/>
    <w:rsid w:val="003D3138"/>
    <w:rsid w:val="003D4D3F"/>
    <w:rsid w:val="003D6E4D"/>
    <w:rsid w:val="003E0437"/>
    <w:rsid w:val="003E2351"/>
    <w:rsid w:val="003E2D98"/>
    <w:rsid w:val="003E3B52"/>
    <w:rsid w:val="003E63B5"/>
    <w:rsid w:val="003E69ED"/>
    <w:rsid w:val="003E6EF7"/>
    <w:rsid w:val="003E6F55"/>
    <w:rsid w:val="003F0C3F"/>
    <w:rsid w:val="003F153D"/>
    <w:rsid w:val="003F2279"/>
    <w:rsid w:val="003F2904"/>
    <w:rsid w:val="003F2A16"/>
    <w:rsid w:val="003F3918"/>
    <w:rsid w:val="003F432B"/>
    <w:rsid w:val="003F5323"/>
    <w:rsid w:val="003F6EA1"/>
    <w:rsid w:val="003F75C5"/>
    <w:rsid w:val="00403C94"/>
    <w:rsid w:val="0040702A"/>
    <w:rsid w:val="00410D00"/>
    <w:rsid w:val="004125DC"/>
    <w:rsid w:val="00412A7D"/>
    <w:rsid w:val="00413152"/>
    <w:rsid w:val="0041402C"/>
    <w:rsid w:val="004153D9"/>
    <w:rsid w:val="00417966"/>
    <w:rsid w:val="00417F01"/>
    <w:rsid w:val="00421155"/>
    <w:rsid w:val="0042432F"/>
    <w:rsid w:val="004260A4"/>
    <w:rsid w:val="00431704"/>
    <w:rsid w:val="00431C78"/>
    <w:rsid w:val="004326C2"/>
    <w:rsid w:val="00434910"/>
    <w:rsid w:val="00435430"/>
    <w:rsid w:val="00441630"/>
    <w:rsid w:val="00442312"/>
    <w:rsid w:val="0044250E"/>
    <w:rsid w:val="004433D9"/>
    <w:rsid w:val="00444722"/>
    <w:rsid w:val="004461D6"/>
    <w:rsid w:val="0044652F"/>
    <w:rsid w:val="004522B3"/>
    <w:rsid w:val="00453EC5"/>
    <w:rsid w:val="00454BAA"/>
    <w:rsid w:val="00456C3B"/>
    <w:rsid w:val="00456D54"/>
    <w:rsid w:val="00457484"/>
    <w:rsid w:val="004601ED"/>
    <w:rsid w:val="00461276"/>
    <w:rsid w:val="00461994"/>
    <w:rsid w:val="00463681"/>
    <w:rsid w:val="00463762"/>
    <w:rsid w:val="0046554D"/>
    <w:rsid w:val="00465CC3"/>
    <w:rsid w:val="00466A17"/>
    <w:rsid w:val="00466C70"/>
    <w:rsid w:val="00466DA8"/>
    <w:rsid w:val="004704A2"/>
    <w:rsid w:val="004704F2"/>
    <w:rsid w:val="0047344E"/>
    <w:rsid w:val="00473E2B"/>
    <w:rsid w:val="004755A9"/>
    <w:rsid w:val="00481011"/>
    <w:rsid w:val="00481405"/>
    <w:rsid w:val="004818C7"/>
    <w:rsid w:val="00482199"/>
    <w:rsid w:val="00482B92"/>
    <w:rsid w:val="00483BD9"/>
    <w:rsid w:val="00483C8E"/>
    <w:rsid w:val="00485C75"/>
    <w:rsid w:val="004865E7"/>
    <w:rsid w:val="004866BC"/>
    <w:rsid w:val="00486728"/>
    <w:rsid w:val="00487026"/>
    <w:rsid w:val="00491A4D"/>
    <w:rsid w:val="00491B33"/>
    <w:rsid w:val="00493B74"/>
    <w:rsid w:val="00495079"/>
    <w:rsid w:val="00495ED4"/>
    <w:rsid w:val="004963C2"/>
    <w:rsid w:val="004A195E"/>
    <w:rsid w:val="004A7474"/>
    <w:rsid w:val="004A7565"/>
    <w:rsid w:val="004A7DC8"/>
    <w:rsid w:val="004A7F9F"/>
    <w:rsid w:val="004B0EAC"/>
    <w:rsid w:val="004B1721"/>
    <w:rsid w:val="004B26FA"/>
    <w:rsid w:val="004B63B3"/>
    <w:rsid w:val="004B6EF7"/>
    <w:rsid w:val="004B7223"/>
    <w:rsid w:val="004C03AC"/>
    <w:rsid w:val="004C49EB"/>
    <w:rsid w:val="004C5545"/>
    <w:rsid w:val="004C7512"/>
    <w:rsid w:val="004D2154"/>
    <w:rsid w:val="004D282D"/>
    <w:rsid w:val="004D49D8"/>
    <w:rsid w:val="004D5272"/>
    <w:rsid w:val="004D5750"/>
    <w:rsid w:val="004D5952"/>
    <w:rsid w:val="004D6C8B"/>
    <w:rsid w:val="004D73AB"/>
    <w:rsid w:val="004E0486"/>
    <w:rsid w:val="004E0872"/>
    <w:rsid w:val="004E0AEB"/>
    <w:rsid w:val="004E1859"/>
    <w:rsid w:val="004E384A"/>
    <w:rsid w:val="004E45B5"/>
    <w:rsid w:val="004E69D8"/>
    <w:rsid w:val="004E70D1"/>
    <w:rsid w:val="004F2718"/>
    <w:rsid w:val="004F4502"/>
    <w:rsid w:val="004F4C42"/>
    <w:rsid w:val="004F5215"/>
    <w:rsid w:val="004F7C7D"/>
    <w:rsid w:val="0050191E"/>
    <w:rsid w:val="00505304"/>
    <w:rsid w:val="00511089"/>
    <w:rsid w:val="005117EA"/>
    <w:rsid w:val="00511BE5"/>
    <w:rsid w:val="00511E87"/>
    <w:rsid w:val="00515A84"/>
    <w:rsid w:val="00515F3C"/>
    <w:rsid w:val="005168C5"/>
    <w:rsid w:val="00517FCA"/>
    <w:rsid w:val="005224FC"/>
    <w:rsid w:val="00522E56"/>
    <w:rsid w:val="00523764"/>
    <w:rsid w:val="005275EA"/>
    <w:rsid w:val="005303E3"/>
    <w:rsid w:val="00530457"/>
    <w:rsid w:val="00532D87"/>
    <w:rsid w:val="0053379C"/>
    <w:rsid w:val="005338C8"/>
    <w:rsid w:val="00533A54"/>
    <w:rsid w:val="0053430C"/>
    <w:rsid w:val="00534D43"/>
    <w:rsid w:val="00536EA4"/>
    <w:rsid w:val="00537BDB"/>
    <w:rsid w:val="005402C5"/>
    <w:rsid w:val="0054123A"/>
    <w:rsid w:val="00541E0A"/>
    <w:rsid w:val="005425A8"/>
    <w:rsid w:val="00545B45"/>
    <w:rsid w:val="00550DB4"/>
    <w:rsid w:val="0055354C"/>
    <w:rsid w:val="005545A1"/>
    <w:rsid w:val="00554656"/>
    <w:rsid w:val="00554E45"/>
    <w:rsid w:val="00556653"/>
    <w:rsid w:val="00556A53"/>
    <w:rsid w:val="00560152"/>
    <w:rsid w:val="00560366"/>
    <w:rsid w:val="00560CE5"/>
    <w:rsid w:val="0056164F"/>
    <w:rsid w:val="00561E26"/>
    <w:rsid w:val="00562527"/>
    <w:rsid w:val="00564685"/>
    <w:rsid w:val="00565C06"/>
    <w:rsid w:val="0057247B"/>
    <w:rsid w:val="00574FCA"/>
    <w:rsid w:val="00577E17"/>
    <w:rsid w:val="00580EAB"/>
    <w:rsid w:val="00581225"/>
    <w:rsid w:val="0058150A"/>
    <w:rsid w:val="005817EC"/>
    <w:rsid w:val="00583F26"/>
    <w:rsid w:val="005860BB"/>
    <w:rsid w:val="00586497"/>
    <w:rsid w:val="0058712E"/>
    <w:rsid w:val="00593241"/>
    <w:rsid w:val="00595210"/>
    <w:rsid w:val="00595804"/>
    <w:rsid w:val="005A19B8"/>
    <w:rsid w:val="005A1FCC"/>
    <w:rsid w:val="005A262B"/>
    <w:rsid w:val="005A2880"/>
    <w:rsid w:val="005A328D"/>
    <w:rsid w:val="005A3C05"/>
    <w:rsid w:val="005A6B74"/>
    <w:rsid w:val="005A7073"/>
    <w:rsid w:val="005B1875"/>
    <w:rsid w:val="005B1D7A"/>
    <w:rsid w:val="005B3F0A"/>
    <w:rsid w:val="005B4595"/>
    <w:rsid w:val="005B5508"/>
    <w:rsid w:val="005B66F5"/>
    <w:rsid w:val="005B6C1F"/>
    <w:rsid w:val="005B71FB"/>
    <w:rsid w:val="005C650D"/>
    <w:rsid w:val="005D0030"/>
    <w:rsid w:val="005D31BE"/>
    <w:rsid w:val="005D35FC"/>
    <w:rsid w:val="005D469A"/>
    <w:rsid w:val="005D4F15"/>
    <w:rsid w:val="005D4FF0"/>
    <w:rsid w:val="005D5342"/>
    <w:rsid w:val="005D5E11"/>
    <w:rsid w:val="005D615A"/>
    <w:rsid w:val="005D6745"/>
    <w:rsid w:val="005D6879"/>
    <w:rsid w:val="005D787D"/>
    <w:rsid w:val="005E0C8F"/>
    <w:rsid w:val="005E1C1E"/>
    <w:rsid w:val="005E3963"/>
    <w:rsid w:val="005E4D5F"/>
    <w:rsid w:val="005E4D6C"/>
    <w:rsid w:val="005E5391"/>
    <w:rsid w:val="005E5925"/>
    <w:rsid w:val="005F0290"/>
    <w:rsid w:val="005F1857"/>
    <w:rsid w:val="005F28F8"/>
    <w:rsid w:val="005F2F68"/>
    <w:rsid w:val="005F579F"/>
    <w:rsid w:val="005F5F83"/>
    <w:rsid w:val="00600AE6"/>
    <w:rsid w:val="00602B1A"/>
    <w:rsid w:val="0060638A"/>
    <w:rsid w:val="00611BF5"/>
    <w:rsid w:val="00612392"/>
    <w:rsid w:val="006123E8"/>
    <w:rsid w:val="006128DF"/>
    <w:rsid w:val="00613153"/>
    <w:rsid w:val="00614BCF"/>
    <w:rsid w:val="0061695E"/>
    <w:rsid w:val="00617AF6"/>
    <w:rsid w:val="0062532C"/>
    <w:rsid w:val="00626993"/>
    <w:rsid w:val="00627C19"/>
    <w:rsid w:val="006306DF"/>
    <w:rsid w:val="00630D5B"/>
    <w:rsid w:val="0063110F"/>
    <w:rsid w:val="006334FB"/>
    <w:rsid w:val="006353B4"/>
    <w:rsid w:val="006365E2"/>
    <w:rsid w:val="00637D27"/>
    <w:rsid w:val="006418C4"/>
    <w:rsid w:val="006422EB"/>
    <w:rsid w:val="006427AF"/>
    <w:rsid w:val="00642A22"/>
    <w:rsid w:val="006463F9"/>
    <w:rsid w:val="00652EF2"/>
    <w:rsid w:val="0065403B"/>
    <w:rsid w:val="00654F9B"/>
    <w:rsid w:val="00655E6C"/>
    <w:rsid w:val="00657DE9"/>
    <w:rsid w:val="00660348"/>
    <w:rsid w:val="006603F0"/>
    <w:rsid w:val="00660798"/>
    <w:rsid w:val="00662DE0"/>
    <w:rsid w:val="00663189"/>
    <w:rsid w:val="006663E8"/>
    <w:rsid w:val="00666922"/>
    <w:rsid w:val="00666D39"/>
    <w:rsid w:val="00675ACE"/>
    <w:rsid w:val="00677771"/>
    <w:rsid w:val="00682290"/>
    <w:rsid w:val="0068255A"/>
    <w:rsid w:val="00683221"/>
    <w:rsid w:val="00684204"/>
    <w:rsid w:val="0068588A"/>
    <w:rsid w:val="0068653C"/>
    <w:rsid w:val="00687C09"/>
    <w:rsid w:val="00690116"/>
    <w:rsid w:val="006912FB"/>
    <w:rsid w:val="00694623"/>
    <w:rsid w:val="00695BEA"/>
    <w:rsid w:val="00697401"/>
    <w:rsid w:val="00697ACF"/>
    <w:rsid w:val="006A1379"/>
    <w:rsid w:val="006A4C8F"/>
    <w:rsid w:val="006B04F2"/>
    <w:rsid w:val="006B060E"/>
    <w:rsid w:val="006B0EBB"/>
    <w:rsid w:val="006B2C99"/>
    <w:rsid w:val="006C358F"/>
    <w:rsid w:val="006C4550"/>
    <w:rsid w:val="006C58A0"/>
    <w:rsid w:val="006D036B"/>
    <w:rsid w:val="006D099C"/>
    <w:rsid w:val="006D0CC7"/>
    <w:rsid w:val="006D0E60"/>
    <w:rsid w:val="006D25BB"/>
    <w:rsid w:val="006D2A93"/>
    <w:rsid w:val="006D3226"/>
    <w:rsid w:val="006D3597"/>
    <w:rsid w:val="006D39F2"/>
    <w:rsid w:val="006D53F6"/>
    <w:rsid w:val="006D5A76"/>
    <w:rsid w:val="006D5ABF"/>
    <w:rsid w:val="006D7549"/>
    <w:rsid w:val="006E0351"/>
    <w:rsid w:val="006E2901"/>
    <w:rsid w:val="006E30A3"/>
    <w:rsid w:val="006E3967"/>
    <w:rsid w:val="006E711D"/>
    <w:rsid w:val="006E777E"/>
    <w:rsid w:val="006E7A2C"/>
    <w:rsid w:val="006F082B"/>
    <w:rsid w:val="006F0C27"/>
    <w:rsid w:val="006F18B4"/>
    <w:rsid w:val="006F4443"/>
    <w:rsid w:val="006F550B"/>
    <w:rsid w:val="006F7774"/>
    <w:rsid w:val="00700F6B"/>
    <w:rsid w:val="00701611"/>
    <w:rsid w:val="00703015"/>
    <w:rsid w:val="00704903"/>
    <w:rsid w:val="00707353"/>
    <w:rsid w:val="00710969"/>
    <w:rsid w:val="00710F03"/>
    <w:rsid w:val="00711BDA"/>
    <w:rsid w:val="00712363"/>
    <w:rsid w:val="00712441"/>
    <w:rsid w:val="00715BDB"/>
    <w:rsid w:val="00720B54"/>
    <w:rsid w:val="00721E22"/>
    <w:rsid w:val="00721FF5"/>
    <w:rsid w:val="007247A4"/>
    <w:rsid w:val="00724BF6"/>
    <w:rsid w:val="007252A1"/>
    <w:rsid w:val="00725737"/>
    <w:rsid w:val="007259D6"/>
    <w:rsid w:val="007260F5"/>
    <w:rsid w:val="007267DB"/>
    <w:rsid w:val="00730458"/>
    <w:rsid w:val="0073226E"/>
    <w:rsid w:val="0073237C"/>
    <w:rsid w:val="00733EB4"/>
    <w:rsid w:val="007345D0"/>
    <w:rsid w:val="00734D84"/>
    <w:rsid w:val="00735151"/>
    <w:rsid w:val="007360E9"/>
    <w:rsid w:val="00736377"/>
    <w:rsid w:val="0073795F"/>
    <w:rsid w:val="007402FB"/>
    <w:rsid w:val="00741345"/>
    <w:rsid w:val="007414C7"/>
    <w:rsid w:val="007421C3"/>
    <w:rsid w:val="0074386F"/>
    <w:rsid w:val="007447A0"/>
    <w:rsid w:val="00744888"/>
    <w:rsid w:val="007468F9"/>
    <w:rsid w:val="00747717"/>
    <w:rsid w:val="007526B5"/>
    <w:rsid w:val="0075398E"/>
    <w:rsid w:val="00753D44"/>
    <w:rsid w:val="007542F6"/>
    <w:rsid w:val="0075486E"/>
    <w:rsid w:val="00755EC8"/>
    <w:rsid w:val="0075627C"/>
    <w:rsid w:val="00756AA4"/>
    <w:rsid w:val="00762112"/>
    <w:rsid w:val="007627EF"/>
    <w:rsid w:val="007655D0"/>
    <w:rsid w:val="00771432"/>
    <w:rsid w:val="00773BC6"/>
    <w:rsid w:val="0077589D"/>
    <w:rsid w:val="007769A9"/>
    <w:rsid w:val="00777BC2"/>
    <w:rsid w:val="00780C0A"/>
    <w:rsid w:val="00783D50"/>
    <w:rsid w:val="00784616"/>
    <w:rsid w:val="00784ECD"/>
    <w:rsid w:val="00787D4A"/>
    <w:rsid w:val="00791592"/>
    <w:rsid w:val="00793AFE"/>
    <w:rsid w:val="00796EDD"/>
    <w:rsid w:val="00797E1F"/>
    <w:rsid w:val="007A36B4"/>
    <w:rsid w:val="007A5378"/>
    <w:rsid w:val="007A72F0"/>
    <w:rsid w:val="007B0106"/>
    <w:rsid w:val="007B041E"/>
    <w:rsid w:val="007B0996"/>
    <w:rsid w:val="007B658A"/>
    <w:rsid w:val="007B694D"/>
    <w:rsid w:val="007B7060"/>
    <w:rsid w:val="007C0FD8"/>
    <w:rsid w:val="007C121E"/>
    <w:rsid w:val="007C1C4D"/>
    <w:rsid w:val="007C2721"/>
    <w:rsid w:val="007C3AED"/>
    <w:rsid w:val="007C7D3B"/>
    <w:rsid w:val="007D065F"/>
    <w:rsid w:val="007D0BA6"/>
    <w:rsid w:val="007D10CB"/>
    <w:rsid w:val="007D1A02"/>
    <w:rsid w:val="007D29C2"/>
    <w:rsid w:val="007D4350"/>
    <w:rsid w:val="007D5EB9"/>
    <w:rsid w:val="007D6150"/>
    <w:rsid w:val="007D78E8"/>
    <w:rsid w:val="007E26C5"/>
    <w:rsid w:val="007E2E32"/>
    <w:rsid w:val="007E3004"/>
    <w:rsid w:val="007E61D7"/>
    <w:rsid w:val="007E6C91"/>
    <w:rsid w:val="007F1127"/>
    <w:rsid w:val="007F119A"/>
    <w:rsid w:val="007F15D1"/>
    <w:rsid w:val="007F4E20"/>
    <w:rsid w:val="007F5792"/>
    <w:rsid w:val="007F57A3"/>
    <w:rsid w:val="007F7A8E"/>
    <w:rsid w:val="00800FEE"/>
    <w:rsid w:val="00801110"/>
    <w:rsid w:val="0080143B"/>
    <w:rsid w:val="008028EE"/>
    <w:rsid w:val="00802937"/>
    <w:rsid w:val="00802E46"/>
    <w:rsid w:val="00805235"/>
    <w:rsid w:val="00806B62"/>
    <w:rsid w:val="00810A5B"/>
    <w:rsid w:val="00811193"/>
    <w:rsid w:val="00811B75"/>
    <w:rsid w:val="00812222"/>
    <w:rsid w:val="008134FC"/>
    <w:rsid w:val="00813FF0"/>
    <w:rsid w:val="008153B4"/>
    <w:rsid w:val="008161B6"/>
    <w:rsid w:val="00817C76"/>
    <w:rsid w:val="008202D1"/>
    <w:rsid w:val="008203E4"/>
    <w:rsid w:val="008219AE"/>
    <w:rsid w:val="00821C17"/>
    <w:rsid w:val="00822C33"/>
    <w:rsid w:val="00823E6F"/>
    <w:rsid w:val="008250BC"/>
    <w:rsid w:val="008319A4"/>
    <w:rsid w:val="00831E8A"/>
    <w:rsid w:val="00841796"/>
    <w:rsid w:val="00843E68"/>
    <w:rsid w:val="00844360"/>
    <w:rsid w:val="00844AE8"/>
    <w:rsid w:val="00845C81"/>
    <w:rsid w:val="00847CF9"/>
    <w:rsid w:val="008501BD"/>
    <w:rsid w:val="008522C7"/>
    <w:rsid w:val="00853242"/>
    <w:rsid w:val="00856129"/>
    <w:rsid w:val="00857816"/>
    <w:rsid w:val="008609DF"/>
    <w:rsid w:val="00862715"/>
    <w:rsid w:val="00863D87"/>
    <w:rsid w:val="00864F0F"/>
    <w:rsid w:val="00865967"/>
    <w:rsid w:val="008679CD"/>
    <w:rsid w:val="008708AD"/>
    <w:rsid w:val="00874230"/>
    <w:rsid w:val="00875B7A"/>
    <w:rsid w:val="008762AD"/>
    <w:rsid w:val="0087706B"/>
    <w:rsid w:val="00880094"/>
    <w:rsid w:val="00882BBC"/>
    <w:rsid w:val="00887495"/>
    <w:rsid w:val="00887ACD"/>
    <w:rsid w:val="00890FBB"/>
    <w:rsid w:val="008958B7"/>
    <w:rsid w:val="00896011"/>
    <w:rsid w:val="008972E2"/>
    <w:rsid w:val="00897660"/>
    <w:rsid w:val="00897B50"/>
    <w:rsid w:val="008A0FB9"/>
    <w:rsid w:val="008A1585"/>
    <w:rsid w:val="008A19BC"/>
    <w:rsid w:val="008A3A8E"/>
    <w:rsid w:val="008B0D36"/>
    <w:rsid w:val="008B525A"/>
    <w:rsid w:val="008B5301"/>
    <w:rsid w:val="008B631B"/>
    <w:rsid w:val="008C0A97"/>
    <w:rsid w:val="008C31A1"/>
    <w:rsid w:val="008C336A"/>
    <w:rsid w:val="008D0838"/>
    <w:rsid w:val="008D0D6A"/>
    <w:rsid w:val="008D31D0"/>
    <w:rsid w:val="008D4569"/>
    <w:rsid w:val="008D75A8"/>
    <w:rsid w:val="008D7A27"/>
    <w:rsid w:val="008E13DC"/>
    <w:rsid w:val="008E207D"/>
    <w:rsid w:val="008E4291"/>
    <w:rsid w:val="008E4450"/>
    <w:rsid w:val="008E466D"/>
    <w:rsid w:val="008E7C1B"/>
    <w:rsid w:val="008E7C7C"/>
    <w:rsid w:val="008F0386"/>
    <w:rsid w:val="008F10EA"/>
    <w:rsid w:val="008F1AAA"/>
    <w:rsid w:val="008F2621"/>
    <w:rsid w:val="008F3022"/>
    <w:rsid w:val="008F7C0B"/>
    <w:rsid w:val="009002A3"/>
    <w:rsid w:val="009022AC"/>
    <w:rsid w:val="00902C08"/>
    <w:rsid w:val="00903896"/>
    <w:rsid w:val="00904847"/>
    <w:rsid w:val="00904D32"/>
    <w:rsid w:val="00905342"/>
    <w:rsid w:val="00906F33"/>
    <w:rsid w:val="009114DB"/>
    <w:rsid w:val="00912AC3"/>
    <w:rsid w:val="00913207"/>
    <w:rsid w:val="00913B69"/>
    <w:rsid w:val="009149B4"/>
    <w:rsid w:val="00914C72"/>
    <w:rsid w:val="009153E5"/>
    <w:rsid w:val="00917C9C"/>
    <w:rsid w:val="00920507"/>
    <w:rsid w:val="009216F7"/>
    <w:rsid w:val="00922B20"/>
    <w:rsid w:val="00926358"/>
    <w:rsid w:val="009275B7"/>
    <w:rsid w:val="00932A56"/>
    <w:rsid w:val="00934001"/>
    <w:rsid w:val="00935D2A"/>
    <w:rsid w:val="009368B1"/>
    <w:rsid w:val="00937014"/>
    <w:rsid w:val="00940732"/>
    <w:rsid w:val="00940D95"/>
    <w:rsid w:val="00942EB7"/>
    <w:rsid w:val="009440DB"/>
    <w:rsid w:val="00944E82"/>
    <w:rsid w:val="00946E5E"/>
    <w:rsid w:val="00946E98"/>
    <w:rsid w:val="009529FB"/>
    <w:rsid w:val="009544A7"/>
    <w:rsid w:val="00956CFC"/>
    <w:rsid w:val="009650C1"/>
    <w:rsid w:val="00967DA3"/>
    <w:rsid w:val="00971160"/>
    <w:rsid w:val="00971BF3"/>
    <w:rsid w:val="00972217"/>
    <w:rsid w:val="0097298C"/>
    <w:rsid w:val="00972C44"/>
    <w:rsid w:val="009730C4"/>
    <w:rsid w:val="009809C9"/>
    <w:rsid w:val="009814F3"/>
    <w:rsid w:val="00982096"/>
    <w:rsid w:val="009828EF"/>
    <w:rsid w:val="00983118"/>
    <w:rsid w:val="00983E3C"/>
    <w:rsid w:val="00985627"/>
    <w:rsid w:val="00985C7B"/>
    <w:rsid w:val="00990AFB"/>
    <w:rsid w:val="00993DE4"/>
    <w:rsid w:val="00997756"/>
    <w:rsid w:val="00997DE3"/>
    <w:rsid w:val="009A0306"/>
    <w:rsid w:val="009A25E4"/>
    <w:rsid w:val="009A2C72"/>
    <w:rsid w:val="009A545C"/>
    <w:rsid w:val="009A5B86"/>
    <w:rsid w:val="009A5BD4"/>
    <w:rsid w:val="009B1574"/>
    <w:rsid w:val="009B18AB"/>
    <w:rsid w:val="009B30FF"/>
    <w:rsid w:val="009B345D"/>
    <w:rsid w:val="009B56C2"/>
    <w:rsid w:val="009B5A5A"/>
    <w:rsid w:val="009B5E9C"/>
    <w:rsid w:val="009B6517"/>
    <w:rsid w:val="009B77C3"/>
    <w:rsid w:val="009C171C"/>
    <w:rsid w:val="009C1728"/>
    <w:rsid w:val="009C1E36"/>
    <w:rsid w:val="009C25D5"/>
    <w:rsid w:val="009C5744"/>
    <w:rsid w:val="009C6A3A"/>
    <w:rsid w:val="009C7C84"/>
    <w:rsid w:val="009C7E90"/>
    <w:rsid w:val="009D080E"/>
    <w:rsid w:val="009D087A"/>
    <w:rsid w:val="009D1F54"/>
    <w:rsid w:val="009D2883"/>
    <w:rsid w:val="009D30EA"/>
    <w:rsid w:val="009D38DC"/>
    <w:rsid w:val="009D3B97"/>
    <w:rsid w:val="009D5583"/>
    <w:rsid w:val="009D6D75"/>
    <w:rsid w:val="009D7066"/>
    <w:rsid w:val="009D76C4"/>
    <w:rsid w:val="009D793E"/>
    <w:rsid w:val="009E18A2"/>
    <w:rsid w:val="009E711F"/>
    <w:rsid w:val="009F0F06"/>
    <w:rsid w:val="009F17AC"/>
    <w:rsid w:val="009F28AE"/>
    <w:rsid w:val="009F518E"/>
    <w:rsid w:val="009F525B"/>
    <w:rsid w:val="009F542A"/>
    <w:rsid w:val="009F5A30"/>
    <w:rsid w:val="009F5D6E"/>
    <w:rsid w:val="00A0340E"/>
    <w:rsid w:val="00A05A23"/>
    <w:rsid w:val="00A06230"/>
    <w:rsid w:val="00A121C9"/>
    <w:rsid w:val="00A12349"/>
    <w:rsid w:val="00A13DFA"/>
    <w:rsid w:val="00A22E69"/>
    <w:rsid w:val="00A231A0"/>
    <w:rsid w:val="00A24D20"/>
    <w:rsid w:val="00A257CF"/>
    <w:rsid w:val="00A2607E"/>
    <w:rsid w:val="00A264C0"/>
    <w:rsid w:val="00A26889"/>
    <w:rsid w:val="00A26DC1"/>
    <w:rsid w:val="00A27149"/>
    <w:rsid w:val="00A30C31"/>
    <w:rsid w:val="00A32047"/>
    <w:rsid w:val="00A32775"/>
    <w:rsid w:val="00A3386F"/>
    <w:rsid w:val="00A35CAB"/>
    <w:rsid w:val="00A36E31"/>
    <w:rsid w:val="00A36FBE"/>
    <w:rsid w:val="00A37295"/>
    <w:rsid w:val="00A41B36"/>
    <w:rsid w:val="00A461C5"/>
    <w:rsid w:val="00A564C3"/>
    <w:rsid w:val="00A56C56"/>
    <w:rsid w:val="00A606CA"/>
    <w:rsid w:val="00A607EB"/>
    <w:rsid w:val="00A60ACC"/>
    <w:rsid w:val="00A61AE3"/>
    <w:rsid w:val="00A61E08"/>
    <w:rsid w:val="00A61E26"/>
    <w:rsid w:val="00A65743"/>
    <w:rsid w:val="00A66E3A"/>
    <w:rsid w:val="00A67AF8"/>
    <w:rsid w:val="00A7030C"/>
    <w:rsid w:val="00A70789"/>
    <w:rsid w:val="00A7471E"/>
    <w:rsid w:val="00A76E20"/>
    <w:rsid w:val="00A81696"/>
    <w:rsid w:val="00A834FE"/>
    <w:rsid w:val="00A83FB3"/>
    <w:rsid w:val="00A84212"/>
    <w:rsid w:val="00A87EED"/>
    <w:rsid w:val="00A92A06"/>
    <w:rsid w:val="00A92C2A"/>
    <w:rsid w:val="00A93154"/>
    <w:rsid w:val="00A969F3"/>
    <w:rsid w:val="00AA06D8"/>
    <w:rsid w:val="00AA1291"/>
    <w:rsid w:val="00AA1703"/>
    <w:rsid w:val="00AA1789"/>
    <w:rsid w:val="00AA21A2"/>
    <w:rsid w:val="00AA2536"/>
    <w:rsid w:val="00AA5DAB"/>
    <w:rsid w:val="00AA727E"/>
    <w:rsid w:val="00AA7486"/>
    <w:rsid w:val="00AB01AE"/>
    <w:rsid w:val="00AB0640"/>
    <w:rsid w:val="00AB1355"/>
    <w:rsid w:val="00AB1B8C"/>
    <w:rsid w:val="00AB3527"/>
    <w:rsid w:val="00AB4939"/>
    <w:rsid w:val="00AB7AF5"/>
    <w:rsid w:val="00AB7BAD"/>
    <w:rsid w:val="00AC0771"/>
    <w:rsid w:val="00AC097C"/>
    <w:rsid w:val="00AC3084"/>
    <w:rsid w:val="00AC5CA9"/>
    <w:rsid w:val="00AC6593"/>
    <w:rsid w:val="00AC6951"/>
    <w:rsid w:val="00AC762A"/>
    <w:rsid w:val="00AD009A"/>
    <w:rsid w:val="00AD0F83"/>
    <w:rsid w:val="00AD3DA9"/>
    <w:rsid w:val="00AD3E07"/>
    <w:rsid w:val="00AD42C3"/>
    <w:rsid w:val="00AD4DDE"/>
    <w:rsid w:val="00AD6046"/>
    <w:rsid w:val="00AD6594"/>
    <w:rsid w:val="00AD7127"/>
    <w:rsid w:val="00AE07E7"/>
    <w:rsid w:val="00AE0CD6"/>
    <w:rsid w:val="00AE1A59"/>
    <w:rsid w:val="00AE2D24"/>
    <w:rsid w:val="00AE4BB5"/>
    <w:rsid w:val="00AE73BD"/>
    <w:rsid w:val="00AF1343"/>
    <w:rsid w:val="00AF2779"/>
    <w:rsid w:val="00AF36EC"/>
    <w:rsid w:val="00AF4DE9"/>
    <w:rsid w:val="00AF7239"/>
    <w:rsid w:val="00B00D55"/>
    <w:rsid w:val="00B019C9"/>
    <w:rsid w:val="00B01FE7"/>
    <w:rsid w:val="00B02068"/>
    <w:rsid w:val="00B071B8"/>
    <w:rsid w:val="00B10215"/>
    <w:rsid w:val="00B10D34"/>
    <w:rsid w:val="00B118B0"/>
    <w:rsid w:val="00B12443"/>
    <w:rsid w:val="00B1510A"/>
    <w:rsid w:val="00B15394"/>
    <w:rsid w:val="00B15797"/>
    <w:rsid w:val="00B1611E"/>
    <w:rsid w:val="00B16C50"/>
    <w:rsid w:val="00B175F8"/>
    <w:rsid w:val="00B22723"/>
    <w:rsid w:val="00B23658"/>
    <w:rsid w:val="00B23D0F"/>
    <w:rsid w:val="00B302F9"/>
    <w:rsid w:val="00B305E3"/>
    <w:rsid w:val="00B330FE"/>
    <w:rsid w:val="00B3315E"/>
    <w:rsid w:val="00B33624"/>
    <w:rsid w:val="00B3429B"/>
    <w:rsid w:val="00B37937"/>
    <w:rsid w:val="00B42048"/>
    <w:rsid w:val="00B4305D"/>
    <w:rsid w:val="00B44419"/>
    <w:rsid w:val="00B47561"/>
    <w:rsid w:val="00B506FB"/>
    <w:rsid w:val="00B517A4"/>
    <w:rsid w:val="00B60240"/>
    <w:rsid w:val="00B604C5"/>
    <w:rsid w:val="00B65598"/>
    <w:rsid w:val="00B6699E"/>
    <w:rsid w:val="00B7047B"/>
    <w:rsid w:val="00B709A2"/>
    <w:rsid w:val="00B70C48"/>
    <w:rsid w:val="00B74867"/>
    <w:rsid w:val="00B75EA3"/>
    <w:rsid w:val="00B80335"/>
    <w:rsid w:val="00B8096C"/>
    <w:rsid w:val="00B81E04"/>
    <w:rsid w:val="00B82D75"/>
    <w:rsid w:val="00B82E91"/>
    <w:rsid w:val="00B8426A"/>
    <w:rsid w:val="00B85AEE"/>
    <w:rsid w:val="00B8611B"/>
    <w:rsid w:val="00B87F3D"/>
    <w:rsid w:val="00B90857"/>
    <w:rsid w:val="00B90E7A"/>
    <w:rsid w:val="00B956FD"/>
    <w:rsid w:val="00B95F17"/>
    <w:rsid w:val="00BA157E"/>
    <w:rsid w:val="00BA1EDD"/>
    <w:rsid w:val="00BA21CD"/>
    <w:rsid w:val="00BA3705"/>
    <w:rsid w:val="00BA4BB8"/>
    <w:rsid w:val="00BA54B3"/>
    <w:rsid w:val="00BA56C1"/>
    <w:rsid w:val="00BA618B"/>
    <w:rsid w:val="00BA6524"/>
    <w:rsid w:val="00BA6892"/>
    <w:rsid w:val="00BA777E"/>
    <w:rsid w:val="00BA7A6D"/>
    <w:rsid w:val="00BB0211"/>
    <w:rsid w:val="00BB7878"/>
    <w:rsid w:val="00BB7928"/>
    <w:rsid w:val="00BC2C6F"/>
    <w:rsid w:val="00BC3176"/>
    <w:rsid w:val="00BC3C20"/>
    <w:rsid w:val="00BC4AD4"/>
    <w:rsid w:val="00BC4EBA"/>
    <w:rsid w:val="00BC643F"/>
    <w:rsid w:val="00BC6FF6"/>
    <w:rsid w:val="00BC75ED"/>
    <w:rsid w:val="00BD0A27"/>
    <w:rsid w:val="00BD40CB"/>
    <w:rsid w:val="00BD5AB4"/>
    <w:rsid w:val="00BD7604"/>
    <w:rsid w:val="00BE2789"/>
    <w:rsid w:val="00BE385A"/>
    <w:rsid w:val="00BE4159"/>
    <w:rsid w:val="00BE5ED5"/>
    <w:rsid w:val="00BE6F7D"/>
    <w:rsid w:val="00BE795B"/>
    <w:rsid w:val="00BE7C09"/>
    <w:rsid w:val="00BF39CD"/>
    <w:rsid w:val="00BF674F"/>
    <w:rsid w:val="00C01084"/>
    <w:rsid w:val="00C024E4"/>
    <w:rsid w:val="00C033DA"/>
    <w:rsid w:val="00C03EF8"/>
    <w:rsid w:val="00C04E60"/>
    <w:rsid w:val="00C059C9"/>
    <w:rsid w:val="00C06192"/>
    <w:rsid w:val="00C06F1F"/>
    <w:rsid w:val="00C06F3C"/>
    <w:rsid w:val="00C110EC"/>
    <w:rsid w:val="00C1216B"/>
    <w:rsid w:val="00C1252D"/>
    <w:rsid w:val="00C14B23"/>
    <w:rsid w:val="00C15704"/>
    <w:rsid w:val="00C21381"/>
    <w:rsid w:val="00C2227D"/>
    <w:rsid w:val="00C2581B"/>
    <w:rsid w:val="00C26170"/>
    <w:rsid w:val="00C2756C"/>
    <w:rsid w:val="00C35FCB"/>
    <w:rsid w:val="00C36088"/>
    <w:rsid w:val="00C37995"/>
    <w:rsid w:val="00C40499"/>
    <w:rsid w:val="00C41C7C"/>
    <w:rsid w:val="00C41E73"/>
    <w:rsid w:val="00C438C4"/>
    <w:rsid w:val="00C43969"/>
    <w:rsid w:val="00C43EC3"/>
    <w:rsid w:val="00C445F3"/>
    <w:rsid w:val="00C45BCF"/>
    <w:rsid w:val="00C45D5C"/>
    <w:rsid w:val="00C46DA2"/>
    <w:rsid w:val="00C471AA"/>
    <w:rsid w:val="00C5042B"/>
    <w:rsid w:val="00C5072E"/>
    <w:rsid w:val="00C50B93"/>
    <w:rsid w:val="00C5164D"/>
    <w:rsid w:val="00C52588"/>
    <w:rsid w:val="00C52645"/>
    <w:rsid w:val="00C53251"/>
    <w:rsid w:val="00C540B0"/>
    <w:rsid w:val="00C579CC"/>
    <w:rsid w:val="00C60295"/>
    <w:rsid w:val="00C61936"/>
    <w:rsid w:val="00C62DE3"/>
    <w:rsid w:val="00C63556"/>
    <w:rsid w:val="00C63D35"/>
    <w:rsid w:val="00C654BB"/>
    <w:rsid w:val="00C655C8"/>
    <w:rsid w:val="00C65AC8"/>
    <w:rsid w:val="00C6679A"/>
    <w:rsid w:val="00C66CEA"/>
    <w:rsid w:val="00C67266"/>
    <w:rsid w:val="00C74F1D"/>
    <w:rsid w:val="00C758D5"/>
    <w:rsid w:val="00C763A3"/>
    <w:rsid w:val="00C7650C"/>
    <w:rsid w:val="00C80F2A"/>
    <w:rsid w:val="00C8250E"/>
    <w:rsid w:val="00C8762E"/>
    <w:rsid w:val="00C912CA"/>
    <w:rsid w:val="00C9464B"/>
    <w:rsid w:val="00C948D8"/>
    <w:rsid w:val="00C95DFA"/>
    <w:rsid w:val="00C97FEA"/>
    <w:rsid w:val="00CA01B5"/>
    <w:rsid w:val="00CA0E5A"/>
    <w:rsid w:val="00CA209B"/>
    <w:rsid w:val="00CA465D"/>
    <w:rsid w:val="00CA6E98"/>
    <w:rsid w:val="00CB06B3"/>
    <w:rsid w:val="00CB0850"/>
    <w:rsid w:val="00CB1904"/>
    <w:rsid w:val="00CB191A"/>
    <w:rsid w:val="00CB75BF"/>
    <w:rsid w:val="00CC6457"/>
    <w:rsid w:val="00CC6C89"/>
    <w:rsid w:val="00CD224B"/>
    <w:rsid w:val="00CD2445"/>
    <w:rsid w:val="00CD3313"/>
    <w:rsid w:val="00CE003C"/>
    <w:rsid w:val="00CE261B"/>
    <w:rsid w:val="00CE2EF1"/>
    <w:rsid w:val="00CE2FAA"/>
    <w:rsid w:val="00CE3665"/>
    <w:rsid w:val="00CE392E"/>
    <w:rsid w:val="00CE518D"/>
    <w:rsid w:val="00CE583D"/>
    <w:rsid w:val="00CE58B0"/>
    <w:rsid w:val="00CE58F3"/>
    <w:rsid w:val="00CE7FBD"/>
    <w:rsid w:val="00CF0F68"/>
    <w:rsid w:val="00CF3114"/>
    <w:rsid w:val="00CF4971"/>
    <w:rsid w:val="00CF595C"/>
    <w:rsid w:val="00CF7B24"/>
    <w:rsid w:val="00D0080F"/>
    <w:rsid w:val="00D010A8"/>
    <w:rsid w:val="00D01614"/>
    <w:rsid w:val="00D01900"/>
    <w:rsid w:val="00D03440"/>
    <w:rsid w:val="00D03D06"/>
    <w:rsid w:val="00D04690"/>
    <w:rsid w:val="00D04B7C"/>
    <w:rsid w:val="00D07159"/>
    <w:rsid w:val="00D12230"/>
    <w:rsid w:val="00D13F52"/>
    <w:rsid w:val="00D16037"/>
    <w:rsid w:val="00D161B8"/>
    <w:rsid w:val="00D17E49"/>
    <w:rsid w:val="00D21BA5"/>
    <w:rsid w:val="00D21DE3"/>
    <w:rsid w:val="00D25822"/>
    <w:rsid w:val="00D260B4"/>
    <w:rsid w:val="00D26F56"/>
    <w:rsid w:val="00D30636"/>
    <w:rsid w:val="00D31E2D"/>
    <w:rsid w:val="00D328F1"/>
    <w:rsid w:val="00D3367A"/>
    <w:rsid w:val="00D3562F"/>
    <w:rsid w:val="00D36842"/>
    <w:rsid w:val="00D402A6"/>
    <w:rsid w:val="00D4044A"/>
    <w:rsid w:val="00D41CDC"/>
    <w:rsid w:val="00D43CB5"/>
    <w:rsid w:val="00D443A8"/>
    <w:rsid w:val="00D46949"/>
    <w:rsid w:val="00D4760B"/>
    <w:rsid w:val="00D47EFC"/>
    <w:rsid w:val="00D47F00"/>
    <w:rsid w:val="00D50204"/>
    <w:rsid w:val="00D5311E"/>
    <w:rsid w:val="00D532D1"/>
    <w:rsid w:val="00D54329"/>
    <w:rsid w:val="00D5621D"/>
    <w:rsid w:val="00D56A25"/>
    <w:rsid w:val="00D577DE"/>
    <w:rsid w:val="00D57A00"/>
    <w:rsid w:val="00D57E8D"/>
    <w:rsid w:val="00D60242"/>
    <w:rsid w:val="00D61971"/>
    <w:rsid w:val="00D62B59"/>
    <w:rsid w:val="00D64BD9"/>
    <w:rsid w:val="00D65259"/>
    <w:rsid w:val="00D6535E"/>
    <w:rsid w:val="00D659D5"/>
    <w:rsid w:val="00D708F6"/>
    <w:rsid w:val="00D70BED"/>
    <w:rsid w:val="00D7213B"/>
    <w:rsid w:val="00D730C7"/>
    <w:rsid w:val="00D73ABB"/>
    <w:rsid w:val="00D746A6"/>
    <w:rsid w:val="00D74A55"/>
    <w:rsid w:val="00D74F47"/>
    <w:rsid w:val="00D76674"/>
    <w:rsid w:val="00D77AC8"/>
    <w:rsid w:val="00D77F6F"/>
    <w:rsid w:val="00D81036"/>
    <w:rsid w:val="00D8733D"/>
    <w:rsid w:val="00D87CA6"/>
    <w:rsid w:val="00D87DF7"/>
    <w:rsid w:val="00D90373"/>
    <w:rsid w:val="00D90D17"/>
    <w:rsid w:val="00D93BAB"/>
    <w:rsid w:val="00D941E4"/>
    <w:rsid w:val="00D957CA"/>
    <w:rsid w:val="00D95AD5"/>
    <w:rsid w:val="00D969F9"/>
    <w:rsid w:val="00D96AE3"/>
    <w:rsid w:val="00DA019A"/>
    <w:rsid w:val="00DA0E19"/>
    <w:rsid w:val="00DA1F88"/>
    <w:rsid w:val="00DA4A1A"/>
    <w:rsid w:val="00DA67CF"/>
    <w:rsid w:val="00DA7671"/>
    <w:rsid w:val="00DB0067"/>
    <w:rsid w:val="00DB05B6"/>
    <w:rsid w:val="00DB2DC1"/>
    <w:rsid w:val="00DB3D98"/>
    <w:rsid w:val="00DB4570"/>
    <w:rsid w:val="00DB4EEE"/>
    <w:rsid w:val="00DB7084"/>
    <w:rsid w:val="00DC2911"/>
    <w:rsid w:val="00DC48B6"/>
    <w:rsid w:val="00DC4ECB"/>
    <w:rsid w:val="00DC51B4"/>
    <w:rsid w:val="00DC5228"/>
    <w:rsid w:val="00DC541E"/>
    <w:rsid w:val="00DC6133"/>
    <w:rsid w:val="00DC6D0E"/>
    <w:rsid w:val="00DC7ACF"/>
    <w:rsid w:val="00DC7D93"/>
    <w:rsid w:val="00DD108C"/>
    <w:rsid w:val="00DD450C"/>
    <w:rsid w:val="00DD47D7"/>
    <w:rsid w:val="00DE232E"/>
    <w:rsid w:val="00DE4106"/>
    <w:rsid w:val="00DE4259"/>
    <w:rsid w:val="00DE4731"/>
    <w:rsid w:val="00DE5A42"/>
    <w:rsid w:val="00DF3223"/>
    <w:rsid w:val="00DF77E6"/>
    <w:rsid w:val="00DF7AD7"/>
    <w:rsid w:val="00DF7CC5"/>
    <w:rsid w:val="00E003A0"/>
    <w:rsid w:val="00E004F1"/>
    <w:rsid w:val="00E01CE8"/>
    <w:rsid w:val="00E030E2"/>
    <w:rsid w:val="00E03644"/>
    <w:rsid w:val="00E03DDF"/>
    <w:rsid w:val="00E04DBB"/>
    <w:rsid w:val="00E06A39"/>
    <w:rsid w:val="00E07917"/>
    <w:rsid w:val="00E127D9"/>
    <w:rsid w:val="00E14EBC"/>
    <w:rsid w:val="00E16124"/>
    <w:rsid w:val="00E1644F"/>
    <w:rsid w:val="00E17AEB"/>
    <w:rsid w:val="00E17E93"/>
    <w:rsid w:val="00E21BA4"/>
    <w:rsid w:val="00E21D6F"/>
    <w:rsid w:val="00E22166"/>
    <w:rsid w:val="00E24767"/>
    <w:rsid w:val="00E25760"/>
    <w:rsid w:val="00E25904"/>
    <w:rsid w:val="00E25B27"/>
    <w:rsid w:val="00E25DF3"/>
    <w:rsid w:val="00E25F97"/>
    <w:rsid w:val="00E27147"/>
    <w:rsid w:val="00E27308"/>
    <w:rsid w:val="00E336C4"/>
    <w:rsid w:val="00E3379C"/>
    <w:rsid w:val="00E3725E"/>
    <w:rsid w:val="00E37770"/>
    <w:rsid w:val="00E37864"/>
    <w:rsid w:val="00E40BA3"/>
    <w:rsid w:val="00E41388"/>
    <w:rsid w:val="00E42241"/>
    <w:rsid w:val="00E4274E"/>
    <w:rsid w:val="00E42C55"/>
    <w:rsid w:val="00E43908"/>
    <w:rsid w:val="00E44232"/>
    <w:rsid w:val="00E449FF"/>
    <w:rsid w:val="00E45428"/>
    <w:rsid w:val="00E45F90"/>
    <w:rsid w:val="00E51FF9"/>
    <w:rsid w:val="00E536C7"/>
    <w:rsid w:val="00E55749"/>
    <w:rsid w:val="00E57083"/>
    <w:rsid w:val="00E576BE"/>
    <w:rsid w:val="00E60262"/>
    <w:rsid w:val="00E61CFF"/>
    <w:rsid w:val="00E6485D"/>
    <w:rsid w:val="00E66071"/>
    <w:rsid w:val="00E664EB"/>
    <w:rsid w:val="00E67856"/>
    <w:rsid w:val="00E67EB4"/>
    <w:rsid w:val="00E7171F"/>
    <w:rsid w:val="00E72845"/>
    <w:rsid w:val="00E72B9A"/>
    <w:rsid w:val="00E73D5F"/>
    <w:rsid w:val="00E76570"/>
    <w:rsid w:val="00E77D0F"/>
    <w:rsid w:val="00E80195"/>
    <w:rsid w:val="00E812B9"/>
    <w:rsid w:val="00E8194B"/>
    <w:rsid w:val="00E82A5B"/>
    <w:rsid w:val="00E831B4"/>
    <w:rsid w:val="00E84EAC"/>
    <w:rsid w:val="00E865DF"/>
    <w:rsid w:val="00E87D4D"/>
    <w:rsid w:val="00E916C9"/>
    <w:rsid w:val="00E923BA"/>
    <w:rsid w:val="00E93C5C"/>
    <w:rsid w:val="00E94DA2"/>
    <w:rsid w:val="00E94DFB"/>
    <w:rsid w:val="00E9627A"/>
    <w:rsid w:val="00E977F5"/>
    <w:rsid w:val="00EA1304"/>
    <w:rsid w:val="00EA2557"/>
    <w:rsid w:val="00EA4B8B"/>
    <w:rsid w:val="00EA4DB8"/>
    <w:rsid w:val="00EA4EF4"/>
    <w:rsid w:val="00EA7552"/>
    <w:rsid w:val="00EB0301"/>
    <w:rsid w:val="00EB0B39"/>
    <w:rsid w:val="00EB30AF"/>
    <w:rsid w:val="00EB49B1"/>
    <w:rsid w:val="00EB51CD"/>
    <w:rsid w:val="00EB599F"/>
    <w:rsid w:val="00EC0FC7"/>
    <w:rsid w:val="00EC13B1"/>
    <w:rsid w:val="00EC2534"/>
    <w:rsid w:val="00EC35C8"/>
    <w:rsid w:val="00EC3E28"/>
    <w:rsid w:val="00EC4E72"/>
    <w:rsid w:val="00EC5555"/>
    <w:rsid w:val="00EC5977"/>
    <w:rsid w:val="00EC7B8A"/>
    <w:rsid w:val="00ED0B4B"/>
    <w:rsid w:val="00ED0E02"/>
    <w:rsid w:val="00ED1B20"/>
    <w:rsid w:val="00ED2346"/>
    <w:rsid w:val="00ED418E"/>
    <w:rsid w:val="00ED5D03"/>
    <w:rsid w:val="00EE151A"/>
    <w:rsid w:val="00EE1EF6"/>
    <w:rsid w:val="00EE20E0"/>
    <w:rsid w:val="00EE3EDF"/>
    <w:rsid w:val="00EE42DE"/>
    <w:rsid w:val="00EE4BD0"/>
    <w:rsid w:val="00EE7808"/>
    <w:rsid w:val="00EF1DC4"/>
    <w:rsid w:val="00EF37B4"/>
    <w:rsid w:val="00EF4BE5"/>
    <w:rsid w:val="00EF6DF4"/>
    <w:rsid w:val="00EF76E7"/>
    <w:rsid w:val="00F00C55"/>
    <w:rsid w:val="00F01E74"/>
    <w:rsid w:val="00F04763"/>
    <w:rsid w:val="00F067BF"/>
    <w:rsid w:val="00F070B4"/>
    <w:rsid w:val="00F07371"/>
    <w:rsid w:val="00F10172"/>
    <w:rsid w:val="00F10C78"/>
    <w:rsid w:val="00F11FE4"/>
    <w:rsid w:val="00F12700"/>
    <w:rsid w:val="00F131A3"/>
    <w:rsid w:val="00F1328B"/>
    <w:rsid w:val="00F15F4F"/>
    <w:rsid w:val="00F17633"/>
    <w:rsid w:val="00F2177D"/>
    <w:rsid w:val="00F24598"/>
    <w:rsid w:val="00F24778"/>
    <w:rsid w:val="00F3032E"/>
    <w:rsid w:val="00F3132F"/>
    <w:rsid w:val="00F32741"/>
    <w:rsid w:val="00F3422A"/>
    <w:rsid w:val="00F34551"/>
    <w:rsid w:val="00F3764E"/>
    <w:rsid w:val="00F41226"/>
    <w:rsid w:val="00F4346B"/>
    <w:rsid w:val="00F43926"/>
    <w:rsid w:val="00F464A1"/>
    <w:rsid w:val="00F47ECC"/>
    <w:rsid w:val="00F47EDD"/>
    <w:rsid w:val="00F506BF"/>
    <w:rsid w:val="00F50EFE"/>
    <w:rsid w:val="00F53150"/>
    <w:rsid w:val="00F534CA"/>
    <w:rsid w:val="00F5384A"/>
    <w:rsid w:val="00F55148"/>
    <w:rsid w:val="00F5528E"/>
    <w:rsid w:val="00F55E90"/>
    <w:rsid w:val="00F578E3"/>
    <w:rsid w:val="00F60F27"/>
    <w:rsid w:val="00F628A3"/>
    <w:rsid w:val="00F635AC"/>
    <w:rsid w:val="00F63AFD"/>
    <w:rsid w:val="00F64A2A"/>
    <w:rsid w:val="00F64ABD"/>
    <w:rsid w:val="00F65505"/>
    <w:rsid w:val="00F67205"/>
    <w:rsid w:val="00F67589"/>
    <w:rsid w:val="00F70A07"/>
    <w:rsid w:val="00F71779"/>
    <w:rsid w:val="00F71A7E"/>
    <w:rsid w:val="00F71A9F"/>
    <w:rsid w:val="00F7249D"/>
    <w:rsid w:val="00F737CE"/>
    <w:rsid w:val="00F74530"/>
    <w:rsid w:val="00F74605"/>
    <w:rsid w:val="00F749C1"/>
    <w:rsid w:val="00F74A76"/>
    <w:rsid w:val="00F751BE"/>
    <w:rsid w:val="00F778E9"/>
    <w:rsid w:val="00F77B4F"/>
    <w:rsid w:val="00F8001F"/>
    <w:rsid w:val="00F81D84"/>
    <w:rsid w:val="00F81F38"/>
    <w:rsid w:val="00F8205E"/>
    <w:rsid w:val="00F82C0F"/>
    <w:rsid w:val="00F85130"/>
    <w:rsid w:val="00F871CF"/>
    <w:rsid w:val="00F91F9D"/>
    <w:rsid w:val="00F92322"/>
    <w:rsid w:val="00F92F11"/>
    <w:rsid w:val="00F966F2"/>
    <w:rsid w:val="00FA0E83"/>
    <w:rsid w:val="00FA3DDC"/>
    <w:rsid w:val="00FA644D"/>
    <w:rsid w:val="00FA7E71"/>
    <w:rsid w:val="00FB099C"/>
    <w:rsid w:val="00FB4897"/>
    <w:rsid w:val="00FB4984"/>
    <w:rsid w:val="00FB4F29"/>
    <w:rsid w:val="00FB7563"/>
    <w:rsid w:val="00FC0312"/>
    <w:rsid w:val="00FC08F4"/>
    <w:rsid w:val="00FC18FC"/>
    <w:rsid w:val="00FC2673"/>
    <w:rsid w:val="00FC26FE"/>
    <w:rsid w:val="00FC439B"/>
    <w:rsid w:val="00FC474B"/>
    <w:rsid w:val="00FC51D8"/>
    <w:rsid w:val="00FC5C16"/>
    <w:rsid w:val="00FC62BB"/>
    <w:rsid w:val="00FC768A"/>
    <w:rsid w:val="00FD09FC"/>
    <w:rsid w:val="00FD2EA6"/>
    <w:rsid w:val="00FD742F"/>
    <w:rsid w:val="00FE16A4"/>
    <w:rsid w:val="00FE1D1E"/>
    <w:rsid w:val="00FE2625"/>
    <w:rsid w:val="00FE2988"/>
    <w:rsid w:val="00FE2ED1"/>
    <w:rsid w:val="00FE6756"/>
    <w:rsid w:val="00FF1B8F"/>
    <w:rsid w:val="00FF27F9"/>
    <w:rsid w:val="00FF32E5"/>
    <w:rsid w:val="00FF35CB"/>
    <w:rsid w:val="00FF4FB6"/>
    <w:rsid w:val="00FF59B4"/>
    <w:rsid w:val="00FF5E4A"/>
    <w:rsid w:val="00FF78D8"/>
    <w:rsid w:val="00FF79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17"/>
    <w:pPr>
      <w:spacing w:line="240" w:lineRule="auto"/>
    </w:pPr>
    <w:rPr>
      <w:rFonts w:asciiTheme="minorHAnsi" w:eastAsiaTheme="minorEastAsia" w:hAnsiTheme="minorHAnsi"/>
      <w:szCs w:val="24"/>
      <w:lang w:eastAsia="en-AU"/>
    </w:rPr>
  </w:style>
  <w:style w:type="paragraph" w:styleId="Heading1">
    <w:name w:val="heading 1"/>
    <w:basedOn w:val="Normal"/>
    <w:next w:val="Normal"/>
    <w:link w:val="Heading1Char"/>
    <w:uiPriority w:val="9"/>
    <w:qFormat/>
    <w:rsid w:val="00821C17"/>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821C17"/>
    <w:pPr>
      <w:outlineLvl w:val="1"/>
    </w:pPr>
    <w:rPr>
      <w:i w:val="0"/>
      <w:sz w:val="24"/>
      <w:szCs w:val="24"/>
    </w:rPr>
  </w:style>
  <w:style w:type="paragraph" w:styleId="Heading3">
    <w:name w:val="heading 3"/>
    <w:basedOn w:val="Normal"/>
    <w:next w:val="Normal"/>
    <w:link w:val="Heading3Char"/>
    <w:uiPriority w:val="9"/>
    <w:unhideWhenUsed/>
    <w:qFormat/>
    <w:rsid w:val="00821C17"/>
    <w:pPr>
      <w:spacing w:before="240"/>
      <w:outlineLvl w:val="2"/>
    </w:pPr>
    <w:rPr>
      <w:b/>
      <w:i/>
      <w:szCs w:val="28"/>
    </w:rPr>
  </w:style>
  <w:style w:type="paragraph" w:styleId="Heading4">
    <w:name w:val="heading 4"/>
    <w:basedOn w:val="Heading3"/>
    <w:next w:val="Normal"/>
    <w:link w:val="Heading4Char"/>
    <w:uiPriority w:val="9"/>
    <w:unhideWhenUsed/>
    <w:qFormat/>
    <w:rsid w:val="00821C17"/>
    <w:pPr>
      <w:outlineLvl w:val="3"/>
    </w:pPr>
    <w:rPr>
      <w:sz w:val="32"/>
      <w:szCs w:val="32"/>
    </w:rPr>
  </w:style>
  <w:style w:type="paragraph" w:styleId="Heading5">
    <w:name w:val="heading 5"/>
    <w:basedOn w:val="Normal"/>
    <w:next w:val="Normal"/>
    <w:link w:val="Heading5Char"/>
    <w:uiPriority w:val="9"/>
    <w:unhideWhenUsed/>
    <w:qFormat/>
    <w:rsid w:val="00821C17"/>
    <w:pPr>
      <w:keepNext/>
      <w:keepLines/>
      <w:spacing w:before="240"/>
      <w:outlineLvl w:val="4"/>
    </w:pPr>
    <w:rPr>
      <w:rFonts w:eastAsiaTheme="majorEastAsia" w:cstheme="majorBidi"/>
    </w:rPr>
  </w:style>
  <w:style w:type="paragraph" w:styleId="Heading6">
    <w:name w:val="heading 6"/>
    <w:basedOn w:val="Normal"/>
    <w:next w:val="Normal"/>
    <w:link w:val="Heading6Char"/>
    <w:uiPriority w:val="9"/>
    <w:unhideWhenUsed/>
    <w:qFormat/>
    <w:rsid w:val="00821C17"/>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C17"/>
    <w:rPr>
      <w:rFonts w:asciiTheme="minorHAnsi" w:eastAsiaTheme="majorEastAsia" w:hAnsiTheme="minorHAnsi" w:cstheme="majorBidi"/>
      <w:b/>
      <w:bCs/>
      <w:sz w:val="40"/>
      <w:szCs w:val="28"/>
      <w:lang w:eastAsia="en-AU"/>
    </w:rPr>
  </w:style>
  <w:style w:type="character" w:customStyle="1" w:styleId="Heading2Char">
    <w:name w:val="Heading 2 Char"/>
    <w:basedOn w:val="DefaultParagraphFont"/>
    <w:link w:val="Heading2"/>
    <w:uiPriority w:val="9"/>
    <w:rsid w:val="00821C17"/>
    <w:rPr>
      <w:rFonts w:asciiTheme="minorHAnsi" w:eastAsiaTheme="minorEastAsia" w:hAnsiTheme="minorHAnsi"/>
      <w:b/>
      <w:szCs w:val="24"/>
      <w:lang w:eastAsia="en-AU"/>
    </w:rPr>
  </w:style>
  <w:style w:type="character" w:customStyle="1" w:styleId="Heading3Char">
    <w:name w:val="Heading 3 Char"/>
    <w:basedOn w:val="DefaultParagraphFont"/>
    <w:link w:val="Heading3"/>
    <w:uiPriority w:val="9"/>
    <w:rsid w:val="00821C17"/>
    <w:rPr>
      <w:rFonts w:asciiTheme="minorHAnsi" w:eastAsiaTheme="minorEastAsia" w:hAnsiTheme="minorHAnsi"/>
      <w:b/>
      <w:i/>
      <w:szCs w:val="28"/>
      <w:lang w:eastAsia="en-AU"/>
    </w:rPr>
  </w:style>
  <w:style w:type="character" w:customStyle="1" w:styleId="Heading4Char">
    <w:name w:val="Heading 4 Char"/>
    <w:basedOn w:val="DefaultParagraphFont"/>
    <w:link w:val="Heading4"/>
    <w:uiPriority w:val="9"/>
    <w:rsid w:val="00821C17"/>
    <w:rPr>
      <w:rFonts w:asciiTheme="minorHAnsi" w:eastAsiaTheme="minorEastAsia" w:hAnsiTheme="minorHAnsi"/>
      <w:b/>
      <w:i/>
      <w:sz w:val="32"/>
      <w:szCs w:val="32"/>
      <w:lang w:eastAsia="en-AU"/>
    </w:rPr>
  </w:style>
  <w:style w:type="character" w:customStyle="1" w:styleId="Heading5Char">
    <w:name w:val="Heading 5 Char"/>
    <w:basedOn w:val="DefaultParagraphFont"/>
    <w:link w:val="Heading5"/>
    <w:uiPriority w:val="9"/>
    <w:rsid w:val="00821C17"/>
    <w:rPr>
      <w:rFonts w:asciiTheme="minorHAnsi" w:eastAsiaTheme="majorEastAsia" w:hAnsiTheme="minorHAnsi" w:cstheme="majorBidi"/>
      <w:szCs w:val="24"/>
      <w:lang w:eastAsia="en-AU"/>
    </w:rPr>
  </w:style>
  <w:style w:type="character" w:customStyle="1" w:styleId="Heading6Char">
    <w:name w:val="Heading 6 Char"/>
    <w:basedOn w:val="DefaultParagraphFont"/>
    <w:link w:val="Heading6"/>
    <w:uiPriority w:val="9"/>
    <w:rsid w:val="00821C17"/>
    <w:rPr>
      <w:rFonts w:asciiTheme="majorHAnsi" w:eastAsiaTheme="majorEastAsia" w:hAnsiTheme="majorHAnsi" w:cstheme="majorBidi"/>
      <w:i/>
      <w:iCs/>
      <w:color w:val="243F60" w:themeColor="accent1" w:themeShade="7F"/>
      <w:sz w:val="22"/>
    </w:rPr>
  </w:style>
  <w:style w:type="paragraph" w:styleId="BalloonText">
    <w:name w:val="Balloon Text"/>
    <w:basedOn w:val="Normal"/>
    <w:link w:val="BalloonTextChar"/>
    <w:uiPriority w:val="99"/>
    <w:semiHidden/>
    <w:unhideWhenUsed/>
    <w:rsid w:val="00821C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17"/>
    <w:rPr>
      <w:rFonts w:ascii="Tahoma" w:eastAsiaTheme="minorEastAsia" w:hAnsi="Tahoma" w:cs="Tahoma"/>
      <w:sz w:val="16"/>
      <w:szCs w:val="16"/>
      <w:lang w:eastAsia="en-AU"/>
    </w:rPr>
  </w:style>
  <w:style w:type="character" w:styleId="CommentReference">
    <w:name w:val="annotation reference"/>
    <w:basedOn w:val="DefaultParagraphFont"/>
    <w:uiPriority w:val="99"/>
    <w:semiHidden/>
    <w:unhideWhenUsed/>
    <w:rsid w:val="00821C17"/>
    <w:rPr>
      <w:sz w:val="16"/>
      <w:szCs w:val="16"/>
    </w:rPr>
  </w:style>
  <w:style w:type="paragraph" w:styleId="CommentText">
    <w:name w:val="annotation text"/>
    <w:basedOn w:val="Normal"/>
    <w:link w:val="CommentTextChar"/>
    <w:uiPriority w:val="99"/>
    <w:semiHidden/>
    <w:unhideWhenUsed/>
    <w:rsid w:val="00821C17"/>
    <w:rPr>
      <w:sz w:val="20"/>
      <w:szCs w:val="20"/>
    </w:rPr>
  </w:style>
  <w:style w:type="character" w:customStyle="1" w:styleId="CommentTextChar">
    <w:name w:val="Comment Text Char"/>
    <w:basedOn w:val="DefaultParagraphFont"/>
    <w:link w:val="CommentText"/>
    <w:uiPriority w:val="99"/>
    <w:semiHidden/>
    <w:rsid w:val="00821C17"/>
    <w:rPr>
      <w:rFonts w:asciiTheme="minorHAnsi" w:eastAsiaTheme="minorEastAsia" w:hAnsi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821C17"/>
    <w:rPr>
      <w:b/>
      <w:bCs/>
    </w:rPr>
  </w:style>
  <w:style w:type="character" w:customStyle="1" w:styleId="CommentSubjectChar">
    <w:name w:val="Comment Subject Char"/>
    <w:basedOn w:val="CommentTextChar"/>
    <w:link w:val="CommentSubject"/>
    <w:uiPriority w:val="99"/>
    <w:semiHidden/>
    <w:rsid w:val="00821C17"/>
    <w:rPr>
      <w:rFonts w:asciiTheme="minorHAnsi" w:eastAsiaTheme="minorEastAsia" w:hAnsiTheme="minorHAnsi"/>
      <w:b/>
      <w:bCs/>
      <w:sz w:val="20"/>
      <w:szCs w:val="20"/>
      <w:lang w:eastAsia="en-AU"/>
    </w:rPr>
  </w:style>
  <w:style w:type="paragraph" w:styleId="Title">
    <w:name w:val="Title"/>
    <w:basedOn w:val="Normal"/>
    <w:next w:val="Normal"/>
    <w:link w:val="TitleChar"/>
    <w:uiPriority w:val="10"/>
    <w:qFormat/>
    <w:rsid w:val="00821C17"/>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821C17"/>
    <w:rPr>
      <w:rFonts w:asciiTheme="minorHAnsi" w:eastAsiaTheme="majorEastAsia" w:hAnsiTheme="minorHAnsi" w:cstheme="majorBidi"/>
      <w:b/>
      <w:spacing w:val="5"/>
      <w:kern w:val="28"/>
      <w:sz w:val="52"/>
      <w:szCs w:val="52"/>
      <w:lang w:eastAsia="en-AU"/>
    </w:rPr>
  </w:style>
  <w:style w:type="paragraph" w:styleId="Footer">
    <w:name w:val="footer"/>
    <w:basedOn w:val="Normal"/>
    <w:link w:val="FooterChar"/>
    <w:uiPriority w:val="99"/>
    <w:unhideWhenUsed/>
    <w:rsid w:val="00821C17"/>
    <w:pPr>
      <w:tabs>
        <w:tab w:val="center" w:pos="4320"/>
        <w:tab w:val="right" w:pos="8640"/>
      </w:tabs>
      <w:spacing w:after="0"/>
    </w:pPr>
  </w:style>
  <w:style w:type="character" w:customStyle="1" w:styleId="FooterChar">
    <w:name w:val="Footer Char"/>
    <w:basedOn w:val="DefaultParagraphFont"/>
    <w:link w:val="Footer"/>
    <w:uiPriority w:val="99"/>
    <w:rsid w:val="00821C17"/>
    <w:rPr>
      <w:rFonts w:asciiTheme="minorHAnsi" w:eastAsiaTheme="minorEastAsia" w:hAnsiTheme="minorHAnsi"/>
      <w:szCs w:val="24"/>
      <w:lang w:eastAsia="en-AU"/>
    </w:rPr>
  </w:style>
  <w:style w:type="character" w:styleId="PageNumber">
    <w:name w:val="page number"/>
    <w:basedOn w:val="DefaultParagraphFont"/>
    <w:uiPriority w:val="99"/>
    <w:semiHidden/>
    <w:unhideWhenUsed/>
    <w:rsid w:val="00821C17"/>
  </w:style>
  <w:style w:type="paragraph" w:styleId="Header">
    <w:name w:val="header"/>
    <w:basedOn w:val="Normal"/>
    <w:link w:val="HeaderChar"/>
    <w:uiPriority w:val="99"/>
    <w:unhideWhenUsed/>
    <w:rsid w:val="00821C17"/>
    <w:pPr>
      <w:tabs>
        <w:tab w:val="center" w:pos="4320"/>
        <w:tab w:val="right" w:pos="8640"/>
      </w:tabs>
      <w:spacing w:after="0"/>
    </w:pPr>
  </w:style>
  <w:style w:type="character" w:customStyle="1" w:styleId="HeaderChar">
    <w:name w:val="Header Char"/>
    <w:basedOn w:val="DefaultParagraphFont"/>
    <w:link w:val="Header"/>
    <w:uiPriority w:val="99"/>
    <w:rsid w:val="00821C17"/>
    <w:rPr>
      <w:rFonts w:asciiTheme="minorHAnsi" w:eastAsiaTheme="minorEastAsia" w:hAnsiTheme="minorHAnsi"/>
      <w:szCs w:val="24"/>
      <w:lang w:eastAsia="en-AU"/>
    </w:rPr>
  </w:style>
  <w:style w:type="paragraph" w:styleId="DocumentMap">
    <w:name w:val="Document Map"/>
    <w:basedOn w:val="Normal"/>
    <w:link w:val="DocumentMapChar"/>
    <w:uiPriority w:val="99"/>
    <w:semiHidden/>
    <w:unhideWhenUsed/>
    <w:rsid w:val="00821C1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21C17"/>
    <w:rPr>
      <w:rFonts w:ascii="Lucida Grande" w:eastAsiaTheme="minorEastAsia" w:hAnsi="Lucida Grande" w:cs="Lucida Grande"/>
      <w:szCs w:val="24"/>
      <w:lang w:eastAsia="en-AU"/>
    </w:rPr>
  </w:style>
  <w:style w:type="table" w:styleId="TableGrid">
    <w:name w:val="Table Grid"/>
    <w:basedOn w:val="TableNormal"/>
    <w:rsid w:val="00821C17"/>
    <w:pPr>
      <w:spacing w:after="0" w:line="240" w:lineRule="auto"/>
    </w:pPr>
    <w:rPr>
      <w:rFonts w:asciiTheme="minorHAnsi" w:eastAsiaTheme="minorEastAsia" w:hAnsiTheme="minorHAnsi"/>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link w:val="TablewritingChar"/>
    <w:qFormat/>
    <w:rsid w:val="00821C17"/>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821C17"/>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21C17"/>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821C17"/>
    <w:rPr>
      <w:rFonts w:cs="Baskerville"/>
      <w:sz w:val="20"/>
      <w:szCs w:val="20"/>
    </w:rPr>
  </w:style>
  <w:style w:type="paragraph" w:customStyle="1" w:styleId="Tabletitle">
    <w:name w:val="Table title"/>
    <w:basedOn w:val="Heading4"/>
    <w:link w:val="TabletitleChar"/>
    <w:qFormat/>
    <w:rsid w:val="00821C17"/>
    <w:pPr>
      <w:spacing w:after="20"/>
    </w:pPr>
    <w:rPr>
      <w:szCs w:val="24"/>
    </w:rPr>
  </w:style>
  <w:style w:type="paragraph" w:customStyle="1" w:styleId="Figurecaption">
    <w:name w:val="Figure caption"/>
    <w:basedOn w:val="Normal"/>
    <w:link w:val="FigurecaptionChar"/>
    <w:qFormat/>
    <w:rsid w:val="00821C17"/>
    <w:pPr>
      <w:spacing w:before="60" w:after="60"/>
    </w:pPr>
    <w:rPr>
      <w:sz w:val="20"/>
      <w:szCs w:val="20"/>
      <w:lang w:eastAsia="en-US"/>
    </w:rPr>
  </w:style>
  <w:style w:type="character" w:customStyle="1" w:styleId="FigurecaptionChar">
    <w:name w:val="Figure caption Char"/>
    <w:basedOn w:val="DefaultParagraphFont"/>
    <w:link w:val="Figurecaption"/>
    <w:rsid w:val="00821C17"/>
    <w:rPr>
      <w:rFonts w:asciiTheme="minorHAnsi" w:eastAsiaTheme="minorEastAsia" w:hAnsiTheme="minorHAnsi"/>
      <w:sz w:val="20"/>
      <w:szCs w:val="20"/>
    </w:rPr>
  </w:style>
  <w:style w:type="paragraph" w:styleId="FootnoteText">
    <w:name w:val="footnote text"/>
    <w:basedOn w:val="Normal"/>
    <w:link w:val="FootnoteTextChar"/>
    <w:uiPriority w:val="99"/>
    <w:unhideWhenUsed/>
    <w:rsid w:val="00821C17"/>
    <w:pPr>
      <w:spacing w:after="0"/>
    </w:pPr>
    <w:rPr>
      <w:sz w:val="18"/>
      <w:szCs w:val="20"/>
    </w:rPr>
  </w:style>
  <w:style w:type="character" w:customStyle="1" w:styleId="FootnoteTextChar">
    <w:name w:val="Footnote Text Char"/>
    <w:basedOn w:val="DefaultParagraphFont"/>
    <w:link w:val="FootnoteText"/>
    <w:uiPriority w:val="99"/>
    <w:rsid w:val="00821C17"/>
    <w:rPr>
      <w:rFonts w:asciiTheme="minorHAnsi" w:eastAsiaTheme="minorEastAsia" w:hAnsiTheme="minorHAnsi"/>
      <w:sz w:val="18"/>
      <w:szCs w:val="20"/>
      <w:lang w:eastAsia="en-AU"/>
    </w:rPr>
  </w:style>
  <w:style w:type="character" w:styleId="FootnoteReference">
    <w:name w:val="footnote reference"/>
    <w:basedOn w:val="DefaultParagraphFont"/>
    <w:unhideWhenUsed/>
    <w:rsid w:val="00821C17"/>
    <w:rPr>
      <w:vertAlign w:val="superscript"/>
    </w:rPr>
  </w:style>
  <w:style w:type="character" w:customStyle="1" w:styleId="TabletitleChar">
    <w:name w:val="Table title Char"/>
    <w:basedOn w:val="Heading4Char"/>
    <w:link w:val="Tabletitle"/>
    <w:rsid w:val="00821C17"/>
    <w:rPr>
      <w:rFonts w:asciiTheme="minorHAnsi" w:eastAsiaTheme="minorEastAsia" w:hAnsiTheme="minorHAnsi"/>
      <w:b/>
      <w:i/>
      <w:sz w:val="32"/>
      <w:szCs w:val="24"/>
      <w:lang w:eastAsia="en-AU"/>
    </w:rPr>
  </w:style>
  <w:style w:type="paragraph" w:customStyle="1" w:styleId="Figuretitle">
    <w:name w:val="Figure title"/>
    <w:basedOn w:val="Tabletitle"/>
    <w:link w:val="FiguretitleChar"/>
    <w:qFormat/>
    <w:rsid w:val="00821C17"/>
    <w:pPr>
      <w:spacing w:before="60" w:after="60"/>
    </w:pPr>
    <w:rPr>
      <w:i w:val="0"/>
      <w:lang w:val="en-US"/>
    </w:rPr>
  </w:style>
  <w:style w:type="character" w:customStyle="1" w:styleId="FiguretitleChar">
    <w:name w:val="Figure title Char"/>
    <w:basedOn w:val="TabletitleChar"/>
    <w:link w:val="Figuretitle"/>
    <w:rsid w:val="00821C17"/>
    <w:rPr>
      <w:rFonts w:asciiTheme="minorHAnsi" w:eastAsiaTheme="minorEastAsia" w:hAnsiTheme="minorHAnsi"/>
      <w:b/>
      <w:i w:val="0"/>
      <w:sz w:val="32"/>
      <w:szCs w:val="24"/>
      <w:lang w:val="en-US" w:eastAsia="en-AU"/>
    </w:rPr>
  </w:style>
  <w:style w:type="paragraph" w:styleId="NoSpacing">
    <w:name w:val="No Spacing"/>
    <w:uiPriority w:val="1"/>
    <w:qFormat/>
    <w:rsid w:val="00821C17"/>
    <w:pPr>
      <w:spacing w:after="0" w:line="240" w:lineRule="auto"/>
    </w:pPr>
    <w:rPr>
      <w:rFonts w:asciiTheme="minorHAnsi" w:eastAsiaTheme="minorEastAsia" w:hAnsiTheme="minorHAnsi"/>
      <w:szCs w:val="24"/>
      <w:lang w:eastAsia="en-AU"/>
    </w:rPr>
  </w:style>
  <w:style w:type="paragraph" w:styleId="ListParagraph">
    <w:name w:val="List Paragraph"/>
    <w:basedOn w:val="Normal"/>
    <w:uiPriority w:val="34"/>
    <w:qFormat/>
    <w:rsid w:val="00821C17"/>
    <w:pPr>
      <w:ind w:left="720"/>
      <w:contextualSpacing/>
    </w:pPr>
  </w:style>
  <w:style w:type="character" w:styleId="Hyperlink">
    <w:name w:val="Hyperlink"/>
    <w:basedOn w:val="DefaultParagraphFont"/>
    <w:unhideWhenUsed/>
    <w:rsid w:val="00821C17"/>
    <w:rPr>
      <w:color w:val="0000FF" w:themeColor="hyperlink"/>
      <w:u w:val="single"/>
    </w:rPr>
  </w:style>
  <w:style w:type="character" w:styleId="FollowedHyperlink">
    <w:name w:val="FollowedHyperlink"/>
    <w:basedOn w:val="DefaultParagraphFont"/>
    <w:uiPriority w:val="99"/>
    <w:semiHidden/>
    <w:unhideWhenUsed/>
    <w:rsid w:val="00821C17"/>
    <w:rPr>
      <w:color w:val="800080" w:themeColor="followedHyperlink"/>
      <w:u w:val="single"/>
    </w:rPr>
  </w:style>
  <w:style w:type="paragraph" w:customStyle="1" w:styleId="Table-bodytext">
    <w:name w:val="Table - body text"/>
    <w:basedOn w:val="Normal"/>
    <w:link w:val="Table-bodytextChar"/>
    <w:rsid w:val="00821C17"/>
    <w:pPr>
      <w:spacing w:after="0"/>
      <w:jc w:val="center"/>
    </w:pPr>
    <w:rPr>
      <w:rFonts w:ascii="Times New Roman" w:eastAsia="Times New Roman" w:hAnsi="Times New Roman" w:cs="Arial"/>
      <w:sz w:val="20"/>
      <w:lang w:eastAsia="en-US"/>
    </w:rPr>
  </w:style>
  <w:style w:type="character" w:customStyle="1" w:styleId="Table-bodytextChar">
    <w:name w:val="Table - body text Char"/>
    <w:basedOn w:val="DefaultParagraphFont"/>
    <w:link w:val="Table-bodytext"/>
    <w:rsid w:val="00821C17"/>
    <w:rPr>
      <w:rFonts w:eastAsia="Times New Roman" w:cs="Arial"/>
      <w:sz w:val="20"/>
      <w:szCs w:val="24"/>
    </w:rPr>
  </w:style>
  <w:style w:type="paragraph" w:customStyle="1" w:styleId="Table-columnheadings">
    <w:name w:val="Table - column headings"/>
    <w:basedOn w:val="Table-bodytext"/>
    <w:rsid w:val="00821C17"/>
    <w:pPr>
      <w:keepNext/>
    </w:pPr>
    <w:rPr>
      <w:b/>
      <w:bCs/>
    </w:rPr>
  </w:style>
  <w:style w:type="paragraph" w:customStyle="1" w:styleId="Tabletext">
    <w:name w:val="Tabletext"/>
    <w:basedOn w:val="Normal"/>
    <w:rsid w:val="00821C17"/>
    <w:pPr>
      <w:spacing w:after="0"/>
    </w:pPr>
    <w:rPr>
      <w:rFonts w:ascii="Times New Roman" w:eastAsia="Times New Roman" w:hAnsi="Times New Roman" w:cs="Times New Roman"/>
      <w:sz w:val="20"/>
      <w:lang w:eastAsia="en-US"/>
    </w:rPr>
  </w:style>
  <w:style w:type="character" w:customStyle="1" w:styleId="apple-converted-space">
    <w:name w:val="apple-converted-space"/>
    <w:basedOn w:val="DefaultParagraphFont"/>
    <w:rsid w:val="00821C17"/>
  </w:style>
  <w:style w:type="character" w:customStyle="1" w:styleId="ref-journal">
    <w:name w:val="ref-journal"/>
    <w:basedOn w:val="DefaultParagraphFont"/>
    <w:rsid w:val="00821C17"/>
  </w:style>
  <w:style w:type="character" w:customStyle="1" w:styleId="ref-vol">
    <w:name w:val="ref-vol"/>
    <w:basedOn w:val="DefaultParagraphFont"/>
    <w:rsid w:val="00821C17"/>
  </w:style>
  <w:style w:type="paragraph" w:styleId="NormalWeb">
    <w:name w:val="Normal (Web)"/>
    <w:basedOn w:val="Normal"/>
    <w:uiPriority w:val="99"/>
    <w:semiHidden/>
    <w:unhideWhenUsed/>
    <w:rsid w:val="00821C17"/>
    <w:pPr>
      <w:spacing w:before="100" w:beforeAutospacing="1" w:after="100" w:afterAutospacing="1"/>
    </w:pPr>
    <w:rPr>
      <w:rFonts w:ascii="Times New Roman" w:eastAsiaTheme="minorHAnsi" w:hAnsi="Times New Roman" w:cs="Times New Roman"/>
    </w:rPr>
  </w:style>
  <w:style w:type="character" w:styleId="PlaceholderText">
    <w:name w:val="Placeholder Text"/>
    <w:basedOn w:val="DefaultParagraphFont"/>
    <w:uiPriority w:val="99"/>
    <w:semiHidden/>
    <w:rsid w:val="001E4637"/>
    <w:rPr>
      <w:color w:val="808080"/>
    </w:rPr>
  </w:style>
  <w:style w:type="paragraph" w:customStyle="1" w:styleId="TableText0">
    <w:name w:val="Table Text"/>
    <w:basedOn w:val="Normal"/>
    <w:link w:val="TableTextChar"/>
    <w:qFormat/>
    <w:rsid w:val="00125BF6"/>
    <w:pPr>
      <w:spacing w:before="60" w:after="60"/>
    </w:pPr>
    <w:rPr>
      <w:rFonts w:ascii="Arial" w:eastAsia="Times New Roman" w:hAnsi="Arial" w:cs="Times New Roman"/>
      <w:sz w:val="18"/>
      <w:szCs w:val="20"/>
    </w:rPr>
  </w:style>
  <w:style w:type="paragraph" w:customStyle="1" w:styleId="Quote1">
    <w:name w:val="Quote1"/>
    <w:basedOn w:val="Normal"/>
    <w:autoRedefine/>
    <w:rsid w:val="008D7A27"/>
    <w:pPr>
      <w:autoSpaceDE w:val="0"/>
      <w:autoSpaceDN w:val="0"/>
      <w:adjustRightInd w:val="0"/>
      <w:spacing w:after="0"/>
      <w:ind w:left="432"/>
    </w:pPr>
    <w:rPr>
      <w:rFonts w:ascii="Times New (W1)" w:eastAsia="Times New Roman" w:hAnsi="Times New (W1)" w:cs="Times New Roman"/>
      <w:i/>
      <w:sz w:val="22"/>
      <w:lang w:val="en-US" w:eastAsia="en-US"/>
    </w:rPr>
  </w:style>
  <w:style w:type="character" w:styleId="Strong">
    <w:name w:val="Strong"/>
    <w:basedOn w:val="DefaultParagraphFont"/>
    <w:uiPriority w:val="22"/>
    <w:qFormat/>
    <w:rsid w:val="007260F5"/>
    <w:rPr>
      <w:b/>
      <w:bCs/>
    </w:rPr>
  </w:style>
  <w:style w:type="character" w:customStyle="1" w:styleId="cit">
    <w:name w:val="cit"/>
    <w:basedOn w:val="DefaultParagraphFont"/>
    <w:rsid w:val="00F55148"/>
  </w:style>
  <w:style w:type="character" w:customStyle="1" w:styleId="doi">
    <w:name w:val="doi"/>
    <w:basedOn w:val="DefaultParagraphFont"/>
    <w:rsid w:val="00F55148"/>
  </w:style>
  <w:style w:type="character" w:customStyle="1" w:styleId="fm-reuse">
    <w:name w:val="fm-reuse"/>
    <w:basedOn w:val="DefaultParagraphFont"/>
    <w:rsid w:val="00F55148"/>
  </w:style>
  <w:style w:type="paragraph" w:customStyle="1" w:styleId="contribs">
    <w:name w:val="contribs"/>
    <w:basedOn w:val="Normal"/>
    <w:rsid w:val="00F55148"/>
    <w:pPr>
      <w:spacing w:before="100" w:beforeAutospacing="1" w:after="100" w:afterAutospacing="1"/>
    </w:pPr>
    <w:rPr>
      <w:rFonts w:ascii="Times New Roman" w:eastAsia="Times New Roman" w:hAnsi="Times New Roman" w:cs="Times New Roman"/>
    </w:rPr>
  </w:style>
  <w:style w:type="character" w:customStyle="1" w:styleId="fm-role">
    <w:name w:val="fm-role"/>
    <w:basedOn w:val="DefaultParagraphFont"/>
    <w:rsid w:val="00F55148"/>
  </w:style>
  <w:style w:type="paragraph" w:customStyle="1" w:styleId="fm-aai">
    <w:name w:val="fm-aai"/>
    <w:basedOn w:val="Normal"/>
    <w:rsid w:val="00F55148"/>
    <w:pPr>
      <w:spacing w:before="100" w:beforeAutospacing="1" w:after="100" w:afterAutospacing="1"/>
    </w:pPr>
    <w:rPr>
      <w:rFonts w:ascii="Times New Roman" w:eastAsia="Times New Roman" w:hAnsi="Times New Roman" w:cs="Times New Roman"/>
    </w:rPr>
  </w:style>
  <w:style w:type="paragraph" w:customStyle="1" w:styleId="p">
    <w:name w:val="p"/>
    <w:basedOn w:val="Normal"/>
    <w:rsid w:val="00F55148"/>
    <w:pPr>
      <w:spacing w:before="100" w:beforeAutospacing="1" w:after="100" w:afterAutospacing="1"/>
    </w:pPr>
    <w:rPr>
      <w:rFonts w:ascii="Times New Roman" w:eastAsia="Times New Roman" w:hAnsi="Times New Roman" w:cs="Times New Roman"/>
    </w:rPr>
  </w:style>
  <w:style w:type="character" w:customStyle="1" w:styleId="kwd-text">
    <w:name w:val="kwd-text"/>
    <w:basedOn w:val="DefaultParagraphFont"/>
    <w:rsid w:val="00F55148"/>
  </w:style>
  <w:style w:type="character" w:customStyle="1" w:styleId="underline">
    <w:name w:val="underline"/>
    <w:basedOn w:val="DefaultParagraphFont"/>
    <w:rsid w:val="00F55148"/>
  </w:style>
  <w:style w:type="character" w:styleId="Emphasis">
    <w:name w:val="Emphasis"/>
    <w:basedOn w:val="DefaultParagraphFont"/>
    <w:uiPriority w:val="20"/>
    <w:qFormat/>
    <w:rsid w:val="00F55148"/>
    <w:rPr>
      <w:i/>
      <w:iCs/>
    </w:rPr>
  </w:style>
  <w:style w:type="character" w:customStyle="1" w:styleId="figpopup-sensitive-area">
    <w:name w:val="figpopup-sensitive-area"/>
    <w:basedOn w:val="DefaultParagraphFont"/>
    <w:rsid w:val="00F55148"/>
  </w:style>
  <w:style w:type="paragraph" w:customStyle="1" w:styleId="fn">
    <w:name w:val="fn"/>
    <w:basedOn w:val="Normal"/>
    <w:rsid w:val="00F55148"/>
    <w:pPr>
      <w:spacing w:before="100" w:beforeAutospacing="1" w:after="100" w:afterAutospacing="1"/>
    </w:pPr>
    <w:rPr>
      <w:rFonts w:ascii="Times New Roman" w:eastAsia="Times New Roman" w:hAnsi="Times New Roman" w:cs="Times New Roman"/>
    </w:rPr>
  </w:style>
  <w:style w:type="character" w:customStyle="1" w:styleId="fm-affl">
    <w:name w:val="fm-affl"/>
    <w:basedOn w:val="DefaultParagraphFont"/>
    <w:rsid w:val="00F55148"/>
  </w:style>
  <w:style w:type="character" w:customStyle="1" w:styleId="fm-citation-ids-label">
    <w:name w:val="fm-citation-ids-label"/>
    <w:basedOn w:val="DefaultParagraphFont"/>
    <w:rsid w:val="00F55148"/>
  </w:style>
  <w:style w:type="character" w:customStyle="1" w:styleId="contrib-email">
    <w:name w:val="contrib-email"/>
    <w:basedOn w:val="DefaultParagraphFont"/>
    <w:rsid w:val="00F55148"/>
  </w:style>
  <w:style w:type="character" w:customStyle="1" w:styleId="element-citation">
    <w:name w:val="element-citation"/>
    <w:basedOn w:val="DefaultParagraphFont"/>
    <w:rsid w:val="00F55148"/>
  </w:style>
  <w:style w:type="character" w:customStyle="1" w:styleId="nowrap">
    <w:name w:val="nowrap"/>
    <w:basedOn w:val="DefaultParagraphFont"/>
    <w:rsid w:val="00F55148"/>
  </w:style>
  <w:style w:type="paragraph" w:styleId="EndnoteText">
    <w:name w:val="endnote text"/>
    <w:basedOn w:val="Normal"/>
    <w:link w:val="EndnoteTextChar"/>
    <w:uiPriority w:val="99"/>
    <w:semiHidden/>
    <w:unhideWhenUsed/>
    <w:rsid w:val="00C2756C"/>
    <w:pPr>
      <w:spacing w:after="0"/>
    </w:pPr>
    <w:rPr>
      <w:sz w:val="20"/>
      <w:szCs w:val="20"/>
    </w:rPr>
  </w:style>
  <w:style w:type="character" w:customStyle="1" w:styleId="EndnoteTextChar">
    <w:name w:val="Endnote Text Char"/>
    <w:basedOn w:val="DefaultParagraphFont"/>
    <w:link w:val="EndnoteText"/>
    <w:uiPriority w:val="99"/>
    <w:semiHidden/>
    <w:rsid w:val="00C2756C"/>
    <w:rPr>
      <w:rFonts w:asciiTheme="minorHAnsi" w:eastAsiaTheme="minorEastAsia" w:hAnsiTheme="minorHAnsi"/>
      <w:sz w:val="20"/>
      <w:szCs w:val="20"/>
      <w:lang w:eastAsia="en-AU"/>
    </w:rPr>
  </w:style>
  <w:style w:type="character" w:styleId="EndnoteReference">
    <w:name w:val="endnote reference"/>
    <w:basedOn w:val="DefaultParagraphFont"/>
    <w:uiPriority w:val="99"/>
    <w:semiHidden/>
    <w:unhideWhenUsed/>
    <w:rsid w:val="00C2756C"/>
    <w:rPr>
      <w:vertAlign w:val="superscript"/>
    </w:rPr>
  </w:style>
  <w:style w:type="character" w:customStyle="1" w:styleId="abbreviation">
    <w:name w:val="abbreviation"/>
    <w:basedOn w:val="DefaultParagraphFont"/>
    <w:rsid w:val="009C1E36"/>
  </w:style>
  <w:style w:type="paragraph" w:customStyle="1" w:styleId="li21">
    <w:name w:val="li2_1"/>
    <w:basedOn w:val="Normal"/>
    <w:rsid w:val="009C1E36"/>
    <w:pPr>
      <w:spacing w:before="100" w:beforeAutospacing="1" w:after="100" w:afterAutospacing="1"/>
    </w:pPr>
    <w:rPr>
      <w:rFonts w:ascii="Times New Roman" w:eastAsia="Times New Roman" w:hAnsi="Times New Roman" w:cs="Times New Roman"/>
    </w:rPr>
  </w:style>
  <w:style w:type="paragraph" w:customStyle="1" w:styleId="BodyText1">
    <w:name w:val="Body Text1"/>
    <w:basedOn w:val="Normal"/>
    <w:uiPriority w:val="1"/>
    <w:qFormat/>
    <w:rsid w:val="000254BD"/>
    <w:pPr>
      <w:spacing w:after="120" w:line="276" w:lineRule="auto"/>
    </w:pPr>
    <w:rPr>
      <w:rFonts w:ascii="Cambria" w:eastAsia="Times New Roman" w:hAnsi="Cambria" w:cs="Calibri"/>
      <w:noProof/>
      <w:lang w:eastAsia="en-US"/>
    </w:rPr>
  </w:style>
  <w:style w:type="character" w:customStyle="1" w:styleId="TablewritingChar">
    <w:name w:val="Table writing Char"/>
    <w:link w:val="Tablewriting"/>
    <w:rsid w:val="000254BD"/>
    <w:rPr>
      <w:rFonts w:asciiTheme="minorHAnsi" w:eastAsiaTheme="minorEastAsia" w:hAnsiTheme="minorHAnsi" w:cs="Calibri"/>
      <w:color w:val="000000"/>
      <w:sz w:val="20"/>
      <w:szCs w:val="20"/>
      <w:lang w:eastAsia="en-AU"/>
    </w:rPr>
  </w:style>
  <w:style w:type="character" w:customStyle="1" w:styleId="TableTextChar">
    <w:name w:val="Table Text Char"/>
    <w:link w:val="TableText0"/>
    <w:rsid w:val="006D3226"/>
    <w:rPr>
      <w:rFonts w:ascii="Arial" w:eastAsia="Times New Roman" w:hAnsi="Arial" w:cs="Times New Roman"/>
      <w:sz w:val="18"/>
      <w:szCs w:val="20"/>
      <w:lang w:eastAsia="en-AU"/>
    </w:rPr>
  </w:style>
  <w:style w:type="paragraph" w:styleId="Caption">
    <w:name w:val="caption"/>
    <w:aliases w:val="Bayer Caption,IB Caption,Medical Caption,Caption Char1 Char Char,Caption Char Char Char Char,Caption Char1 Char,Caption Char Char Char Char Char,Caption Char Char,Caption Char Char Char Char1,Caption Char1 Char1,Caption Char Char Char"/>
    <w:basedOn w:val="Normal"/>
    <w:next w:val="Normal"/>
    <w:link w:val="CaptionChar"/>
    <w:qFormat/>
    <w:rsid w:val="00912AC3"/>
    <w:pPr>
      <w:spacing w:before="120" w:after="120" w:line="360" w:lineRule="auto"/>
      <w:jc w:val="both"/>
    </w:pPr>
    <w:rPr>
      <w:rFonts w:ascii="Times New Roman" w:eastAsia="SimSun" w:hAnsi="Times New Roman" w:cs="Times New Roman"/>
      <w:b/>
      <w:bCs/>
      <w:sz w:val="22"/>
      <w:szCs w:val="20"/>
      <w:lang w:eastAsia="zh-CN"/>
    </w:rPr>
  </w:style>
  <w:style w:type="character" w:customStyle="1" w:styleId="CaptionChar">
    <w:name w:val="Caption Char"/>
    <w:aliases w:val="Bayer Caption Char,IB Caption Char,Medical Caption Char,Caption Char1 Char Char Char,Caption Char Char Char Char Char1,Caption Char1 Char Char1,Caption Char Char Char Char Char Char,Caption Char Char Char1,Caption Char Char Char Char1 Char"/>
    <w:basedOn w:val="DefaultParagraphFont"/>
    <w:link w:val="Caption"/>
    <w:rsid w:val="00912AC3"/>
    <w:rPr>
      <w:rFonts w:eastAsia="SimSun" w:cs="Times New Roman"/>
      <w:b/>
      <w:bCs/>
      <w:sz w:val="22"/>
      <w:szCs w:val="20"/>
      <w:lang w:eastAsia="zh-CN"/>
    </w:rPr>
  </w:style>
  <w:style w:type="paragraph" w:styleId="Revision">
    <w:name w:val="Revision"/>
    <w:hidden/>
    <w:uiPriority w:val="99"/>
    <w:semiHidden/>
    <w:rsid w:val="000E0A13"/>
    <w:pPr>
      <w:spacing w:after="0" w:line="240" w:lineRule="auto"/>
    </w:pPr>
    <w:rPr>
      <w:rFonts w:asciiTheme="minorHAnsi" w:eastAsiaTheme="minorEastAsia" w:hAnsiTheme="minorHAnsi"/>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17"/>
    <w:pPr>
      <w:spacing w:line="240" w:lineRule="auto"/>
    </w:pPr>
    <w:rPr>
      <w:rFonts w:asciiTheme="minorHAnsi" w:eastAsiaTheme="minorEastAsia" w:hAnsiTheme="minorHAnsi"/>
      <w:szCs w:val="24"/>
      <w:lang w:eastAsia="en-AU"/>
    </w:rPr>
  </w:style>
  <w:style w:type="paragraph" w:styleId="Heading1">
    <w:name w:val="heading 1"/>
    <w:basedOn w:val="Normal"/>
    <w:next w:val="Normal"/>
    <w:link w:val="Heading1Char"/>
    <w:uiPriority w:val="9"/>
    <w:qFormat/>
    <w:rsid w:val="00821C17"/>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821C17"/>
    <w:pPr>
      <w:outlineLvl w:val="1"/>
    </w:pPr>
    <w:rPr>
      <w:i w:val="0"/>
      <w:sz w:val="24"/>
      <w:szCs w:val="24"/>
    </w:rPr>
  </w:style>
  <w:style w:type="paragraph" w:styleId="Heading3">
    <w:name w:val="heading 3"/>
    <w:basedOn w:val="Normal"/>
    <w:next w:val="Normal"/>
    <w:link w:val="Heading3Char"/>
    <w:uiPriority w:val="9"/>
    <w:unhideWhenUsed/>
    <w:qFormat/>
    <w:rsid w:val="00821C17"/>
    <w:pPr>
      <w:spacing w:before="240"/>
      <w:outlineLvl w:val="2"/>
    </w:pPr>
    <w:rPr>
      <w:b/>
      <w:i/>
      <w:szCs w:val="28"/>
    </w:rPr>
  </w:style>
  <w:style w:type="paragraph" w:styleId="Heading4">
    <w:name w:val="heading 4"/>
    <w:basedOn w:val="Heading3"/>
    <w:next w:val="Normal"/>
    <w:link w:val="Heading4Char"/>
    <w:uiPriority w:val="9"/>
    <w:unhideWhenUsed/>
    <w:qFormat/>
    <w:rsid w:val="00821C17"/>
    <w:pPr>
      <w:outlineLvl w:val="3"/>
    </w:pPr>
    <w:rPr>
      <w:sz w:val="32"/>
      <w:szCs w:val="32"/>
    </w:rPr>
  </w:style>
  <w:style w:type="paragraph" w:styleId="Heading5">
    <w:name w:val="heading 5"/>
    <w:basedOn w:val="Normal"/>
    <w:next w:val="Normal"/>
    <w:link w:val="Heading5Char"/>
    <w:uiPriority w:val="9"/>
    <w:unhideWhenUsed/>
    <w:qFormat/>
    <w:rsid w:val="00821C17"/>
    <w:pPr>
      <w:keepNext/>
      <w:keepLines/>
      <w:spacing w:before="240"/>
      <w:outlineLvl w:val="4"/>
    </w:pPr>
    <w:rPr>
      <w:rFonts w:eastAsiaTheme="majorEastAsia" w:cstheme="majorBidi"/>
    </w:rPr>
  </w:style>
  <w:style w:type="paragraph" w:styleId="Heading6">
    <w:name w:val="heading 6"/>
    <w:basedOn w:val="Normal"/>
    <w:next w:val="Normal"/>
    <w:link w:val="Heading6Char"/>
    <w:uiPriority w:val="9"/>
    <w:unhideWhenUsed/>
    <w:qFormat/>
    <w:rsid w:val="00821C17"/>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C17"/>
    <w:rPr>
      <w:rFonts w:asciiTheme="minorHAnsi" w:eastAsiaTheme="majorEastAsia" w:hAnsiTheme="minorHAnsi" w:cstheme="majorBidi"/>
      <w:b/>
      <w:bCs/>
      <w:sz w:val="40"/>
      <w:szCs w:val="28"/>
      <w:lang w:eastAsia="en-AU"/>
    </w:rPr>
  </w:style>
  <w:style w:type="character" w:customStyle="1" w:styleId="Heading2Char">
    <w:name w:val="Heading 2 Char"/>
    <w:basedOn w:val="DefaultParagraphFont"/>
    <w:link w:val="Heading2"/>
    <w:uiPriority w:val="9"/>
    <w:rsid w:val="00821C17"/>
    <w:rPr>
      <w:rFonts w:asciiTheme="minorHAnsi" w:eastAsiaTheme="minorEastAsia" w:hAnsiTheme="minorHAnsi"/>
      <w:b/>
      <w:szCs w:val="24"/>
      <w:lang w:eastAsia="en-AU"/>
    </w:rPr>
  </w:style>
  <w:style w:type="character" w:customStyle="1" w:styleId="Heading3Char">
    <w:name w:val="Heading 3 Char"/>
    <w:basedOn w:val="DefaultParagraphFont"/>
    <w:link w:val="Heading3"/>
    <w:uiPriority w:val="9"/>
    <w:rsid w:val="00821C17"/>
    <w:rPr>
      <w:rFonts w:asciiTheme="minorHAnsi" w:eastAsiaTheme="minorEastAsia" w:hAnsiTheme="minorHAnsi"/>
      <w:b/>
      <w:i/>
      <w:szCs w:val="28"/>
      <w:lang w:eastAsia="en-AU"/>
    </w:rPr>
  </w:style>
  <w:style w:type="character" w:customStyle="1" w:styleId="Heading4Char">
    <w:name w:val="Heading 4 Char"/>
    <w:basedOn w:val="DefaultParagraphFont"/>
    <w:link w:val="Heading4"/>
    <w:uiPriority w:val="9"/>
    <w:rsid w:val="00821C17"/>
    <w:rPr>
      <w:rFonts w:asciiTheme="minorHAnsi" w:eastAsiaTheme="minorEastAsia" w:hAnsiTheme="minorHAnsi"/>
      <w:b/>
      <w:i/>
      <w:sz w:val="32"/>
      <w:szCs w:val="32"/>
      <w:lang w:eastAsia="en-AU"/>
    </w:rPr>
  </w:style>
  <w:style w:type="character" w:customStyle="1" w:styleId="Heading5Char">
    <w:name w:val="Heading 5 Char"/>
    <w:basedOn w:val="DefaultParagraphFont"/>
    <w:link w:val="Heading5"/>
    <w:uiPriority w:val="9"/>
    <w:rsid w:val="00821C17"/>
    <w:rPr>
      <w:rFonts w:asciiTheme="minorHAnsi" w:eastAsiaTheme="majorEastAsia" w:hAnsiTheme="minorHAnsi" w:cstheme="majorBidi"/>
      <w:szCs w:val="24"/>
      <w:lang w:eastAsia="en-AU"/>
    </w:rPr>
  </w:style>
  <w:style w:type="character" w:customStyle="1" w:styleId="Heading6Char">
    <w:name w:val="Heading 6 Char"/>
    <w:basedOn w:val="DefaultParagraphFont"/>
    <w:link w:val="Heading6"/>
    <w:uiPriority w:val="9"/>
    <w:rsid w:val="00821C17"/>
    <w:rPr>
      <w:rFonts w:asciiTheme="majorHAnsi" w:eastAsiaTheme="majorEastAsia" w:hAnsiTheme="majorHAnsi" w:cstheme="majorBidi"/>
      <w:i/>
      <w:iCs/>
      <w:color w:val="243F60" w:themeColor="accent1" w:themeShade="7F"/>
      <w:sz w:val="22"/>
    </w:rPr>
  </w:style>
  <w:style w:type="paragraph" w:styleId="BalloonText">
    <w:name w:val="Balloon Text"/>
    <w:basedOn w:val="Normal"/>
    <w:link w:val="BalloonTextChar"/>
    <w:uiPriority w:val="99"/>
    <w:semiHidden/>
    <w:unhideWhenUsed/>
    <w:rsid w:val="00821C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17"/>
    <w:rPr>
      <w:rFonts w:ascii="Tahoma" w:eastAsiaTheme="minorEastAsia" w:hAnsi="Tahoma" w:cs="Tahoma"/>
      <w:sz w:val="16"/>
      <w:szCs w:val="16"/>
      <w:lang w:eastAsia="en-AU"/>
    </w:rPr>
  </w:style>
  <w:style w:type="character" w:styleId="CommentReference">
    <w:name w:val="annotation reference"/>
    <w:basedOn w:val="DefaultParagraphFont"/>
    <w:uiPriority w:val="99"/>
    <w:semiHidden/>
    <w:unhideWhenUsed/>
    <w:rsid w:val="00821C17"/>
    <w:rPr>
      <w:sz w:val="16"/>
      <w:szCs w:val="16"/>
    </w:rPr>
  </w:style>
  <w:style w:type="paragraph" w:styleId="CommentText">
    <w:name w:val="annotation text"/>
    <w:basedOn w:val="Normal"/>
    <w:link w:val="CommentTextChar"/>
    <w:uiPriority w:val="99"/>
    <w:semiHidden/>
    <w:unhideWhenUsed/>
    <w:rsid w:val="00821C17"/>
    <w:rPr>
      <w:sz w:val="20"/>
      <w:szCs w:val="20"/>
    </w:rPr>
  </w:style>
  <w:style w:type="character" w:customStyle="1" w:styleId="CommentTextChar">
    <w:name w:val="Comment Text Char"/>
    <w:basedOn w:val="DefaultParagraphFont"/>
    <w:link w:val="CommentText"/>
    <w:uiPriority w:val="99"/>
    <w:semiHidden/>
    <w:rsid w:val="00821C17"/>
    <w:rPr>
      <w:rFonts w:asciiTheme="minorHAnsi" w:eastAsiaTheme="minorEastAsia" w:hAnsi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821C17"/>
    <w:rPr>
      <w:b/>
      <w:bCs/>
    </w:rPr>
  </w:style>
  <w:style w:type="character" w:customStyle="1" w:styleId="CommentSubjectChar">
    <w:name w:val="Comment Subject Char"/>
    <w:basedOn w:val="CommentTextChar"/>
    <w:link w:val="CommentSubject"/>
    <w:uiPriority w:val="99"/>
    <w:semiHidden/>
    <w:rsid w:val="00821C17"/>
    <w:rPr>
      <w:rFonts w:asciiTheme="minorHAnsi" w:eastAsiaTheme="minorEastAsia" w:hAnsiTheme="minorHAnsi"/>
      <w:b/>
      <w:bCs/>
      <w:sz w:val="20"/>
      <w:szCs w:val="20"/>
      <w:lang w:eastAsia="en-AU"/>
    </w:rPr>
  </w:style>
  <w:style w:type="paragraph" w:styleId="Title">
    <w:name w:val="Title"/>
    <w:basedOn w:val="Normal"/>
    <w:next w:val="Normal"/>
    <w:link w:val="TitleChar"/>
    <w:uiPriority w:val="10"/>
    <w:qFormat/>
    <w:rsid w:val="00821C17"/>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821C17"/>
    <w:rPr>
      <w:rFonts w:asciiTheme="minorHAnsi" w:eastAsiaTheme="majorEastAsia" w:hAnsiTheme="minorHAnsi" w:cstheme="majorBidi"/>
      <w:b/>
      <w:spacing w:val="5"/>
      <w:kern w:val="28"/>
      <w:sz w:val="52"/>
      <w:szCs w:val="52"/>
      <w:lang w:eastAsia="en-AU"/>
    </w:rPr>
  </w:style>
  <w:style w:type="paragraph" w:styleId="Footer">
    <w:name w:val="footer"/>
    <w:basedOn w:val="Normal"/>
    <w:link w:val="FooterChar"/>
    <w:uiPriority w:val="99"/>
    <w:unhideWhenUsed/>
    <w:rsid w:val="00821C17"/>
    <w:pPr>
      <w:tabs>
        <w:tab w:val="center" w:pos="4320"/>
        <w:tab w:val="right" w:pos="8640"/>
      </w:tabs>
      <w:spacing w:after="0"/>
    </w:pPr>
  </w:style>
  <w:style w:type="character" w:customStyle="1" w:styleId="FooterChar">
    <w:name w:val="Footer Char"/>
    <w:basedOn w:val="DefaultParagraphFont"/>
    <w:link w:val="Footer"/>
    <w:uiPriority w:val="99"/>
    <w:rsid w:val="00821C17"/>
    <w:rPr>
      <w:rFonts w:asciiTheme="minorHAnsi" w:eastAsiaTheme="minorEastAsia" w:hAnsiTheme="minorHAnsi"/>
      <w:szCs w:val="24"/>
      <w:lang w:eastAsia="en-AU"/>
    </w:rPr>
  </w:style>
  <w:style w:type="character" w:styleId="PageNumber">
    <w:name w:val="page number"/>
    <w:basedOn w:val="DefaultParagraphFont"/>
    <w:uiPriority w:val="99"/>
    <w:semiHidden/>
    <w:unhideWhenUsed/>
    <w:rsid w:val="00821C17"/>
  </w:style>
  <w:style w:type="paragraph" w:styleId="Header">
    <w:name w:val="header"/>
    <w:basedOn w:val="Normal"/>
    <w:link w:val="HeaderChar"/>
    <w:uiPriority w:val="99"/>
    <w:unhideWhenUsed/>
    <w:rsid w:val="00821C17"/>
    <w:pPr>
      <w:tabs>
        <w:tab w:val="center" w:pos="4320"/>
        <w:tab w:val="right" w:pos="8640"/>
      </w:tabs>
      <w:spacing w:after="0"/>
    </w:pPr>
  </w:style>
  <w:style w:type="character" w:customStyle="1" w:styleId="HeaderChar">
    <w:name w:val="Header Char"/>
    <w:basedOn w:val="DefaultParagraphFont"/>
    <w:link w:val="Header"/>
    <w:uiPriority w:val="99"/>
    <w:rsid w:val="00821C17"/>
    <w:rPr>
      <w:rFonts w:asciiTheme="minorHAnsi" w:eastAsiaTheme="minorEastAsia" w:hAnsiTheme="minorHAnsi"/>
      <w:szCs w:val="24"/>
      <w:lang w:eastAsia="en-AU"/>
    </w:rPr>
  </w:style>
  <w:style w:type="paragraph" w:styleId="DocumentMap">
    <w:name w:val="Document Map"/>
    <w:basedOn w:val="Normal"/>
    <w:link w:val="DocumentMapChar"/>
    <w:uiPriority w:val="99"/>
    <w:semiHidden/>
    <w:unhideWhenUsed/>
    <w:rsid w:val="00821C1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21C17"/>
    <w:rPr>
      <w:rFonts w:ascii="Lucida Grande" w:eastAsiaTheme="minorEastAsia" w:hAnsi="Lucida Grande" w:cs="Lucida Grande"/>
      <w:szCs w:val="24"/>
      <w:lang w:eastAsia="en-AU"/>
    </w:rPr>
  </w:style>
  <w:style w:type="table" w:styleId="TableGrid">
    <w:name w:val="Table Grid"/>
    <w:basedOn w:val="TableNormal"/>
    <w:rsid w:val="00821C17"/>
    <w:pPr>
      <w:spacing w:after="0" w:line="240" w:lineRule="auto"/>
    </w:pPr>
    <w:rPr>
      <w:rFonts w:asciiTheme="minorHAnsi" w:eastAsiaTheme="minorEastAsia" w:hAnsiTheme="minorHAnsi"/>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link w:val="TablewritingChar"/>
    <w:qFormat/>
    <w:rsid w:val="00821C17"/>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821C17"/>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21C17"/>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821C17"/>
    <w:rPr>
      <w:rFonts w:cs="Baskerville"/>
      <w:sz w:val="20"/>
      <w:szCs w:val="20"/>
    </w:rPr>
  </w:style>
  <w:style w:type="paragraph" w:customStyle="1" w:styleId="Tabletitle">
    <w:name w:val="Table title"/>
    <w:basedOn w:val="Heading4"/>
    <w:link w:val="TabletitleChar"/>
    <w:qFormat/>
    <w:rsid w:val="00821C17"/>
    <w:pPr>
      <w:spacing w:after="20"/>
    </w:pPr>
    <w:rPr>
      <w:szCs w:val="24"/>
    </w:rPr>
  </w:style>
  <w:style w:type="paragraph" w:customStyle="1" w:styleId="Figurecaption">
    <w:name w:val="Figure caption"/>
    <w:basedOn w:val="Normal"/>
    <w:link w:val="FigurecaptionChar"/>
    <w:qFormat/>
    <w:rsid w:val="00821C17"/>
    <w:pPr>
      <w:spacing w:before="60" w:after="60"/>
    </w:pPr>
    <w:rPr>
      <w:sz w:val="20"/>
      <w:szCs w:val="20"/>
      <w:lang w:eastAsia="en-US"/>
    </w:rPr>
  </w:style>
  <w:style w:type="character" w:customStyle="1" w:styleId="FigurecaptionChar">
    <w:name w:val="Figure caption Char"/>
    <w:basedOn w:val="DefaultParagraphFont"/>
    <w:link w:val="Figurecaption"/>
    <w:rsid w:val="00821C17"/>
    <w:rPr>
      <w:rFonts w:asciiTheme="minorHAnsi" w:eastAsiaTheme="minorEastAsia" w:hAnsiTheme="minorHAnsi"/>
      <w:sz w:val="20"/>
      <w:szCs w:val="20"/>
    </w:rPr>
  </w:style>
  <w:style w:type="paragraph" w:styleId="FootnoteText">
    <w:name w:val="footnote text"/>
    <w:basedOn w:val="Normal"/>
    <w:link w:val="FootnoteTextChar"/>
    <w:uiPriority w:val="99"/>
    <w:unhideWhenUsed/>
    <w:rsid w:val="00821C17"/>
    <w:pPr>
      <w:spacing w:after="0"/>
    </w:pPr>
    <w:rPr>
      <w:sz w:val="18"/>
      <w:szCs w:val="20"/>
    </w:rPr>
  </w:style>
  <w:style w:type="character" w:customStyle="1" w:styleId="FootnoteTextChar">
    <w:name w:val="Footnote Text Char"/>
    <w:basedOn w:val="DefaultParagraphFont"/>
    <w:link w:val="FootnoteText"/>
    <w:uiPriority w:val="99"/>
    <w:rsid w:val="00821C17"/>
    <w:rPr>
      <w:rFonts w:asciiTheme="minorHAnsi" w:eastAsiaTheme="minorEastAsia" w:hAnsiTheme="minorHAnsi"/>
      <w:sz w:val="18"/>
      <w:szCs w:val="20"/>
      <w:lang w:eastAsia="en-AU"/>
    </w:rPr>
  </w:style>
  <w:style w:type="character" w:styleId="FootnoteReference">
    <w:name w:val="footnote reference"/>
    <w:basedOn w:val="DefaultParagraphFont"/>
    <w:unhideWhenUsed/>
    <w:rsid w:val="00821C17"/>
    <w:rPr>
      <w:vertAlign w:val="superscript"/>
    </w:rPr>
  </w:style>
  <w:style w:type="character" w:customStyle="1" w:styleId="TabletitleChar">
    <w:name w:val="Table title Char"/>
    <w:basedOn w:val="Heading4Char"/>
    <w:link w:val="Tabletitle"/>
    <w:rsid w:val="00821C17"/>
    <w:rPr>
      <w:rFonts w:asciiTheme="minorHAnsi" w:eastAsiaTheme="minorEastAsia" w:hAnsiTheme="minorHAnsi"/>
      <w:b/>
      <w:i/>
      <w:sz w:val="32"/>
      <w:szCs w:val="24"/>
      <w:lang w:eastAsia="en-AU"/>
    </w:rPr>
  </w:style>
  <w:style w:type="paragraph" w:customStyle="1" w:styleId="Figuretitle">
    <w:name w:val="Figure title"/>
    <w:basedOn w:val="Tabletitle"/>
    <w:link w:val="FiguretitleChar"/>
    <w:qFormat/>
    <w:rsid w:val="00821C17"/>
    <w:pPr>
      <w:spacing w:before="60" w:after="60"/>
    </w:pPr>
    <w:rPr>
      <w:i w:val="0"/>
      <w:lang w:val="en-US"/>
    </w:rPr>
  </w:style>
  <w:style w:type="character" w:customStyle="1" w:styleId="FiguretitleChar">
    <w:name w:val="Figure title Char"/>
    <w:basedOn w:val="TabletitleChar"/>
    <w:link w:val="Figuretitle"/>
    <w:rsid w:val="00821C17"/>
    <w:rPr>
      <w:rFonts w:asciiTheme="minorHAnsi" w:eastAsiaTheme="minorEastAsia" w:hAnsiTheme="minorHAnsi"/>
      <w:b/>
      <w:i w:val="0"/>
      <w:sz w:val="32"/>
      <w:szCs w:val="24"/>
      <w:lang w:val="en-US" w:eastAsia="en-AU"/>
    </w:rPr>
  </w:style>
  <w:style w:type="paragraph" w:styleId="NoSpacing">
    <w:name w:val="No Spacing"/>
    <w:uiPriority w:val="1"/>
    <w:qFormat/>
    <w:rsid w:val="00821C17"/>
    <w:pPr>
      <w:spacing w:after="0" w:line="240" w:lineRule="auto"/>
    </w:pPr>
    <w:rPr>
      <w:rFonts w:asciiTheme="minorHAnsi" w:eastAsiaTheme="minorEastAsia" w:hAnsiTheme="minorHAnsi"/>
      <w:szCs w:val="24"/>
      <w:lang w:eastAsia="en-AU"/>
    </w:rPr>
  </w:style>
  <w:style w:type="paragraph" w:styleId="ListParagraph">
    <w:name w:val="List Paragraph"/>
    <w:basedOn w:val="Normal"/>
    <w:uiPriority w:val="34"/>
    <w:qFormat/>
    <w:rsid w:val="00821C17"/>
    <w:pPr>
      <w:ind w:left="720"/>
      <w:contextualSpacing/>
    </w:pPr>
  </w:style>
  <w:style w:type="character" w:styleId="Hyperlink">
    <w:name w:val="Hyperlink"/>
    <w:basedOn w:val="DefaultParagraphFont"/>
    <w:unhideWhenUsed/>
    <w:rsid w:val="00821C17"/>
    <w:rPr>
      <w:color w:val="0000FF" w:themeColor="hyperlink"/>
      <w:u w:val="single"/>
    </w:rPr>
  </w:style>
  <w:style w:type="character" w:styleId="FollowedHyperlink">
    <w:name w:val="FollowedHyperlink"/>
    <w:basedOn w:val="DefaultParagraphFont"/>
    <w:uiPriority w:val="99"/>
    <w:semiHidden/>
    <w:unhideWhenUsed/>
    <w:rsid w:val="00821C17"/>
    <w:rPr>
      <w:color w:val="800080" w:themeColor="followedHyperlink"/>
      <w:u w:val="single"/>
    </w:rPr>
  </w:style>
  <w:style w:type="paragraph" w:customStyle="1" w:styleId="Table-bodytext">
    <w:name w:val="Table - body text"/>
    <w:basedOn w:val="Normal"/>
    <w:link w:val="Table-bodytextChar"/>
    <w:rsid w:val="00821C17"/>
    <w:pPr>
      <w:spacing w:after="0"/>
      <w:jc w:val="center"/>
    </w:pPr>
    <w:rPr>
      <w:rFonts w:ascii="Times New Roman" w:eastAsia="Times New Roman" w:hAnsi="Times New Roman" w:cs="Arial"/>
      <w:sz w:val="20"/>
      <w:lang w:eastAsia="en-US"/>
    </w:rPr>
  </w:style>
  <w:style w:type="character" w:customStyle="1" w:styleId="Table-bodytextChar">
    <w:name w:val="Table - body text Char"/>
    <w:basedOn w:val="DefaultParagraphFont"/>
    <w:link w:val="Table-bodytext"/>
    <w:rsid w:val="00821C17"/>
    <w:rPr>
      <w:rFonts w:eastAsia="Times New Roman" w:cs="Arial"/>
      <w:sz w:val="20"/>
      <w:szCs w:val="24"/>
    </w:rPr>
  </w:style>
  <w:style w:type="paragraph" w:customStyle="1" w:styleId="Table-columnheadings">
    <w:name w:val="Table - column headings"/>
    <w:basedOn w:val="Table-bodytext"/>
    <w:rsid w:val="00821C17"/>
    <w:pPr>
      <w:keepNext/>
    </w:pPr>
    <w:rPr>
      <w:b/>
      <w:bCs/>
    </w:rPr>
  </w:style>
  <w:style w:type="paragraph" w:customStyle="1" w:styleId="Tabletext">
    <w:name w:val="Tabletext"/>
    <w:basedOn w:val="Normal"/>
    <w:rsid w:val="00821C17"/>
    <w:pPr>
      <w:spacing w:after="0"/>
    </w:pPr>
    <w:rPr>
      <w:rFonts w:ascii="Times New Roman" w:eastAsia="Times New Roman" w:hAnsi="Times New Roman" w:cs="Times New Roman"/>
      <w:sz w:val="20"/>
      <w:lang w:eastAsia="en-US"/>
    </w:rPr>
  </w:style>
  <w:style w:type="character" w:customStyle="1" w:styleId="apple-converted-space">
    <w:name w:val="apple-converted-space"/>
    <w:basedOn w:val="DefaultParagraphFont"/>
    <w:rsid w:val="00821C17"/>
  </w:style>
  <w:style w:type="character" w:customStyle="1" w:styleId="ref-journal">
    <w:name w:val="ref-journal"/>
    <w:basedOn w:val="DefaultParagraphFont"/>
    <w:rsid w:val="00821C17"/>
  </w:style>
  <w:style w:type="character" w:customStyle="1" w:styleId="ref-vol">
    <w:name w:val="ref-vol"/>
    <w:basedOn w:val="DefaultParagraphFont"/>
    <w:rsid w:val="00821C17"/>
  </w:style>
  <w:style w:type="paragraph" w:styleId="NormalWeb">
    <w:name w:val="Normal (Web)"/>
    <w:basedOn w:val="Normal"/>
    <w:uiPriority w:val="99"/>
    <w:semiHidden/>
    <w:unhideWhenUsed/>
    <w:rsid w:val="00821C17"/>
    <w:pPr>
      <w:spacing w:before="100" w:beforeAutospacing="1" w:after="100" w:afterAutospacing="1"/>
    </w:pPr>
    <w:rPr>
      <w:rFonts w:ascii="Times New Roman" w:eastAsiaTheme="minorHAnsi" w:hAnsi="Times New Roman" w:cs="Times New Roman"/>
    </w:rPr>
  </w:style>
  <w:style w:type="character" w:styleId="PlaceholderText">
    <w:name w:val="Placeholder Text"/>
    <w:basedOn w:val="DefaultParagraphFont"/>
    <w:uiPriority w:val="99"/>
    <w:semiHidden/>
    <w:rsid w:val="001E4637"/>
    <w:rPr>
      <w:color w:val="808080"/>
    </w:rPr>
  </w:style>
  <w:style w:type="paragraph" w:customStyle="1" w:styleId="TableText0">
    <w:name w:val="Table Text"/>
    <w:basedOn w:val="Normal"/>
    <w:link w:val="TableTextChar"/>
    <w:qFormat/>
    <w:rsid w:val="00125BF6"/>
    <w:pPr>
      <w:spacing w:before="60" w:after="60"/>
    </w:pPr>
    <w:rPr>
      <w:rFonts w:ascii="Arial" w:eastAsia="Times New Roman" w:hAnsi="Arial" w:cs="Times New Roman"/>
      <w:sz w:val="18"/>
      <w:szCs w:val="20"/>
    </w:rPr>
  </w:style>
  <w:style w:type="paragraph" w:customStyle="1" w:styleId="Quote1">
    <w:name w:val="Quote1"/>
    <w:basedOn w:val="Normal"/>
    <w:autoRedefine/>
    <w:rsid w:val="008D7A27"/>
    <w:pPr>
      <w:autoSpaceDE w:val="0"/>
      <w:autoSpaceDN w:val="0"/>
      <w:adjustRightInd w:val="0"/>
      <w:spacing w:after="0"/>
      <w:ind w:left="432"/>
    </w:pPr>
    <w:rPr>
      <w:rFonts w:ascii="Times New (W1)" w:eastAsia="Times New Roman" w:hAnsi="Times New (W1)" w:cs="Times New Roman"/>
      <w:i/>
      <w:sz w:val="22"/>
      <w:lang w:val="en-US" w:eastAsia="en-US"/>
    </w:rPr>
  </w:style>
  <w:style w:type="character" w:styleId="Strong">
    <w:name w:val="Strong"/>
    <w:basedOn w:val="DefaultParagraphFont"/>
    <w:uiPriority w:val="22"/>
    <w:qFormat/>
    <w:rsid w:val="007260F5"/>
    <w:rPr>
      <w:b/>
      <w:bCs/>
    </w:rPr>
  </w:style>
  <w:style w:type="character" w:customStyle="1" w:styleId="cit">
    <w:name w:val="cit"/>
    <w:basedOn w:val="DefaultParagraphFont"/>
    <w:rsid w:val="00F55148"/>
  </w:style>
  <w:style w:type="character" w:customStyle="1" w:styleId="doi">
    <w:name w:val="doi"/>
    <w:basedOn w:val="DefaultParagraphFont"/>
    <w:rsid w:val="00F55148"/>
  </w:style>
  <w:style w:type="character" w:customStyle="1" w:styleId="fm-reuse">
    <w:name w:val="fm-reuse"/>
    <w:basedOn w:val="DefaultParagraphFont"/>
    <w:rsid w:val="00F55148"/>
  </w:style>
  <w:style w:type="paragraph" w:customStyle="1" w:styleId="contribs">
    <w:name w:val="contribs"/>
    <w:basedOn w:val="Normal"/>
    <w:rsid w:val="00F55148"/>
    <w:pPr>
      <w:spacing w:before="100" w:beforeAutospacing="1" w:after="100" w:afterAutospacing="1"/>
    </w:pPr>
    <w:rPr>
      <w:rFonts w:ascii="Times New Roman" w:eastAsia="Times New Roman" w:hAnsi="Times New Roman" w:cs="Times New Roman"/>
    </w:rPr>
  </w:style>
  <w:style w:type="character" w:customStyle="1" w:styleId="fm-role">
    <w:name w:val="fm-role"/>
    <w:basedOn w:val="DefaultParagraphFont"/>
    <w:rsid w:val="00F55148"/>
  </w:style>
  <w:style w:type="paragraph" w:customStyle="1" w:styleId="fm-aai">
    <w:name w:val="fm-aai"/>
    <w:basedOn w:val="Normal"/>
    <w:rsid w:val="00F55148"/>
    <w:pPr>
      <w:spacing w:before="100" w:beforeAutospacing="1" w:after="100" w:afterAutospacing="1"/>
    </w:pPr>
    <w:rPr>
      <w:rFonts w:ascii="Times New Roman" w:eastAsia="Times New Roman" w:hAnsi="Times New Roman" w:cs="Times New Roman"/>
    </w:rPr>
  </w:style>
  <w:style w:type="paragraph" w:customStyle="1" w:styleId="p">
    <w:name w:val="p"/>
    <w:basedOn w:val="Normal"/>
    <w:rsid w:val="00F55148"/>
    <w:pPr>
      <w:spacing w:before="100" w:beforeAutospacing="1" w:after="100" w:afterAutospacing="1"/>
    </w:pPr>
    <w:rPr>
      <w:rFonts w:ascii="Times New Roman" w:eastAsia="Times New Roman" w:hAnsi="Times New Roman" w:cs="Times New Roman"/>
    </w:rPr>
  </w:style>
  <w:style w:type="character" w:customStyle="1" w:styleId="kwd-text">
    <w:name w:val="kwd-text"/>
    <w:basedOn w:val="DefaultParagraphFont"/>
    <w:rsid w:val="00F55148"/>
  </w:style>
  <w:style w:type="character" w:customStyle="1" w:styleId="underline">
    <w:name w:val="underline"/>
    <w:basedOn w:val="DefaultParagraphFont"/>
    <w:rsid w:val="00F55148"/>
  </w:style>
  <w:style w:type="character" w:styleId="Emphasis">
    <w:name w:val="Emphasis"/>
    <w:basedOn w:val="DefaultParagraphFont"/>
    <w:uiPriority w:val="20"/>
    <w:qFormat/>
    <w:rsid w:val="00F55148"/>
    <w:rPr>
      <w:i/>
      <w:iCs/>
    </w:rPr>
  </w:style>
  <w:style w:type="character" w:customStyle="1" w:styleId="figpopup-sensitive-area">
    <w:name w:val="figpopup-sensitive-area"/>
    <w:basedOn w:val="DefaultParagraphFont"/>
    <w:rsid w:val="00F55148"/>
  </w:style>
  <w:style w:type="paragraph" w:customStyle="1" w:styleId="fn">
    <w:name w:val="fn"/>
    <w:basedOn w:val="Normal"/>
    <w:rsid w:val="00F55148"/>
    <w:pPr>
      <w:spacing w:before="100" w:beforeAutospacing="1" w:after="100" w:afterAutospacing="1"/>
    </w:pPr>
    <w:rPr>
      <w:rFonts w:ascii="Times New Roman" w:eastAsia="Times New Roman" w:hAnsi="Times New Roman" w:cs="Times New Roman"/>
    </w:rPr>
  </w:style>
  <w:style w:type="character" w:customStyle="1" w:styleId="fm-affl">
    <w:name w:val="fm-affl"/>
    <w:basedOn w:val="DefaultParagraphFont"/>
    <w:rsid w:val="00F55148"/>
  </w:style>
  <w:style w:type="character" w:customStyle="1" w:styleId="fm-citation-ids-label">
    <w:name w:val="fm-citation-ids-label"/>
    <w:basedOn w:val="DefaultParagraphFont"/>
    <w:rsid w:val="00F55148"/>
  </w:style>
  <w:style w:type="character" w:customStyle="1" w:styleId="contrib-email">
    <w:name w:val="contrib-email"/>
    <w:basedOn w:val="DefaultParagraphFont"/>
    <w:rsid w:val="00F55148"/>
  </w:style>
  <w:style w:type="character" w:customStyle="1" w:styleId="element-citation">
    <w:name w:val="element-citation"/>
    <w:basedOn w:val="DefaultParagraphFont"/>
    <w:rsid w:val="00F55148"/>
  </w:style>
  <w:style w:type="character" w:customStyle="1" w:styleId="nowrap">
    <w:name w:val="nowrap"/>
    <w:basedOn w:val="DefaultParagraphFont"/>
    <w:rsid w:val="00F55148"/>
  </w:style>
  <w:style w:type="paragraph" w:styleId="EndnoteText">
    <w:name w:val="endnote text"/>
    <w:basedOn w:val="Normal"/>
    <w:link w:val="EndnoteTextChar"/>
    <w:uiPriority w:val="99"/>
    <w:semiHidden/>
    <w:unhideWhenUsed/>
    <w:rsid w:val="00C2756C"/>
    <w:pPr>
      <w:spacing w:after="0"/>
    </w:pPr>
    <w:rPr>
      <w:sz w:val="20"/>
      <w:szCs w:val="20"/>
    </w:rPr>
  </w:style>
  <w:style w:type="character" w:customStyle="1" w:styleId="EndnoteTextChar">
    <w:name w:val="Endnote Text Char"/>
    <w:basedOn w:val="DefaultParagraphFont"/>
    <w:link w:val="EndnoteText"/>
    <w:uiPriority w:val="99"/>
    <w:semiHidden/>
    <w:rsid w:val="00C2756C"/>
    <w:rPr>
      <w:rFonts w:asciiTheme="minorHAnsi" w:eastAsiaTheme="minorEastAsia" w:hAnsiTheme="minorHAnsi"/>
      <w:sz w:val="20"/>
      <w:szCs w:val="20"/>
      <w:lang w:eastAsia="en-AU"/>
    </w:rPr>
  </w:style>
  <w:style w:type="character" w:styleId="EndnoteReference">
    <w:name w:val="endnote reference"/>
    <w:basedOn w:val="DefaultParagraphFont"/>
    <w:uiPriority w:val="99"/>
    <w:semiHidden/>
    <w:unhideWhenUsed/>
    <w:rsid w:val="00C2756C"/>
    <w:rPr>
      <w:vertAlign w:val="superscript"/>
    </w:rPr>
  </w:style>
  <w:style w:type="character" w:customStyle="1" w:styleId="abbreviation">
    <w:name w:val="abbreviation"/>
    <w:basedOn w:val="DefaultParagraphFont"/>
    <w:rsid w:val="009C1E36"/>
  </w:style>
  <w:style w:type="paragraph" w:customStyle="1" w:styleId="li21">
    <w:name w:val="li2_1"/>
    <w:basedOn w:val="Normal"/>
    <w:rsid w:val="009C1E36"/>
    <w:pPr>
      <w:spacing w:before="100" w:beforeAutospacing="1" w:after="100" w:afterAutospacing="1"/>
    </w:pPr>
    <w:rPr>
      <w:rFonts w:ascii="Times New Roman" w:eastAsia="Times New Roman" w:hAnsi="Times New Roman" w:cs="Times New Roman"/>
    </w:rPr>
  </w:style>
  <w:style w:type="paragraph" w:customStyle="1" w:styleId="BodyText1">
    <w:name w:val="Body Text1"/>
    <w:basedOn w:val="Normal"/>
    <w:uiPriority w:val="1"/>
    <w:qFormat/>
    <w:rsid w:val="000254BD"/>
    <w:pPr>
      <w:spacing w:after="120" w:line="276" w:lineRule="auto"/>
    </w:pPr>
    <w:rPr>
      <w:rFonts w:ascii="Cambria" w:eastAsia="Times New Roman" w:hAnsi="Cambria" w:cs="Calibri"/>
      <w:noProof/>
      <w:lang w:eastAsia="en-US"/>
    </w:rPr>
  </w:style>
  <w:style w:type="character" w:customStyle="1" w:styleId="TablewritingChar">
    <w:name w:val="Table writing Char"/>
    <w:link w:val="Tablewriting"/>
    <w:rsid w:val="000254BD"/>
    <w:rPr>
      <w:rFonts w:asciiTheme="minorHAnsi" w:eastAsiaTheme="minorEastAsia" w:hAnsiTheme="minorHAnsi" w:cs="Calibri"/>
      <w:color w:val="000000"/>
      <w:sz w:val="20"/>
      <w:szCs w:val="20"/>
      <w:lang w:eastAsia="en-AU"/>
    </w:rPr>
  </w:style>
  <w:style w:type="character" w:customStyle="1" w:styleId="TableTextChar">
    <w:name w:val="Table Text Char"/>
    <w:link w:val="TableText0"/>
    <w:rsid w:val="006D3226"/>
    <w:rPr>
      <w:rFonts w:ascii="Arial" w:eastAsia="Times New Roman" w:hAnsi="Arial" w:cs="Times New Roman"/>
      <w:sz w:val="18"/>
      <w:szCs w:val="20"/>
      <w:lang w:eastAsia="en-AU"/>
    </w:rPr>
  </w:style>
  <w:style w:type="paragraph" w:styleId="Caption">
    <w:name w:val="caption"/>
    <w:aliases w:val="Bayer Caption,IB Caption,Medical Caption,Caption Char1 Char Char,Caption Char Char Char Char,Caption Char1 Char,Caption Char Char Char Char Char,Caption Char Char,Caption Char Char Char Char1,Caption Char1 Char1,Caption Char Char Char"/>
    <w:basedOn w:val="Normal"/>
    <w:next w:val="Normal"/>
    <w:link w:val="CaptionChar"/>
    <w:qFormat/>
    <w:rsid w:val="00912AC3"/>
    <w:pPr>
      <w:spacing w:before="120" w:after="120" w:line="360" w:lineRule="auto"/>
      <w:jc w:val="both"/>
    </w:pPr>
    <w:rPr>
      <w:rFonts w:ascii="Times New Roman" w:eastAsia="SimSun" w:hAnsi="Times New Roman" w:cs="Times New Roman"/>
      <w:b/>
      <w:bCs/>
      <w:sz w:val="22"/>
      <w:szCs w:val="20"/>
      <w:lang w:eastAsia="zh-CN"/>
    </w:rPr>
  </w:style>
  <w:style w:type="character" w:customStyle="1" w:styleId="CaptionChar">
    <w:name w:val="Caption Char"/>
    <w:aliases w:val="Bayer Caption Char,IB Caption Char,Medical Caption Char,Caption Char1 Char Char Char,Caption Char Char Char Char Char1,Caption Char1 Char Char1,Caption Char Char Char Char Char Char,Caption Char Char Char1,Caption Char Char Char Char1 Char"/>
    <w:basedOn w:val="DefaultParagraphFont"/>
    <w:link w:val="Caption"/>
    <w:rsid w:val="00912AC3"/>
    <w:rPr>
      <w:rFonts w:eastAsia="SimSun" w:cs="Times New Roman"/>
      <w:b/>
      <w:bCs/>
      <w:sz w:val="22"/>
      <w:szCs w:val="20"/>
      <w:lang w:eastAsia="zh-CN"/>
    </w:rPr>
  </w:style>
  <w:style w:type="paragraph" w:styleId="Revision">
    <w:name w:val="Revision"/>
    <w:hidden/>
    <w:uiPriority w:val="99"/>
    <w:semiHidden/>
    <w:rsid w:val="000E0A13"/>
    <w:pPr>
      <w:spacing w:after="0" w:line="240" w:lineRule="auto"/>
    </w:pPr>
    <w:rPr>
      <w:rFonts w:asciiTheme="minorHAnsi" w:eastAsiaTheme="minorEastAsia" w:hAnsiTheme="minorHAnsi"/>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877">
      <w:bodyDiv w:val="1"/>
      <w:marLeft w:val="0"/>
      <w:marRight w:val="0"/>
      <w:marTop w:val="0"/>
      <w:marBottom w:val="0"/>
      <w:divBdr>
        <w:top w:val="none" w:sz="0" w:space="0" w:color="auto"/>
        <w:left w:val="none" w:sz="0" w:space="0" w:color="auto"/>
        <w:bottom w:val="none" w:sz="0" w:space="0" w:color="auto"/>
        <w:right w:val="none" w:sz="0" w:space="0" w:color="auto"/>
      </w:divBdr>
    </w:div>
    <w:div w:id="40370622">
      <w:bodyDiv w:val="1"/>
      <w:marLeft w:val="0"/>
      <w:marRight w:val="0"/>
      <w:marTop w:val="0"/>
      <w:marBottom w:val="0"/>
      <w:divBdr>
        <w:top w:val="none" w:sz="0" w:space="0" w:color="auto"/>
        <w:left w:val="none" w:sz="0" w:space="0" w:color="auto"/>
        <w:bottom w:val="none" w:sz="0" w:space="0" w:color="auto"/>
        <w:right w:val="none" w:sz="0" w:space="0" w:color="auto"/>
      </w:divBdr>
    </w:div>
    <w:div w:id="100882748">
      <w:bodyDiv w:val="1"/>
      <w:marLeft w:val="0"/>
      <w:marRight w:val="0"/>
      <w:marTop w:val="0"/>
      <w:marBottom w:val="0"/>
      <w:divBdr>
        <w:top w:val="none" w:sz="0" w:space="0" w:color="auto"/>
        <w:left w:val="none" w:sz="0" w:space="0" w:color="auto"/>
        <w:bottom w:val="none" w:sz="0" w:space="0" w:color="auto"/>
        <w:right w:val="none" w:sz="0" w:space="0" w:color="auto"/>
      </w:divBdr>
    </w:div>
    <w:div w:id="112865301">
      <w:bodyDiv w:val="1"/>
      <w:marLeft w:val="0"/>
      <w:marRight w:val="0"/>
      <w:marTop w:val="0"/>
      <w:marBottom w:val="0"/>
      <w:divBdr>
        <w:top w:val="none" w:sz="0" w:space="0" w:color="auto"/>
        <w:left w:val="none" w:sz="0" w:space="0" w:color="auto"/>
        <w:bottom w:val="none" w:sz="0" w:space="0" w:color="auto"/>
        <w:right w:val="none" w:sz="0" w:space="0" w:color="auto"/>
      </w:divBdr>
    </w:div>
    <w:div w:id="113208616">
      <w:bodyDiv w:val="1"/>
      <w:marLeft w:val="0"/>
      <w:marRight w:val="0"/>
      <w:marTop w:val="0"/>
      <w:marBottom w:val="0"/>
      <w:divBdr>
        <w:top w:val="none" w:sz="0" w:space="0" w:color="auto"/>
        <w:left w:val="none" w:sz="0" w:space="0" w:color="auto"/>
        <w:bottom w:val="none" w:sz="0" w:space="0" w:color="auto"/>
        <w:right w:val="none" w:sz="0" w:space="0" w:color="auto"/>
      </w:divBdr>
    </w:div>
    <w:div w:id="218519426">
      <w:bodyDiv w:val="1"/>
      <w:marLeft w:val="0"/>
      <w:marRight w:val="0"/>
      <w:marTop w:val="0"/>
      <w:marBottom w:val="0"/>
      <w:divBdr>
        <w:top w:val="none" w:sz="0" w:space="0" w:color="auto"/>
        <w:left w:val="none" w:sz="0" w:space="0" w:color="auto"/>
        <w:bottom w:val="none" w:sz="0" w:space="0" w:color="auto"/>
        <w:right w:val="none" w:sz="0" w:space="0" w:color="auto"/>
      </w:divBdr>
    </w:div>
    <w:div w:id="286856068">
      <w:bodyDiv w:val="1"/>
      <w:marLeft w:val="0"/>
      <w:marRight w:val="0"/>
      <w:marTop w:val="0"/>
      <w:marBottom w:val="0"/>
      <w:divBdr>
        <w:top w:val="none" w:sz="0" w:space="0" w:color="auto"/>
        <w:left w:val="none" w:sz="0" w:space="0" w:color="auto"/>
        <w:bottom w:val="none" w:sz="0" w:space="0" w:color="auto"/>
        <w:right w:val="none" w:sz="0" w:space="0" w:color="auto"/>
      </w:divBdr>
    </w:div>
    <w:div w:id="367989791">
      <w:bodyDiv w:val="1"/>
      <w:marLeft w:val="0"/>
      <w:marRight w:val="0"/>
      <w:marTop w:val="0"/>
      <w:marBottom w:val="0"/>
      <w:divBdr>
        <w:top w:val="none" w:sz="0" w:space="0" w:color="auto"/>
        <w:left w:val="none" w:sz="0" w:space="0" w:color="auto"/>
        <w:bottom w:val="none" w:sz="0" w:space="0" w:color="auto"/>
        <w:right w:val="none" w:sz="0" w:space="0" w:color="auto"/>
      </w:divBdr>
    </w:div>
    <w:div w:id="428544070">
      <w:bodyDiv w:val="1"/>
      <w:marLeft w:val="0"/>
      <w:marRight w:val="0"/>
      <w:marTop w:val="0"/>
      <w:marBottom w:val="0"/>
      <w:divBdr>
        <w:top w:val="none" w:sz="0" w:space="0" w:color="auto"/>
        <w:left w:val="none" w:sz="0" w:space="0" w:color="auto"/>
        <w:bottom w:val="none" w:sz="0" w:space="0" w:color="auto"/>
        <w:right w:val="none" w:sz="0" w:space="0" w:color="auto"/>
      </w:divBdr>
    </w:div>
    <w:div w:id="476722670">
      <w:bodyDiv w:val="1"/>
      <w:marLeft w:val="0"/>
      <w:marRight w:val="0"/>
      <w:marTop w:val="0"/>
      <w:marBottom w:val="0"/>
      <w:divBdr>
        <w:top w:val="none" w:sz="0" w:space="0" w:color="auto"/>
        <w:left w:val="none" w:sz="0" w:space="0" w:color="auto"/>
        <w:bottom w:val="none" w:sz="0" w:space="0" w:color="auto"/>
        <w:right w:val="none" w:sz="0" w:space="0" w:color="auto"/>
      </w:divBdr>
    </w:div>
    <w:div w:id="491874914">
      <w:bodyDiv w:val="1"/>
      <w:marLeft w:val="0"/>
      <w:marRight w:val="0"/>
      <w:marTop w:val="0"/>
      <w:marBottom w:val="0"/>
      <w:divBdr>
        <w:top w:val="none" w:sz="0" w:space="0" w:color="auto"/>
        <w:left w:val="none" w:sz="0" w:space="0" w:color="auto"/>
        <w:bottom w:val="none" w:sz="0" w:space="0" w:color="auto"/>
        <w:right w:val="none" w:sz="0" w:space="0" w:color="auto"/>
      </w:divBdr>
      <w:divsChild>
        <w:div w:id="1126044359">
          <w:marLeft w:val="0"/>
          <w:marRight w:val="0"/>
          <w:marTop w:val="0"/>
          <w:marBottom w:val="0"/>
          <w:divBdr>
            <w:top w:val="none" w:sz="0" w:space="0" w:color="auto"/>
            <w:left w:val="none" w:sz="0" w:space="0" w:color="auto"/>
            <w:bottom w:val="none" w:sz="0" w:space="0" w:color="auto"/>
            <w:right w:val="none" w:sz="0" w:space="0" w:color="auto"/>
          </w:divBdr>
          <w:divsChild>
            <w:div w:id="1004548151">
              <w:marLeft w:val="0"/>
              <w:marRight w:val="0"/>
              <w:marTop w:val="0"/>
              <w:marBottom w:val="0"/>
              <w:divBdr>
                <w:top w:val="none" w:sz="0" w:space="0" w:color="auto"/>
                <w:left w:val="none" w:sz="0" w:space="0" w:color="auto"/>
                <w:bottom w:val="none" w:sz="0" w:space="0" w:color="auto"/>
                <w:right w:val="none" w:sz="0" w:space="0" w:color="auto"/>
              </w:divBdr>
              <w:divsChild>
                <w:div w:id="760445809">
                  <w:marLeft w:val="0"/>
                  <w:marRight w:val="0"/>
                  <w:marTop w:val="0"/>
                  <w:marBottom w:val="0"/>
                  <w:divBdr>
                    <w:top w:val="none" w:sz="0" w:space="0" w:color="auto"/>
                    <w:left w:val="none" w:sz="0" w:space="0" w:color="auto"/>
                    <w:bottom w:val="none" w:sz="0" w:space="0" w:color="auto"/>
                    <w:right w:val="none" w:sz="0" w:space="0" w:color="auto"/>
                  </w:divBdr>
                  <w:divsChild>
                    <w:div w:id="766777810">
                      <w:marLeft w:val="0"/>
                      <w:marRight w:val="0"/>
                      <w:marTop w:val="0"/>
                      <w:marBottom w:val="0"/>
                      <w:divBdr>
                        <w:top w:val="none" w:sz="0" w:space="0" w:color="auto"/>
                        <w:left w:val="none" w:sz="0" w:space="0" w:color="auto"/>
                        <w:bottom w:val="none" w:sz="0" w:space="0" w:color="auto"/>
                        <w:right w:val="none" w:sz="0" w:space="0" w:color="auto"/>
                      </w:divBdr>
                      <w:divsChild>
                        <w:div w:id="1651904457">
                          <w:marLeft w:val="384"/>
                          <w:marRight w:val="384"/>
                          <w:marTop w:val="0"/>
                          <w:marBottom w:val="0"/>
                          <w:divBdr>
                            <w:top w:val="none" w:sz="0" w:space="0" w:color="auto"/>
                            <w:left w:val="none" w:sz="0" w:space="0" w:color="auto"/>
                            <w:bottom w:val="none" w:sz="0" w:space="0" w:color="auto"/>
                            <w:right w:val="none" w:sz="0" w:space="0" w:color="auto"/>
                          </w:divBdr>
                          <w:divsChild>
                            <w:div w:id="1892155994">
                              <w:marLeft w:val="0"/>
                              <w:marRight w:val="0"/>
                              <w:marTop w:val="332"/>
                              <w:marBottom w:val="332"/>
                              <w:divBdr>
                                <w:top w:val="none" w:sz="0" w:space="0" w:color="auto"/>
                                <w:left w:val="none" w:sz="0" w:space="0" w:color="auto"/>
                                <w:bottom w:val="none" w:sz="0" w:space="0" w:color="auto"/>
                                <w:right w:val="none" w:sz="0" w:space="0" w:color="auto"/>
                              </w:divBdr>
                              <w:divsChild>
                                <w:div w:id="837307767">
                                  <w:marLeft w:val="0"/>
                                  <w:marRight w:val="0"/>
                                  <w:marTop w:val="0"/>
                                  <w:marBottom w:val="0"/>
                                  <w:divBdr>
                                    <w:top w:val="none" w:sz="0" w:space="0" w:color="auto"/>
                                    <w:left w:val="none" w:sz="0" w:space="0" w:color="auto"/>
                                    <w:bottom w:val="none" w:sz="0" w:space="0" w:color="auto"/>
                                    <w:right w:val="none" w:sz="0" w:space="0" w:color="auto"/>
                                  </w:divBdr>
                                </w:div>
                              </w:divsChild>
                            </w:div>
                            <w:div w:id="1072237228">
                              <w:marLeft w:val="0"/>
                              <w:marRight w:val="0"/>
                              <w:marTop w:val="0"/>
                              <w:marBottom w:val="0"/>
                              <w:divBdr>
                                <w:top w:val="none" w:sz="0" w:space="0" w:color="auto"/>
                                <w:left w:val="none" w:sz="0" w:space="0" w:color="auto"/>
                                <w:bottom w:val="none" w:sz="0" w:space="0" w:color="auto"/>
                                <w:right w:val="none" w:sz="0" w:space="0" w:color="auto"/>
                              </w:divBdr>
                              <w:divsChild>
                                <w:div w:id="1606889106">
                                  <w:marLeft w:val="0"/>
                                  <w:marRight w:val="0"/>
                                  <w:marTop w:val="0"/>
                                  <w:marBottom w:val="0"/>
                                  <w:divBdr>
                                    <w:top w:val="none" w:sz="0" w:space="0" w:color="auto"/>
                                    <w:left w:val="none" w:sz="0" w:space="0" w:color="auto"/>
                                    <w:bottom w:val="none" w:sz="0" w:space="0" w:color="auto"/>
                                    <w:right w:val="none" w:sz="0" w:space="0" w:color="auto"/>
                                  </w:divBdr>
                                  <w:divsChild>
                                    <w:div w:id="565724985">
                                      <w:marLeft w:val="0"/>
                                      <w:marRight w:val="0"/>
                                      <w:marTop w:val="166"/>
                                      <w:marBottom w:val="166"/>
                                      <w:divBdr>
                                        <w:top w:val="none" w:sz="0" w:space="0" w:color="auto"/>
                                        <w:left w:val="none" w:sz="0" w:space="0" w:color="auto"/>
                                        <w:bottom w:val="none" w:sz="0" w:space="0" w:color="auto"/>
                                        <w:right w:val="none" w:sz="0" w:space="0" w:color="auto"/>
                                      </w:divBdr>
                                      <w:divsChild>
                                        <w:div w:id="404375881">
                                          <w:marLeft w:val="0"/>
                                          <w:marRight w:val="0"/>
                                          <w:marTop w:val="0"/>
                                          <w:marBottom w:val="0"/>
                                          <w:divBdr>
                                            <w:top w:val="none" w:sz="0" w:space="0" w:color="auto"/>
                                            <w:left w:val="none" w:sz="0" w:space="0" w:color="auto"/>
                                            <w:bottom w:val="none" w:sz="0" w:space="0" w:color="auto"/>
                                            <w:right w:val="none" w:sz="0" w:space="0" w:color="auto"/>
                                          </w:divBdr>
                                          <w:divsChild>
                                            <w:div w:id="1215970064">
                                              <w:marLeft w:val="0"/>
                                              <w:marRight w:val="0"/>
                                              <w:marTop w:val="0"/>
                                              <w:marBottom w:val="0"/>
                                              <w:divBdr>
                                                <w:top w:val="none" w:sz="0" w:space="0" w:color="auto"/>
                                                <w:left w:val="none" w:sz="0" w:space="0" w:color="auto"/>
                                                <w:bottom w:val="none" w:sz="0" w:space="0" w:color="auto"/>
                                                <w:right w:val="none" w:sz="0" w:space="0" w:color="auto"/>
                                              </w:divBdr>
                                            </w:div>
                                            <w:div w:id="654189741">
                                              <w:marLeft w:val="240"/>
                                              <w:marRight w:val="0"/>
                                              <w:marTop w:val="0"/>
                                              <w:marBottom w:val="0"/>
                                              <w:divBdr>
                                                <w:top w:val="none" w:sz="0" w:space="0" w:color="auto"/>
                                                <w:left w:val="none" w:sz="0" w:space="0" w:color="auto"/>
                                                <w:bottom w:val="none" w:sz="0" w:space="0" w:color="auto"/>
                                                <w:right w:val="none" w:sz="0" w:space="0" w:color="auto"/>
                                              </w:divBdr>
                                              <w:divsChild>
                                                <w:div w:id="17184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1589">
                                      <w:marLeft w:val="0"/>
                                      <w:marRight w:val="0"/>
                                      <w:marTop w:val="332"/>
                                      <w:marBottom w:val="332"/>
                                      <w:divBdr>
                                        <w:top w:val="none" w:sz="0" w:space="0" w:color="auto"/>
                                        <w:left w:val="none" w:sz="0" w:space="0" w:color="auto"/>
                                        <w:bottom w:val="none" w:sz="0" w:space="0" w:color="auto"/>
                                        <w:right w:val="none" w:sz="0" w:space="0" w:color="auto"/>
                                      </w:divBdr>
                                      <w:divsChild>
                                        <w:div w:id="2103060282">
                                          <w:marLeft w:val="0"/>
                                          <w:marRight w:val="0"/>
                                          <w:marTop w:val="0"/>
                                          <w:marBottom w:val="0"/>
                                          <w:divBdr>
                                            <w:top w:val="none" w:sz="0" w:space="0" w:color="auto"/>
                                            <w:left w:val="none" w:sz="0" w:space="0" w:color="auto"/>
                                            <w:bottom w:val="none" w:sz="0" w:space="0" w:color="auto"/>
                                            <w:right w:val="none" w:sz="0" w:space="0" w:color="auto"/>
                                          </w:divBdr>
                                        </w:div>
                                        <w:div w:id="1229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648255">
      <w:bodyDiv w:val="1"/>
      <w:marLeft w:val="0"/>
      <w:marRight w:val="0"/>
      <w:marTop w:val="0"/>
      <w:marBottom w:val="0"/>
      <w:divBdr>
        <w:top w:val="none" w:sz="0" w:space="0" w:color="auto"/>
        <w:left w:val="none" w:sz="0" w:space="0" w:color="auto"/>
        <w:bottom w:val="none" w:sz="0" w:space="0" w:color="auto"/>
        <w:right w:val="none" w:sz="0" w:space="0" w:color="auto"/>
      </w:divBdr>
    </w:div>
    <w:div w:id="566034725">
      <w:bodyDiv w:val="1"/>
      <w:marLeft w:val="0"/>
      <w:marRight w:val="0"/>
      <w:marTop w:val="0"/>
      <w:marBottom w:val="0"/>
      <w:divBdr>
        <w:top w:val="none" w:sz="0" w:space="0" w:color="auto"/>
        <w:left w:val="none" w:sz="0" w:space="0" w:color="auto"/>
        <w:bottom w:val="none" w:sz="0" w:space="0" w:color="auto"/>
        <w:right w:val="none" w:sz="0" w:space="0" w:color="auto"/>
      </w:divBdr>
      <w:divsChild>
        <w:div w:id="718628807">
          <w:marLeft w:val="0"/>
          <w:marRight w:val="0"/>
          <w:marTop w:val="0"/>
          <w:marBottom w:val="0"/>
          <w:divBdr>
            <w:top w:val="none" w:sz="0" w:space="0" w:color="auto"/>
            <w:left w:val="none" w:sz="0" w:space="0" w:color="auto"/>
            <w:bottom w:val="none" w:sz="0" w:space="0" w:color="auto"/>
            <w:right w:val="none" w:sz="0" w:space="0" w:color="auto"/>
          </w:divBdr>
          <w:divsChild>
            <w:div w:id="1260257635">
              <w:marLeft w:val="120"/>
              <w:marRight w:val="120"/>
              <w:marTop w:val="120"/>
              <w:marBottom w:val="120"/>
              <w:divBdr>
                <w:top w:val="none" w:sz="0" w:space="0" w:color="auto"/>
                <w:left w:val="none" w:sz="0" w:space="0" w:color="auto"/>
                <w:bottom w:val="none" w:sz="0" w:space="0" w:color="auto"/>
                <w:right w:val="none" w:sz="0" w:space="0" w:color="auto"/>
              </w:divBdr>
              <w:divsChild>
                <w:div w:id="1987005664">
                  <w:marLeft w:val="0"/>
                  <w:marRight w:val="0"/>
                  <w:marTop w:val="0"/>
                  <w:marBottom w:val="0"/>
                  <w:divBdr>
                    <w:top w:val="none" w:sz="0" w:space="0" w:color="auto"/>
                    <w:left w:val="none" w:sz="0" w:space="0" w:color="auto"/>
                    <w:bottom w:val="none" w:sz="0" w:space="0" w:color="auto"/>
                    <w:right w:val="none" w:sz="0" w:space="0" w:color="auto"/>
                  </w:divBdr>
                  <w:divsChild>
                    <w:div w:id="1413819972">
                      <w:marLeft w:val="0"/>
                      <w:marRight w:val="0"/>
                      <w:marTop w:val="0"/>
                      <w:marBottom w:val="0"/>
                      <w:divBdr>
                        <w:top w:val="none" w:sz="0" w:space="0" w:color="auto"/>
                        <w:left w:val="none" w:sz="0" w:space="0" w:color="auto"/>
                        <w:bottom w:val="none" w:sz="0" w:space="0" w:color="auto"/>
                        <w:right w:val="none" w:sz="0" w:space="0" w:color="auto"/>
                      </w:divBdr>
                      <w:divsChild>
                        <w:div w:id="1636444553">
                          <w:marLeft w:val="0"/>
                          <w:marRight w:val="0"/>
                          <w:marTop w:val="0"/>
                          <w:marBottom w:val="0"/>
                          <w:divBdr>
                            <w:top w:val="none" w:sz="0" w:space="0" w:color="auto"/>
                            <w:left w:val="none" w:sz="0" w:space="0" w:color="auto"/>
                            <w:bottom w:val="none" w:sz="0" w:space="0" w:color="auto"/>
                            <w:right w:val="none" w:sz="0" w:space="0" w:color="auto"/>
                          </w:divBdr>
                        </w:div>
                        <w:div w:id="10657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75218">
          <w:marLeft w:val="0"/>
          <w:marRight w:val="0"/>
          <w:marTop w:val="0"/>
          <w:marBottom w:val="0"/>
          <w:divBdr>
            <w:top w:val="none" w:sz="0" w:space="0" w:color="auto"/>
            <w:left w:val="single" w:sz="48" w:space="0" w:color="auto"/>
            <w:bottom w:val="none" w:sz="0" w:space="0" w:color="auto"/>
            <w:right w:val="single" w:sz="48" w:space="0" w:color="auto"/>
          </w:divBdr>
          <w:divsChild>
            <w:div w:id="1675650284">
              <w:marLeft w:val="0"/>
              <w:marRight w:val="0"/>
              <w:marTop w:val="100"/>
              <w:marBottom w:val="100"/>
              <w:divBdr>
                <w:top w:val="none" w:sz="0" w:space="0" w:color="auto"/>
                <w:left w:val="none" w:sz="0" w:space="0" w:color="auto"/>
                <w:bottom w:val="none" w:sz="0" w:space="0" w:color="auto"/>
                <w:right w:val="none" w:sz="0" w:space="0" w:color="auto"/>
              </w:divBdr>
              <w:divsChild>
                <w:div w:id="1798914308">
                  <w:marLeft w:val="0"/>
                  <w:marRight w:val="0"/>
                  <w:marTop w:val="0"/>
                  <w:marBottom w:val="0"/>
                  <w:divBdr>
                    <w:top w:val="none" w:sz="0" w:space="0" w:color="auto"/>
                    <w:left w:val="none" w:sz="0" w:space="0" w:color="auto"/>
                    <w:bottom w:val="none" w:sz="0" w:space="0" w:color="auto"/>
                    <w:right w:val="none" w:sz="0" w:space="0" w:color="auto"/>
                  </w:divBdr>
                </w:div>
              </w:divsChild>
            </w:div>
            <w:div w:id="902567828">
              <w:marLeft w:val="0"/>
              <w:marRight w:val="0"/>
              <w:marTop w:val="0"/>
              <w:marBottom w:val="0"/>
              <w:divBdr>
                <w:top w:val="none" w:sz="0" w:space="0" w:color="auto"/>
                <w:left w:val="none" w:sz="0" w:space="0" w:color="auto"/>
                <w:bottom w:val="none" w:sz="0" w:space="0" w:color="auto"/>
                <w:right w:val="none" w:sz="0" w:space="0" w:color="auto"/>
              </w:divBdr>
              <w:divsChild>
                <w:div w:id="1648634160">
                  <w:marLeft w:val="0"/>
                  <w:marRight w:val="0"/>
                  <w:marTop w:val="0"/>
                  <w:marBottom w:val="0"/>
                  <w:divBdr>
                    <w:top w:val="none" w:sz="0" w:space="0" w:color="auto"/>
                    <w:left w:val="none" w:sz="0" w:space="0" w:color="auto"/>
                    <w:bottom w:val="none" w:sz="0" w:space="0" w:color="auto"/>
                    <w:right w:val="none" w:sz="0" w:space="0" w:color="auto"/>
                  </w:divBdr>
                </w:div>
                <w:div w:id="399596678">
                  <w:marLeft w:val="0"/>
                  <w:marRight w:val="0"/>
                  <w:marTop w:val="0"/>
                  <w:marBottom w:val="0"/>
                  <w:divBdr>
                    <w:top w:val="none" w:sz="0" w:space="0" w:color="auto"/>
                    <w:left w:val="none" w:sz="0" w:space="0" w:color="auto"/>
                    <w:bottom w:val="none" w:sz="0" w:space="0" w:color="auto"/>
                    <w:right w:val="none" w:sz="0" w:space="0" w:color="auto"/>
                  </w:divBdr>
                </w:div>
              </w:divsChild>
            </w:div>
            <w:div w:id="396707165">
              <w:marLeft w:val="0"/>
              <w:marRight w:val="0"/>
              <w:marTop w:val="0"/>
              <w:marBottom w:val="0"/>
              <w:divBdr>
                <w:top w:val="none" w:sz="0" w:space="0" w:color="auto"/>
                <w:left w:val="none" w:sz="0" w:space="0" w:color="auto"/>
                <w:bottom w:val="none" w:sz="0" w:space="0" w:color="auto"/>
                <w:right w:val="none" w:sz="0" w:space="0" w:color="auto"/>
              </w:divBdr>
            </w:div>
            <w:div w:id="1195383065">
              <w:marLeft w:val="0"/>
              <w:marRight w:val="0"/>
              <w:marTop w:val="0"/>
              <w:marBottom w:val="0"/>
              <w:divBdr>
                <w:top w:val="none" w:sz="0" w:space="0" w:color="auto"/>
                <w:left w:val="none" w:sz="0" w:space="0" w:color="auto"/>
                <w:bottom w:val="none" w:sz="0" w:space="0" w:color="auto"/>
                <w:right w:val="none" w:sz="0" w:space="0" w:color="auto"/>
              </w:divBdr>
              <w:divsChild>
                <w:div w:id="601108731">
                  <w:marLeft w:val="0"/>
                  <w:marRight w:val="0"/>
                  <w:marTop w:val="0"/>
                  <w:marBottom w:val="0"/>
                  <w:divBdr>
                    <w:top w:val="none" w:sz="0" w:space="0" w:color="auto"/>
                    <w:left w:val="none" w:sz="0" w:space="0" w:color="auto"/>
                    <w:bottom w:val="none" w:sz="0" w:space="0" w:color="auto"/>
                    <w:right w:val="none" w:sz="0" w:space="0" w:color="auto"/>
                  </w:divBdr>
                  <w:divsChild>
                    <w:div w:id="98497057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256859188">
                          <w:marLeft w:val="0"/>
                          <w:marRight w:val="0"/>
                          <w:marTop w:val="0"/>
                          <w:marBottom w:val="0"/>
                          <w:divBdr>
                            <w:top w:val="none" w:sz="0" w:space="0" w:color="auto"/>
                            <w:left w:val="none" w:sz="0" w:space="0" w:color="auto"/>
                            <w:bottom w:val="none" w:sz="0" w:space="0" w:color="auto"/>
                            <w:right w:val="none" w:sz="0" w:space="0" w:color="auto"/>
                          </w:divBdr>
                          <w:divsChild>
                            <w:div w:id="533151567">
                              <w:marLeft w:val="0"/>
                              <w:marRight w:val="0"/>
                              <w:marTop w:val="0"/>
                              <w:marBottom w:val="0"/>
                              <w:divBdr>
                                <w:top w:val="none" w:sz="0" w:space="0" w:color="auto"/>
                                <w:left w:val="none" w:sz="0" w:space="0" w:color="auto"/>
                                <w:bottom w:val="none" w:sz="0" w:space="0" w:color="auto"/>
                                <w:right w:val="none" w:sz="0" w:space="0" w:color="auto"/>
                              </w:divBdr>
                            </w:div>
                            <w:div w:id="16858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70382">
                  <w:marLeft w:val="0"/>
                  <w:marRight w:val="0"/>
                  <w:marTop w:val="0"/>
                  <w:marBottom w:val="0"/>
                  <w:divBdr>
                    <w:top w:val="none" w:sz="0" w:space="0" w:color="auto"/>
                    <w:left w:val="none" w:sz="0" w:space="0" w:color="auto"/>
                    <w:bottom w:val="none" w:sz="0" w:space="0" w:color="auto"/>
                    <w:right w:val="none" w:sz="0" w:space="0" w:color="auto"/>
                  </w:divBdr>
                </w:div>
              </w:divsChild>
            </w:div>
            <w:div w:id="1459254031">
              <w:marLeft w:val="0"/>
              <w:marRight w:val="0"/>
              <w:marTop w:val="0"/>
              <w:marBottom w:val="0"/>
              <w:divBdr>
                <w:top w:val="none" w:sz="0" w:space="0" w:color="auto"/>
                <w:left w:val="none" w:sz="0" w:space="0" w:color="auto"/>
                <w:bottom w:val="none" w:sz="0" w:space="0" w:color="auto"/>
                <w:right w:val="none" w:sz="0" w:space="0" w:color="auto"/>
              </w:divBdr>
              <w:divsChild>
                <w:div w:id="167451220">
                  <w:marLeft w:val="0"/>
                  <w:marRight w:val="0"/>
                  <w:marTop w:val="0"/>
                  <w:marBottom w:val="0"/>
                  <w:divBdr>
                    <w:top w:val="none" w:sz="0" w:space="0" w:color="auto"/>
                    <w:left w:val="none" w:sz="0" w:space="0" w:color="auto"/>
                    <w:bottom w:val="none" w:sz="0" w:space="0" w:color="auto"/>
                    <w:right w:val="none" w:sz="0" w:space="0" w:color="auto"/>
                  </w:divBdr>
                  <w:divsChild>
                    <w:div w:id="100940391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825001879">
                          <w:marLeft w:val="0"/>
                          <w:marRight w:val="0"/>
                          <w:marTop w:val="0"/>
                          <w:marBottom w:val="0"/>
                          <w:divBdr>
                            <w:top w:val="none" w:sz="0" w:space="0" w:color="auto"/>
                            <w:left w:val="none" w:sz="0" w:space="0" w:color="auto"/>
                            <w:bottom w:val="none" w:sz="0" w:space="0" w:color="auto"/>
                            <w:right w:val="none" w:sz="0" w:space="0" w:color="auto"/>
                          </w:divBdr>
                          <w:divsChild>
                            <w:div w:id="1585341792">
                              <w:marLeft w:val="0"/>
                              <w:marRight w:val="0"/>
                              <w:marTop w:val="0"/>
                              <w:marBottom w:val="0"/>
                              <w:divBdr>
                                <w:top w:val="none" w:sz="0" w:space="0" w:color="auto"/>
                                <w:left w:val="none" w:sz="0" w:space="0" w:color="auto"/>
                                <w:bottom w:val="none" w:sz="0" w:space="0" w:color="auto"/>
                                <w:right w:val="none" w:sz="0" w:space="0" w:color="auto"/>
                              </w:divBdr>
                            </w:div>
                            <w:div w:id="10985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60">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206722455">
                          <w:marLeft w:val="0"/>
                          <w:marRight w:val="0"/>
                          <w:marTop w:val="0"/>
                          <w:marBottom w:val="0"/>
                          <w:divBdr>
                            <w:top w:val="none" w:sz="0" w:space="0" w:color="auto"/>
                            <w:left w:val="none" w:sz="0" w:space="0" w:color="auto"/>
                            <w:bottom w:val="none" w:sz="0" w:space="0" w:color="auto"/>
                            <w:right w:val="none" w:sz="0" w:space="0" w:color="auto"/>
                          </w:divBdr>
                          <w:divsChild>
                            <w:div w:id="2013950129">
                              <w:marLeft w:val="0"/>
                              <w:marRight w:val="0"/>
                              <w:marTop w:val="0"/>
                              <w:marBottom w:val="0"/>
                              <w:divBdr>
                                <w:top w:val="none" w:sz="0" w:space="0" w:color="auto"/>
                                <w:left w:val="none" w:sz="0" w:space="0" w:color="auto"/>
                                <w:bottom w:val="none" w:sz="0" w:space="0" w:color="auto"/>
                                <w:right w:val="none" w:sz="0" w:space="0" w:color="auto"/>
                              </w:divBdr>
                            </w:div>
                            <w:div w:id="1389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3220">
                  <w:marLeft w:val="0"/>
                  <w:marRight w:val="0"/>
                  <w:marTop w:val="0"/>
                  <w:marBottom w:val="0"/>
                  <w:divBdr>
                    <w:top w:val="none" w:sz="0" w:space="0" w:color="auto"/>
                    <w:left w:val="none" w:sz="0" w:space="0" w:color="auto"/>
                    <w:bottom w:val="none" w:sz="0" w:space="0" w:color="auto"/>
                    <w:right w:val="none" w:sz="0" w:space="0" w:color="auto"/>
                  </w:divBdr>
                </w:div>
                <w:div w:id="126318412">
                  <w:marLeft w:val="0"/>
                  <w:marRight w:val="0"/>
                  <w:marTop w:val="0"/>
                  <w:marBottom w:val="0"/>
                  <w:divBdr>
                    <w:top w:val="none" w:sz="0" w:space="0" w:color="auto"/>
                    <w:left w:val="none" w:sz="0" w:space="0" w:color="auto"/>
                    <w:bottom w:val="none" w:sz="0" w:space="0" w:color="auto"/>
                    <w:right w:val="none" w:sz="0" w:space="0" w:color="auto"/>
                  </w:divBdr>
                  <w:divsChild>
                    <w:div w:id="1132750949">
                      <w:marLeft w:val="0"/>
                      <w:marRight w:val="0"/>
                      <w:marTop w:val="0"/>
                      <w:marBottom w:val="0"/>
                      <w:divBdr>
                        <w:top w:val="none" w:sz="0" w:space="0" w:color="auto"/>
                        <w:left w:val="none" w:sz="0" w:space="0" w:color="auto"/>
                        <w:bottom w:val="none" w:sz="0" w:space="0" w:color="auto"/>
                        <w:right w:val="none" w:sz="0" w:space="0" w:color="auto"/>
                      </w:divBdr>
                    </w:div>
                    <w:div w:id="714819422">
                      <w:marLeft w:val="0"/>
                      <w:marRight w:val="0"/>
                      <w:marTop w:val="0"/>
                      <w:marBottom w:val="0"/>
                      <w:divBdr>
                        <w:top w:val="none" w:sz="0" w:space="0" w:color="auto"/>
                        <w:left w:val="none" w:sz="0" w:space="0" w:color="auto"/>
                        <w:bottom w:val="none" w:sz="0" w:space="0" w:color="auto"/>
                        <w:right w:val="none" w:sz="0" w:space="0" w:color="auto"/>
                      </w:divBdr>
                      <w:divsChild>
                        <w:div w:id="543370167">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317466144">
                              <w:marLeft w:val="0"/>
                              <w:marRight w:val="0"/>
                              <w:marTop w:val="0"/>
                              <w:marBottom w:val="0"/>
                              <w:divBdr>
                                <w:top w:val="none" w:sz="0" w:space="0" w:color="auto"/>
                                <w:left w:val="none" w:sz="0" w:space="0" w:color="auto"/>
                                <w:bottom w:val="none" w:sz="0" w:space="0" w:color="auto"/>
                                <w:right w:val="none" w:sz="0" w:space="0" w:color="auto"/>
                              </w:divBdr>
                              <w:divsChild>
                                <w:div w:id="94984742">
                                  <w:marLeft w:val="0"/>
                                  <w:marRight w:val="0"/>
                                  <w:marTop w:val="0"/>
                                  <w:marBottom w:val="0"/>
                                  <w:divBdr>
                                    <w:top w:val="none" w:sz="0" w:space="0" w:color="auto"/>
                                    <w:left w:val="none" w:sz="0" w:space="0" w:color="auto"/>
                                    <w:bottom w:val="none" w:sz="0" w:space="0" w:color="auto"/>
                                    <w:right w:val="none" w:sz="0" w:space="0" w:color="auto"/>
                                  </w:divBdr>
                                </w:div>
                                <w:div w:id="1624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4973">
                      <w:marLeft w:val="0"/>
                      <w:marRight w:val="0"/>
                      <w:marTop w:val="0"/>
                      <w:marBottom w:val="0"/>
                      <w:divBdr>
                        <w:top w:val="none" w:sz="0" w:space="0" w:color="auto"/>
                        <w:left w:val="none" w:sz="0" w:space="0" w:color="auto"/>
                        <w:bottom w:val="none" w:sz="0" w:space="0" w:color="auto"/>
                        <w:right w:val="none" w:sz="0" w:space="0" w:color="auto"/>
                      </w:divBdr>
                    </w:div>
                  </w:divsChild>
                </w:div>
                <w:div w:id="1037005564">
                  <w:marLeft w:val="0"/>
                  <w:marRight w:val="0"/>
                  <w:marTop w:val="0"/>
                  <w:marBottom w:val="0"/>
                  <w:divBdr>
                    <w:top w:val="none" w:sz="0" w:space="0" w:color="auto"/>
                    <w:left w:val="none" w:sz="0" w:space="0" w:color="auto"/>
                    <w:bottom w:val="none" w:sz="0" w:space="0" w:color="auto"/>
                    <w:right w:val="none" w:sz="0" w:space="0" w:color="auto"/>
                  </w:divBdr>
                  <w:divsChild>
                    <w:div w:id="1907568427">
                      <w:marLeft w:val="0"/>
                      <w:marRight w:val="0"/>
                      <w:marTop w:val="0"/>
                      <w:marBottom w:val="0"/>
                      <w:divBdr>
                        <w:top w:val="none" w:sz="0" w:space="0" w:color="auto"/>
                        <w:left w:val="none" w:sz="0" w:space="0" w:color="auto"/>
                        <w:bottom w:val="none" w:sz="0" w:space="0" w:color="auto"/>
                        <w:right w:val="none" w:sz="0" w:space="0" w:color="auto"/>
                      </w:divBdr>
                      <w:divsChild>
                        <w:div w:id="943073175">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032415781">
                              <w:marLeft w:val="0"/>
                              <w:marRight w:val="0"/>
                              <w:marTop w:val="0"/>
                              <w:marBottom w:val="0"/>
                              <w:divBdr>
                                <w:top w:val="none" w:sz="0" w:space="0" w:color="auto"/>
                                <w:left w:val="none" w:sz="0" w:space="0" w:color="auto"/>
                                <w:bottom w:val="none" w:sz="0" w:space="0" w:color="auto"/>
                                <w:right w:val="none" w:sz="0" w:space="0" w:color="auto"/>
                              </w:divBdr>
                              <w:divsChild>
                                <w:div w:id="1003901876">
                                  <w:marLeft w:val="0"/>
                                  <w:marRight w:val="0"/>
                                  <w:marTop w:val="0"/>
                                  <w:marBottom w:val="0"/>
                                  <w:divBdr>
                                    <w:top w:val="none" w:sz="0" w:space="0" w:color="auto"/>
                                    <w:left w:val="none" w:sz="0" w:space="0" w:color="auto"/>
                                    <w:bottom w:val="none" w:sz="0" w:space="0" w:color="auto"/>
                                    <w:right w:val="none" w:sz="0" w:space="0" w:color="auto"/>
                                  </w:divBdr>
                                </w:div>
                                <w:div w:id="8962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4375">
                      <w:marLeft w:val="0"/>
                      <w:marRight w:val="0"/>
                      <w:marTop w:val="0"/>
                      <w:marBottom w:val="0"/>
                      <w:divBdr>
                        <w:top w:val="none" w:sz="0" w:space="0" w:color="auto"/>
                        <w:left w:val="none" w:sz="0" w:space="0" w:color="auto"/>
                        <w:bottom w:val="none" w:sz="0" w:space="0" w:color="auto"/>
                        <w:right w:val="none" w:sz="0" w:space="0" w:color="auto"/>
                      </w:divBdr>
                    </w:div>
                  </w:divsChild>
                </w:div>
                <w:div w:id="1728020419">
                  <w:marLeft w:val="0"/>
                  <w:marRight w:val="0"/>
                  <w:marTop w:val="0"/>
                  <w:marBottom w:val="0"/>
                  <w:divBdr>
                    <w:top w:val="none" w:sz="0" w:space="0" w:color="auto"/>
                    <w:left w:val="none" w:sz="0" w:space="0" w:color="auto"/>
                    <w:bottom w:val="none" w:sz="0" w:space="0" w:color="auto"/>
                    <w:right w:val="none" w:sz="0" w:space="0" w:color="auto"/>
                  </w:divBdr>
                </w:div>
                <w:div w:id="313417031">
                  <w:marLeft w:val="0"/>
                  <w:marRight w:val="0"/>
                  <w:marTop w:val="0"/>
                  <w:marBottom w:val="0"/>
                  <w:divBdr>
                    <w:top w:val="none" w:sz="0" w:space="0" w:color="auto"/>
                    <w:left w:val="none" w:sz="0" w:space="0" w:color="auto"/>
                    <w:bottom w:val="none" w:sz="0" w:space="0" w:color="auto"/>
                    <w:right w:val="none" w:sz="0" w:space="0" w:color="auto"/>
                  </w:divBdr>
                </w:div>
                <w:div w:id="512453383">
                  <w:marLeft w:val="0"/>
                  <w:marRight w:val="0"/>
                  <w:marTop w:val="0"/>
                  <w:marBottom w:val="0"/>
                  <w:divBdr>
                    <w:top w:val="none" w:sz="0" w:space="0" w:color="auto"/>
                    <w:left w:val="none" w:sz="0" w:space="0" w:color="auto"/>
                    <w:bottom w:val="none" w:sz="0" w:space="0" w:color="auto"/>
                    <w:right w:val="none" w:sz="0" w:space="0" w:color="auto"/>
                  </w:divBdr>
                </w:div>
                <w:div w:id="250626380">
                  <w:marLeft w:val="0"/>
                  <w:marRight w:val="0"/>
                  <w:marTop w:val="0"/>
                  <w:marBottom w:val="0"/>
                  <w:divBdr>
                    <w:top w:val="none" w:sz="0" w:space="0" w:color="auto"/>
                    <w:left w:val="none" w:sz="0" w:space="0" w:color="auto"/>
                    <w:bottom w:val="none" w:sz="0" w:space="0" w:color="auto"/>
                    <w:right w:val="none" w:sz="0" w:space="0" w:color="auto"/>
                  </w:divBdr>
                  <w:divsChild>
                    <w:div w:id="832381858">
                      <w:marLeft w:val="0"/>
                      <w:marRight w:val="0"/>
                      <w:marTop w:val="0"/>
                      <w:marBottom w:val="0"/>
                      <w:divBdr>
                        <w:top w:val="none" w:sz="0" w:space="0" w:color="auto"/>
                        <w:left w:val="none" w:sz="0" w:space="0" w:color="auto"/>
                        <w:bottom w:val="none" w:sz="0" w:space="0" w:color="auto"/>
                        <w:right w:val="none" w:sz="0" w:space="0" w:color="auto"/>
                      </w:divBdr>
                      <w:divsChild>
                        <w:div w:id="25652605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250390381">
                              <w:marLeft w:val="0"/>
                              <w:marRight w:val="0"/>
                              <w:marTop w:val="0"/>
                              <w:marBottom w:val="0"/>
                              <w:divBdr>
                                <w:top w:val="none" w:sz="0" w:space="0" w:color="auto"/>
                                <w:left w:val="none" w:sz="0" w:space="0" w:color="auto"/>
                                <w:bottom w:val="none" w:sz="0" w:space="0" w:color="auto"/>
                                <w:right w:val="none" w:sz="0" w:space="0" w:color="auto"/>
                              </w:divBdr>
                              <w:divsChild>
                                <w:div w:id="118766606">
                                  <w:marLeft w:val="0"/>
                                  <w:marRight w:val="0"/>
                                  <w:marTop w:val="0"/>
                                  <w:marBottom w:val="0"/>
                                  <w:divBdr>
                                    <w:top w:val="none" w:sz="0" w:space="0" w:color="auto"/>
                                    <w:left w:val="none" w:sz="0" w:space="0" w:color="auto"/>
                                    <w:bottom w:val="none" w:sz="0" w:space="0" w:color="auto"/>
                                    <w:right w:val="none" w:sz="0" w:space="0" w:color="auto"/>
                                  </w:divBdr>
                                </w:div>
                                <w:div w:id="2863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6508">
                      <w:marLeft w:val="0"/>
                      <w:marRight w:val="0"/>
                      <w:marTop w:val="0"/>
                      <w:marBottom w:val="0"/>
                      <w:divBdr>
                        <w:top w:val="none" w:sz="0" w:space="0" w:color="auto"/>
                        <w:left w:val="none" w:sz="0" w:space="0" w:color="auto"/>
                        <w:bottom w:val="none" w:sz="0" w:space="0" w:color="auto"/>
                        <w:right w:val="none" w:sz="0" w:space="0" w:color="auto"/>
                      </w:divBdr>
                      <w:divsChild>
                        <w:div w:id="1630280142">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94973860">
                              <w:marLeft w:val="0"/>
                              <w:marRight w:val="0"/>
                              <w:marTop w:val="0"/>
                              <w:marBottom w:val="0"/>
                              <w:divBdr>
                                <w:top w:val="none" w:sz="0" w:space="0" w:color="auto"/>
                                <w:left w:val="none" w:sz="0" w:space="0" w:color="auto"/>
                                <w:bottom w:val="none" w:sz="0" w:space="0" w:color="auto"/>
                                <w:right w:val="none" w:sz="0" w:space="0" w:color="auto"/>
                              </w:divBdr>
                              <w:divsChild>
                                <w:div w:id="13655532">
                                  <w:marLeft w:val="0"/>
                                  <w:marRight w:val="0"/>
                                  <w:marTop w:val="0"/>
                                  <w:marBottom w:val="0"/>
                                  <w:divBdr>
                                    <w:top w:val="none" w:sz="0" w:space="0" w:color="auto"/>
                                    <w:left w:val="none" w:sz="0" w:space="0" w:color="auto"/>
                                    <w:bottom w:val="none" w:sz="0" w:space="0" w:color="auto"/>
                                    <w:right w:val="none" w:sz="0" w:space="0" w:color="auto"/>
                                  </w:divBdr>
                                </w:div>
                                <w:div w:id="1362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562539">
                  <w:marLeft w:val="0"/>
                  <w:marRight w:val="0"/>
                  <w:marTop w:val="0"/>
                  <w:marBottom w:val="0"/>
                  <w:divBdr>
                    <w:top w:val="none" w:sz="0" w:space="0" w:color="auto"/>
                    <w:left w:val="none" w:sz="0" w:space="0" w:color="auto"/>
                    <w:bottom w:val="none" w:sz="0" w:space="0" w:color="auto"/>
                    <w:right w:val="none" w:sz="0" w:space="0" w:color="auto"/>
                  </w:divBdr>
                </w:div>
                <w:div w:id="439224241">
                  <w:marLeft w:val="0"/>
                  <w:marRight w:val="0"/>
                  <w:marTop w:val="0"/>
                  <w:marBottom w:val="0"/>
                  <w:divBdr>
                    <w:top w:val="none" w:sz="0" w:space="0" w:color="auto"/>
                    <w:left w:val="none" w:sz="0" w:space="0" w:color="auto"/>
                    <w:bottom w:val="none" w:sz="0" w:space="0" w:color="auto"/>
                    <w:right w:val="none" w:sz="0" w:space="0" w:color="auto"/>
                  </w:divBdr>
                  <w:divsChild>
                    <w:div w:id="1299458270">
                      <w:marLeft w:val="0"/>
                      <w:marRight w:val="0"/>
                      <w:marTop w:val="0"/>
                      <w:marBottom w:val="0"/>
                      <w:divBdr>
                        <w:top w:val="none" w:sz="0" w:space="0" w:color="auto"/>
                        <w:left w:val="none" w:sz="0" w:space="0" w:color="auto"/>
                        <w:bottom w:val="none" w:sz="0" w:space="0" w:color="auto"/>
                        <w:right w:val="none" w:sz="0" w:space="0" w:color="auto"/>
                      </w:divBdr>
                      <w:divsChild>
                        <w:div w:id="935939807">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742827609">
                              <w:marLeft w:val="0"/>
                              <w:marRight w:val="0"/>
                              <w:marTop w:val="0"/>
                              <w:marBottom w:val="0"/>
                              <w:divBdr>
                                <w:top w:val="none" w:sz="0" w:space="0" w:color="auto"/>
                                <w:left w:val="none" w:sz="0" w:space="0" w:color="auto"/>
                                <w:bottom w:val="none" w:sz="0" w:space="0" w:color="auto"/>
                                <w:right w:val="none" w:sz="0" w:space="0" w:color="auto"/>
                              </w:divBdr>
                              <w:divsChild>
                                <w:div w:id="1803225891">
                                  <w:marLeft w:val="0"/>
                                  <w:marRight w:val="0"/>
                                  <w:marTop w:val="0"/>
                                  <w:marBottom w:val="0"/>
                                  <w:divBdr>
                                    <w:top w:val="none" w:sz="0" w:space="0" w:color="auto"/>
                                    <w:left w:val="none" w:sz="0" w:space="0" w:color="auto"/>
                                    <w:bottom w:val="none" w:sz="0" w:space="0" w:color="auto"/>
                                    <w:right w:val="none" w:sz="0" w:space="0" w:color="auto"/>
                                  </w:divBdr>
                                </w:div>
                                <w:div w:id="11194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91466">
                      <w:marLeft w:val="0"/>
                      <w:marRight w:val="0"/>
                      <w:marTop w:val="0"/>
                      <w:marBottom w:val="0"/>
                      <w:divBdr>
                        <w:top w:val="none" w:sz="0" w:space="0" w:color="auto"/>
                        <w:left w:val="none" w:sz="0" w:space="0" w:color="auto"/>
                        <w:bottom w:val="none" w:sz="0" w:space="0" w:color="auto"/>
                        <w:right w:val="none" w:sz="0" w:space="0" w:color="auto"/>
                      </w:divBdr>
                    </w:div>
                  </w:divsChild>
                </w:div>
                <w:div w:id="1292057600">
                  <w:marLeft w:val="0"/>
                  <w:marRight w:val="0"/>
                  <w:marTop w:val="0"/>
                  <w:marBottom w:val="0"/>
                  <w:divBdr>
                    <w:top w:val="none" w:sz="0" w:space="0" w:color="auto"/>
                    <w:left w:val="none" w:sz="0" w:space="0" w:color="auto"/>
                    <w:bottom w:val="none" w:sz="0" w:space="0" w:color="auto"/>
                    <w:right w:val="none" w:sz="0" w:space="0" w:color="auto"/>
                  </w:divBdr>
                  <w:divsChild>
                    <w:div w:id="299044186">
                      <w:marLeft w:val="0"/>
                      <w:marRight w:val="0"/>
                      <w:marTop w:val="0"/>
                      <w:marBottom w:val="0"/>
                      <w:divBdr>
                        <w:top w:val="none" w:sz="0" w:space="0" w:color="auto"/>
                        <w:left w:val="none" w:sz="0" w:space="0" w:color="auto"/>
                        <w:bottom w:val="none" w:sz="0" w:space="0" w:color="auto"/>
                        <w:right w:val="none" w:sz="0" w:space="0" w:color="auto"/>
                      </w:divBdr>
                      <w:divsChild>
                        <w:div w:id="878394996">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629096060">
                              <w:marLeft w:val="0"/>
                              <w:marRight w:val="0"/>
                              <w:marTop w:val="0"/>
                              <w:marBottom w:val="0"/>
                              <w:divBdr>
                                <w:top w:val="none" w:sz="0" w:space="0" w:color="auto"/>
                                <w:left w:val="none" w:sz="0" w:space="0" w:color="auto"/>
                                <w:bottom w:val="none" w:sz="0" w:space="0" w:color="auto"/>
                                <w:right w:val="none" w:sz="0" w:space="0" w:color="auto"/>
                              </w:divBdr>
                              <w:divsChild>
                                <w:div w:id="458501206">
                                  <w:marLeft w:val="0"/>
                                  <w:marRight w:val="0"/>
                                  <w:marTop w:val="0"/>
                                  <w:marBottom w:val="0"/>
                                  <w:divBdr>
                                    <w:top w:val="none" w:sz="0" w:space="0" w:color="auto"/>
                                    <w:left w:val="none" w:sz="0" w:space="0" w:color="auto"/>
                                    <w:bottom w:val="none" w:sz="0" w:space="0" w:color="auto"/>
                                    <w:right w:val="none" w:sz="0" w:space="0" w:color="auto"/>
                                  </w:divBdr>
                                </w:div>
                                <w:div w:id="18304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1883">
                      <w:marLeft w:val="0"/>
                      <w:marRight w:val="0"/>
                      <w:marTop w:val="0"/>
                      <w:marBottom w:val="0"/>
                      <w:divBdr>
                        <w:top w:val="none" w:sz="0" w:space="0" w:color="auto"/>
                        <w:left w:val="none" w:sz="0" w:space="0" w:color="auto"/>
                        <w:bottom w:val="none" w:sz="0" w:space="0" w:color="auto"/>
                        <w:right w:val="none" w:sz="0" w:space="0" w:color="auto"/>
                      </w:divBdr>
                    </w:div>
                    <w:div w:id="71843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88646">
              <w:marLeft w:val="0"/>
              <w:marRight w:val="0"/>
              <w:marTop w:val="0"/>
              <w:marBottom w:val="0"/>
              <w:divBdr>
                <w:top w:val="none" w:sz="0" w:space="0" w:color="auto"/>
                <w:left w:val="none" w:sz="0" w:space="0" w:color="auto"/>
                <w:bottom w:val="none" w:sz="0" w:space="0" w:color="auto"/>
                <w:right w:val="none" w:sz="0" w:space="0" w:color="auto"/>
              </w:divBdr>
            </w:div>
            <w:div w:id="2113042748">
              <w:marLeft w:val="0"/>
              <w:marRight w:val="0"/>
              <w:marTop w:val="0"/>
              <w:marBottom w:val="0"/>
              <w:divBdr>
                <w:top w:val="none" w:sz="0" w:space="0" w:color="auto"/>
                <w:left w:val="none" w:sz="0" w:space="0" w:color="auto"/>
                <w:bottom w:val="none" w:sz="0" w:space="0" w:color="auto"/>
                <w:right w:val="none" w:sz="0" w:space="0" w:color="auto"/>
              </w:divBdr>
              <w:divsChild>
                <w:div w:id="54478069">
                  <w:marLeft w:val="0"/>
                  <w:marRight w:val="0"/>
                  <w:marTop w:val="0"/>
                  <w:marBottom w:val="0"/>
                  <w:divBdr>
                    <w:top w:val="none" w:sz="0" w:space="0" w:color="auto"/>
                    <w:left w:val="none" w:sz="0" w:space="0" w:color="auto"/>
                    <w:bottom w:val="none" w:sz="0" w:space="0" w:color="auto"/>
                    <w:right w:val="none" w:sz="0" w:space="0" w:color="auto"/>
                  </w:divBdr>
                </w:div>
              </w:divsChild>
            </w:div>
            <w:div w:id="410811505">
              <w:marLeft w:val="0"/>
              <w:marRight w:val="0"/>
              <w:marTop w:val="0"/>
              <w:marBottom w:val="0"/>
              <w:divBdr>
                <w:top w:val="none" w:sz="0" w:space="0" w:color="auto"/>
                <w:left w:val="none" w:sz="0" w:space="0" w:color="auto"/>
                <w:bottom w:val="none" w:sz="0" w:space="0" w:color="auto"/>
                <w:right w:val="none" w:sz="0" w:space="0" w:color="auto"/>
              </w:divBdr>
            </w:div>
            <w:div w:id="451365605">
              <w:marLeft w:val="0"/>
              <w:marRight w:val="0"/>
              <w:marTop w:val="0"/>
              <w:marBottom w:val="0"/>
              <w:divBdr>
                <w:top w:val="none" w:sz="0" w:space="0" w:color="auto"/>
                <w:left w:val="none" w:sz="0" w:space="0" w:color="auto"/>
                <w:bottom w:val="none" w:sz="0" w:space="0" w:color="auto"/>
                <w:right w:val="none" w:sz="0" w:space="0" w:color="auto"/>
              </w:divBdr>
              <w:divsChild>
                <w:div w:id="343824421">
                  <w:marLeft w:val="0"/>
                  <w:marRight w:val="0"/>
                  <w:marTop w:val="0"/>
                  <w:marBottom w:val="0"/>
                  <w:divBdr>
                    <w:top w:val="none" w:sz="0" w:space="0" w:color="auto"/>
                    <w:left w:val="none" w:sz="0" w:space="0" w:color="auto"/>
                    <w:bottom w:val="none" w:sz="0" w:space="0" w:color="auto"/>
                    <w:right w:val="none" w:sz="0" w:space="0" w:color="auto"/>
                  </w:divBdr>
                  <w:divsChild>
                    <w:div w:id="897939858">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77431770">
                          <w:marLeft w:val="0"/>
                          <w:marRight w:val="0"/>
                          <w:marTop w:val="0"/>
                          <w:marBottom w:val="0"/>
                          <w:divBdr>
                            <w:top w:val="none" w:sz="0" w:space="0" w:color="auto"/>
                            <w:left w:val="none" w:sz="0" w:space="0" w:color="auto"/>
                            <w:bottom w:val="none" w:sz="0" w:space="0" w:color="auto"/>
                            <w:right w:val="none" w:sz="0" w:space="0" w:color="auto"/>
                          </w:divBdr>
                          <w:divsChild>
                            <w:div w:id="571937079">
                              <w:marLeft w:val="0"/>
                              <w:marRight w:val="0"/>
                              <w:marTop w:val="0"/>
                              <w:marBottom w:val="0"/>
                              <w:divBdr>
                                <w:top w:val="none" w:sz="0" w:space="0" w:color="auto"/>
                                <w:left w:val="none" w:sz="0" w:space="0" w:color="auto"/>
                                <w:bottom w:val="none" w:sz="0" w:space="0" w:color="auto"/>
                                <w:right w:val="none" w:sz="0" w:space="0" w:color="auto"/>
                              </w:divBdr>
                            </w:div>
                            <w:div w:id="17835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4039">
                      <w:marLeft w:val="0"/>
                      <w:marRight w:val="0"/>
                      <w:marTop w:val="0"/>
                      <w:marBottom w:val="0"/>
                      <w:divBdr>
                        <w:top w:val="none" w:sz="0" w:space="0" w:color="auto"/>
                        <w:left w:val="none" w:sz="0" w:space="0" w:color="auto"/>
                        <w:bottom w:val="none" w:sz="0" w:space="0" w:color="auto"/>
                        <w:right w:val="none" w:sz="0" w:space="0" w:color="auto"/>
                      </w:divBdr>
                      <w:divsChild>
                        <w:div w:id="48967246">
                          <w:marLeft w:val="0"/>
                          <w:marRight w:val="0"/>
                          <w:marTop w:val="0"/>
                          <w:marBottom w:val="0"/>
                          <w:divBdr>
                            <w:top w:val="none" w:sz="0" w:space="0" w:color="auto"/>
                            <w:left w:val="none" w:sz="0" w:space="0" w:color="auto"/>
                            <w:bottom w:val="none" w:sz="0" w:space="0" w:color="auto"/>
                            <w:right w:val="none" w:sz="0" w:space="0" w:color="auto"/>
                          </w:divBdr>
                        </w:div>
                        <w:div w:id="1680162474">
                          <w:marLeft w:val="0"/>
                          <w:marRight w:val="0"/>
                          <w:marTop w:val="0"/>
                          <w:marBottom w:val="0"/>
                          <w:divBdr>
                            <w:top w:val="none" w:sz="0" w:space="0" w:color="auto"/>
                            <w:left w:val="none" w:sz="0" w:space="0" w:color="auto"/>
                            <w:bottom w:val="none" w:sz="0" w:space="0" w:color="auto"/>
                            <w:right w:val="none" w:sz="0" w:space="0" w:color="auto"/>
                          </w:divBdr>
                        </w:div>
                        <w:div w:id="584147238">
                          <w:marLeft w:val="0"/>
                          <w:marRight w:val="0"/>
                          <w:marTop w:val="0"/>
                          <w:marBottom w:val="0"/>
                          <w:divBdr>
                            <w:top w:val="none" w:sz="0" w:space="0" w:color="auto"/>
                            <w:left w:val="none" w:sz="0" w:space="0" w:color="auto"/>
                            <w:bottom w:val="none" w:sz="0" w:space="0" w:color="auto"/>
                            <w:right w:val="none" w:sz="0" w:space="0" w:color="auto"/>
                          </w:divBdr>
                        </w:div>
                        <w:div w:id="339115885">
                          <w:marLeft w:val="0"/>
                          <w:marRight w:val="0"/>
                          <w:marTop w:val="0"/>
                          <w:marBottom w:val="0"/>
                          <w:divBdr>
                            <w:top w:val="none" w:sz="0" w:space="0" w:color="auto"/>
                            <w:left w:val="none" w:sz="0" w:space="0" w:color="auto"/>
                            <w:bottom w:val="none" w:sz="0" w:space="0" w:color="auto"/>
                            <w:right w:val="none" w:sz="0" w:space="0" w:color="auto"/>
                          </w:divBdr>
                        </w:div>
                        <w:div w:id="638656391">
                          <w:marLeft w:val="0"/>
                          <w:marRight w:val="0"/>
                          <w:marTop w:val="0"/>
                          <w:marBottom w:val="0"/>
                          <w:divBdr>
                            <w:top w:val="none" w:sz="0" w:space="0" w:color="auto"/>
                            <w:left w:val="none" w:sz="0" w:space="0" w:color="auto"/>
                            <w:bottom w:val="none" w:sz="0" w:space="0" w:color="auto"/>
                            <w:right w:val="none" w:sz="0" w:space="0" w:color="auto"/>
                          </w:divBdr>
                        </w:div>
                        <w:div w:id="20965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0906">
              <w:marLeft w:val="0"/>
              <w:marRight w:val="0"/>
              <w:marTop w:val="0"/>
              <w:marBottom w:val="0"/>
              <w:divBdr>
                <w:top w:val="none" w:sz="0" w:space="0" w:color="auto"/>
                <w:left w:val="none" w:sz="0" w:space="0" w:color="auto"/>
                <w:bottom w:val="none" w:sz="0" w:space="0" w:color="auto"/>
                <w:right w:val="none" w:sz="0" w:space="0" w:color="auto"/>
              </w:divBdr>
              <w:divsChild>
                <w:div w:id="1467822146">
                  <w:marLeft w:val="0"/>
                  <w:marRight w:val="0"/>
                  <w:marTop w:val="0"/>
                  <w:marBottom w:val="0"/>
                  <w:divBdr>
                    <w:top w:val="none" w:sz="0" w:space="0" w:color="auto"/>
                    <w:left w:val="none" w:sz="0" w:space="0" w:color="auto"/>
                    <w:bottom w:val="none" w:sz="0" w:space="0" w:color="auto"/>
                    <w:right w:val="none" w:sz="0" w:space="0" w:color="auto"/>
                  </w:divBdr>
                </w:div>
              </w:divsChild>
            </w:div>
            <w:div w:id="522548878">
              <w:marLeft w:val="0"/>
              <w:marRight w:val="0"/>
              <w:marTop w:val="0"/>
              <w:marBottom w:val="0"/>
              <w:divBdr>
                <w:top w:val="none" w:sz="0" w:space="0" w:color="auto"/>
                <w:left w:val="none" w:sz="0" w:space="0" w:color="auto"/>
                <w:bottom w:val="none" w:sz="0" w:space="0" w:color="auto"/>
                <w:right w:val="none" w:sz="0" w:space="0" w:color="auto"/>
              </w:divBdr>
            </w:div>
            <w:div w:id="74979127">
              <w:marLeft w:val="0"/>
              <w:marRight w:val="0"/>
              <w:marTop w:val="0"/>
              <w:marBottom w:val="0"/>
              <w:divBdr>
                <w:top w:val="none" w:sz="0" w:space="0" w:color="auto"/>
                <w:left w:val="none" w:sz="0" w:space="0" w:color="auto"/>
                <w:bottom w:val="none" w:sz="0" w:space="0" w:color="auto"/>
                <w:right w:val="none" w:sz="0" w:space="0" w:color="auto"/>
              </w:divBdr>
              <w:divsChild>
                <w:div w:id="2035302214">
                  <w:marLeft w:val="0"/>
                  <w:marRight w:val="0"/>
                  <w:marTop w:val="0"/>
                  <w:marBottom w:val="0"/>
                  <w:divBdr>
                    <w:top w:val="none" w:sz="0" w:space="0" w:color="auto"/>
                    <w:left w:val="none" w:sz="0" w:space="0" w:color="auto"/>
                    <w:bottom w:val="none" w:sz="0" w:space="0" w:color="auto"/>
                    <w:right w:val="none" w:sz="0" w:space="0" w:color="auto"/>
                  </w:divBdr>
                  <w:divsChild>
                    <w:div w:id="48461451">
                      <w:marLeft w:val="0"/>
                      <w:marRight w:val="0"/>
                      <w:marTop w:val="256"/>
                      <w:marBottom w:val="256"/>
                      <w:divBdr>
                        <w:top w:val="none" w:sz="0" w:space="0" w:color="auto"/>
                        <w:left w:val="none" w:sz="0" w:space="0" w:color="auto"/>
                        <w:bottom w:val="none" w:sz="0" w:space="0" w:color="auto"/>
                        <w:right w:val="none" w:sz="0" w:space="0" w:color="auto"/>
                      </w:divBdr>
                      <w:divsChild>
                        <w:div w:id="1799303405">
                          <w:marLeft w:val="0"/>
                          <w:marRight w:val="0"/>
                          <w:marTop w:val="0"/>
                          <w:marBottom w:val="0"/>
                          <w:divBdr>
                            <w:top w:val="none" w:sz="0" w:space="0" w:color="auto"/>
                            <w:left w:val="none" w:sz="0" w:space="0" w:color="auto"/>
                            <w:bottom w:val="none" w:sz="0" w:space="0" w:color="auto"/>
                            <w:right w:val="none" w:sz="0" w:space="0" w:color="auto"/>
                          </w:divBdr>
                          <w:divsChild>
                            <w:div w:id="866135495">
                              <w:marLeft w:val="0"/>
                              <w:marRight w:val="0"/>
                              <w:marTop w:val="0"/>
                              <w:marBottom w:val="0"/>
                              <w:divBdr>
                                <w:top w:val="none" w:sz="0" w:space="0" w:color="auto"/>
                                <w:left w:val="none" w:sz="0" w:space="0" w:color="auto"/>
                                <w:bottom w:val="none" w:sz="0" w:space="0" w:color="auto"/>
                                <w:right w:val="none" w:sz="0" w:space="0" w:color="auto"/>
                              </w:divBdr>
                              <w:divsChild>
                                <w:div w:id="1397505884">
                                  <w:marLeft w:val="0"/>
                                  <w:marRight w:val="0"/>
                                  <w:marTop w:val="0"/>
                                  <w:marBottom w:val="0"/>
                                  <w:divBdr>
                                    <w:top w:val="none" w:sz="0" w:space="0" w:color="auto"/>
                                    <w:left w:val="none" w:sz="0" w:space="0" w:color="auto"/>
                                    <w:bottom w:val="none" w:sz="0" w:space="0" w:color="auto"/>
                                    <w:right w:val="none" w:sz="0" w:space="0" w:color="auto"/>
                                  </w:divBdr>
                                </w:div>
                                <w:div w:id="1280992866">
                                  <w:marLeft w:val="0"/>
                                  <w:marRight w:val="0"/>
                                  <w:marTop w:val="0"/>
                                  <w:marBottom w:val="0"/>
                                  <w:divBdr>
                                    <w:top w:val="none" w:sz="0" w:space="0" w:color="auto"/>
                                    <w:left w:val="none" w:sz="0" w:space="0" w:color="auto"/>
                                    <w:bottom w:val="none" w:sz="0" w:space="0" w:color="auto"/>
                                    <w:right w:val="none" w:sz="0" w:space="0" w:color="auto"/>
                                  </w:divBdr>
                                </w:div>
                                <w:div w:id="314456753">
                                  <w:marLeft w:val="240"/>
                                  <w:marRight w:val="0"/>
                                  <w:marTop w:val="0"/>
                                  <w:marBottom w:val="0"/>
                                  <w:divBdr>
                                    <w:top w:val="none" w:sz="0" w:space="0" w:color="auto"/>
                                    <w:left w:val="none" w:sz="0" w:space="0" w:color="auto"/>
                                    <w:bottom w:val="none" w:sz="0" w:space="0" w:color="auto"/>
                                    <w:right w:val="none" w:sz="0" w:space="0" w:color="auto"/>
                                  </w:divBdr>
                                  <w:divsChild>
                                    <w:div w:id="17713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5946">
                              <w:marLeft w:val="0"/>
                              <w:marRight w:val="0"/>
                              <w:marTop w:val="0"/>
                              <w:marBottom w:val="0"/>
                              <w:divBdr>
                                <w:top w:val="none" w:sz="0" w:space="0" w:color="auto"/>
                                <w:left w:val="none" w:sz="0" w:space="0" w:color="auto"/>
                                <w:bottom w:val="none" w:sz="0" w:space="0" w:color="auto"/>
                                <w:right w:val="none" w:sz="0" w:space="0" w:color="auto"/>
                              </w:divBdr>
                              <w:divsChild>
                                <w:div w:id="1261377378">
                                  <w:marLeft w:val="0"/>
                                  <w:marRight w:val="0"/>
                                  <w:marTop w:val="0"/>
                                  <w:marBottom w:val="0"/>
                                  <w:divBdr>
                                    <w:top w:val="none" w:sz="0" w:space="0" w:color="auto"/>
                                    <w:left w:val="none" w:sz="0" w:space="0" w:color="auto"/>
                                    <w:bottom w:val="none" w:sz="0" w:space="0" w:color="auto"/>
                                    <w:right w:val="none" w:sz="0" w:space="0" w:color="auto"/>
                                  </w:divBdr>
                                </w:div>
                                <w:div w:id="4505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87086">
                      <w:marLeft w:val="0"/>
                      <w:marRight w:val="0"/>
                      <w:marTop w:val="0"/>
                      <w:marBottom w:val="0"/>
                      <w:divBdr>
                        <w:top w:val="none" w:sz="0" w:space="0" w:color="auto"/>
                        <w:left w:val="none" w:sz="0" w:space="0" w:color="auto"/>
                        <w:bottom w:val="none" w:sz="0" w:space="0" w:color="auto"/>
                        <w:right w:val="none" w:sz="0" w:space="0" w:color="auto"/>
                      </w:divBdr>
                      <w:divsChild>
                        <w:div w:id="1272784403">
                          <w:marLeft w:val="0"/>
                          <w:marRight w:val="0"/>
                          <w:marTop w:val="256"/>
                          <w:marBottom w:val="256"/>
                          <w:divBdr>
                            <w:top w:val="none" w:sz="0" w:space="0" w:color="auto"/>
                            <w:left w:val="none" w:sz="0" w:space="0" w:color="auto"/>
                            <w:bottom w:val="none" w:sz="0" w:space="0" w:color="auto"/>
                            <w:right w:val="none" w:sz="0" w:space="0" w:color="auto"/>
                          </w:divBdr>
                        </w:div>
                      </w:divsChild>
                    </w:div>
                    <w:div w:id="919948037">
                      <w:marLeft w:val="0"/>
                      <w:marRight w:val="0"/>
                      <w:marTop w:val="256"/>
                      <w:marBottom w:val="256"/>
                      <w:divBdr>
                        <w:top w:val="none" w:sz="0" w:space="0" w:color="auto"/>
                        <w:left w:val="none" w:sz="0" w:space="0" w:color="auto"/>
                        <w:bottom w:val="none" w:sz="0" w:space="0" w:color="auto"/>
                        <w:right w:val="none" w:sz="0" w:space="0" w:color="auto"/>
                      </w:divBdr>
                      <w:divsChild>
                        <w:div w:id="1100878821">
                          <w:marLeft w:val="0"/>
                          <w:marRight w:val="0"/>
                          <w:marTop w:val="256"/>
                          <w:marBottom w:val="256"/>
                          <w:divBdr>
                            <w:top w:val="none" w:sz="0" w:space="0" w:color="auto"/>
                            <w:left w:val="none" w:sz="0" w:space="0" w:color="auto"/>
                            <w:bottom w:val="none" w:sz="0" w:space="0" w:color="auto"/>
                            <w:right w:val="none" w:sz="0" w:space="0" w:color="auto"/>
                          </w:divBdr>
                          <w:divsChild>
                            <w:div w:id="476265488">
                              <w:marLeft w:val="0"/>
                              <w:marRight w:val="0"/>
                              <w:marTop w:val="0"/>
                              <w:marBottom w:val="0"/>
                              <w:divBdr>
                                <w:top w:val="none" w:sz="0" w:space="0" w:color="auto"/>
                                <w:left w:val="none" w:sz="0" w:space="0" w:color="auto"/>
                                <w:bottom w:val="none" w:sz="0" w:space="0" w:color="auto"/>
                                <w:right w:val="none" w:sz="0" w:space="0" w:color="auto"/>
                              </w:divBdr>
                            </w:div>
                            <w:div w:id="961955750">
                              <w:marLeft w:val="0"/>
                              <w:marRight w:val="0"/>
                              <w:marTop w:val="0"/>
                              <w:marBottom w:val="0"/>
                              <w:divBdr>
                                <w:top w:val="none" w:sz="0" w:space="0" w:color="auto"/>
                                <w:left w:val="none" w:sz="0" w:space="0" w:color="auto"/>
                                <w:bottom w:val="none" w:sz="0" w:space="0" w:color="auto"/>
                                <w:right w:val="none" w:sz="0" w:space="0" w:color="auto"/>
                              </w:divBdr>
                            </w:div>
                            <w:div w:id="1066220628">
                              <w:marLeft w:val="0"/>
                              <w:marRight w:val="0"/>
                              <w:marTop w:val="0"/>
                              <w:marBottom w:val="0"/>
                              <w:divBdr>
                                <w:top w:val="none" w:sz="0" w:space="0" w:color="auto"/>
                                <w:left w:val="none" w:sz="0" w:space="0" w:color="auto"/>
                                <w:bottom w:val="none" w:sz="0" w:space="0" w:color="auto"/>
                                <w:right w:val="none" w:sz="0" w:space="0" w:color="auto"/>
                              </w:divBdr>
                            </w:div>
                            <w:div w:id="1858538645">
                              <w:marLeft w:val="0"/>
                              <w:marRight w:val="0"/>
                              <w:marTop w:val="0"/>
                              <w:marBottom w:val="0"/>
                              <w:divBdr>
                                <w:top w:val="none" w:sz="0" w:space="0" w:color="auto"/>
                                <w:left w:val="none" w:sz="0" w:space="0" w:color="auto"/>
                                <w:bottom w:val="none" w:sz="0" w:space="0" w:color="auto"/>
                                <w:right w:val="none" w:sz="0" w:space="0" w:color="auto"/>
                              </w:divBdr>
                            </w:div>
                          </w:divsChild>
                        </w:div>
                        <w:div w:id="2040008826">
                          <w:marLeft w:val="0"/>
                          <w:marRight w:val="0"/>
                          <w:marTop w:val="256"/>
                          <w:marBottom w:val="256"/>
                          <w:divBdr>
                            <w:top w:val="none" w:sz="0" w:space="0" w:color="auto"/>
                            <w:left w:val="none" w:sz="0" w:space="0" w:color="auto"/>
                            <w:bottom w:val="none" w:sz="0" w:space="0" w:color="auto"/>
                            <w:right w:val="none" w:sz="0" w:space="0" w:color="auto"/>
                          </w:divBdr>
                          <w:divsChild>
                            <w:div w:id="1241915235">
                              <w:marLeft w:val="0"/>
                              <w:marRight w:val="0"/>
                              <w:marTop w:val="0"/>
                              <w:marBottom w:val="0"/>
                              <w:divBdr>
                                <w:top w:val="none" w:sz="0" w:space="0" w:color="auto"/>
                                <w:left w:val="none" w:sz="0" w:space="0" w:color="auto"/>
                                <w:bottom w:val="none" w:sz="0" w:space="0" w:color="auto"/>
                                <w:right w:val="none" w:sz="0" w:space="0" w:color="auto"/>
                              </w:divBdr>
                            </w:div>
                            <w:div w:id="8761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4085">
                      <w:marLeft w:val="0"/>
                      <w:marRight w:val="0"/>
                      <w:marTop w:val="256"/>
                      <w:marBottom w:val="256"/>
                      <w:divBdr>
                        <w:top w:val="none" w:sz="0" w:space="0" w:color="auto"/>
                        <w:left w:val="none" w:sz="0" w:space="0" w:color="auto"/>
                        <w:bottom w:val="none" w:sz="0" w:space="0" w:color="auto"/>
                        <w:right w:val="none" w:sz="0" w:space="0" w:color="auto"/>
                      </w:divBdr>
                      <w:divsChild>
                        <w:div w:id="873351422">
                          <w:marLeft w:val="0"/>
                          <w:marRight w:val="0"/>
                          <w:marTop w:val="0"/>
                          <w:marBottom w:val="0"/>
                          <w:divBdr>
                            <w:top w:val="none" w:sz="0" w:space="0" w:color="auto"/>
                            <w:left w:val="none" w:sz="0" w:space="0" w:color="auto"/>
                            <w:bottom w:val="none" w:sz="0" w:space="0" w:color="auto"/>
                            <w:right w:val="none" w:sz="0" w:space="0" w:color="auto"/>
                          </w:divBdr>
                          <w:divsChild>
                            <w:div w:id="366296314">
                              <w:marLeft w:val="0"/>
                              <w:marRight w:val="0"/>
                              <w:marTop w:val="0"/>
                              <w:marBottom w:val="0"/>
                              <w:divBdr>
                                <w:top w:val="none" w:sz="0" w:space="0" w:color="auto"/>
                                <w:left w:val="none" w:sz="0" w:space="0" w:color="auto"/>
                                <w:bottom w:val="none" w:sz="0" w:space="0" w:color="auto"/>
                                <w:right w:val="none" w:sz="0" w:space="0" w:color="auto"/>
                              </w:divBdr>
                            </w:div>
                            <w:div w:id="13152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498059">
              <w:marLeft w:val="0"/>
              <w:marRight w:val="0"/>
              <w:marTop w:val="0"/>
              <w:marBottom w:val="0"/>
              <w:divBdr>
                <w:top w:val="none" w:sz="0" w:space="0" w:color="auto"/>
                <w:left w:val="none" w:sz="0" w:space="0" w:color="auto"/>
                <w:bottom w:val="none" w:sz="0" w:space="0" w:color="auto"/>
                <w:right w:val="none" w:sz="0" w:space="0" w:color="auto"/>
              </w:divBdr>
              <w:divsChild>
                <w:div w:id="338847487">
                  <w:marLeft w:val="0"/>
                  <w:marRight w:val="0"/>
                  <w:marTop w:val="256"/>
                  <w:marBottom w:val="256"/>
                  <w:divBdr>
                    <w:top w:val="none" w:sz="0" w:space="0" w:color="auto"/>
                    <w:left w:val="none" w:sz="0" w:space="0" w:color="auto"/>
                    <w:bottom w:val="none" w:sz="0" w:space="0" w:color="auto"/>
                    <w:right w:val="none" w:sz="0" w:space="0" w:color="auto"/>
                  </w:divBdr>
                  <w:divsChild>
                    <w:div w:id="410933806">
                      <w:marLeft w:val="0"/>
                      <w:marRight w:val="0"/>
                      <w:marTop w:val="256"/>
                      <w:marBottom w:val="256"/>
                      <w:divBdr>
                        <w:top w:val="none" w:sz="0" w:space="0" w:color="auto"/>
                        <w:left w:val="none" w:sz="0" w:space="0" w:color="auto"/>
                        <w:bottom w:val="none" w:sz="0" w:space="0" w:color="auto"/>
                        <w:right w:val="none" w:sz="0" w:space="0" w:color="auto"/>
                      </w:divBdr>
                    </w:div>
                    <w:div w:id="1284769016">
                      <w:marLeft w:val="0"/>
                      <w:marRight w:val="0"/>
                      <w:marTop w:val="256"/>
                      <w:marBottom w:val="256"/>
                      <w:divBdr>
                        <w:top w:val="none" w:sz="0" w:space="0" w:color="auto"/>
                        <w:left w:val="none" w:sz="0" w:space="0" w:color="auto"/>
                        <w:bottom w:val="none" w:sz="0" w:space="0" w:color="auto"/>
                        <w:right w:val="none" w:sz="0" w:space="0" w:color="auto"/>
                      </w:divBdr>
                    </w:div>
                    <w:div w:id="610207879">
                      <w:marLeft w:val="0"/>
                      <w:marRight w:val="0"/>
                      <w:marTop w:val="256"/>
                      <w:marBottom w:val="256"/>
                      <w:divBdr>
                        <w:top w:val="none" w:sz="0" w:space="0" w:color="auto"/>
                        <w:left w:val="none" w:sz="0" w:space="0" w:color="auto"/>
                        <w:bottom w:val="none" w:sz="0" w:space="0" w:color="auto"/>
                        <w:right w:val="none" w:sz="0" w:space="0" w:color="auto"/>
                      </w:divBdr>
                    </w:div>
                    <w:div w:id="496575152">
                      <w:marLeft w:val="0"/>
                      <w:marRight w:val="0"/>
                      <w:marTop w:val="256"/>
                      <w:marBottom w:val="256"/>
                      <w:divBdr>
                        <w:top w:val="none" w:sz="0" w:space="0" w:color="auto"/>
                        <w:left w:val="none" w:sz="0" w:space="0" w:color="auto"/>
                        <w:bottom w:val="none" w:sz="0" w:space="0" w:color="auto"/>
                        <w:right w:val="none" w:sz="0" w:space="0" w:color="auto"/>
                      </w:divBdr>
                    </w:div>
                    <w:div w:id="1522740607">
                      <w:marLeft w:val="0"/>
                      <w:marRight w:val="0"/>
                      <w:marTop w:val="256"/>
                      <w:marBottom w:val="256"/>
                      <w:divBdr>
                        <w:top w:val="none" w:sz="0" w:space="0" w:color="auto"/>
                        <w:left w:val="none" w:sz="0" w:space="0" w:color="auto"/>
                        <w:bottom w:val="none" w:sz="0" w:space="0" w:color="auto"/>
                        <w:right w:val="none" w:sz="0" w:space="0" w:color="auto"/>
                      </w:divBdr>
                    </w:div>
                    <w:div w:id="135489757">
                      <w:marLeft w:val="0"/>
                      <w:marRight w:val="0"/>
                      <w:marTop w:val="256"/>
                      <w:marBottom w:val="256"/>
                      <w:divBdr>
                        <w:top w:val="none" w:sz="0" w:space="0" w:color="auto"/>
                        <w:left w:val="none" w:sz="0" w:space="0" w:color="auto"/>
                        <w:bottom w:val="none" w:sz="0" w:space="0" w:color="auto"/>
                        <w:right w:val="none" w:sz="0" w:space="0" w:color="auto"/>
                      </w:divBdr>
                    </w:div>
                    <w:div w:id="72750666">
                      <w:marLeft w:val="0"/>
                      <w:marRight w:val="0"/>
                      <w:marTop w:val="256"/>
                      <w:marBottom w:val="256"/>
                      <w:divBdr>
                        <w:top w:val="none" w:sz="0" w:space="0" w:color="auto"/>
                        <w:left w:val="none" w:sz="0" w:space="0" w:color="auto"/>
                        <w:bottom w:val="none" w:sz="0" w:space="0" w:color="auto"/>
                        <w:right w:val="none" w:sz="0" w:space="0" w:color="auto"/>
                      </w:divBdr>
                    </w:div>
                    <w:div w:id="436684474">
                      <w:marLeft w:val="0"/>
                      <w:marRight w:val="0"/>
                      <w:marTop w:val="256"/>
                      <w:marBottom w:val="256"/>
                      <w:divBdr>
                        <w:top w:val="none" w:sz="0" w:space="0" w:color="auto"/>
                        <w:left w:val="none" w:sz="0" w:space="0" w:color="auto"/>
                        <w:bottom w:val="none" w:sz="0" w:space="0" w:color="auto"/>
                        <w:right w:val="none" w:sz="0" w:space="0" w:color="auto"/>
                      </w:divBdr>
                    </w:div>
                    <w:div w:id="1571190639">
                      <w:marLeft w:val="0"/>
                      <w:marRight w:val="0"/>
                      <w:marTop w:val="256"/>
                      <w:marBottom w:val="256"/>
                      <w:divBdr>
                        <w:top w:val="none" w:sz="0" w:space="0" w:color="auto"/>
                        <w:left w:val="none" w:sz="0" w:space="0" w:color="auto"/>
                        <w:bottom w:val="none" w:sz="0" w:space="0" w:color="auto"/>
                        <w:right w:val="none" w:sz="0" w:space="0" w:color="auto"/>
                      </w:divBdr>
                    </w:div>
                    <w:div w:id="2106802365">
                      <w:marLeft w:val="0"/>
                      <w:marRight w:val="0"/>
                      <w:marTop w:val="256"/>
                      <w:marBottom w:val="256"/>
                      <w:divBdr>
                        <w:top w:val="none" w:sz="0" w:space="0" w:color="auto"/>
                        <w:left w:val="none" w:sz="0" w:space="0" w:color="auto"/>
                        <w:bottom w:val="none" w:sz="0" w:space="0" w:color="auto"/>
                        <w:right w:val="none" w:sz="0" w:space="0" w:color="auto"/>
                      </w:divBdr>
                    </w:div>
                    <w:div w:id="873733127">
                      <w:marLeft w:val="0"/>
                      <w:marRight w:val="0"/>
                      <w:marTop w:val="256"/>
                      <w:marBottom w:val="256"/>
                      <w:divBdr>
                        <w:top w:val="none" w:sz="0" w:space="0" w:color="auto"/>
                        <w:left w:val="none" w:sz="0" w:space="0" w:color="auto"/>
                        <w:bottom w:val="none" w:sz="0" w:space="0" w:color="auto"/>
                        <w:right w:val="none" w:sz="0" w:space="0" w:color="auto"/>
                      </w:divBdr>
                    </w:div>
                    <w:div w:id="1501388138">
                      <w:marLeft w:val="0"/>
                      <w:marRight w:val="0"/>
                      <w:marTop w:val="256"/>
                      <w:marBottom w:val="256"/>
                      <w:divBdr>
                        <w:top w:val="none" w:sz="0" w:space="0" w:color="auto"/>
                        <w:left w:val="none" w:sz="0" w:space="0" w:color="auto"/>
                        <w:bottom w:val="none" w:sz="0" w:space="0" w:color="auto"/>
                        <w:right w:val="none" w:sz="0" w:space="0" w:color="auto"/>
                      </w:divBdr>
                    </w:div>
                    <w:div w:id="1079795091">
                      <w:marLeft w:val="0"/>
                      <w:marRight w:val="0"/>
                      <w:marTop w:val="256"/>
                      <w:marBottom w:val="256"/>
                      <w:divBdr>
                        <w:top w:val="none" w:sz="0" w:space="0" w:color="auto"/>
                        <w:left w:val="none" w:sz="0" w:space="0" w:color="auto"/>
                        <w:bottom w:val="none" w:sz="0" w:space="0" w:color="auto"/>
                        <w:right w:val="none" w:sz="0" w:space="0" w:color="auto"/>
                      </w:divBdr>
                    </w:div>
                    <w:div w:id="1769501778">
                      <w:marLeft w:val="0"/>
                      <w:marRight w:val="0"/>
                      <w:marTop w:val="256"/>
                      <w:marBottom w:val="256"/>
                      <w:divBdr>
                        <w:top w:val="none" w:sz="0" w:space="0" w:color="auto"/>
                        <w:left w:val="none" w:sz="0" w:space="0" w:color="auto"/>
                        <w:bottom w:val="none" w:sz="0" w:space="0" w:color="auto"/>
                        <w:right w:val="none" w:sz="0" w:space="0" w:color="auto"/>
                      </w:divBdr>
                    </w:div>
                    <w:div w:id="385493059">
                      <w:marLeft w:val="0"/>
                      <w:marRight w:val="0"/>
                      <w:marTop w:val="256"/>
                      <w:marBottom w:val="256"/>
                      <w:divBdr>
                        <w:top w:val="none" w:sz="0" w:space="0" w:color="auto"/>
                        <w:left w:val="none" w:sz="0" w:space="0" w:color="auto"/>
                        <w:bottom w:val="none" w:sz="0" w:space="0" w:color="auto"/>
                        <w:right w:val="none" w:sz="0" w:space="0" w:color="auto"/>
                      </w:divBdr>
                    </w:div>
                    <w:div w:id="368184214">
                      <w:marLeft w:val="0"/>
                      <w:marRight w:val="0"/>
                      <w:marTop w:val="256"/>
                      <w:marBottom w:val="256"/>
                      <w:divBdr>
                        <w:top w:val="none" w:sz="0" w:space="0" w:color="auto"/>
                        <w:left w:val="none" w:sz="0" w:space="0" w:color="auto"/>
                        <w:bottom w:val="none" w:sz="0" w:space="0" w:color="auto"/>
                        <w:right w:val="none" w:sz="0" w:space="0" w:color="auto"/>
                      </w:divBdr>
                    </w:div>
                    <w:div w:id="273172270">
                      <w:marLeft w:val="0"/>
                      <w:marRight w:val="0"/>
                      <w:marTop w:val="256"/>
                      <w:marBottom w:val="256"/>
                      <w:divBdr>
                        <w:top w:val="none" w:sz="0" w:space="0" w:color="auto"/>
                        <w:left w:val="none" w:sz="0" w:space="0" w:color="auto"/>
                        <w:bottom w:val="none" w:sz="0" w:space="0" w:color="auto"/>
                        <w:right w:val="none" w:sz="0" w:space="0" w:color="auto"/>
                      </w:divBdr>
                    </w:div>
                    <w:div w:id="1247888058">
                      <w:marLeft w:val="0"/>
                      <w:marRight w:val="0"/>
                      <w:marTop w:val="256"/>
                      <w:marBottom w:val="256"/>
                      <w:divBdr>
                        <w:top w:val="none" w:sz="0" w:space="0" w:color="auto"/>
                        <w:left w:val="none" w:sz="0" w:space="0" w:color="auto"/>
                        <w:bottom w:val="none" w:sz="0" w:space="0" w:color="auto"/>
                        <w:right w:val="none" w:sz="0" w:space="0" w:color="auto"/>
                      </w:divBdr>
                    </w:div>
                    <w:div w:id="1902668351">
                      <w:marLeft w:val="0"/>
                      <w:marRight w:val="0"/>
                      <w:marTop w:val="256"/>
                      <w:marBottom w:val="256"/>
                      <w:divBdr>
                        <w:top w:val="none" w:sz="0" w:space="0" w:color="auto"/>
                        <w:left w:val="none" w:sz="0" w:space="0" w:color="auto"/>
                        <w:bottom w:val="none" w:sz="0" w:space="0" w:color="auto"/>
                        <w:right w:val="none" w:sz="0" w:space="0" w:color="auto"/>
                      </w:divBdr>
                    </w:div>
                    <w:div w:id="706025220">
                      <w:marLeft w:val="0"/>
                      <w:marRight w:val="0"/>
                      <w:marTop w:val="256"/>
                      <w:marBottom w:val="256"/>
                      <w:divBdr>
                        <w:top w:val="none" w:sz="0" w:space="0" w:color="auto"/>
                        <w:left w:val="none" w:sz="0" w:space="0" w:color="auto"/>
                        <w:bottom w:val="none" w:sz="0" w:space="0" w:color="auto"/>
                        <w:right w:val="none" w:sz="0" w:space="0" w:color="auto"/>
                      </w:divBdr>
                    </w:div>
                    <w:div w:id="357703804">
                      <w:marLeft w:val="0"/>
                      <w:marRight w:val="0"/>
                      <w:marTop w:val="256"/>
                      <w:marBottom w:val="256"/>
                      <w:divBdr>
                        <w:top w:val="none" w:sz="0" w:space="0" w:color="auto"/>
                        <w:left w:val="none" w:sz="0" w:space="0" w:color="auto"/>
                        <w:bottom w:val="none" w:sz="0" w:space="0" w:color="auto"/>
                        <w:right w:val="none" w:sz="0" w:space="0" w:color="auto"/>
                      </w:divBdr>
                    </w:div>
                    <w:div w:id="962231445">
                      <w:marLeft w:val="0"/>
                      <w:marRight w:val="0"/>
                      <w:marTop w:val="256"/>
                      <w:marBottom w:val="256"/>
                      <w:divBdr>
                        <w:top w:val="none" w:sz="0" w:space="0" w:color="auto"/>
                        <w:left w:val="none" w:sz="0" w:space="0" w:color="auto"/>
                        <w:bottom w:val="none" w:sz="0" w:space="0" w:color="auto"/>
                        <w:right w:val="none" w:sz="0" w:space="0" w:color="auto"/>
                      </w:divBdr>
                    </w:div>
                    <w:div w:id="357657078">
                      <w:marLeft w:val="0"/>
                      <w:marRight w:val="0"/>
                      <w:marTop w:val="256"/>
                      <w:marBottom w:val="256"/>
                      <w:divBdr>
                        <w:top w:val="none" w:sz="0" w:space="0" w:color="auto"/>
                        <w:left w:val="none" w:sz="0" w:space="0" w:color="auto"/>
                        <w:bottom w:val="none" w:sz="0" w:space="0" w:color="auto"/>
                        <w:right w:val="none" w:sz="0" w:space="0" w:color="auto"/>
                      </w:divBdr>
                    </w:div>
                    <w:div w:id="497891431">
                      <w:marLeft w:val="0"/>
                      <w:marRight w:val="0"/>
                      <w:marTop w:val="256"/>
                      <w:marBottom w:val="256"/>
                      <w:divBdr>
                        <w:top w:val="none" w:sz="0" w:space="0" w:color="auto"/>
                        <w:left w:val="none" w:sz="0" w:space="0" w:color="auto"/>
                        <w:bottom w:val="none" w:sz="0" w:space="0" w:color="auto"/>
                        <w:right w:val="none" w:sz="0" w:space="0" w:color="auto"/>
                      </w:divBdr>
                    </w:div>
                    <w:div w:id="1359085873">
                      <w:marLeft w:val="0"/>
                      <w:marRight w:val="0"/>
                      <w:marTop w:val="256"/>
                      <w:marBottom w:val="256"/>
                      <w:divBdr>
                        <w:top w:val="none" w:sz="0" w:space="0" w:color="auto"/>
                        <w:left w:val="none" w:sz="0" w:space="0" w:color="auto"/>
                        <w:bottom w:val="none" w:sz="0" w:space="0" w:color="auto"/>
                        <w:right w:val="none" w:sz="0" w:space="0" w:color="auto"/>
                      </w:divBdr>
                    </w:div>
                    <w:div w:id="817575240">
                      <w:marLeft w:val="0"/>
                      <w:marRight w:val="0"/>
                      <w:marTop w:val="256"/>
                      <w:marBottom w:val="256"/>
                      <w:divBdr>
                        <w:top w:val="none" w:sz="0" w:space="0" w:color="auto"/>
                        <w:left w:val="none" w:sz="0" w:space="0" w:color="auto"/>
                        <w:bottom w:val="none" w:sz="0" w:space="0" w:color="auto"/>
                        <w:right w:val="none" w:sz="0" w:space="0" w:color="auto"/>
                      </w:divBdr>
                    </w:div>
                    <w:div w:id="711463010">
                      <w:marLeft w:val="0"/>
                      <w:marRight w:val="0"/>
                      <w:marTop w:val="256"/>
                      <w:marBottom w:val="256"/>
                      <w:divBdr>
                        <w:top w:val="none" w:sz="0" w:space="0" w:color="auto"/>
                        <w:left w:val="none" w:sz="0" w:space="0" w:color="auto"/>
                        <w:bottom w:val="none" w:sz="0" w:space="0" w:color="auto"/>
                        <w:right w:val="none" w:sz="0" w:space="0" w:color="auto"/>
                      </w:divBdr>
                    </w:div>
                    <w:div w:id="463812162">
                      <w:marLeft w:val="0"/>
                      <w:marRight w:val="0"/>
                      <w:marTop w:val="256"/>
                      <w:marBottom w:val="256"/>
                      <w:divBdr>
                        <w:top w:val="none" w:sz="0" w:space="0" w:color="auto"/>
                        <w:left w:val="none" w:sz="0" w:space="0" w:color="auto"/>
                        <w:bottom w:val="none" w:sz="0" w:space="0" w:color="auto"/>
                        <w:right w:val="none" w:sz="0" w:space="0" w:color="auto"/>
                      </w:divBdr>
                    </w:div>
                    <w:div w:id="374889247">
                      <w:marLeft w:val="0"/>
                      <w:marRight w:val="0"/>
                      <w:marTop w:val="256"/>
                      <w:marBottom w:val="256"/>
                      <w:divBdr>
                        <w:top w:val="none" w:sz="0" w:space="0" w:color="auto"/>
                        <w:left w:val="none" w:sz="0" w:space="0" w:color="auto"/>
                        <w:bottom w:val="none" w:sz="0" w:space="0" w:color="auto"/>
                        <w:right w:val="none" w:sz="0" w:space="0" w:color="auto"/>
                      </w:divBdr>
                    </w:div>
                    <w:div w:id="1757940203">
                      <w:marLeft w:val="0"/>
                      <w:marRight w:val="0"/>
                      <w:marTop w:val="256"/>
                      <w:marBottom w:val="256"/>
                      <w:divBdr>
                        <w:top w:val="none" w:sz="0" w:space="0" w:color="auto"/>
                        <w:left w:val="none" w:sz="0" w:space="0" w:color="auto"/>
                        <w:bottom w:val="none" w:sz="0" w:space="0" w:color="auto"/>
                        <w:right w:val="none" w:sz="0" w:space="0" w:color="auto"/>
                      </w:divBdr>
                    </w:div>
                    <w:div w:id="180166502">
                      <w:marLeft w:val="0"/>
                      <w:marRight w:val="0"/>
                      <w:marTop w:val="256"/>
                      <w:marBottom w:val="256"/>
                      <w:divBdr>
                        <w:top w:val="none" w:sz="0" w:space="0" w:color="auto"/>
                        <w:left w:val="none" w:sz="0" w:space="0" w:color="auto"/>
                        <w:bottom w:val="none" w:sz="0" w:space="0" w:color="auto"/>
                        <w:right w:val="none" w:sz="0" w:space="0" w:color="auto"/>
                      </w:divBdr>
                    </w:div>
                    <w:div w:id="391537134">
                      <w:marLeft w:val="0"/>
                      <w:marRight w:val="0"/>
                      <w:marTop w:val="256"/>
                      <w:marBottom w:val="256"/>
                      <w:divBdr>
                        <w:top w:val="none" w:sz="0" w:space="0" w:color="auto"/>
                        <w:left w:val="none" w:sz="0" w:space="0" w:color="auto"/>
                        <w:bottom w:val="none" w:sz="0" w:space="0" w:color="auto"/>
                        <w:right w:val="none" w:sz="0" w:space="0" w:color="auto"/>
                      </w:divBdr>
                    </w:div>
                    <w:div w:id="165943426">
                      <w:marLeft w:val="0"/>
                      <w:marRight w:val="0"/>
                      <w:marTop w:val="256"/>
                      <w:marBottom w:val="256"/>
                      <w:divBdr>
                        <w:top w:val="none" w:sz="0" w:space="0" w:color="auto"/>
                        <w:left w:val="none" w:sz="0" w:space="0" w:color="auto"/>
                        <w:bottom w:val="none" w:sz="0" w:space="0" w:color="auto"/>
                        <w:right w:val="none" w:sz="0" w:space="0" w:color="auto"/>
                      </w:divBdr>
                    </w:div>
                    <w:div w:id="971902686">
                      <w:marLeft w:val="0"/>
                      <w:marRight w:val="0"/>
                      <w:marTop w:val="256"/>
                      <w:marBottom w:val="256"/>
                      <w:divBdr>
                        <w:top w:val="none" w:sz="0" w:space="0" w:color="auto"/>
                        <w:left w:val="none" w:sz="0" w:space="0" w:color="auto"/>
                        <w:bottom w:val="none" w:sz="0" w:space="0" w:color="auto"/>
                        <w:right w:val="none" w:sz="0" w:space="0" w:color="auto"/>
                      </w:divBdr>
                    </w:div>
                    <w:div w:id="1994985391">
                      <w:marLeft w:val="0"/>
                      <w:marRight w:val="0"/>
                      <w:marTop w:val="256"/>
                      <w:marBottom w:val="256"/>
                      <w:divBdr>
                        <w:top w:val="none" w:sz="0" w:space="0" w:color="auto"/>
                        <w:left w:val="none" w:sz="0" w:space="0" w:color="auto"/>
                        <w:bottom w:val="none" w:sz="0" w:space="0" w:color="auto"/>
                        <w:right w:val="none" w:sz="0" w:space="0" w:color="auto"/>
                      </w:divBdr>
                    </w:div>
                    <w:div w:id="1169634792">
                      <w:marLeft w:val="0"/>
                      <w:marRight w:val="0"/>
                      <w:marTop w:val="256"/>
                      <w:marBottom w:val="256"/>
                      <w:divBdr>
                        <w:top w:val="none" w:sz="0" w:space="0" w:color="auto"/>
                        <w:left w:val="none" w:sz="0" w:space="0" w:color="auto"/>
                        <w:bottom w:val="none" w:sz="0" w:space="0" w:color="auto"/>
                        <w:right w:val="none" w:sz="0" w:space="0" w:color="auto"/>
                      </w:divBdr>
                    </w:div>
                    <w:div w:id="737366918">
                      <w:marLeft w:val="0"/>
                      <w:marRight w:val="0"/>
                      <w:marTop w:val="256"/>
                      <w:marBottom w:val="256"/>
                      <w:divBdr>
                        <w:top w:val="none" w:sz="0" w:space="0" w:color="auto"/>
                        <w:left w:val="none" w:sz="0" w:space="0" w:color="auto"/>
                        <w:bottom w:val="none" w:sz="0" w:space="0" w:color="auto"/>
                        <w:right w:val="none" w:sz="0" w:space="0" w:color="auto"/>
                      </w:divBdr>
                    </w:div>
                    <w:div w:id="1538351566">
                      <w:marLeft w:val="0"/>
                      <w:marRight w:val="0"/>
                      <w:marTop w:val="256"/>
                      <w:marBottom w:val="256"/>
                      <w:divBdr>
                        <w:top w:val="none" w:sz="0" w:space="0" w:color="auto"/>
                        <w:left w:val="none" w:sz="0" w:space="0" w:color="auto"/>
                        <w:bottom w:val="none" w:sz="0" w:space="0" w:color="auto"/>
                        <w:right w:val="none" w:sz="0" w:space="0" w:color="auto"/>
                      </w:divBdr>
                    </w:div>
                    <w:div w:id="839660084">
                      <w:marLeft w:val="0"/>
                      <w:marRight w:val="0"/>
                      <w:marTop w:val="256"/>
                      <w:marBottom w:val="256"/>
                      <w:divBdr>
                        <w:top w:val="none" w:sz="0" w:space="0" w:color="auto"/>
                        <w:left w:val="none" w:sz="0" w:space="0" w:color="auto"/>
                        <w:bottom w:val="none" w:sz="0" w:space="0" w:color="auto"/>
                        <w:right w:val="none" w:sz="0" w:space="0" w:color="auto"/>
                      </w:divBdr>
                    </w:div>
                    <w:div w:id="200291633">
                      <w:marLeft w:val="0"/>
                      <w:marRight w:val="0"/>
                      <w:marTop w:val="256"/>
                      <w:marBottom w:val="256"/>
                      <w:divBdr>
                        <w:top w:val="none" w:sz="0" w:space="0" w:color="auto"/>
                        <w:left w:val="none" w:sz="0" w:space="0" w:color="auto"/>
                        <w:bottom w:val="none" w:sz="0" w:space="0" w:color="auto"/>
                        <w:right w:val="none" w:sz="0" w:space="0" w:color="auto"/>
                      </w:divBdr>
                    </w:div>
                    <w:div w:id="960305168">
                      <w:marLeft w:val="0"/>
                      <w:marRight w:val="0"/>
                      <w:marTop w:val="256"/>
                      <w:marBottom w:val="256"/>
                      <w:divBdr>
                        <w:top w:val="none" w:sz="0" w:space="0" w:color="auto"/>
                        <w:left w:val="none" w:sz="0" w:space="0" w:color="auto"/>
                        <w:bottom w:val="none" w:sz="0" w:space="0" w:color="auto"/>
                        <w:right w:val="none" w:sz="0" w:space="0" w:color="auto"/>
                      </w:divBdr>
                    </w:div>
                    <w:div w:id="698119036">
                      <w:marLeft w:val="0"/>
                      <w:marRight w:val="0"/>
                      <w:marTop w:val="256"/>
                      <w:marBottom w:val="256"/>
                      <w:divBdr>
                        <w:top w:val="none" w:sz="0" w:space="0" w:color="auto"/>
                        <w:left w:val="none" w:sz="0" w:space="0" w:color="auto"/>
                        <w:bottom w:val="none" w:sz="0" w:space="0" w:color="auto"/>
                        <w:right w:val="none" w:sz="0" w:space="0" w:color="auto"/>
                      </w:divBdr>
                    </w:div>
                    <w:div w:id="31151374">
                      <w:marLeft w:val="0"/>
                      <w:marRight w:val="0"/>
                      <w:marTop w:val="256"/>
                      <w:marBottom w:val="256"/>
                      <w:divBdr>
                        <w:top w:val="none" w:sz="0" w:space="0" w:color="auto"/>
                        <w:left w:val="none" w:sz="0" w:space="0" w:color="auto"/>
                        <w:bottom w:val="none" w:sz="0" w:space="0" w:color="auto"/>
                        <w:right w:val="none" w:sz="0" w:space="0" w:color="auto"/>
                      </w:divBdr>
                    </w:div>
                    <w:div w:id="327052852">
                      <w:marLeft w:val="0"/>
                      <w:marRight w:val="0"/>
                      <w:marTop w:val="256"/>
                      <w:marBottom w:val="256"/>
                      <w:divBdr>
                        <w:top w:val="none" w:sz="0" w:space="0" w:color="auto"/>
                        <w:left w:val="none" w:sz="0" w:space="0" w:color="auto"/>
                        <w:bottom w:val="none" w:sz="0" w:space="0" w:color="auto"/>
                        <w:right w:val="none" w:sz="0" w:space="0" w:color="auto"/>
                      </w:divBdr>
                    </w:div>
                    <w:div w:id="1706444067">
                      <w:marLeft w:val="0"/>
                      <w:marRight w:val="0"/>
                      <w:marTop w:val="256"/>
                      <w:marBottom w:val="256"/>
                      <w:divBdr>
                        <w:top w:val="none" w:sz="0" w:space="0" w:color="auto"/>
                        <w:left w:val="none" w:sz="0" w:space="0" w:color="auto"/>
                        <w:bottom w:val="none" w:sz="0" w:space="0" w:color="auto"/>
                        <w:right w:val="none" w:sz="0" w:space="0" w:color="auto"/>
                      </w:divBdr>
                    </w:div>
                    <w:div w:id="1698382625">
                      <w:marLeft w:val="0"/>
                      <w:marRight w:val="0"/>
                      <w:marTop w:val="256"/>
                      <w:marBottom w:val="256"/>
                      <w:divBdr>
                        <w:top w:val="none" w:sz="0" w:space="0" w:color="auto"/>
                        <w:left w:val="none" w:sz="0" w:space="0" w:color="auto"/>
                        <w:bottom w:val="none" w:sz="0" w:space="0" w:color="auto"/>
                        <w:right w:val="none" w:sz="0" w:space="0" w:color="auto"/>
                      </w:divBdr>
                    </w:div>
                    <w:div w:id="1871066344">
                      <w:marLeft w:val="0"/>
                      <w:marRight w:val="0"/>
                      <w:marTop w:val="256"/>
                      <w:marBottom w:val="256"/>
                      <w:divBdr>
                        <w:top w:val="none" w:sz="0" w:space="0" w:color="auto"/>
                        <w:left w:val="none" w:sz="0" w:space="0" w:color="auto"/>
                        <w:bottom w:val="none" w:sz="0" w:space="0" w:color="auto"/>
                        <w:right w:val="none" w:sz="0" w:space="0" w:color="auto"/>
                      </w:divBdr>
                    </w:div>
                    <w:div w:id="1164473855">
                      <w:marLeft w:val="0"/>
                      <w:marRight w:val="0"/>
                      <w:marTop w:val="256"/>
                      <w:marBottom w:val="256"/>
                      <w:divBdr>
                        <w:top w:val="none" w:sz="0" w:space="0" w:color="auto"/>
                        <w:left w:val="none" w:sz="0" w:space="0" w:color="auto"/>
                        <w:bottom w:val="none" w:sz="0" w:space="0" w:color="auto"/>
                        <w:right w:val="none" w:sz="0" w:space="0" w:color="auto"/>
                      </w:divBdr>
                    </w:div>
                    <w:div w:id="1717002044">
                      <w:marLeft w:val="0"/>
                      <w:marRight w:val="0"/>
                      <w:marTop w:val="256"/>
                      <w:marBottom w:val="256"/>
                      <w:divBdr>
                        <w:top w:val="none" w:sz="0" w:space="0" w:color="auto"/>
                        <w:left w:val="none" w:sz="0" w:space="0" w:color="auto"/>
                        <w:bottom w:val="none" w:sz="0" w:space="0" w:color="auto"/>
                        <w:right w:val="none" w:sz="0" w:space="0" w:color="auto"/>
                      </w:divBdr>
                    </w:div>
                    <w:div w:id="869487346">
                      <w:marLeft w:val="0"/>
                      <w:marRight w:val="0"/>
                      <w:marTop w:val="256"/>
                      <w:marBottom w:val="256"/>
                      <w:divBdr>
                        <w:top w:val="none" w:sz="0" w:space="0" w:color="auto"/>
                        <w:left w:val="none" w:sz="0" w:space="0" w:color="auto"/>
                        <w:bottom w:val="none" w:sz="0" w:space="0" w:color="auto"/>
                        <w:right w:val="none" w:sz="0" w:space="0" w:color="auto"/>
                      </w:divBdr>
                    </w:div>
                    <w:div w:id="853224076">
                      <w:marLeft w:val="0"/>
                      <w:marRight w:val="0"/>
                      <w:marTop w:val="256"/>
                      <w:marBottom w:val="256"/>
                      <w:divBdr>
                        <w:top w:val="none" w:sz="0" w:space="0" w:color="auto"/>
                        <w:left w:val="none" w:sz="0" w:space="0" w:color="auto"/>
                        <w:bottom w:val="none" w:sz="0" w:space="0" w:color="auto"/>
                        <w:right w:val="none" w:sz="0" w:space="0" w:color="auto"/>
                      </w:divBdr>
                    </w:div>
                    <w:div w:id="1391685673">
                      <w:marLeft w:val="0"/>
                      <w:marRight w:val="0"/>
                      <w:marTop w:val="256"/>
                      <w:marBottom w:val="256"/>
                      <w:divBdr>
                        <w:top w:val="none" w:sz="0" w:space="0" w:color="auto"/>
                        <w:left w:val="none" w:sz="0" w:space="0" w:color="auto"/>
                        <w:bottom w:val="none" w:sz="0" w:space="0" w:color="auto"/>
                        <w:right w:val="none" w:sz="0" w:space="0" w:color="auto"/>
                      </w:divBdr>
                    </w:div>
                    <w:div w:id="2054885726">
                      <w:marLeft w:val="0"/>
                      <w:marRight w:val="0"/>
                      <w:marTop w:val="256"/>
                      <w:marBottom w:val="256"/>
                      <w:divBdr>
                        <w:top w:val="none" w:sz="0" w:space="0" w:color="auto"/>
                        <w:left w:val="none" w:sz="0" w:space="0" w:color="auto"/>
                        <w:bottom w:val="none" w:sz="0" w:space="0" w:color="auto"/>
                        <w:right w:val="none" w:sz="0" w:space="0" w:color="auto"/>
                      </w:divBdr>
                    </w:div>
                    <w:div w:id="1622497174">
                      <w:marLeft w:val="0"/>
                      <w:marRight w:val="0"/>
                      <w:marTop w:val="256"/>
                      <w:marBottom w:val="256"/>
                      <w:divBdr>
                        <w:top w:val="none" w:sz="0" w:space="0" w:color="auto"/>
                        <w:left w:val="none" w:sz="0" w:space="0" w:color="auto"/>
                        <w:bottom w:val="none" w:sz="0" w:space="0" w:color="auto"/>
                        <w:right w:val="none" w:sz="0" w:space="0" w:color="auto"/>
                      </w:divBdr>
                    </w:div>
                    <w:div w:id="1000543257">
                      <w:marLeft w:val="0"/>
                      <w:marRight w:val="0"/>
                      <w:marTop w:val="256"/>
                      <w:marBottom w:val="256"/>
                      <w:divBdr>
                        <w:top w:val="none" w:sz="0" w:space="0" w:color="auto"/>
                        <w:left w:val="none" w:sz="0" w:space="0" w:color="auto"/>
                        <w:bottom w:val="none" w:sz="0" w:space="0" w:color="auto"/>
                        <w:right w:val="none" w:sz="0" w:space="0" w:color="auto"/>
                      </w:divBdr>
                    </w:div>
                    <w:div w:id="337580643">
                      <w:marLeft w:val="0"/>
                      <w:marRight w:val="0"/>
                      <w:marTop w:val="256"/>
                      <w:marBottom w:val="256"/>
                      <w:divBdr>
                        <w:top w:val="none" w:sz="0" w:space="0" w:color="auto"/>
                        <w:left w:val="none" w:sz="0" w:space="0" w:color="auto"/>
                        <w:bottom w:val="none" w:sz="0" w:space="0" w:color="auto"/>
                        <w:right w:val="none" w:sz="0" w:space="0" w:color="auto"/>
                      </w:divBdr>
                    </w:div>
                    <w:div w:id="1874414856">
                      <w:marLeft w:val="0"/>
                      <w:marRight w:val="0"/>
                      <w:marTop w:val="256"/>
                      <w:marBottom w:val="256"/>
                      <w:divBdr>
                        <w:top w:val="none" w:sz="0" w:space="0" w:color="auto"/>
                        <w:left w:val="none" w:sz="0" w:space="0" w:color="auto"/>
                        <w:bottom w:val="none" w:sz="0" w:space="0" w:color="auto"/>
                        <w:right w:val="none" w:sz="0" w:space="0" w:color="auto"/>
                      </w:divBdr>
                    </w:div>
                    <w:div w:id="1522426318">
                      <w:marLeft w:val="0"/>
                      <w:marRight w:val="0"/>
                      <w:marTop w:val="256"/>
                      <w:marBottom w:val="256"/>
                      <w:divBdr>
                        <w:top w:val="none" w:sz="0" w:space="0" w:color="auto"/>
                        <w:left w:val="none" w:sz="0" w:space="0" w:color="auto"/>
                        <w:bottom w:val="none" w:sz="0" w:space="0" w:color="auto"/>
                        <w:right w:val="none" w:sz="0" w:space="0" w:color="auto"/>
                      </w:divBdr>
                    </w:div>
                    <w:div w:id="1370640184">
                      <w:marLeft w:val="0"/>
                      <w:marRight w:val="0"/>
                      <w:marTop w:val="256"/>
                      <w:marBottom w:val="256"/>
                      <w:divBdr>
                        <w:top w:val="none" w:sz="0" w:space="0" w:color="auto"/>
                        <w:left w:val="none" w:sz="0" w:space="0" w:color="auto"/>
                        <w:bottom w:val="none" w:sz="0" w:space="0" w:color="auto"/>
                        <w:right w:val="none" w:sz="0" w:space="0" w:color="auto"/>
                      </w:divBdr>
                    </w:div>
                    <w:div w:id="951328588">
                      <w:marLeft w:val="0"/>
                      <w:marRight w:val="0"/>
                      <w:marTop w:val="256"/>
                      <w:marBottom w:val="256"/>
                      <w:divBdr>
                        <w:top w:val="none" w:sz="0" w:space="0" w:color="auto"/>
                        <w:left w:val="none" w:sz="0" w:space="0" w:color="auto"/>
                        <w:bottom w:val="none" w:sz="0" w:space="0" w:color="auto"/>
                        <w:right w:val="none" w:sz="0" w:space="0" w:color="auto"/>
                      </w:divBdr>
                    </w:div>
                    <w:div w:id="1000156899">
                      <w:marLeft w:val="0"/>
                      <w:marRight w:val="0"/>
                      <w:marTop w:val="256"/>
                      <w:marBottom w:val="256"/>
                      <w:divBdr>
                        <w:top w:val="none" w:sz="0" w:space="0" w:color="auto"/>
                        <w:left w:val="none" w:sz="0" w:space="0" w:color="auto"/>
                        <w:bottom w:val="none" w:sz="0" w:space="0" w:color="auto"/>
                        <w:right w:val="none" w:sz="0" w:space="0" w:color="auto"/>
                      </w:divBdr>
                    </w:div>
                    <w:div w:id="1346404331">
                      <w:marLeft w:val="0"/>
                      <w:marRight w:val="0"/>
                      <w:marTop w:val="256"/>
                      <w:marBottom w:val="256"/>
                      <w:divBdr>
                        <w:top w:val="none" w:sz="0" w:space="0" w:color="auto"/>
                        <w:left w:val="none" w:sz="0" w:space="0" w:color="auto"/>
                        <w:bottom w:val="none" w:sz="0" w:space="0" w:color="auto"/>
                        <w:right w:val="none" w:sz="0" w:space="0" w:color="auto"/>
                      </w:divBdr>
                    </w:div>
                    <w:div w:id="454645473">
                      <w:marLeft w:val="0"/>
                      <w:marRight w:val="0"/>
                      <w:marTop w:val="256"/>
                      <w:marBottom w:val="256"/>
                      <w:divBdr>
                        <w:top w:val="none" w:sz="0" w:space="0" w:color="auto"/>
                        <w:left w:val="none" w:sz="0" w:space="0" w:color="auto"/>
                        <w:bottom w:val="none" w:sz="0" w:space="0" w:color="auto"/>
                        <w:right w:val="none" w:sz="0" w:space="0" w:color="auto"/>
                      </w:divBdr>
                    </w:div>
                    <w:div w:id="654996707">
                      <w:marLeft w:val="0"/>
                      <w:marRight w:val="0"/>
                      <w:marTop w:val="256"/>
                      <w:marBottom w:val="256"/>
                      <w:divBdr>
                        <w:top w:val="none" w:sz="0" w:space="0" w:color="auto"/>
                        <w:left w:val="none" w:sz="0" w:space="0" w:color="auto"/>
                        <w:bottom w:val="none" w:sz="0" w:space="0" w:color="auto"/>
                        <w:right w:val="none" w:sz="0" w:space="0" w:color="auto"/>
                      </w:divBdr>
                    </w:div>
                    <w:div w:id="1515458567">
                      <w:marLeft w:val="0"/>
                      <w:marRight w:val="0"/>
                      <w:marTop w:val="256"/>
                      <w:marBottom w:val="256"/>
                      <w:divBdr>
                        <w:top w:val="none" w:sz="0" w:space="0" w:color="auto"/>
                        <w:left w:val="none" w:sz="0" w:space="0" w:color="auto"/>
                        <w:bottom w:val="none" w:sz="0" w:space="0" w:color="auto"/>
                        <w:right w:val="none" w:sz="0" w:space="0" w:color="auto"/>
                      </w:divBdr>
                    </w:div>
                    <w:div w:id="1958027405">
                      <w:marLeft w:val="0"/>
                      <w:marRight w:val="0"/>
                      <w:marTop w:val="256"/>
                      <w:marBottom w:val="256"/>
                      <w:divBdr>
                        <w:top w:val="none" w:sz="0" w:space="0" w:color="auto"/>
                        <w:left w:val="none" w:sz="0" w:space="0" w:color="auto"/>
                        <w:bottom w:val="none" w:sz="0" w:space="0" w:color="auto"/>
                        <w:right w:val="none" w:sz="0" w:space="0" w:color="auto"/>
                      </w:divBdr>
                    </w:div>
                    <w:div w:id="1574047446">
                      <w:marLeft w:val="0"/>
                      <w:marRight w:val="0"/>
                      <w:marTop w:val="256"/>
                      <w:marBottom w:val="256"/>
                      <w:divBdr>
                        <w:top w:val="none" w:sz="0" w:space="0" w:color="auto"/>
                        <w:left w:val="none" w:sz="0" w:space="0" w:color="auto"/>
                        <w:bottom w:val="none" w:sz="0" w:space="0" w:color="auto"/>
                        <w:right w:val="none" w:sz="0" w:space="0" w:color="auto"/>
                      </w:divBdr>
                    </w:div>
                    <w:div w:id="700282403">
                      <w:marLeft w:val="0"/>
                      <w:marRight w:val="0"/>
                      <w:marTop w:val="256"/>
                      <w:marBottom w:val="256"/>
                      <w:divBdr>
                        <w:top w:val="none" w:sz="0" w:space="0" w:color="auto"/>
                        <w:left w:val="none" w:sz="0" w:space="0" w:color="auto"/>
                        <w:bottom w:val="none" w:sz="0" w:space="0" w:color="auto"/>
                        <w:right w:val="none" w:sz="0" w:space="0" w:color="auto"/>
                      </w:divBdr>
                    </w:div>
                    <w:div w:id="1452283307">
                      <w:marLeft w:val="0"/>
                      <w:marRight w:val="0"/>
                      <w:marTop w:val="256"/>
                      <w:marBottom w:val="256"/>
                      <w:divBdr>
                        <w:top w:val="none" w:sz="0" w:space="0" w:color="auto"/>
                        <w:left w:val="none" w:sz="0" w:space="0" w:color="auto"/>
                        <w:bottom w:val="none" w:sz="0" w:space="0" w:color="auto"/>
                        <w:right w:val="none" w:sz="0" w:space="0" w:color="auto"/>
                      </w:divBdr>
                    </w:div>
                    <w:div w:id="1580287736">
                      <w:marLeft w:val="0"/>
                      <w:marRight w:val="0"/>
                      <w:marTop w:val="256"/>
                      <w:marBottom w:val="256"/>
                      <w:divBdr>
                        <w:top w:val="none" w:sz="0" w:space="0" w:color="auto"/>
                        <w:left w:val="none" w:sz="0" w:space="0" w:color="auto"/>
                        <w:bottom w:val="none" w:sz="0" w:space="0" w:color="auto"/>
                        <w:right w:val="none" w:sz="0" w:space="0" w:color="auto"/>
                      </w:divBdr>
                    </w:div>
                    <w:div w:id="1066149658">
                      <w:marLeft w:val="0"/>
                      <w:marRight w:val="0"/>
                      <w:marTop w:val="256"/>
                      <w:marBottom w:val="256"/>
                      <w:divBdr>
                        <w:top w:val="none" w:sz="0" w:space="0" w:color="auto"/>
                        <w:left w:val="none" w:sz="0" w:space="0" w:color="auto"/>
                        <w:bottom w:val="none" w:sz="0" w:space="0" w:color="auto"/>
                        <w:right w:val="none" w:sz="0" w:space="0" w:color="auto"/>
                      </w:divBdr>
                    </w:div>
                    <w:div w:id="327251331">
                      <w:marLeft w:val="0"/>
                      <w:marRight w:val="0"/>
                      <w:marTop w:val="256"/>
                      <w:marBottom w:val="256"/>
                      <w:divBdr>
                        <w:top w:val="none" w:sz="0" w:space="0" w:color="auto"/>
                        <w:left w:val="none" w:sz="0" w:space="0" w:color="auto"/>
                        <w:bottom w:val="none" w:sz="0" w:space="0" w:color="auto"/>
                        <w:right w:val="none" w:sz="0" w:space="0" w:color="auto"/>
                      </w:divBdr>
                    </w:div>
                    <w:div w:id="985547695">
                      <w:marLeft w:val="0"/>
                      <w:marRight w:val="0"/>
                      <w:marTop w:val="256"/>
                      <w:marBottom w:val="256"/>
                      <w:divBdr>
                        <w:top w:val="none" w:sz="0" w:space="0" w:color="auto"/>
                        <w:left w:val="none" w:sz="0" w:space="0" w:color="auto"/>
                        <w:bottom w:val="none" w:sz="0" w:space="0" w:color="auto"/>
                        <w:right w:val="none" w:sz="0" w:space="0" w:color="auto"/>
                      </w:divBdr>
                    </w:div>
                    <w:div w:id="953436739">
                      <w:marLeft w:val="0"/>
                      <w:marRight w:val="0"/>
                      <w:marTop w:val="256"/>
                      <w:marBottom w:val="256"/>
                      <w:divBdr>
                        <w:top w:val="none" w:sz="0" w:space="0" w:color="auto"/>
                        <w:left w:val="none" w:sz="0" w:space="0" w:color="auto"/>
                        <w:bottom w:val="none" w:sz="0" w:space="0" w:color="auto"/>
                        <w:right w:val="none" w:sz="0" w:space="0" w:color="auto"/>
                      </w:divBdr>
                    </w:div>
                    <w:div w:id="159463436">
                      <w:marLeft w:val="0"/>
                      <w:marRight w:val="0"/>
                      <w:marTop w:val="256"/>
                      <w:marBottom w:val="256"/>
                      <w:divBdr>
                        <w:top w:val="none" w:sz="0" w:space="0" w:color="auto"/>
                        <w:left w:val="none" w:sz="0" w:space="0" w:color="auto"/>
                        <w:bottom w:val="none" w:sz="0" w:space="0" w:color="auto"/>
                        <w:right w:val="none" w:sz="0" w:space="0" w:color="auto"/>
                      </w:divBdr>
                    </w:div>
                    <w:div w:id="795759507">
                      <w:marLeft w:val="0"/>
                      <w:marRight w:val="0"/>
                      <w:marTop w:val="256"/>
                      <w:marBottom w:val="256"/>
                      <w:divBdr>
                        <w:top w:val="none" w:sz="0" w:space="0" w:color="auto"/>
                        <w:left w:val="none" w:sz="0" w:space="0" w:color="auto"/>
                        <w:bottom w:val="none" w:sz="0" w:space="0" w:color="auto"/>
                        <w:right w:val="none" w:sz="0" w:space="0" w:color="auto"/>
                      </w:divBdr>
                    </w:div>
                    <w:div w:id="1499226629">
                      <w:marLeft w:val="0"/>
                      <w:marRight w:val="0"/>
                      <w:marTop w:val="256"/>
                      <w:marBottom w:val="256"/>
                      <w:divBdr>
                        <w:top w:val="none" w:sz="0" w:space="0" w:color="auto"/>
                        <w:left w:val="none" w:sz="0" w:space="0" w:color="auto"/>
                        <w:bottom w:val="none" w:sz="0" w:space="0" w:color="auto"/>
                        <w:right w:val="none" w:sz="0" w:space="0" w:color="auto"/>
                      </w:divBdr>
                    </w:div>
                    <w:div w:id="1903175632">
                      <w:marLeft w:val="0"/>
                      <w:marRight w:val="0"/>
                      <w:marTop w:val="256"/>
                      <w:marBottom w:val="256"/>
                      <w:divBdr>
                        <w:top w:val="none" w:sz="0" w:space="0" w:color="auto"/>
                        <w:left w:val="none" w:sz="0" w:space="0" w:color="auto"/>
                        <w:bottom w:val="none" w:sz="0" w:space="0" w:color="auto"/>
                        <w:right w:val="none" w:sz="0" w:space="0" w:color="auto"/>
                      </w:divBdr>
                    </w:div>
                    <w:div w:id="1702633089">
                      <w:marLeft w:val="0"/>
                      <w:marRight w:val="0"/>
                      <w:marTop w:val="256"/>
                      <w:marBottom w:val="256"/>
                      <w:divBdr>
                        <w:top w:val="none" w:sz="0" w:space="0" w:color="auto"/>
                        <w:left w:val="none" w:sz="0" w:space="0" w:color="auto"/>
                        <w:bottom w:val="none" w:sz="0" w:space="0" w:color="auto"/>
                        <w:right w:val="none" w:sz="0" w:space="0" w:color="auto"/>
                      </w:divBdr>
                    </w:div>
                    <w:div w:id="1322730103">
                      <w:marLeft w:val="0"/>
                      <w:marRight w:val="0"/>
                      <w:marTop w:val="256"/>
                      <w:marBottom w:val="256"/>
                      <w:divBdr>
                        <w:top w:val="none" w:sz="0" w:space="0" w:color="auto"/>
                        <w:left w:val="none" w:sz="0" w:space="0" w:color="auto"/>
                        <w:bottom w:val="none" w:sz="0" w:space="0" w:color="auto"/>
                        <w:right w:val="none" w:sz="0" w:space="0" w:color="auto"/>
                      </w:divBdr>
                    </w:div>
                    <w:div w:id="1623268994">
                      <w:marLeft w:val="0"/>
                      <w:marRight w:val="0"/>
                      <w:marTop w:val="256"/>
                      <w:marBottom w:val="256"/>
                      <w:divBdr>
                        <w:top w:val="none" w:sz="0" w:space="0" w:color="auto"/>
                        <w:left w:val="none" w:sz="0" w:space="0" w:color="auto"/>
                        <w:bottom w:val="none" w:sz="0" w:space="0" w:color="auto"/>
                        <w:right w:val="none" w:sz="0" w:space="0" w:color="auto"/>
                      </w:divBdr>
                    </w:div>
                    <w:div w:id="2133550983">
                      <w:marLeft w:val="0"/>
                      <w:marRight w:val="0"/>
                      <w:marTop w:val="256"/>
                      <w:marBottom w:val="256"/>
                      <w:divBdr>
                        <w:top w:val="none" w:sz="0" w:space="0" w:color="auto"/>
                        <w:left w:val="none" w:sz="0" w:space="0" w:color="auto"/>
                        <w:bottom w:val="none" w:sz="0" w:space="0" w:color="auto"/>
                        <w:right w:val="none" w:sz="0" w:space="0" w:color="auto"/>
                      </w:divBdr>
                    </w:div>
                    <w:div w:id="1004095270">
                      <w:marLeft w:val="0"/>
                      <w:marRight w:val="0"/>
                      <w:marTop w:val="256"/>
                      <w:marBottom w:val="256"/>
                      <w:divBdr>
                        <w:top w:val="none" w:sz="0" w:space="0" w:color="auto"/>
                        <w:left w:val="none" w:sz="0" w:space="0" w:color="auto"/>
                        <w:bottom w:val="none" w:sz="0" w:space="0" w:color="auto"/>
                        <w:right w:val="none" w:sz="0" w:space="0" w:color="auto"/>
                      </w:divBdr>
                    </w:div>
                    <w:div w:id="299237633">
                      <w:marLeft w:val="0"/>
                      <w:marRight w:val="0"/>
                      <w:marTop w:val="256"/>
                      <w:marBottom w:val="256"/>
                      <w:divBdr>
                        <w:top w:val="none" w:sz="0" w:space="0" w:color="auto"/>
                        <w:left w:val="none" w:sz="0" w:space="0" w:color="auto"/>
                        <w:bottom w:val="none" w:sz="0" w:space="0" w:color="auto"/>
                        <w:right w:val="none" w:sz="0" w:space="0" w:color="auto"/>
                      </w:divBdr>
                    </w:div>
                    <w:div w:id="2083334153">
                      <w:marLeft w:val="0"/>
                      <w:marRight w:val="0"/>
                      <w:marTop w:val="256"/>
                      <w:marBottom w:val="256"/>
                      <w:divBdr>
                        <w:top w:val="none" w:sz="0" w:space="0" w:color="auto"/>
                        <w:left w:val="none" w:sz="0" w:space="0" w:color="auto"/>
                        <w:bottom w:val="none" w:sz="0" w:space="0" w:color="auto"/>
                        <w:right w:val="none" w:sz="0" w:space="0" w:color="auto"/>
                      </w:divBdr>
                    </w:div>
                    <w:div w:id="75828504">
                      <w:marLeft w:val="0"/>
                      <w:marRight w:val="0"/>
                      <w:marTop w:val="256"/>
                      <w:marBottom w:val="256"/>
                      <w:divBdr>
                        <w:top w:val="none" w:sz="0" w:space="0" w:color="auto"/>
                        <w:left w:val="none" w:sz="0" w:space="0" w:color="auto"/>
                        <w:bottom w:val="none" w:sz="0" w:space="0" w:color="auto"/>
                        <w:right w:val="none" w:sz="0" w:space="0" w:color="auto"/>
                      </w:divBdr>
                    </w:div>
                    <w:div w:id="1690375263">
                      <w:marLeft w:val="0"/>
                      <w:marRight w:val="0"/>
                      <w:marTop w:val="256"/>
                      <w:marBottom w:val="256"/>
                      <w:divBdr>
                        <w:top w:val="none" w:sz="0" w:space="0" w:color="auto"/>
                        <w:left w:val="none" w:sz="0" w:space="0" w:color="auto"/>
                        <w:bottom w:val="none" w:sz="0" w:space="0" w:color="auto"/>
                        <w:right w:val="none" w:sz="0" w:space="0" w:color="auto"/>
                      </w:divBdr>
                    </w:div>
                    <w:div w:id="14550">
                      <w:marLeft w:val="0"/>
                      <w:marRight w:val="0"/>
                      <w:marTop w:val="256"/>
                      <w:marBottom w:val="256"/>
                      <w:divBdr>
                        <w:top w:val="none" w:sz="0" w:space="0" w:color="auto"/>
                        <w:left w:val="none" w:sz="0" w:space="0" w:color="auto"/>
                        <w:bottom w:val="none" w:sz="0" w:space="0" w:color="auto"/>
                        <w:right w:val="none" w:sz="0" w:space="0" w:color="auto"/>
                      </w:divBdr>
                    </w:div>
                    <w:div w:id="174194862">
                      <w:marLeft w:val="0"/>
                      <w:marRight w:val="0"/>
                      <w:marTop w:val="256"/>
                      <w:marBottom w:val="256"/>
                      <w:divBdr>
                        <w:top w:val="none" w:sz="0" w:space="0" w:color="auto"/>
                        <w:left w:val="none" w:sz="0" w:space="0" w:color="auto"/>
                        <w:bottom w:val="none" w:sz="0" w:space="0" w:color="auto"/>
                        <w:right w:val="none" w:sz="0" w:space="0" w:color="auto"/>
                      </w:divBdr>
                    </w:div>
                    <w:div w:id="690113000">
                      <w:marLeft w:val="0"/>
                      <w:marRight w:val="0"/>
                      <w:marTop w:val="256"/>
                      <w:marBottom w:val="256"/>
                      <w:divBdr>
                        <w:top w:val="none" w:sz="0" w:space="0" w:color="auto"/>
                        <w:left w:val="none" w:sz="0" w:space="0" w:color="auto"/>
                        <w:bottom w:val="none" w:sz="0" w:space="0" w:color="auto"/>
                        <w:right w:val="none" w:sz="0" w:space="0" w:color="auto"/>
                      </w:divBdr>
                    </w:div>
                    <w:div w:id="1919712163">
                      <w:marLeft w:val="0"/>
                      <w:marRight w:val="0"/>
                      <w:marTop w:val="256"/>
                      <w:marBottom w:val="256"/>
                      <w:divBdr>
                        <w:top w:val="none" w:sz="0" w:space="0" w:color="auto"/>
                        <w:left w:val="none" w:sz="0" w:space="0" w:color="auto"/>
                        <w:bottom w:val="none" w:sz="0" w:space="0" w:color="auto"/>
                        <w:right w:val="none" w:sz="0" w:space="0" w:color="auto"/>
                      </w:divBdr>
                    </w:div>
                    <w:div w:id="1281260916">
                      <w:marLeft w:val="0"/>
                      <w:marRight w:val="0"/>
                      <w:marTop w:val="256"/>
                      <w:marBottom w:val="256"/>
                      <w:divBdr>
                        <w:top w:val="none" w:sz="0" w:space="0" w:color="auto"/>
                        <w:left w:val="none" w:sz="0" w:space="0" w:color="auto"/>
                        <w:bottom w:val="none" w:sz="0" w:space="0" w:color="auto"/>
                        <w:right w:val="none" w:sz="0" w:space="0" w:color="auto"/>
                      </w:divBdr>
                    </w:div>
                    <w:div w:id="1949652769">
                      <w:marLeft w:val="0"/>
                      <w:marRight w:val="0"/>
                      <w:marTop w:val="256"/>
                      <w:marBottom w:val="256"/>
                      <w:divBdr>
                        <w:top w:val="none" w:sz="0" w:space="0" w:color="auto"/>
                        <w:left w:val="none" w:sz="0" w:space="0" w:color="auto"/>
                        <w:bottom w:val="none" w:sz="0" w:space="0" w:color="auto"/>
                        <w:right w:val="none" w:sz="0" w:space="0" w:color="auto"/>
                      </w:divBdr>
                    </w:div>
                    <w:div w:id="588008269">
                      <w:marLeft w:val="0"/>
                      <w:marRight w:val="0"/>
                      <w:marTop w:val="256"/>
                      <w:marBottom w:val="256"/>
                      <w:divBdr>
                        <w:top w:val="none" w:sz="0" w:space="0" w:color="auto"/>
                        <w:left w:val="none" w:sz="0" w:space="0" w:color="auto"/>
                        <w:bottom w:val="none" w:sz="0" w:space="0" w:color="auto"/>
                        <w:right w:val="none" w:sz="0" w:space="0" w:color="auto"/>
                      </w:divBdr>
                    </w:div>
                    <w:div w:id="1623465277">
                      <w:marLeft w:val="0"/>
                      <w:marRight w:val="0"/>
                      <w:marTop w:val="256"/>
                      <w:marBottom w:val="256"/>
                      <w:divBdr>
                        <w:top w:val="none" w:sz="0" w:space="0" w:color="auto"/>
                        <w:left w:val="none" w:sz="0" w:space="0" w:color="auto"/>
                        <w:bottom w:val="none" w:sz="0" w:space="0" w:color="auto"/>
                        <w:right w:val="none" w:sz="0" w:space="0" w:color="auto"/>
                      </w:divBdr>
                    </w:div>
                    <w:div w:id="779841727">
                      <w:marLeft w:val="0"/>
                      <w:marRight w:val="0"/>
                      <w:marTop w:val="256"/>
                      <w:marBottom w:val="256"/>
                      <w:divBdr>
                        <w:top w:val="none" w:sz="0" w:space="0" w:color="auto"/>
                        <w:left w:val="none" w:sz="0" w:space="0" w:color="auto"/>
                        <w:bottom w:val="none" w:sz="0" w:space="0" w:color="auto"/>
                        <w:right w:val="none" w:sz="0" w:space="0" w:color="auto"/>
                      </w:divBdr>
                    </w:div>
                    <w:div w:id="2132507035">
                      <w:marLeft w:val="0"/>
                      <w:marRight w:val="0"/>
                      <w:marTop w:val="256"/>
                      <w:marBottom w:val="256"/>
                      <w:divBdr>
                        <w:top w:val="none" w:sz="0" w:space="0" w:color="auto"/>
                        <w:left w:val="none" w:sz="0" w:space="0" w:color="auto"/>
                        <w:bottom w:val="none" w:sz="0" w:space="0" w:color="auto"/>
                        <w:right w:val="none" w:sz="0" w:space="0" w:color="auto"/>
                      </w:divBdr>
                    </w:div>
                    <w:div w:id="1230652852">
                      <w:marLeft w:val="0"/>
                      <w:marRight w:val="0"/>
                      <w:marTop w:val="256"/>
                      <w:marBottom w:val="256"/>
                      <w:divBdr>
                        <w:top w:val="none" w:sz="0" w:space="0" w:color="auto"/>
                        <w:left w:val="none" w:sz="0" w:space="0" w:color="auto"/>
                        <w:bottom w:val="none" w:sz="0" w:space="0" w:color="auto"/>
                        <w:right w:val="none" w:sz="0" w:space="0" w:color="auto"/>
                      </w:divBdr>
                    </w:div>
                    <w:div w:id="516970192">
                      <w:marLeft w:val="0"/>
                      <w:marRight w:val="0"/>
                      <w:marTop w:val="256"/>
                      <w:marBottom w:val="256"/>
                      <w:divBdr>
                        <w:top w:val="none" w:sz="0" w:space="0" w:color="auto"/>
                        <w:left w:val="none" w:sz="0" w:space="0" w:color="auto"/>
                        <w:bottom w:val="none" w:sz="0" w:space="0" w:color="auto"/>
                        <w:right w:val="none" w:sz="0" w:space="0" w:color="auto"/>
                      </w:divBdr>
                    </w:div>
                    <w:div w:id="465661665">
                      <w:marLeft w:val="0"/>
                      <w:marRight w:val="0"/>
                      <w:marTop w:val="256"/>
                      <w:marBottom w:val="256"/>
                      <w:divBdr>
                        <w:top w:val="none" w:sz="0" w:space="0" w:color="auto"/>
                        <w:left w:val="none" w:sz="0" w:space="0" w:color="auto"/>
                        <w:bottom w:val="none" w:sz="0" w:space="0" w:color="auto"/>
                        <w:right w:val="none" w:sz="0" w:space="0" w:color="auto"/>
                      </w:divBdr>
                    </w:div>
                    <w:div w:id="1433284236">
                      <w:marLeft w:val="0"/>
                      <w:marRight w:val="0"/>
                      <w:marTop w:val="256"/>
                      <w:marBottom w:val="256"/>
                      <w:divBdr>
                        <w:top w:val="none" w:sz="0" w:space="0" w:color="auto"/>
                        <w:left w:val="none" w:sz="0" w:space="0" w:color="auto"/>
                        <w:bottom w:val="none" w:sz="0" w:space="0" w:color="auto"/>
                        <w:right w:val="none" w:sz="0" w:space="0" w:color="auto"/>
                      </w:divBdr>
                    </w:div>
                    <w:div w:id="1410884323">
                      <w:marLeft w:val="0"/>
                      <w:marRight w:val="0"/>
                      <w:marTop w:val="256"/>
                      <w:marBottom w:val="256"/>
                      <w:divBdr>
                        <w:top w:val="none" w:sz="0" w:space="0" w:color="auto"/>
                        <w:left w:val="none" w:sz="0" w:space="0" w:color="auto"/>
                        <w:bottom w:val="none" w:sz="0" w:space="0" w:color="auto"/>
                        <w:right w:val="none" w:sz="0" w:space="0" w:color="auto"/>
                      </w:divBdr>
                    </w:div>
                    <w:div w:id="860583568">
                      <w:marLeft w:val="0"/>
                      <w:marRight w:val="0"/>
                      <w:marTop w:val="256"/>
                      <w:marBottom w:val="256"/>
                      <w:divBdr>
                        <w:top w:val="none" w:sz="0" w:space="0" w:color="auto"/>
                        <w:left w:val="none" w:sz="0" w:space="0" w:color="auto"/>
                        <w:bottom w:val="none" w:sz="0" w:space="0" w:color="auto"/>
                        <w:right w:val="none" w:sz="0" w:space="0" w:color="auto"/>
                      </w:divBdr>
                    </w:div>
                    <w:div w:id="193081065">
                      <w:marLeft w:val="0"/>
                      <w:marRight w:val="0"/>
                      <w:marTop w:val="256"/>
                      <w:marBottom w:val="256"/>
                      <w:divBdr>
                        <w:top w:val="none" w:sz="0" w:space="0" w:color="auto"/>
                        <w:left w:val="none" w:sz="0" w:space="0" w:color="auto"/>
                        <w:bottom w:val="none" w:sz="0" w:space="0" w:color="auto"/>
                        <w:right w:val="none" w:sz="0" w:space="0" w:color="auto"/>
                      </w:divBdr>
                    </w:div>
                    <w:div w:id="958023836">
                      <w:marLeft w:val="0"/>
                      <w:marRight w:val="0"/>
                      <w:marTop w:val="256"/>
                      <w:marBottom w:val="256"/>
                      <w:divBdr>
                        <w:top w:val="none" w:sz="0" w:space="0" w:color="auto"/>
                        <w:left w:val="none" w:sz="0" w:space="0" w:color="auto"/>
                        <w:bottom w:val="none" w:sz="0" w:space="0" w:color="auto"/>
                        <w:right w:val="none" w:sz="0" w:space="0" w:color="auto"/>
                      </w:divBdr>
                    </w:div>
                    <w:div w:id="720860070">
                      <w:marLeft w:val="0"/>
                      <w:marRight w:val="0"/>
                      <w:marTop w:val="256"/>
                      <w:marBottom w:val="256"/>
                      <w:divBdr>
                        <w:top w:val="none" w:sz="0" w:space="0" w:color="auto"/>
                        <w:left w:val="none" w:sz="0" w:space="0" w:color="auto"/>
                        <w:bottom w:val="none" w:sz="0" w:space="0" w:color="auto"/>
                        <w:right w:val="none" w:sz="0" w:space="0" w:color="auto"/>
                      </w:divBdr>
                    </w:div>
                    <w:div w:id="1688294190">
                      <w:marLeft w:val="0"/>
                      <w:marRight w:val="0"/>
                      <w:marTop w:val="256"/>
                      <w:marBottom w:val="256"/>
                      <w:divBdr>
                        <w:top w:val="none" w:sz="0" w:space="0" w:color="auto"/>
                        <w:left w:val="none" w:sz="0" w:space="0" w:color="auto"/>
                        <w:bottom w:val="none" w:sz="0" w:space="0" w:color="auto"/>
                        <w:right w:val="none" w:sz="0" w:space="0" w:color="auto"/>
                      </w:divBdr>
                    </w:div>
                    <w:div w:id="1011763606">
                      <w:marLeft w:val="0"/>
                      <w:marRight w:val="0"/>
                      <w:marTop w:val="256"/>
                      <w:marBottom w:val="256"/>
                      <w:divBdr>
                        <w:top w:val="none" w:sz="0" w:space="0" w:color="auto"/>
                        <w:left w:val="none" w:sz="0" w:space="0" w:color="auto"/>
                        <w:bottom w:val="none" w:sz="0" w:space="0" w:color="auto"/>
                        <w:right w:val="none" w:sz="0" w:space="0" w:color="auto"/>
                      </w:divBdr>
                    </w:div>
                    <w:div w:id="519466418">
                      <w:marLeft w:val="0"/>
                      <w:marRight w:val="0"/>
                      <w:marTop w:val="256"/>
                      <w:marBottom w:val="256"/>
                      <w:divBdr>
                        <w:top w:val="none" w:sz="0" w:space="0" w:color="auto"/>
                        <w:left w:val="none" w:sz="0" w:space="0" w:color="auto"/>
                        <w:bottom w:val="none" w:sz="0" w:space="0" w:color="auto"/>
                        <w:right w:val="none" w:sz="0" w:space="0" w:color="auto"/>
                      </w:divBdr>
                    </w:div>
                    <w:div w:id="1751153573">
                      <w:marLeft w:val="0"/>
                      <w:marRight w:val="0"/>
                      <w:marTop w:val="256"/>
                      <w:marBottom w:val="256"/>
                      <w:divBdr>
                        <w:top w:val="none" w:sz="0" w:space="0" w:color="auto"/>
                        <w:left w:val="none" w:sz="0" w:space="0" w:color="auto"/>
                        <w:bottom w:val="none" w:sz="0" w:space="0" w:color="auto"/>
                        <w:right w:val="none" w:sz="0" w:space="0" w:color="auto"/>
                      </w:divBdr>
                    </w:div>
                    <w:div w:id="481508149">
                      <w:marLeft w:val="0"/>
                      <w:marRight w:val="0"/>
                      <w:marTop w:val="256"/>
                      <w:marBottom w:val="256"/>
                      <w:divBdr>
                        <w:top w:val="none" w:sz="0" w:space="0" w:color="auto"/>
                        <w:left w:val="none" w:sz="0" w:space="0" w:color="auto"/>
                        <w:bottom w:val="none" w:sz="0" w:space="0" w:color="auto"/>
                        <w:right w:val="none" w:sz="0" w:space="0" w:color="auto"/>
                      </w:divBdr>
                    </w:div>
                    <w:div w:id="2118209808">
                      <w:marLeft w:val="0"/>
                      <w:marRight w:val="0"/>
                      <w:marTop w:val="256"/>
                      <w:marBottom w:val="256"/>
                      <w:divBdr>
                        <w:top w:val="none" w:sz="0" w:space="0" w:color="auto"/>
                        <w:left w:val="none" w:sz="0" w:space="0" w:color="auto"/>
                        <w:bottom w:val="none" w:sz="0" w:space="0" w:color="auto"/>
                        <w:right w:val="none" w:sz="0" w:space="0" w:color="auto"/>
                      </w:divBdr>
                    </w:div>
                    <w:div w:id="1742747567">
                      <w:marLeft w:val="0"/>
                      <w:marRight w:val="0"/>
                      <w:marTop w:val="256"/>
                      <w:marBottom w:val="256"/>
                      <w:divBdr>
                        <w:top w:val="none" w:sz="0" w:space="0" w:color="auto"/>
                        <w:left w:val="none" w:sz="0" w:space="0" w:color="auto"/>
                        <w:bottom w:val="none" w:sz="0" w:space="0" w:color="auto"/>
                        <w:right w:val="none" w:sz="0" w:space="0" w:color="auto"/>
                      </w:divBdr>
                    </w:div>
                    <w:div w:id="1569001341">
                      <w:marLeft w:val="0"/>
                      <w:marRight w:val="0"/>
                      <w:marTop w:val="256"/>
                      <w:marBottom w:val="256"/>
                      <w:divBdr>
                        <w:top w:val="none" w:sz="0" w:space="0" w:color="auto"/>
                        <w:left w:val="none" w:sz="0" w:space="0" w:color="auto"/>
                        <w:bottom w:val="none" w:sz="0" w:space="0" w:color="auto"/>
                        <w:right w:val="none" w:sz="0" w:space="0" w:color="auto"/>
                      </w:divBdr>
                    </w:div>
                    <w:div w:id="909189721">
                      <w:marLeft w:val="0"/>
                      <w:marRight w:val="0"/>
                      <w:marTop w:val="256"/>
                      <w:marBottom w:val="256"/>
                      <w:divBdr>
                        <w:top w:val="none" w:sz="0" w:space="0" w:color="auto"/>
                        <w:left w:val="none" w:sz="0" w:space="0" w:color="auto"/>
                        <w:bottom w:val="none" w:sz="0" w:space="0" w:color="auto"/>
                        <w:right w:val="none" w:sz="0" w:space="0" w:color="auto"/>
                      </w:divBdr>
                    </w:div>
                    <w:div w:id="1207109219">
                      <w:marLeft w:val="0"/>
                      <w:marRight w:val="0"/>
                      <w:marTop w:val="256"/>
                      <w:marBottom w:val="256"/>
                      <w:divBdr>
                        <w:top w:val="none" w:sz="0" w:space="0" w:color="auto"/>
                        <w:left w:val="none" w:sz="0" w:space="0" w:color="auto"/>
                        <w:bottom w:val="none" w:sz="0" w:space="0" w:color="auto"/>
                        <w:right w:val="none" w:sz="0" w:space="0" w:color="auto"/>
                      </w:divBdr>
                    </w:div>
                    <w:div w:id="411320483">
                      <w:marLeft w:val="0"/>
                      <w:marRight w:val="0"/>
                      <w:marTop w:val="256"/>
                      <w:marBottom w:val="256"/>
                      <w:divBdr>
                        <w:top w:val="none" w:sz="0" w:space="0" w:color="auto"/>
                        <w:left w:val="none" w:sz="0" w:space="0" w:color="auto"/>
                        <w:bottom w:val="none" w:sz="0" w:space="0" w:color="auto"/>
                        <w:right w:val="none" w:sz="0" w:space="0" w:color="auto"/>
                      </w:divBdr>
                    </w:div>
                    <w:div w:id="1357805175">
                      <w:marLeft w:val="0"/>
                      <w:marRight w:val="0"/>
                      <w:marTop w:val="256"/>
                      <w:marBottom w:val="256"/>
                      <w:divBdr>
                        <w:top w:val="none" w:sz="0" w:space="0" w:color="auto"/>
                        <w:left w:val="none" w:sz="0" w:space="0" w:color="auto"/>
                        <w:bottom w:val="none" w:sz="0" w:space="0" w:color="auto"/>
                        <w:right w:val="none" w:sz="0" w:space="0" w:color="auto"/>
                      </w:divBdr>
                    </w:div>
                    <w:div w:id="1874879282">
                      <w:marLeft w:val="0"/>
                      <w:marRight w:val="0"/>
                      <w:marTop w:val="256"/>
                      <w:marBottom w:val="256"/>
                      <w:divBdr>
                        <w:top w:val="none" w:sz="0" w:space="0" w:color="auto"/>
                        <w:left w:val="none" w:sz="0" w:space="0" w:color="auto"/>
                        <w:bottom w:val="none" w:sz="0" w:space="0" w:color="auto"/>
                        <w:right w:val="none" w:sz="0" w:space="0" w:color="auto"/>
                      </w:divBdr>
                    </w:div>
                    <w:div w:id="209612066">
                      <w:marLeft w:val="0"/>
                      <w:marRight w:val="0"/>
                      <w:marTop w:val="256"/>
                      <w:marBottom w:val="256"/>
                      <w:divBdr>
                        <w:top w:val="none" w:sz="0" w:space="0" w:color="auto"/>
                        <w:left w:val="none" w:sz="0" w:space="0" w:color="auto"/>
                        <w:bottom w:val="none" w:sz="0" w:space="0" w:color="auto"/>
                        <w:right w:val="none" w:sz="0" w:space="0" w:color="auto"/>
                      </w:divBdr>
                    </w:div>
                    <w:div w:id="1489439486">
                      <w:marLeft w:val="0"/>
                      <w:marRight w:val="0"/>
                      <w:marTop w:val="256"/>
                      <w:marBottom w:val="256"/>
                      <w:divBdr>
                        <w:top w:val="none" w:sz="0" w:space="0" w:color="auto"/>
                        <w:left w:val="none" w:sz="0" w:space="0" w:color="auto"/>
                        <w:bottom w:val="none" w:sz="0" w:space="0" w:color="auto"/>
                        <w:right w:val="none" w:sz="0" w:space="0" w:color="auto"/>
                      </w:divBdr>
                    </w:div>
                    <w:div w:id="953681637">
                      <w:marLeft w:val="0"/>
                      <w:marRight w:val="0"/>
                      <w:marTop w:val="256"/>
                      <w:marBottom w:val="256"/>
                      <w:divBdr>
                        <w:top w:val="none" w:sz="0" w:space="0" w:color="auto"/>
                        <w:left w:val="none" w:sz="0" w:space="0" w:color="auto"/>
                        <w:bottom w:val="none" w:sz="0" w:space="0" w:color="auto"/>
                        <w:right w:val="none" w:sz="0" w:space="0" w:color="auto"/>
                      </w:divBdr>
                    </w:div>
                    <w:div w:id="2092120827">
                      <w:marLeft w:val="0"/>
                      <w:marRight w:val="0"/>
                      <w:marTop w:val="256"/>
                      <w:marBottom w:val="256"/>
                      <w:divBdr>
                        <w:top w:val="none" w:sz="0" w:space="0" w:color="auto"/>
                        <w:left w:val="none" w:sz="0" w:space="0" w:color="auto"/>
                        <w:bottom w:val="none" w:sz="0" w:space="0" w:color="auto"/>
                        <w:right w:val="none" w:sz="0" w:space="0" w:color="auto"/>
                      </w:divBdr>
                    </w:div>
                    <w:div w:id="1097676733">
                      <w:marLeft w:val="0"/>
                      <w:marRight w:val="0"/>
                      <w:marTop w:val="256"/>
                      <w:marBottom w:val="256"/>
                      <w:divBdr>
                        <w:top w:val="none" w:sz="0" w:space="0" w:color="auto"/>
                        <w:left w:val="none" w:sz="0" w:space="0" w:color="auto"/>
                        <w:bottom w:val="none" w:sz="0" w:space="0" w:color="auto"/>
                        <w:right w:val="none" w:sz="0" w:space="0" w:color="auto"/>
                      </w:divBdr>
                    </w:div>
                    <w:div w:id="1652901513">
                      <w:marLeft w:val="0"/>
                      <w:marRight w:val="0"/>
                      <w:marTop w:val="256"/>
                      <w:marBottom w:val="256"/>
                      <w:divBdr>
                        <w:top w:val="none" w:sz="0" w:space="0" w:color="auto"/>
                        <w:left w:val="none" w:sz="0" w:space="0" w:color="auto"/>
                        <w:bottom w:val="none" w:sz="0" w:space="0" w:color="auto"/>
                        <w:right w:val="none" w:sz="0" w:space="0" w:color="auto"/>
                      </w:divBdr>
                    </w:div>
                    <w:div w:id="593130958">
                      <w:marLeft w:val="0"/>
                      <w:marRight w:val="0"/>
                      <w:marTop w:val="256"/>
                      <w:marBottom w:val="256"/>
                      <w:divBdr>
                        <w:top w:val="none" w:sz="0" w:space="0" w:color="auto"/>
                        <w:left w:val="none" w:sz="0" w:space="0" w:color="auto"/>
                        <w:bottom w:val="none" w:sz="0" w:space="0" w:color="auto"/>
                        <w:right w:val="none" w:sz="0" w:space="0" w:color="auto"/>
                      </w:divBdr>
                    </w:div>
                    <w:div w:id="64686009">
                      <w:marLeft w:val="0"/>
                      <w:marRight w:val="0"/>
                      <w:marTop w:val="256"/>
                      <w:marBottom w:val="256"/>
                      <w:divBdr>
                        <w:top w:val="none" w:sz="0" w:space="0" w:color="auto"/>
                        <w:left w:val="none" w:sz="0" w:space="0" w:color="auto"/>
                        <w:bottom w:val="none" w:sz="0" w:space="0" w:color="auto"/>
                        <w:right w:val="none" w:sz="0" w:space="0" w:color="auto"/>
                      </w:divBdr>
                    </w:div>
                    <w:div w:id="1464810649">
                      <w:marLeft w:val="0"/>
                      <w:marRight w:val="0"/>
                      <w:marTop w:val="256"/>
                      <w:marBottom w:val="256"/>
                      <w:divBdr>
                        <w:top w:val="none" w:sz="0" w:space="0" w:color="auto"/>
                        <w:left w:val="none" w:sz="0" w:space="0" w:color="auto"/>
                        <w:bottom w:val="none" w:sz="0" w:space="0" w:color="auto"/>
                        <w:right w:val="none" w:sz="0" w:space="0" w:color="auto"/>
                      </w:divBdr>
                    </w:div>
                    <w:div w:id="1571498531">
                      <w:marLeft w:val="0"/>
                      <w:marRight w:val="0"/>
                      <w:marTop w:val="256"/>
                      <w:marBottom w:val="256"/>
                      <w:divBdr>
                        <w:top w:val="none" w:sz="0" w:space="0" w:color="auto"/>
                        <w:left w:val="none" w:sz="0" w:space="0" w:color="auto"/>
                        <w:bottom w:val="none" w:sz="0" w:space="0" w:color="auto"/>
                        <w:right w:val="none" w:sz="0" w:space="0" w:color="auto"/>
                      </w:divBdr>
                    </w:div>
                  </w:divsChild>
                </w:div>
              </w:divsChild>
            </w:div>
          </w:divsChild>
        </w:div>
      </w:divsChild>
    </w:div>
    <w:div w:id="637494939">
      <w:bodyDiv w:val="1"/>
      <w:marLeft w:val="0"/>
      <w:marRight w:val="0"/>
      <w:marTop w:val="0"/>
      <w:marBottom w:val="0"/>
      <w:divBdr>
        <w:top w:val="none" w:sz="0" w:space="0" w:color="auto"/>
        <w:left w:val="none" w:sz="0" w:space="0" w:color="auto"/>
        <w:bottom w:val="none" w:sz="0" w:space="0" w:color="auto"/>
        <w:right w:val="none" w:sz="0" w:space="0" w:color="auto"/>
      </w:divBdr>
    </w:div>
    <w:div w:id="660542953">
      <w:bodyDiv w:val="1"/>
      <w:marLeft w:val="0"/>
      <w:marRight w:val="0"/>
      <w:marTop w:val="0"/>
      <w:marBottom w:val="0"/>
      <w:divBdr>
        <w:top w:val="none" w:sz="0" w:space="0" w:color="auto"/>
        <w:left w:val="none" w:sz="0" w:space="0" w:color="auto"/>
        <w:bottom w:val="none" w:sz="0" w:space="0" w:color="auto"/>
        <w:right w:val="none" w:sz="0" w:space="0" w:color="auto"/>
      </w:divBdr>
      <w:divsChild>
        <w:div w:id="1853181576">
          <w:marLeft w:val="0"/>
          <w:marRight w:val="0"/>
          <w:marTop w:val="0"/>
          <w:marBottom w:val="0"/>
          <w:divBdr>
            <w:top w:val="none" w:sz="0" w:space="0" w:color="auto"/>
            <w:left w:val="none" w:sz="0" w:space="0" w:color="auto"/>
            <w:bottom w:val="none" w:sz="0" w:space="0" w:color="auto"/>
            <w:right w:val="none" w:sz="0" w:space="0" w:color="auto"/>
          </w:divBdr>
        </w:div>
        <w:div w:id="1385448073">
          <w:marLeft w:val="0"/>
          <w:marRight w:val="0"/>
          <w:marTop w:val="0"/>
          <w:marBottom w:val="0"/>
          <w:divBdr>
            <w:top w:val="none" w:sz="0" w:space="0" w:color="auto"/>
            <w:left w:val="none" w:sz="0" w:space="0" w:color="auto"/>
            <w:bottom w:val="none" w:sz="0" w:space="0" w:color="auto"/>
            <w:right w:val="none" w:sz="0" w:space="0" w:color="auto"/>
          </w:divBdr>
        </w:div>
      </w:divsChild>
    </w:div>
    <w:div w:id="675306575">
      <w:bodyDiv w:val="1"/>
      <w:marLeft w:val="0"/>
      <w:marRight w:val="0"/>
      <w:marTop w:val="0"/>
      <w:marBottom w:val="0"/>
      <w:divBdr>
        <w:top w:val="none" w:sz="0" w:space="0" w:color="auto"/>
        <w:left w:val="none" w:sz="0" w:space="0" w:color="auto"/>
        <w:bottom w:val="none" w:sz="0" w:space="0" w:color="auto"/>
        <w:right w:val="none" w:sz="0" w:space="0" w:color="auto"/>
      </w:divBdr>
    </w:div>
    <w:div w:id="921455380">
      <w:bodyDiv w:val="1"/>
      <w:marLeft w:val="0"/>
      <w:marRight w:val="0"/>
      <w:marTop w:val="0"/>
      <w:marBottom w:val="0"/>
      <w:divBdr>
        <w:top w:val="none" w:sz="0" w:space="0" w:color="auto"/>
        <w:left w:val="none" w:sz="0" w:space="0" w:color="auto"/>
        <w:bottom w:val="none" w:sz="0" w:space="0" w:color="auto"/>
        <w:right w:val="none" w:sz="0" w:space="0" w:color="auto"/>
      </w:divBdr>
    </w:div>
    <w:div w:id="934292284">
      <w:bodyDiv w:val="1"/>
      <w:marLeft w:val="0"/>
      <w:marRight w:val="0"/>
      <w:marTop w:val="0"/>
      <w:marBottom w:val="0"/>
      <w:divBdr>
        <w:top w:val="none" w:sz="0" w:space="0" w:color="auto"/>
        <w:left w:val="none" w:sz="0" w:space="0" w:color="auto"/>
        <w:bottom w:val="none" w:sz="0" w:space="0" w:color="auto"/>
        <w:right w:val="none" w:sz="0" w:space="0" w:color="auto"/>
      </w:divBdr>
    </w:div>
    <w:div w:id="948659885">
      <w:bodyDiv w:val="1"/>
      <w:marLeft w:val="0"/>
      <w:marRight w:val="0"/>
      <w:marTop w:val="0"/>
      <w:marBottom w:val="0"/>
      <w:divBdr>
        <w:top w:val="none" w:sz="0" w:space="0" w:color="auto"/>
        <w:left w:val="none" w:sz="0" w:space="0" w:color="auto"/>
        <w:bottom w:val="none" w:sz="0" w:space="0" w:color="auto"/>
        <w:right w:val="none" w:sz="0" w:space="0" w:color="auto"/>
      </w:divBdr>
    </w:div>
    <w:div w:id="952633014">
      <w:bodyDiv w:val="1"/>
      <w:marLeft w:val="0"/>
      <w:marRight w:val="0"/>
      <w:marTop w:val="0"/>
      <w:marBottom w:val="0"/>
      <w:divBdr>
        <w:top w:val="none" w:sz="0" w:space="0" w:color="auto"/>
        <w:left w:val="none" w:sz="0" w:space="0" w:color="auto"/>
        <w:bottom w:val="none" w:sz="0" w:space="0" w:color="auto"/>
        <w:right w:val="none" w:sz="0" w:space="0" w:color="auto"/>
      </w:divBdr>
    </w:div>
    <w:div w:id="1005859119">
      <w:bodyDiv w:val="1"/>
      <w:marLeft w:val="0"/>
      <w:marRight w:val="0"/>
      <w:marTop w:val="0"/>
      <w:marBottom w:val="0"/>
      <w:divBdr>
        <w:top w:val="none" w:sz="0" w:space="0" w:color="auto"/>
        <w:left w:val="none" w:sz="0" w:space="0" w:color="auto"/>
        <w:bottom w:val="none" w:sz="0" w:space="0" w:color="auto"/>
        <w:right w:val="none" w:sz="0" w:space="0" w:color="auto"/>
      </w:divBdr>
    </w:div>
    <w:div w:id="1015108637">
      <w:bodyDiv w:val="1"/>
      <w:marLeft w:val="0"/>
      <w:marRight w:val="0"/>
      <w:marTop w:val="0"/>
      <w:marBottom w:val="0"/>
      <w:divBdr>
        <w:top w:val="none" w:sz="0" w:space="0" w:color="auto"/>
        <w:left w:val="none" w:sz="0" w:space="0" w:color="auto"/>
        <w:bottom w:val="none" w:sz="0" w:space="0" w:color="auto"/>
        <w:right w:val="none" w:sz="0" w:space="0" w:color="auto"/>
      </w:divBdr>
    </w:div>
    <w:div w:id="1018117525">
      <w:bodyDiv w:val="1"/>
      <w:marLeft w:val="0"/>
      <w:marRight w:val="0"/>
      <w:marTop w:val="0"/>
      <w:marBottom w:val="0"/>
      <w:divBdr>
        <w:top w:val="none" w:sz="0" w:space="0" w:color="auto"/>
        <w:left w:val="none" w:sz="0" w:space="0" w:color="auto"/>
        <w:bottom w:val="none" w:sz="0" w:space="0" w:color="auto"/>
        <w:right w:val="none" w:sz="0" w:space="0" w:color="auto"/>
      </w:divBdr>
    </w:div>
    <w:div w:id="1059940924">
      <w:bodyDiv w:val="1"/>
      <w:marLeft w:val="0"/>
      <w:marRight w:val="0"/>
      <w:marTop w:val="0"/>
      <w:marBottom w:val="0"/>
      <w:divBdr>
        <w:top w:val="none" w:sz="0" w:space="0" w:color="auto"/>
        <w:left w:val="none" w:sz="0" w:space="0" w:color="auto"/>
        <w:bottom w:val="none" w:sz="0" w:space="0" w:color="auto"/>
        <w:right w:val="none" w:sz="0" w:space="0" w:color="auto"/>
      </w:divBdr>
      <w:divsChild>
        <w:div w:id="1789809069">
          <w:marLeft w:val="0"/>
          <w:marRight w:val="0"/>
          <w:marTop w:val="0"/>
          <w:marBottom w:val="0"/>
          <w:divBdr>
            <w:top w:val="none" w:sz="0" w:space="0" w:color="auto"/>
            <w:left w:val="none" w:sz="0" w:space="0" w:color="auto"/>
            <w:bottom w:val="none" w:sz="0" w:space="0" w:color="auto"/>
            <w:right w:val="none" w:sz="0" w:space="0" w:color="auto"/>
          </w:divBdr>
        </w:div>
        <w:div w:id="1762943148">
          <w:marLeft w:val="0"/>
          <w:marRight w:val="0"/>
          <w:marTop w:val="0"/>
          <w:marBottom w:val="0"/>
          <w:divBdr>
            <w:top w:val="none" w:sz="0" w:space="0" w:color="auto"/>
            <w:left w:val="none" w:sz="0" w:space="0" w:color="auto"/>
            <w:bottom w:val="none" w:sz="0" w:space="0" w:color="auto"/>
            <w:right w:val="none" w:sz="0" w:space="0" w:color="auto"/>
          </w:divBdr>
        </w:div>
      </w:divsChild>
    </w:div>
    <w:div w:id="1093428552">
      <w:bodyDiv w:val="1"/>
      <w:marLeft w:val="0"/>
      <w:marRight w:val="0"/>
      <w:marTop w:val="0"/>
      <w:marBottom w:val="0"/>
      <w:divBdr>
        <w:top w:val="none" w:sz="0" w:space="0" w:color="auto"/>
        <w:left w:val="none" w:sz="0" w:space="0" w:color="auto"/>
        <w:bottom w:val="none" w:sz="0" w:space="0" w:color="auto"/>
        <w:right w:val="none" w:sz="0" w:space="0" w:color="auto"/>
      </w:divBdr>
    </w:div>
    <w:div w:id="1148088871">
      <w:bodyDiv w:val="1"/>
      <w:marLeft w:val="0"/>
      <w:marRight w:val="0"/>
      <w:marTop w:val="0"/>
      <w:marBottom w:val="0"/>
      <w:divBdr>
        <w:top w:val="none" w:sz="0" w:space="0" w:color="auto"/>
        <w:left w:val="none" w:sz="0" w:space="0" w:color="auto"/>
        <w:bottom w:val="none" w:sz="0" w:space="0" w:color="auto"/>
        <w:right w:val="none" w:sz="0" w:space="0" w:color="auto"/>
      </w:divBdr>
    </w:div>
    <w:div w:id="1180461574">
      <w:bodyDiv w:val="1"/>
      <w:marLeft w:val="0"/>
      <w:marRight w:val="0"/>
      <w:marTop w:val="0"/>
      <w:marBottom w:val="0"/>
      <w:divBdr>
        <w:top w:val="none" w:sz="0" w:space="0" w:color="auto"/>
        <w:left w:val="none" w:sz="0" w:space="0" w:color="auto"/>
        <w:bottom w:val="none" w:sz="0" w:space="0" w:color="auto"/>
        <w:right w:val="none" w:sz="0" w:space="0" w:color="auto"/>
      </w:divBdr>
    </w:div>
    <w:div w:id="1197698932">
      <w:bodyDiv w:val="1"/>
      <w:marLeft w:val="0"/>
      <w:marRight w:val="0"/>
      <w:marTop w:val="0"/>
      <w:marBottom w:val="0"/>
      <w:divBdr>
        <w:top w:val="none" w:sz="0" w:space="0" w:color="auto"/>
        <w:left w:val="none" w:sz="0" w:space="0" w:color="auto"/>
        <w:bottom w:val="none" w:sz="0" w:space="0" w:color="auto"/>
        <w:right w:val="none" w:sz="0" w:space="0" w:color="auto"/>
      </w:divBdr>
    </w:div>
    <w:div w:id="1240015692">
      <w:bodyDiv w:val="1"/>
      <w:marLeft w:val="0"/>
      <w:marRight w:val="0"/>
      <w:marTop w:val="0"/>
      <w:marBottom w:val="0"/>
      <w:divBdr>
        <w:top w:val="none" w:sz="0" w:space="0" w:color="auto"/>
        <w:left w:val="none" w:sz="0" w:space="0" w:color="auto"/>
        <w:bottom w:val="none" w:sz="0" w:space="0" w:color="auto"/>
        <w:right w:val="none" w:sz="0" w:space="0" w:color="auto"/>
      </w:divBdr>
    </w:div>
    <w:div w:id="1288050323">
      <w:bodyDiv w:val="1"/>
      <w:marLeft w:val="0"/>
      <w:marRight w:val="0"/>
      <w:marTop w:val="0"/>
      <w:marBottom w:val="0"/>
      <w:divBdr>
        <w:top w:val="none" w:sz="0" w:space="0" w:color="auto"/>
        <w:left w:val="none" w:sz="0" w:space="0" w:color="auto"/>
        <w:bottom w:val="none" w:sz="0" w:space="0" w:color="auto"/>
        <w:right w:val="none" w:sz="0" w:space="0" w:color="auto"/>
      </w:divBdr>
    </w:div>
    <w:div w:id="1315795257">
      <w:bodyDiv w:val="1"/>
      <w:marLeft w:val="0"/>
      <w:marRight w:val="0"/>
      <w:marTop w:val="0"/>
      <w:marBottom w:val="0"/>
      <w:divBdr>
        <w:top w:val="none" w:sz="0" w:space="0" w:color="auto"/>
        <w:left w:val="none" w:sz="0" w:space="0" w:color="auto"/>
        <w:bottom w:val="none" w:sz="0" w:space="0" w:color="auto"/>
        <w:right w:val="none" w:sz="0" w:space="0" w:color="auto"/>
      </w:divBdr>
    </w:div>
    <w:div w:id="1320770132">
      <w:bodyDiv w:val="1"/>
      <w:marLeft w:val="0"/>
      <w:marRight w:val="0"/>
      <w:marTop w:val="0"/>
      <w:marBottom w:val="0"/>
      <w:divBdr>
        <w:top w:val="none" w:sz="0" w:space="0" w:color="auto"/>
        <w:left w:val="none" w:sz="0" w:space="0" w:color="auto"/>
        <w:bottom w:val="none" w:sz="0" w:space="0" w:color="auto"/>
        <w:right w:val="none" w:sz="0" w:space="0" w:color="auto"/>
      </w:divBdr>
    </w:div>
    <w:div w:id="1327710828">
      <w:bodyDiv w:val="1"/>
      <w:marLeft w:val="0"/>
      <w:marRight w:val="0"/>
      <w:marTop w:val="0"/>
      <w:marBottom w:val="0"/>
      <w:divBdr>
        <w:top w:val="none" w:sz="0" w:space="0" w:color="auto"/>
        <w:left w:val="none" w:sz="0" w:space="0" w:color="auto"/>
        <w:bottom w:val="none" w:sz="0" w:space="0" w:color="auto"/>
        <w:right w:val="none" w:sz="0" w:space="0" w:color="auto"/>
      </w:divBdr>
    </w:div>
    <w:div w:id="1359429001">
      <w:bodyDiv w:val="1"/>
      <w:marLeft w:val="0"/>
      <w:marRight w:val="0"/>
      <w:marTop w:val="0"/>
      <w:marBottom w:val="0"/>
      <w:divBdr>
        <w:top w:val="none" w:sz="0" w:space="0" w:color="auto"/>
        <w:left w:val="none" w:sz="0" w:space="0" w:color="auto"/>
        <w:bottom w:val="none" w:sz="0" w:space="0" w:color="auto"/>
        <w:right w:val="none" w:sz="0" w:space="0" w:color="auto"/>
      </w:divBdr>
      <w:divsChild>
        <w:div w:id="975918115">
          <w:marLeft w:val="0"/>
          <w:marRight w:val="0"/>
          <w:marTop w:val="0"/>
          <w:marBottom w:val="0"/>
          <w:divBdr>
            <w:top w:val="none" w:sz="0" w:space="0" w:color="auto"/>
            <w:left w:val="none" w:sz="0" w:space="0" w:color="auto"/>
            <w:bottom w:val="none" w:sz="0" w:space="0" w:color="auto"/>
            <w:right w:val="none" w:sz="0" w:space="0" w:color="auto"/>
          </w:divBdr>
          <w:divsChild>
            <w:div w:id="1719431598">
              <w:marLeft w:val="120"/>
              <w:marRight w:val="120"/>
              <w:marTop w:val="120"/>
              <w:marBottom w:val="120"/>
              <w:divBdr>
                <w:top w:val="none" w:sz="0" w:space="0" w:color="auto"/>
                <w:left w:val="none" w:sz="0" w:space="0" w:color="auto"/>
                <w:bottom w:val="none" w:sz="0" w:space="0" w:color="auto"/>
                <w:right w:val="none" w:sz="0" w:space="0" w:color="auto"/>
              </w:divBdr>
              <w:divsChild>
                <w:div w:id="798108808">
                  <w:marLeft w:val="0"/>
                  <w:marRight w:val="0"/>
                  <w:marTop w:val="0"/>
                  <w:marBottom w:val="0"/>
                  <w:divBdr>
                    <w:top w:val="none" w:sz="0" w:space="0" w:color="auto"/>
                    <w:left w:val="none" w:sz="0" w:space="0" w:color="auto"/>
                    <w:bottom w:val="none" w:sz="0" w:space="0" w:color="auto"/>
                    <w:right w:val="none" w:sz="0" w:space="0" w:color="auto"/>
                  </w:divBdr>
                  <w:divsChild>
                    <w:div w:id="1346857762">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
                        <w:div w:id="11823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014393">
          <w:marLeft w:val="0"/>
          <w:marRight w:val="0"/>
          <w:marTop w:val="0"/>
          <w:marBottom w:val="0"/>
          <w:divBdr>
            <w:top w:val="none" w:sz="0" w:space="0" w:color="auto"/>
            <w:left w:val="single" w:sz="48" w:space="0" w:color="auto"/>
            <w:bottom w:val="none" w:sz="0" w:space="0" w:color="auto"/>
            <w:right w:val="single" w:sz="48" w:space="0" w:color="auto"/>
          </w:divBdr>
          <w:divsChild>
            <w:div w:id="1724984787">
              <w:marLeft w:val="0"/>
              <w:marRight w:val="0"/>
              <w:marTop w:val="100"/>
              <w:marBottom w:val="100"/>
              <w:divBdr>
                <w:top w:val="none" w:sz="0" w:space="0" w:color="auto"/>
                <w:left w:val="none" w:sz="0" w:space="0" w:color="auto"/>
                <w:bottom w:val="none" w:sz="0" w:space="0" w:color="auto"/>
                <w:right w:val="none" w:sz="0" w:space="0" w:color="auto"/>
              </w:divBdr>
              <w:divsChild>
                <w:div w:id="1966346634">
                  <w:marLeft w:val="0"/>
                  <w:marRight w:val="0"/>
                  <w:marTop w:val="0"/>
                  <w:marBottom w:val="0"/>
                  <w:divBdr>
                    <w:top w:val="none" w:sz="0" w:space="0" w:color="auto"/>
                    <w:left w:val="none" w:sz="0" w:space="0" w:color="auto"/>
                    <w:bottom w:val="none" w:sz="0" w:space="0" w:color="auto"/>
                    <w:right w:val="none" w:sz="0" w:space="0" w:color="auto"/>
                  </w:divBdr>
                </w:div>
              </w:divsChild>
            </w:div>
            <w:div w:id="1683628044">
              <w:marLeft w:val="0"/>
              <w:marRight w:val="0"/>
              <w:marTop w:val="0"/>
              <w:marBottom w:val="0"/>
              <w:divBdr>
                <w:top w:val="none" w:sz="0" w:space="0" w:color="auto"/>
                <w:left w:val="none" w:sz="0" w:space="0" w:color="auto"/>
                <w:bottom w:val="none" w:sz="0" w:space="0" w:color="auto"/>
                <w:right w:val="none" w:sz="0" w:space="0" w:color="auto"/>
              </w:divBdr>
              <w:divsChild>
                <w:div w:id="243493733">
                  <w:marLeft w:val="0"/>
                  <w:marRight w:val="0"/>
                  <w:marTop w:val="0"/>
                  <w:marBottom w:val="0"/>
                  <w:divBdr>
                    <w:top w:val="none" w:sz="0" w:space="0" w:color="auto"/>
                    <w:left w:val="none" w:sz="0" w:space="0" w:color="auto"/>
                    <w:bottom w:val="none" w:sz="0" w:space="0" w:color="auto"/>
                    <w:right w:val="none" w:sz="0" w:space="0" w:color="auto"/>
                  </w:divBdr>
                </w:div>
                <w:div w:id="959797083">
                  <w:marLeft w:val="0"/>
                  <w:marRight w:val="0"/>
                  <w:marTop w:val="0"/>
                  <w:marBottom w:val="0"/>
                  <w:divBdr>
                    <w:top w:val="none" w:sz="0" w:space="0" w:color="auto"/>
                    <w:left w:val="none" w:sz="0" w:space="0" w:color="auto"/>
                    <w:bottom w:val="none" w:sz="0" w:space="0" w:color="auto"/>
                    <w:right w:val="none" w:sz="0" w:space="0" w:color="auto"/>
                  </w:divBdr>
                </w:div>
              </w:divsChild>
            </w:div>
            <w:div w:id="1051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41762">
      <w:bodyDiv w:val="1"/>
      <w:marLeft w:val="0"/>
      <w:marRight w:val="0"/>
      <w:marTop w:val="0"/>
      <w:marBottom w:val="0"/>
      <w:divBdr>
        <w:top w:val="none" w:sz="0" w:space="0" w:color="auto"/>
        <w:left w:val="none" w:sz="0" w:space="0" w:color="auto"/>
        <w:bottom w:val="none" w:sz="0" w:space="0" w:color="auto"/>
        <w:right w:val="none" w:sz="0" w:space="0" w:color="auto"/>
      </w:divBdr>
    </w:div>
    <w:div w:id="1456480440">
      <w:bodyDiv w:val="1"/>
      <w:marLeft w:val="0"/>
      <w:marRight w:val="0"/>
      <w:marTop w:val="0"/>
      <w:marBottom w:val="0"/>
      <w:divBdr>
        <w:top w:val="none" w:sz="0" w:space="0" w:color="auto"/>
        <w:left w:val="none" w:sz="0" w:space="0" w:color="auto"/>
        <w:bottom w:val="none" w:sz="0" w:space="0" w:color="auto"/>
        <w:right w:val="none" w:sz="0" w:space="0" w:color="auto"/>
      </w:divBdr>
    </w:div>
    <w:div w:id="1474714588">
      <w:bodyDiv w:val="1"/>
      <w:marLeft w:val="0"/>
      <w:marRight w:val="0"/>
      <w:marTop w:val="0"/>
      <w:marBottom w:val="0"/>
      <w:divBdr>
        <w:top w:val="none" w:sz="0" w:space="0" w:color="auto"/>
        <w:left w:val="none" w:sz="0" w:space="0" w:color="auto"/>
        <w:bottom w:val="none" w:sz="0" w:space="0" w:color="auto"/>
        <w:right w:val="none" w:sz="0" w:space="0" w:color="auto"/>
      </w:divBdr>
    </w:div>
    <w:div w:id="1570798553">
      <w:bodyDiv w:val="1"/>
      <w:marLeft w:val="0"/>
      <w:marRight w:val="0"/>
      <w:marTop w:val="0"/>
      <w:marBottom w:val="0"/>
      <w:divBdr>
        <w:top w:val="none" w:sz="0" w:space="0" w:color="auto"/>
        <w:left w:val="none" w:sz="0" w:space="0" w:color="auto"/>
        <w:bottom w:val="none" w:sz="0" w:space="0" w:color="auto"/>
        <w:right w:val="none" w:sz="0" w:space="0" w:color="auto"/>
      </w:divBdr>
      <w:divsChild>
        <w:div w:id="1774747177">
          <w:marLeft w:val="0"/>
          <w:marRight w:val="0"/>
          <w:marTop w:val="0"/>
          <w:marBottom w:val="0"/>
          <w:divBdr>
            <w:top w:val="none" w:sz="0" w:space="0" w:color="auto"/>
            <w:left w:val="none" w:sz="0" w:space="0" w:color="auto"/>
            <w:bottom w:val="none" w:sz="0" w:space="0" w:color="auto"/>
            <w:right w:val="none" w:sz="0" w:space="0" w:color="auto"/>
          </w:divBdr>
          <w:divsChild>
            <w:div w:id="414134625">
              <w:marLeft w:val="0"/>
              <w:marRight w:val="0"/>
              <w:marTop w:val="0"/>
              <w:marBottom w:val="0"/>
              <w:divBdr>
                <w:top w:val="none" w:sz="0" w:space="0" w:color="auto"/>
                <w:left w:val="none" w:sz="0" w:space="0" w:color="auto"/>
                <w:bottom w:val="none" w:sz="0" w:space="0" w:color="auto"/>
                <w:right w:val="none" w:sz="0" w:space="0" w:color="auto"/>
              </w:divBdr>
              <w:divsChild>
                <w:div w:id="683019716">
                  <w:marLeft w:val="0"/>
                  <w:marRight w:val="0"/>
                  <w:marTop w:val="0"/>
                  <w:marBottom w:val="0"/>
                  <w:divBdr>
                    <w:top w:val="none" w:sz="0" w:space="0" w:color="auto"/>
                    <w:left w:val="none" w:sz="0" w:space="0" w:color="auto"/>
                    <w:bottom w:val="none" w:sz="0" w:space="0" w:color="auto"/>
                    <w:right w:val="none" w:sz="0" w:space="0" w:color="auto"/>
                  </w:divBdr>
                  <w:divsChild>
                    <w:div w:id="305018177">
                      <w:marLeft w:val="0"/>
                      <w:marRight w:val="0"/>
                      <w:marTop w:val="0"/>
                      <w:marBottom w:val="0"/>
                      <w:divBdr>
                        <w:top w:val="none" w:sz="0" w:space="0" w:color="auto"/>
                        <w:left w:val="none" w:sz="0" w:space="0" w:color="auto"/>
                        <w:bottom w:val="none" w:sz="0" w:space="0" w:color="auto"/>
                        <w:right w:val="none" w:sz="0" w:space="0" w:color="auto"/>
                      </w:divBdr>
                      <w:divsChild>
                        <w:div w:id="468742873">
                          <w:marLeft w:val="384"/>
                          <w:marRight w:val="384"/>
                          <w:marTop w:val="0"/>
                          <w:marBottom w:val="0"/>
                          <w:divBdr>
                            <w:top w:val="none" w:sz="0" w:space="0" w:color="auto"/>
                            <w:left w:val="none" w:sz="0" w:space="0" w:color="auto"/>
                            <w:bottom w:val="none" w:sz="0" w:space="0" w:color="auto"/>
                            <w:right w:val="none" w:sz="0" w:space="0" w:color="auto"/>
                          </w:divBdr>
                          <w:divsChild>
                            <w:div w:id="1904607279">
                              <w:marLeft w:val="0"/>
                              <w:marRight w:val="0"/>
                              <w:marTop w:val="0"/>
                              <w:marBottom w:val="0"/>
                              <w:divBdr>
                                <w:top w:val="none" w:sz="0" w:space="0" w:color="auto"/>
                                <w:left w:val="none" w:sz="0" w:space="0" w:color="auto"/>
                                <w:bottom w:val="none" w:sz="0" w:space="0" w:color="auto"/>
                                <w:right w:val="none" w:sz="0" w:space="0" w:color="auto"/>
                              </w:divBdr>
                              <w:divsChild>
                                <w:div w:id="1300652996">
                                  <w:marLeft w:val="0"/>
                                  <w:marRight w:val="0"/>
                                  <w:marTop w:val="0"/>
                                  <w:marBottom w:val="0"/>
                                  <w:divBdr>
                                    <w:top w:val="none" w:sz="0" w:space="0" w:color="auto"/>
                                    <w:left w:val="none" w:sz="0" w:space="0" w:color="auto"/>
                                    <w:bottom w:val="none" w:sz="0" w:space="0" w:color="auto"/>
                                    <w:right w:val="none" w:sz="0" w:space="0" w:color="auto"/>
                                  </w:divBdr>
                                  <w:divsChild>
                                    <w:div w:id="1899510790">
                                      <w:marLeft w:val="0"/>
                                      <w:marRight w:val="0"/>
                                      <w:marTop w:val="332"/>
                                      <w:marBottom w:val="332"/>
                                      <w:divBdr>
                                        <w:top w:val="none" w:sz="0" w:space="0" w:color="auto"/>
                                        <w:left w:val="none" w:sz="0" w:space="0" w:color="auto"/>
                                        <w:bottom w:val="none" w:sz="0" w:space="0" w:color="auto"/>
                                        <w:right w:val="none" w:sz="0" w:space="0" w:color="auto"/>
                                      </w:divBdr>
                                      <w:divsChild>
                                        <w:div w:id="478888744">
                                          <w:marLeft w:val="0"/>
                                          <w:marRight w:val="0"/>
                                          <w:marTop w:val="332"/>
                                          <w:marBottom w:val="332"/>
                                          <w:divBdr>
                                            <w:top w:val="none" w:sz="0" w:space="0" w:color="auto"/>
                                            <w:left w:val="none" w:sz="0" w:space="0" w:color="auto"/>
                                            <w:bottom w:val="none" w:sz="0" w:space="0" w:color="auto"/>
                                            <w:right w:val="none" w:sz="0" w:space="0" w:color="auto"/>
                                          </w:divBdr>
                                          <w:divsChild>
                                            <w:div w:id="1565723341">
                                              <w:marLeft w:val="0"/>
                                              <w:marRight w:val="0"/>
                                              <w:marTop w:val="0"/>
                                              <w:marBottom w:val="0"/>
                                              <w:divBdr>
                                                <w:top w:val="none" w:sz="0" w:space="0" w:color="auto"/>
                                                <w:left w:val="none" w:sz="0" w:space="0" w:color="auto"/>
                                                <w:bottom w:val="none" w:sz="0" w:space="0" w:color="auto"/>
                                                <w:right w:val="none" w:sz="0" w:space="0" w:color="auto"/>
                                              </w:divBdr>
                                            </w:div>
                                            <w:div w:id="6755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750331">
      <w:bodyDiv w:val="1"/>
      <w:marLeft w:val="0"/>
      <w:marRight w:val="0"/>
      <w:marTop w:val="0"/>
      <w:marBottom w:val="0"/>
      <w:divBdr>
        <w:top w:val="none" w:sz="0" w:space="0" w:color="auto"/>
        <w:left w:val="none" w:sz="0" w:space="0" w:color="auto"/>
        <w:bottom w:val="none" w:sz="0" w:space="0" w:color="auto"/>
        <w:right w:val="none" w:sz="0" w:space="0" w:color="auto"/>
      </w:divBdr>
    </w:div>
    <w:div w:id="1601329193">
      <w:bodyDiv w:val="1"/>
      <w:marLeft w:val="0"/>
      <w:marRight w:val="0"/>
      <w:marTop w:val="0"/>
      <w:marBottom w:val="0"/>
      <w:divBdr>
        <w:top w:val="none" w:sz="0" w:space="0" w:color="auto"/>
        <w:left w:val="none" w:sz="0" w:space="0" w:color="auto"/>
        <w:bottom w:val="none" w:sz="0" w:space="0" w:color="auto"/>
        <w:right w:val="none" w:sz="0" w:space="0" w:color="auto"/>
      </w:divBdr>
    </w:div>
    <w:div w:id="1662198236">
      <w:bodyDiv w:val="1"/>
      <w:marLeft w:val="0"/>
      <w:marRight w:val="0"/>
      <w:marTop w:val="0"/>
      <w:marBottom w:val="0"/>
      <w:divBdr>
        <w:top w:val="none" w:sz="0" w:space="0" w:color="auto"/>
        <w:left w:val="none" w:sz="0" w:space="0" w:color="auto"/>
        <w:bottom w:val="none" w:sz="0" w:space="0" w:color="auto"/>
        <w:right w:val="none" w:sz="0" w:space="0" w:color="auto"/>
      </w:divBdr>
    </w:div>
    <w:div w:id="1662539554">
      <w:bodyDiv w:val="1"/>
      <w:marLeft w:val="0"/>
      <w:marRight w:val="0"/>
      <w:marTop w:val="0"/>
      <w:marBottom w:val="0"/>
      <w:divBdr>
        <w:top w:val="none" w:sz="0" w:space="0" w:color="auto"/>
        <w:left w:val="none" w:sz="0" w:space="0" w:color="auto"/>
        <w:bottom w:val="none" w:sz="0" w:space="0" w:color="auto"/>
        <w:right w:val="none" w:sz="0" w:space="0" w:color="auto"/>
      </w:divBdr>
    </w:div>
    <w:div w:id="1701395042">
      <w:bodyDiv w:val="1"/>
      <w:marLeft w:val="0"/>
      <w:marRight w:val="0"/>
      <w:marTop w:val="0"/>
      <w:marBottom w:val="0"/>
      <w:divBdr>
        <w:top w:val="none" w:sz="0" w:space="0" w:color="auto"/>
        <w:left w:val="none" w:sz="0" w:space="0" w:color="auto"/>
        <w:bottom w:val="none" w:sz="0" w:space="0" w:color="auto"/>
        <w:right w:val="none" w:sz="0" w:space="0" w:color="auto"/>
      </w:divBdr>
    </w:div>
    <w:div w:id="1708218557">
      <w:bodyDiv w:val="1"/>
      <w:marLeft w:val="0"/>
      <w:marRight w:val="0"/>
      <w:marTop w:val="0"/>
      <w:marBottom w:val="0"/>
      <w:divBdr>
        <w:top w:val="none" w:sz="0" w:space="0" w:color="auto"/>
        <w:left w:val="none" w:sz="0" w:space="0" w:color="auto"/>
        <w:bottom w:val="none" w:sz="0" w:space="0" w:color="auto"/>
        <w:right w:val="none" w:sz="0" w:space="0" w:color="auto"/>
      </w:divBdr>
    </w:div>
    <w:div w:id="1735082364">
      <w:bodyDiv w:val="1"/>
      <w:marLeft w:val="0"/>
      <w:marRight w:val="0"/>
      <w:marTop w:val="0"/>
      <w:marBottom w:val="0"/>
      <w:divBdr>
        <w:top w:val="none" w:sz="0" w:space="0" w:color="auto"/>
        <w:left w:val="none" w:sz="0" w:space="0" w:color="auto"/>
        <w:bottom w:val="none" w:sz="0" w:space="0" w:color="auto"/>
        <w:right w:val="none" w:sz="0" w:space="0" w:color="auto"/>
      </w:divBdr>
    </w:div>
    <w:div w:id="1735740970">
      <w:bodyDiv w:val="1"/>
      <w:marLeft w:val="0"/>
      <w:marRight w:val="0"/>
      <w:marTop w:val="0"/>
      <w:marBottom w:val="0"/>
      <w:divBdr>
        <w:top w:val="none" w:sz="0" w:space="0" w:color="auto"/>
        <w:left w:val="none" w:sz="0" w:space="0" w:color="auto"/>
        <w:bottom w:val="none" w:sz="0" w:space="0" w:color="auto"/>
        <w:right w:val="none" w:sz="0" w:space="0" w:color="auto"/>
      </w:divBdr>
    </w:div>
    <w:div w:id="1775633003">
      <w:bodyDiv w:val="1"/>
      <w:marLeft w:val="0"/>
      <w:marRight w:val="0"/>
      <w:marTop w:val="0"/>
      <w:marBottom w:val="0"/>
      <w:divBdr>
        <w:top w:val="none" w:sz="0" w:space="0" w:color="auto"/>
        <w:left w:val="none" w:sz="0" w:space="0" w:color="auto"/>
        <w:bottom w:val="none" w:sz="0" w:space="0" w:color="auto"/>
        <w:right w:val="none" w:sz="0" w:space="0" w:color="auto"/>
      </w:divBdr>
    </w:div>
    <w:div w:id="1776711918">
      <w:bodyDiv w:val="1"/>
      <w:marLeft w:val="0"/>
      <w:marRight w:val="0"/>
      <w:marTop w:val="0"/>
      <w:marBottom w:val="0"/>
      <w:divBdr>
        <w:top w:val="none" w:sz="0" w:space="0" w:color="auto"/>
        <w:left w:val="none" w:sz="0" w:space="0" w:color="auto"/>
        <w:bottom w:val="none" w:sz="0" w:space="0" w:color="auto"/>
        <w:right w:val="none" w:sz="0" w:space="0" w:color="auto"/>
      </w:divBdr>
    </w:div>
    <w:div w:id="1837107833">
      <w:bodyDiv w:val="1"/>
      <w:marLeft w:val="0"/>
      <w:marRight w:val="0"/>
      <w:marTop w:val="0"/>
      <w:marBottom w:val="0"/>
      <w:divBdr>
        <w:top w:val="none" w:sz="0" w:space="0" w:color="auto"/>
        <w:left w:val="none" w:sz="0" w:space="0" w:color="auto"/>
        <w:bottom w:val="none" w:sz="0" w:space="0" w:color="auto"/>
        <w:right w:val="none" w:sz="0" w:space="0" w:color="auto"/>
      </w:divBdr>
    </w:div>
    <w:div w:id="1890801206">
      <w:bodyDiv w:val="1"/>
      <w:marLeft w:val="0"/>
      <w:marRight w:val="0"/>
      <w:marTop w:val="0"/>
      <w:marBottom w:val="0"/>
      <w:divBdr>
        <w:top w:val="none" w:sz="0" w:space="0" w:color="auto"/>
        <w:left w:val="none" w:sz="0" w:space="0" w:color="auto"/>
        <w:bottom w:val="none" w:sz="0" w:space="0" w:color="auto"/>
        <w:right w:val="none" w:sz="0" w:space="0" w:color="auto"/>
      </w:divBdr>
    </w:div>
    <w:div w:id="1938321549">
      <w:bodyDiv w:val="1"/>
      <w:marLeft w:val="0"/>
      <w:marRight w:val="0"/>
      <w:marTop w:val="0"/>
      <w:marBottom w:val="0"/>
      <w:divBdr>
        <w:top w:val="none" w:sz="0" w:space="0" w:color="auto"/>
        <w:left w:val="none" w:sz="0" w:space="0" w:color="auto"/>
        <w:bottom w:val="none" w:sz="0" w:space="0" w:color="auto"/>
        <w:right w:val="none" w:sz="0" w:space="0" w:color="auto"/>
      </w:divBdr>
    </w:div>
    <w:div w:id="1950812549">
      <w:bodyDiv w:val="1"/>
      <w:marLeft w:val="0"/>
      <w:marRight w:val="0"/>
      <w:marTop w:val="0"/>
      <w:marBottom w:val="0"/>
      <w:divBdr>
        <w:top w:val="none" w:sz="0" w:space="0" w:color="auto"/>
        <w:left w:val="none" w:sz="0" w:space="0" w:color="auto"/>
        <w:bottom w:val="none" w:sz="0" w:space="0" w:color="auto"/>
        <w:right w:val="none" w:sz="0" w:space="0" w:color="auto"/>
      </w:divBdr>
      <w:divsChild>
        <w:div w:id="1533423649">
          <w:marLeft w:val="0"/>
          <w:marRight w:val="0"/>
          <w:marTop w:val="0"/>
          <w:marBottom w:val="0"/>
          <w:divBdr>
            <w:top w:val="none" w:sz="0" w:space="0" w:color="auto"/>
            <w:left w:val="none" w:sz="0" w:space="0" w:color="auto"/>
            <w:bottom w:val="none" w:sz="0" w:space="0" w:color="auto"/>
            <w:right w:val="none" w:sz="0" w:space="0" w:color="auto"/>
          </w:divBdr>
          <w:divsChild>
            <w:div w:id="390234010">
              <w:marLeft w:val="0"/>
              <w:marRight w:val="0"/>
              <w:marTop w:val="0"/>
              <w:marBottom w:val="0"/>
              <w:divBdr>
                <w:top w:val="none" w:sz="0" w:space="0" w:color="auto"/>
                <w:left w:val="none" w:sz="0" w:space="0" w:color="auto"/>
                <w:bottom w:val="none" w:sz="0" w:space="0" w:color="auto"/>
                <w:right w:val="none" w:sz="0" w:space="0" w:color="auto"/>
              </w:divBdr>
              <w:divsChild>
                <w:div w:id="802843079">
                  <w:marLeft w:val="0"/>
                  <w:marRight w:val="0"/>
                  <w:marTop w:val="0"/>
                  <w:marBottom w:val="0"/>
                  <w:divBdr>
                    <w:top w:val="none" w:sz="0" w:space="0" w:color="auto"/>
                    <w:left w:val="none" w:sz="0" w:space="0" w:color="auto"/>
                    <w:bottom w:val="none" w:sz="0" w:space="0" w:color="auto"/>
                    <w:right w:val="none" w:sz="0" w:space="0" w:color="auto"/>
                  </w:divBdr>
                  <w:divsChild>
                    <w:div w:id="1707830174">
                      <w:marLeft w:val="0"/>
                      <w:marRight w:val="0"/>
                      <w:marTop w:val="0"/>
                      <w:marBottom w:val="0"/>
                      <w:divBdr>
                        <w:top w:val="none" w:sz="0" w:space="0" w:color="auto"/>
                        <w:left w:val="none" w:sz="0" w:space="0" w:color="auto"/>
                        <w:bottom w:val="none" w:sz="0" w:space="0" w:color="auto"/>
                        <w:right w:val="none" w:sz="0" w:space="0" w:color="auto"/>
                      </w:divBdr>
                      <w:divsChild>
                        <w:div w:id="1731492929">
                          <w:marLeft w:val="0"/>
                          <w:marRight w:val="0"/>
                          <w:marTop w:val="0"/>
                          <w:marBottom w:val="0"/>
                          <w:divBdr>
                            <w:top w:val="none" w:sz="0" w:space="0" w:color="auto"/>
                            <w:left w:val="none" w:sz="0" w:space="0" w:color="auto"/>
                            <w:bottom w:val="none" w:sz="0" w:space="0" w:color="auto"/>
                            <w:right w:val="none" w:sz="0" w:space="0" w:color="auto"/>
                          </w:divBdr>
                          <w:divsChild>
                            <w:div w:id="1682512430">
                              <w:marLeft w:val="0"/>
                              <w:marRight w:val="0"/>
                              <w:marTop w:val="0"/>
                              <w:marBottom w:val="0"/>
                              <w:divBdr>
                                <w:top w:val="none" w:sz="0" w:space="0" w:color="auto"/>
                                <w:left w:val="none" w:sz="0" w:space="0" w:color="auto"/>
                                <w:bottom w:val="none" w:sz="0" w:space="0" w:color="auto"/>
                                <w:right w:val="none" w:sz="0" w:space="0" w:color="auto"/>
                              </w:divBdr>
                              <w:divsChild>
                                <w:div w:id="2058890960">
                                  <w:marLeft w:val="0"/>
                                  <w:marRight w:val="0"/>
                                  <w:marTop w:val="0"/>
                                  <w:marBottom w:val="0"/>
                                  <w:divBdr>
                                    <w:top w:val="none" w:sz="0" w:space="0" w:color="auto"/>
                                    <w:left w:val="none" w:sz="0" w:space="0" w:color="auto"/>
                                    <w:bottom w:val="none" w:sz="0" w:space="0" w:color="auto"/>
                                    <w:right w:val="none" w:sz="0" w:space="0" w:color="auto"/>
                                  </w:divBdr>
                                  <w:divsChild>
                                    <w:div w:id="1221096359">
                                      <w:marLeft w:val="0"/>
                                      <w:marRight w:val="0"/>
                                      <w:marTop w:val="0"/>
                                      <w:marBottom w:val="360"/>
                                      <w:divBdr>
                                        <w:top w:val="none" w:sz="0" w:space="0" w:color="auto"/>
                                        <w:left w:val="none" w:sz="0" w:space="0" w:color="auto"/>
                                        <w:bottom w:val="none" w:sz="0" w:space="0" w:color="auto"/>
                                        <w:right w:val="none" w:sz="0" w:space="0" w:color="auto"/>
                                      </w:divBdr>
                                      <w:divsChild>
                                        <w:div w:id="196238384">
                                          <w:marLeft w:val="0"/>
                                          <w:marRight w:val="0"/>
                                          <w:marTop w:val="0"/>
                                          <w:marBottom w:val="0"/>
                                          <w:divBdr>
                                            <w:top w:val="none" w:sz="0" w:space="0" w:color="auto"/>
                                            <w:left w:val="none" w:sz="0" w:space="0" w:color="auto"/>
                                            <w:bottom w:val="none" w:sz="0" w:space="0" w:color="auto"/>
                                            <w:right w:val="none" w:sz="0" w:space="0" w:color="auto"/>
                                          </w:divBdr>
                                          <w:divsChild>
                                            <w:div w:id="1215582928">
                                              <w:marLeft w:val="0"/>
                                              <w:marRight w:val="0"/>
                                              <w:marTop w:val="0"/>
                                              <w:marBottom w:val="0"/>
                                              <w:divBdr>
                                                <w:top w:val="none" w:sz="0" w:space="0" w:color="auto"/>
                                                <w:left w:val="none" w:sz="0" w:space="0" w:color="auto"/>
                                                <w:bottom w:val="none" w:sz="0" w:space="0" w:color="auto"/>
                                                <w:right w:val="none" w:sz="0" w:space="0" w:color="auto"/>
                                              </w:divBdr>
                                              <w:divsChild>
                                                <w:div w:id="23485707">
                                                  <w:marLeft w:val="0"/>
                                                  <w:marRight w:val="0"/>
                                                  <w:marTop w:val="0"/>
                                                  <w:marBottom w:val="0"/>
                                                  <w:divBdr>
                                                    <w:top w:val="none" w:sz="0" w:space="0" w:color="auto"/>
                                                    <w:left w:val="none" w:sz="0" w:space="0" w:color="auto"/>
                                                    <w:bottom w:val="none" w:sz="0" w:space="0" w:color="auto"/>
                                                    <w:right w:val="none" w:sz="0" w:space="0" w:color="auto"/>
                                                  </w:divBdr>
                                                </w:div>
                                                <w:div w:id="1396318392">
                                                  <w:marLeft w:val="0"/>
                                                  <w:marRight w:val="0"/>
                                                  <w:marTop w:val="0"/>
                                                  <w:marBottom w:val="0"/>
                                                  <w:divBdr>
                                                    <w:top w:val="none" w:sz="0" w:space="0" w:color="auto"/>
                                                    <w:left w:val="none" w:sz="0" w:space="0" w:color="auto"/>
                                                    <w:bottom w:val="none" w:sz="0" w:space="0" w:color="auto"/>
                                                    <w:right w:val="none" w:sz="0" w:space="0" w:color="auto"/>
                                                  </w:divBdr>
                                                  <w:divsChild>
                                                    <w:div w:id="217133595">
                                                      <w:marLeft w:val="0"/>
                                                      <w:marRight w:val="0"/>
                                                      <w:marTop w:val="0"/>
                                                      <w:marBottom w:val="0"/>
                                                      <w:divBdr>
                                                        <w:top w:val="single" w:sz="2" w:space="3" w:color="008000"/>
                                                        <w:left w:val="single" w:sz="2" w:space="0" w:color="008000"/>
                                                        <w:bottom w:val="single" w:sz="2" w:space="0" w:color="008000"/>
                                                        <w:right w:val="single" w:sz="2" w:space="0" w:color="008000"/>
                                                      </w:divBdr>
                                                      <w:divsChild>
                                                        <w:div w:id="556861694">
                                                          <w:marLeft w:val="0"/>
                                                          <w:marRight w:val="0"/>
                                                          <w:marTop w:val="0"/>
                                                          <w:marBottom w:val="0"/>
                                                          <w:divBdr>
                                                            <w:top w:val="none" w:sz="0" w:space="0" w:color="auto"/>
                                                            <w:left w:val="none" w:sz="0" w:space="0" w:color="auto"/>
                                                            <w:bottom w:val="none" w:sz="0" w:space="0" w:color="auto"/>
                                                            <w:right w:val="none" w:sz="0" w:space="0" w:color="auto"/>
                                                          </w:divBdr>
                                                          <w:divsChild>
                                                            <w:div w:id="2017078069">
                                                              <w:marLeft w:val="0"/>
                                                              <w:marRight w:val="0"/>
                                                              <w:marTop w:val="0"/>
                                                              <w:marBottom w:val="0"/>
                                                              <w:divBdr>
                                                                <w:top w:val="none" w:sz="0" w:space="0" w:color="auto"/>
                                                                <w:left w:val="none" w:sz="0" w:space="0" w:color="auto"/>
                                                                <w:bottom w:val="none" w:sz="0" w:space="0" w:color="auto"/>
                                                                <w:right w:val="none" w:sz="0" w:space="0" w:color="auto"/>
                                                              </w:divBdr>
                                                              <w:divsChild>
                                                                <w:div w:id="217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032676">
      <w:bodyDiv w:val="1"/>
      <w:marLeft w:val="0"/>
      <w:marRight w:val="0"/>
      <w:marTop w:val="0"/>
      <w:marBottom w:val="0"/>
      <w:divBdr>
        <w:top w:val="none" w:sz="0" w:space="0" w:color="auto"/>
        <w:left w:val="none" w:sz="0" w:space="0" w:color="auto"/>
        <w:bottom w:val="none" w:sz="0" w:space="0" w:color="auto"/>
        <w:right w:val="none" w:sz="0" w:space="0" w:color="auto"/>
      </w:divBdr>
    </w:div>
    <w:div w:id="2043901669">
      <w:bodyDiv w:val="1"/>
      <w:marLeft w:val="0"/>
      <w:marRight w:val="0"/>
      <w:marTop w:val="0"/>
      <w:marBottom w:val="0"/>
      <w:divBdr>
        <w:top w:val="none" w:sz="0" w:space="0" w:color="auto"/>
        <w:left w:val="none" w:sz="0" w:space="0" w:color="auto"/>
        <w:bottom w:val="none" w:sz="0" w:space="0" w:color="auto"/>
        <w:right w:val="none" w:sz="0" w:space="0" w:color="auto"/>
      </w:divBdr>
    </w:div>
    <w:div w:id="211747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2.xm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chart" Target="charts/chart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chart" Target="charts/chart4.xml"/><Relationship Id="rId28" Type="http://schemas.openxmlformats.org/officeDocument/2006/relationships/header" Target="header3.xml"/><Relationship Id="rId36"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chart" Target="charts/chart3.xml"/><Relationship Id="rId27" Type="http://schemas.openxmlformats.org/officeDocument/2006/relationships/footer" Target="footer2.xml"/><Relationship Id="rId30" Type="http://schemas.openxmlformats.org/officeDocument/2006/relationships/image" Target="media/image12.emf"/><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www.aihw.gov.au/how-common-is-diabetes/" TargetMode="External"/><Relationship Id="rId1" Type="http://schemas.openxmlformats.org/officeDocument/2006/relationships/hyperlink" Target="http://www.pbs.gov.au/info/reviews/diabete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6\D957%20-%20Diabetes%20review%20for%20Feb%202017%20DUSC\D957%20-%20A10%20prevalent%20drg%20regimens,%20v2%20-%20100%25%20sample,%20dos%20jul11%20to%20oct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6\D957%20-%20Diabetes%20review%20for%20Feb%202017%20DUSC\D957%20-%20A10%20prevalent%20drg%20regimens,%20v6%20-%20exenatide%20regime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6\D957%20-%20Diabetes%20review%20for%20Feb%202017%20DUSC\D957%20-%20SCRPT_SU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6\D957%20-%20Diabetes%20review%20for%20Feb%202017%20DUSC\D957%20-%20SCRPT_SU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[D957 - A10 prevalent drg regimens, v2 - 100% sample, dos jul11 to oct16.xlsx]Sheet1 (21)!PivotTable1</c:name>
    <c:fmtId val="76"/>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
        <c:idx val="275"/>
      </c:pivotFmt>
      <c:pivotFmt>
        <c:idx val="276"/>
      </c:pivotFmt>
      <c:pivotFmt>
        <c:idx val="277"/>
      </c:pivotFmt>
      <c:pivotFmt>
        <c:idx val="278"/>
      </c:pivotFmt>
      <c:pivotFmt>
        <c:idx val="279"/>
      </c:pivotFmt>
      <c:pivotFmt>
        <c:idx val="280"/>
      </c:pivotFmt>
      <c:pivotFmt>
        <c:idx val="281"/>
      </c:pivotFmt>
      <c:pivotFmt>
        <c:idx val="282"/>
      </c:pivotFmt>
      <c:pivotFmt>
        <c:idx val="283"/>
      </c:pivotFmt>
      <c:pivotFmt>
        <c:idx val="284"/>
      </c:pivotFmt>
      <c:pivotFmt>
        <c:idx val="285"/>
      </c:pivotFmt>
      <c:pivotFmt>
        <c:idx val="286"/>
      </c:pivotFmt>
      <c:pivotFmt>
        <c:idx val="287"/>
      </c:pivotFmt>
      <c:pivotFmt>
        <c:idx val="288"/>
      </c:pivotFmt>
      <c:pivotFmt>
        <c:idx val="289"/>
      </c:pivotFmt>
      <c:pivotFmt>
        <c:idx val="290"/>
      </c:pivotFmt>
      <c:pivotFmt>
        <c:idx val="291"/>
      </c:pivotFmt>
      <c:pivotFmt>
        <c:idx val="292"/>
      </c:pivotFmt>
      <c:pivotFmt>
        <c:idx val="293"/>
      </c:pivotFmt>
      <c:pivotFmt>
        <c:idx val="294"/>
      </c:pivotFmt>
      <c:pivotFmt>
        <c:idx val="295"/>
      </c:pivotFmt>
      <c:pivotFmt>
        <c:idx val="296"/>
      </c:pivotFmt>
      <c:pivotFmt>
        <c:idx val="297"/>
      </c:pivotFmt>
      <c:pivotFmt>
        <c:idx val="298"/>
      </c:pivotFmt>
      <c:pivotFmt>
        <c:idx val="299"/>
      </c:pivotFmt>
      <c:pivotFmt>
        <c:idx val="300"/>
      </c:pivotFmt>
      <c:pivotFmt>
        <c:idx val="301"/>
      </c:pivotFmt>
      <c:pivotFmt>
        <c:idx val="302"/>
      </c:pivotFmt>
      <c:pivotFmt>
        <c:idx val="303"/>
      </c:pivotFmt>
      <c:pivotFmt>
        <c:idx val="304"/>
      </c:pivotFmt>
      <c:pivotFmt>
        <c:idx val="305"/>
      </c:pivotFmt>
      <c:pivotFmt>
        <c:idx val="306"/>
      </c:pivotFmt>
      <c:pivotFmt>
        <c:idx val="307"/>
      </c:pivotFmt>
      <c:pivotFmt>
        <c:idx val="308"/>
      </c:pivotFmt>
      <c:pivotFmt>
        <c:idx val="309"/>
      </c:pivotFmt>
      <c:pivotFmt>
        <c:idx val="310"/>
      </c:pivotFmt>
      <c:pivotFmt>
        <c:idx val="311"/>
      </c:pivotFmt>
      <c:pivotFmt>
        <c:idx val="312"/>
      </c:pivotFmt>
      <c:pivotFmt>
        <c:idx val="313"/>
      </c:pivotFmt>
      <c:pivotFmt>
        <c:idx val="314"/>
      </c:pivotFmt>
      <c:pivotFmt>
        <c:idx val="315"/>
      </c:pivotFmt>
      <c:pivotFmt>
        <c:idx val="316"/>
      </c:pivotFmt>
      <c:pivotFmt>
        <c:idx val="317"/>
      </c:pivotFmt>
      <c:pivotFmt>
        <c:idx val="318"/>
      </c:pivotFmt>
      <c:pivotFmt>
        <c:idx val="319"/>
      </c:pivotFmt>
      <c:pivotFmt>
        <c:idx val="320"/>
      </c:pivotFmt>
      <c:pivotFmt>
        <c:idx val="321"/>
      </c:pivotFmt>
      <c:pivotFmt>
        <c:idx val="322"/>
      </c:pivotFmt>
      <c:pivotFmt>
        <c:idx val="323"/>
      </c:pivotFmt>
      <c:pivotFmt>
        <c:idx val="324"/>
      </c:pivotFmt>
      <c:pivotFmt>
        <c:idx val="325"/>
      </c:pivotFmt>
      <c:pivotFmt>
        <c:idx val="326"/>
      </c:pivotFmt>
      <c:pivotFmt>
        <c:idx val="327"/>
      </c:pivotFmt>
      <c:pivotFmt>
        <c:idx val="328"/>
      </c:pivotFmt>
      <c:pivotFmt>
        <c:idx val="329"/>
      </c:pivotFmt>
      <c:pivotFmt>
        <c:idx val="330"/>
      </c:pivotFmt>
      <c:pivotFmt>
        <c:idx val="331"/>
      </c:pivotFmt>
      <c:pivotFmt>
        <c:idx val="332"/>
      </c:pivotFmt>
      <c:pivotFmt>
        <c:idx val="333"/>
      </c:pivotFmt>
      <c:pivotFmt>
        <c:idx val="334"/>
      </c:pivotFmt>
      <c:pivotFmt>
        <c:idx val="335"/>
      </c:pivotFmt>
      <c:pivotFmt>
        <c:idx val="336"/>
      </c:pivotFmt>
      <c:pivotFmt>
        <c:idx val="337"/>
      </c:pivotFmt>
      <c:pivotFmt>
        <c:idx val="338"/>
      </c:pivotFmt>
      <c:pivotFmt>
        <c:idx val="339"/>
      </c:pivotFmt>
      <c:pivotFmt>
        <c:idx val="340"/>
      </c:pivotFmt>
      <c:pivotFmt>
        <c:idx val="341"/>
      </c:pivotFmt>
      <c:pivotFmt>
        <c:idx val="342"/>
      </c:pivotFmt>
      <c:pivotFmt>
        <c:idx val="343"/>
      </c:pivotFmt>
      <c:pivotFmt>
        <c:idx val="344"/>
      </c:pivotFmt>
      <c:pivotFmt>
        <c:idx val="345"/>
      </c:pivotFmt>
      <c:pivotFmt>
        <c:idx val="346"/>
      </c:pivotFmt>
      <c:pivotFmt>
        <c:idx val="347"/>
      </c:pivotFmt>
      <c:pivotFmt>
        <c:idx val="348"/>
      </c:pivotFmt>
      <c:pivotFmt>
        <c:idx val="349"/>
      </c:pivotFmt>
      <c:pivotFmt>
        <c:idx val="350"/>
      </c:pivotFmt>
      <c:pivotFmt>
        <c:idx val="351"/>
      </c:pivotFmt>
      <c:pivotFmt>
        <c:idx val="352"/>
      </c:pivotFmt>
      <c:pivotFmt>
        <c:idx val="353"/>
      </c:pivotFmt>
      <c:pivotFmt>
        <c:idx val="354"/>
      </c:pivotFmt>
      <c:pivotFmt>
        <c:idx val="355"/>
      </c:pivotFmt>
      <c:pivotFmt>
        <c:idx val="356"/>
      </c:pivotFmt>
      <c:pivotFmt>
        <c:idx val="357"/>
      </c:pivotFmt>
      <c:pivotFmt>
        <c:idx val="358"/>
      </c:pivotFmt>
      <c:pivotFmt>
        <c:idx val="359"/>
      </c:pivotFmt>
      <c:pivotFmt>
        <c:idx val="360"/>
      </c:pivotFmt>
      <c:pivotFmt>
        <c:idx val="361"/>
      </c:pivotFmt>
      <c:pivotFmt>
        <c:idx val="362"/>
      </c:pivotFmt>
      <c:pivotFmt>
        <c:idx val="363"/>
      </c:pivotFmt>
      <c:pivotFmt>
        <c:idx val="364"/>
      </c:pivotFmt>
      <c:pivotFmt>
        <c:idx val="365"/>
      </c:pivotFmt>
      <c:pivotFmt>
        <c:idx val="366"/>
      </c:pivotFmt>
      <c:pivotFmt>
        <c:idx val="367"/>
      </c:pivotFmt>
      <c:pivotFmt>
        <c:idx val="368"/>
      </c:pivotFmt>
      <c:pivotFmt>
        <c:idx val="369"/>
      </c:pivotFmt>
      <c:pivotFmt>
        <c:idx val="370"/>
      </c:pivotFmt>
      <c:pivotFmt>
        <c:idx val="371"/>
      </c:pivotFmt>
      <c:pivotFmt>
        <c:idx val="372"/>
      </c:pivotFmt>
      <c:pivotFmt>
        <c:idx val="373"/>
      </c:pivotFmt>
      <c:pivotFmt>
        <c:idx val="374"/>
      </c:pivotFmt>
      <c:pivotFmt>
        <c:idx val="375"/>
      </c:pivotFmt>
      <c:pivotFmt>
        <c:idx val="376"/>
      </c:pivotFmt>
      <c:pivotFmt>
        <c:idx val="377"/>
      </c:pivotFmt>
      <c:pivotFmt>
        <c:idx val="378"/>
      </c:pivotFmt>
      <c:pivotFmt>
        <c:idx val="379"/>
      </c:pivotFmt>
      <c:pivotFmt>
        <c:idx val="380"/>
      </c:pivotFmt>
      <c:pivotFmt>
        <c:idx val="381"/>
      </c:pivotFmt>
      <c:pivotFmt>
        <c:idx val="382"/>
      </c:pivotFmt>
      <c:pivotFmt>
        <c:idx val="383"/>
      </c:pivotFmt>
      <c:pivotFmt>
        <c:idx val="384"/>
      </c:pivotFmt>
      <c:pivotFmt>
        <c:idx val="385"/>
      </c:pivotFmt>
      <c:pivotFmt>
        <c:idx val="386"/>
      </c:pivotFmt>
      <c:pivotFmt>
        <c:idx val="387"/>
      </c:pivotFmt>
      <c:pivotFmt>
        <c:idx val="388"/>
      </c:pivotFmt>
      <c:pivotFmt>
        <c:idx val="389"/>
      </c:pivotFmt>
      <c:pivotFmt>
        <c:idx val="390"/>
      </c:pivotFmt>
      <c:pivotFmt>
        <c:idx val="391"/>
      </c:pivotFmt>
      <c:pivotFmt>
        <c:idx val="392"/>
      </c:pivotFmt>
      <c:pivotFmt>
        <c:idx val="393"/>
      </c:pivotFmt>
      <c:pivotFmt>
        <c:idx val="394"/>
      </c:pivotFmt>
      <c:pivotFmt>
        <c:idx val="395"/>
      </c:pivotFmt>
      <c:pivotFmt>
        <c:idx val="396"/>
      </c:pivotFmt>
      <c:pivotFmt>
        <c:idx val="397"/>
      </c:pivotFmt>
      <c:pivotFmt>
        <c:idx val="398"/>
      </c:pivotFmt>
      <c:pivotFmt>
        <c:idx val="399"/>
      </c:pivotFmt>
      <c:pivotFmt>
        <c:idx val="400"/>
      </c:pivotFmt>
      <c:pivotFmt>
        <c:idx val="401"/>
      </c:pivotFmt>
      <c:pivotFmt>
        <c:idx val="402"/>
      </c:pivotFmt>
      <c:pivotFmt>
        <c:idx val="403"/>
      </c:pivotFmt>
      <c:pivotFmt>
        <c:idx val="404"/>
      </c:pivotFmt>
      <c:pivotFmt>
        <c:idx val="405"/>
      </c:pivotFmt>
      <c:pivotFmt>
        <c:idx val="406"/>
      </c:pivotFmt>
      <c:pivotFmt>
        <c:idx val="407"/>
      </c:pivotFmt>
      <c:pivotFmt>
        <c:idx val="408"/>
      </c:pivotFmt>
      <c:pivotFmt>
        <c:idx val="409"/>
      </c:pivotFmt>
      <c:pivotFmt>
        <c:idx val="410"/>
      </c:pivotFmt>
      <c:pivotFmt>
        <c:idx val="411"/>
      </c:pivotFmt>
      <c:pivotFmt>
        <c:idx val="412"/>
      </c:pivotFmt>
      <c:pivotFmt>
        <c:idx val="413"/>
      </c:pivotFmt>
      <c:pivotFmt>
        <c:idx val="414"/>
      </c:pivotFmt>
      <c:pivotFmt>
        <c:idx val="415"/>
      </c:pivotFmt>
      <c:pivotFmt>
        <c:idx val="416"/>
      </c:pivotFmt>
      <c:pivotFmt>
        <c:idx val="417"/>
      </c:pivotFmt>
      <c:pivotFmt>
        <c:idx val="418"/>
      </c:pivotFmt>
      <c:pivotFmt>
        <c:idx val="419"/>
      </c:pivotFmt>
      <c:pivotFmt>
        <c:idx val="420"/>
      </c:pivotFmt>
      <c:pivotFmt>
        <c:idx val="421"/>
      </c:pivotFmt>
      <c:pivotFmt>
        <c:idx val="422"/>
      </c:pivotFmt>
      <c:pivotFmt>
        <c:idx val="423"/>
      </c:pivotFmt>
      <c:pivotFmt>
        <c:idx val="424"/>
      </c:pivotFmt>
      <c:pivotFmt>
        <c:idx val="425"/>
      </c:pivotFmt>
      <c:pivotFmt>
        <c:idx val="426"/>
      </c:pivotFmt>
      <c:pivotFmt>
        <c:idx val="427"/>
      </c:pivotFmt>
      <c:pivotFmt>
        <c:idx val="428"/>
      </c:pivotFmt>
      <c:pivotFmt>
        <c:idx val="429"/>
      </c:pivotFmt>
      <c:pivotFmt>
        <c:idx val="430"/>
      </c:pivotFmt>
      <c:pivotFmt>
        <c:idx val="431"/>
      </c:pivotFmt>
      <c:pivotFmt>
        <c:idx val="432"/>
      </c:pivotFmt>
      <c:pivotFmt>
        <c:idx val="433"/>
      </c:pivotFmt>
      <c:pivotFmt>
        <c:idx val="434"/>
      </c:pivotFmt>
      <c:pivotFmt>
        <c:idx val="435"/>
      </c:pivotFmt>
      <c:pivotFmt>
        <c:idx val="436"/>
      </c:pivotFmt>
      <c:pivotFmt>
        <c:idx val="437"/>
      </c:pivotFmt>
      <c:pivotFmt>
        <c:idx val="438"/>
      </c:pivotFmt>
      <c:pivotFmt>
        <c:idx val="439"/>
      </c:pivotFmt>
      <c:pivotFmt>
        <c:idx val="440"/>
      </c:pivotFmt>
      <c:pivotFmt>
        <c:idx val="441"/>
      </c:pivotFmt>
      <c:pivotFmt>
        <c:idx val="442"/>
      </c:pivotFmt>
      <c:pivotFmt>
        <c:idx val="443"/>
      </c:pivotFmt>
      <c:pivotFmt>
        <c:idx val="444"/>
      </c:pivotFmt>
      <c:pivotFmt>
        <c:idx val="445"/>
      </c:pivotFmt>
      <c:pivotFmt>
        <c:idx val="446"/>
      </c:pivotFmt>
      <c:pivotFmt>
        <c:idx val="447"/>
      </c:pivotFmt>
      <c:pivotFmt>
        <c:idx val="448"/>
      </c:pivotFmt>
      <c:pivotFmt>
        <c:idx val="449"/>
      </c:pivotFmt>
      <c:pivotFmt>
        <c:idx val="450"/>
      </c:pivotFmt>
      <c:pivotFmt>
        <c:idx val="451"/>
      </c:pivotFmt>
      <c:pivotFmt>
        <c:idx val="452"/>
      </c:pivotFmt>
      <c:pivotFmt>
        <c:idx val="453"/>
      </c:pivotFmt>
      <c:pivotFmt>
        <c:idx val="454"/>
      </c:pivotFmt>
      <c:pivotFmt>
        <c:idx val="455"/>
      </c:pivotFmt>
      <c:pivotFmt>
        <c:idx val="456"/>
      </c:pivotFmt>
      <c:pivotFmt>
        <c:idx val="457"/>
      </c:pivotFmt>
      <c:pivotFmt>
        <c:idx val="458"/>
      </c:pivotFmt>
      <c:pivotFmt>
        <c:idx val="459"/>
      </c:pivotFmt>
      <c:pivotFmt>
        <c:idx val="460"/>
      </c:pivotFmt>
      <c:pivotFmt>
        <c:idx val="461"/>
      </c:pivotFmt>
      <c:pivotFmt>
        <c:idx val="462"/>
      </c:pivotFmt>
      <c:pivotFmt>
        <c:idx val="463"/>
      </c:pivotFmt>
      <c:pivotFmt>
        <c:idx val="464"/>
      </c:pivotFmt>
      <c:pivotFmt>
        <c:idx val="465"/>
      </c:pivotFmt>
      <c:pivotFmt>
        <c:idx val="466"/>
      </c:pivotFmt>
      <c:pivotFmt>
        <c:idx val="467"/>
      </c:pivotFmt>
      <c:pivotFmt>
        <c:idx val="468"/>
      </c:pivotFmt>
      <c:pivotFmt>
        <c:idx val="469"/>
      </c:pivotFmt>
      <c:pivotFmt>
        <c:idx val="470"/>
      </c:pivotFmt>
      <c:pivotFmt>
        <c:idx val="471"/>
      </c:pivotFmt>
      <c:pivotFmt>
        <c:idx val="472"/>
      </c:pivotFmt>
      <c:pivotFmt>
        <c:idx val="473"/>
      </c:pivotFmt>
      <c:pivotFmt>
        <c:idx val="474"/>
      </c:pivotFmt>
      <c:pivotFmt>
        <c:idx val="475"/>
      </c:pivotFmt>
      <c:pivotFmt>
        <c:idx val="476"/>
      </c:pivotFmt>
      <c:pivotFmt>
        <c:idx val="477"/>
      </c:pivotFmt>
      <c:pivotFmt>
        <c:idx val="478"/>
      </c:pivotFmt>
      <c:pivotFmt>
        <c:idx val="479"/>
      </c:pivotFmt>
      <c:pivotFmt>
        <c:idx val="480"/>
      </c:pivotFmt>
      <c:pivotFmt>
        <c:idx val="481"/>
      </c:pivotFmt>
      <c:pivotFmt>
        <c:idx val="482"/>
      </c:pivotFmt>
      <c:pivotFmt>
        <c:idx val="483"/>
      </c:pivotFmt>
      <c:pivotFmt>
        <c:idx val="484"/>
      </c:pivotFmt>
      <c:pivotFmt>
        <c:idx val="485"/>
      </c:pivotFmt>
      <c:pivotFmt>
        <c:idx val="486"/>
      </c:pivotFmt>
      <c:pivotFmt>
        <c:idx val="487"/>
      </c:pivotFmt>
      <c:pivotFmt>
        <c:idx val="488"/>
      </c:pivotFmt>
      <c:pivotFmt>
        <c:idx val="489"/>
      </c:pivotFmt>
      <c:pivotFmt>
        <c:idx val="490"/>
      </c:pivotFmt>
      <c:pivotFmt>
        <c:idx val="491"/>
      </c:pivotFmt>
      <c:pivotFmt>
        <c:idx val="492"/>
      </c:pivotFmt>
      <c:pivotFmt>
        <c:idx val="493"/>
      </c:pivotFmt>
      <c:pivotFmt>
        <c:idx val="494"/>
      </c:pivotFmt>
      <c:pivotFmt>
        <c:idx val="495"/>
      </c:pivotFmt>
      <c:pivotFmt>
        <c:idx val="496"/>
      </c:pivotFmt>
      <c:pivotFmt>
        <c:idx val="497"/>
      </c:pivotFmt>
      <c:pivotFmt>
        <c:idx val="498"/>
      </c:pivotFmt>
      <c:pivotFmt>
        <c:idx val="499"/>
      </c:pivotFmt>
      <c:pivotFmt>
        <c:idx val="500"/>
      </c:pivotFmt>
      <c:pivotFmt>
        <c:idx val="501"/>
      </c:pivotFmt>
      <c:pivotFmt>
        <c:idx val="502"/>
      </c:pivotFmt>
      <c:pivotFmt>
        <c:idx val="503"/>
      </c:pivotFmt>
      <c:pivotFmt>
        <c:idx val="504"/>
      </c:pivotFmt>
      <c:pivotFmt>
        <c:idx val="505"/>
      </c:pivotFmt>
      <c:pivotFmt>
        <c:idx val="506"/>
      </c:pivotFmt>
      <c:pivotFmt>
        <c:idx val="507"/>
      </c:pivotFmt>
      <c:pivotFmt>
        <c:idx val="508"/>
      </c:pivotFmt>
      <c:pivotFmt>
        <c:idx val="509"/>
      </c:pivotFmt>
      <c:pivotFmt>
        <c:idx val="510"/>
      </c:pivotFmt>
      <c:pivotFmt>
        <c:idx val="511"/>
      </c:pivotFmt>
      <c:pivotFmt>
        <c:idx val="512"/>
      </c:pivotFmt>
      <c:pivotFmt>
        <c:idx val="513"/>
      </c:pivotFmt>
      <c:pivotFmt>
        <c:idx val="514"/>
      </c:pivotFmt>
      <c:pivotFmt>
        <c:idx val="515"/>
      </c:pivotFmt>
      <c:pivotFmt>
        <c:idx val="516"/>
      </c:pivotFmt>
      <c:pivotFmt>
        <c:idx val="517"/>
      </c:pivotFmt>
      <c:pivotFmt>
        <c:idx val="518"/>
      </c:pivotFmt>
      <c:pivotFmt>
        <c:idx val="519"/>
      </c:pivotFmt>
      <c:pivotFmt>
        <c:idx val="520"/>
      </c:pivotFmt>
      <c:pivotFmt>
        <c:idx val="521"/>
      </c:pivotFmt>
      <c:pivotFmt>
        <c:idx val="522"/>
      </c:pivotFmt>
      <c:pivotFmt>
        <c:idx val="523"/>
      </c:pivotFmt>
      <c:pivotFmt>
        <c:idx val="524"/>
      </c:pivotFmt>
      <c:pivotFmt>
        <c:idx val="525"/>
      </c:pivotFmt>
      <c:pivotFmt>
        <c:idx val="526"/>
      </c:pivotFmt>
      <c:pivotFmt>
        <c:idx val="527"/>
      </c:pivotFmt>
      <c:pivotFmt>
        <c:idx val="528"/>
      </c:pivotFmt>
      <c:pivotFmt>
        <c:idx val="529"/>
      </c:pivotFmt>
      <c:pivotFmt>
        <c:idx val="530"/>
      </c:pivotFmt>
      <c:pivotFmt>
        <c:idx val="531"/>
      </c:pivotFmt>
      <c:pivotFmt>
        <c:idx val="532"/>
      </c:pivotFmt>
      <c:pivotFmt>
        <c:idx val="533"/>
      </c:pivotFmt>
      <c:pivotFmt>
        <c:idx val="534"/>
      </c:pivotFmt>
      <c:pivotFmt>
        <c:idx val="535"/>
      </c:pivotFmt>
      <c:pivotFmt>
        <c:idx val="536"/>
      </c:pivotFmt>
      <c:pivotFmt>
        <c:idx val="537"/>
      </c:pivotFmt>
      <c:pivotFmt>
        <c:idx val="538"/>
      </c:pivotFmt>
      <c:pivotFmt>
        <c:idx val="539"/>
      </c:pivotFmt>
      <c:pivotFmt>
        <c:idx val="540"/>
      </c:pivotFmt>
      <c:pivotFmt>
        <c:idx val="541"/>
      </c:pivotFmt>
      <c:pivotFmt>
        <c:idx val="542"/>
      </c:pivotFmt>
      <c:pivotFmt>
        <c:idx val="543"/>
      </c:pivotFmt>
      <c:pivotFmt>
        <c:idx val="544"/>
      </c:pivotFmt>
      <c:pivotFmt>
        <c:idx val="545"/>
      </c:pivotFmt>
      <c:pivotFmt>
        <c:idx val="546"/>
      </c:pivotFmt>
      <c:pivotFmt>
        <c:idx val="547"/>
      </c:pivotFmt>
      <c:pivotFmt>
        <c:idx val="548"/>
      </c:pivotFmt>
      <c:pivotFmt>
        <c:idx val="549"/>
      </c:pivotFmt>
      <c:pivotFmt>
        <c:idx val="550"/>
      </c:pivotFmt>
      <c:pivotFmt>
        <c:idx val="551"/>
      </c:pivotFmt>
      <c:pivotFmt>
        <c:idx val="552"/>
      </c:pivotFmt>
      <c:pivotFmt>
        <c:idx val="553"/>
      </c:pivotFmt>
      <c:pivotFmt>
        <c:idx val="554"/>
      </c:pivotFmt>
      <c:pivotFmt>
        <c:idx val="555"/>
      </c:pivotFmt>
      <c:pivotFmt>
        <c:idx val="556"/>
      </c:pivotFmt>
      <c:pivotFmt>
        <c:idx val="557"/>
      </c:pivotFmt>
      <c:pivotFmt>
        <c:idx val="558"/>
      </c:pivotFmt>
      <c:pivotFmt>
        <c:idx val="559"/>
      </c:pivotFmt>
      <c:pivotFmt>
        <c:idx val="560"/>
      </c:pivotFmt>
      <c:pivotFmt>
        <c:idx val="561"/>
      </c:pivotFmt>
      <c:pivotFmt>
        <c:idx val="562"/>
      </c:pivotFmt>
      <c:pivotFmt>
        <c:idx val="563"/>
      </c:pivotFmt>
      <c:pivotFmt>
        <c:idx val="564"/>
      </c:pivotFmt>
      <c:pivotFmt>
        <c:idx val="565"/>
      </c:pivotFmt>
      <c:pivotFmt>
        <c:idx val="566"/>
      </c:pivotFmt>
      <c:pivotFmt>
        <c:idx val="567"/>
      </c:pivotFmt>
      <c:pivotFmt>
        <c:idx val="568"/>
      </c:pivotFmt>
      <c:pivotFmt>
        <c:idx val="569"/>
      </c:pivotFmt>
      <c:pivotFmt>
        <c:idx val="570"/>
      </c:pivotFmt>
      <c:pivotFmt>
        <c:idx val="571"/>
      </c:pivotFmt>
      <c:pivotFmt>
        <c:idx val="572"/>
      </c:pivotFmt>
      <c:pivotFmt>
        <c:idx val="573"/>
      </c:pivotFmt>
      <c:pivotFmt>
        <c:idx val="574"/>
      </c:pivotFmt>
      <c:pivotFmt>
        <c:idx val="575"/>
      </c:pivotFmt>
      <c:pivotFmt>
        <c:idx val="576"/>
      </c:pivotFmt>
      <c:pivotFmt>
        <c:idx val="577"/>
      </c:pivotFmt>
      <c:pivotFmt>
        <c:idx val="578"/>
      </c:pivotFmt>
      <c:pivotFmt>
        <c:idx val="579"/>
      </c:pivotFmt>
      <c:pivotFmt>
        <c:idx val="580"/>
      </c:pivotFmt>
      <c:pivotFmt>
        <c:idx val="581"/>
      </c:pivotFmt>
      <c:pivotFmt>
        <c:idx val="582"/>
      </c:pivotFmt>
      <c:pivotFmt>
        <c:idx val="583"/>
      </c:pivotFmt>
      <c:pivotFmt>
        <c:idx val="584"/>
      </c:pivotFmt>
      <c:pivotFmt>
        <c:idx val="585"/>
      </c:pivotFmt>
      <c:pivotFmt>
        <c:idx val="586"/>
      </c:pivotFmt>
      <c:pivotFmt>
        <c:idx val="587"/>
      </c:pivotFmt>
      <c:pivotFmt>
        <c:idx val="588"/>
      </c:pivotFmt>
      <c:pivotFmt>
        <c:idx val="589"/>
      </c:pivotFmt>
      <c:pivotFmt>
        <c:idx val="590"/>
      </c:pivotFmt>
      <c:pivotFmt>
        <c:idx val="591"/>
      </c:pivotFmt>
      <c:pivotFmt>
        <c:idx val="592"/>
      </c:pivotFmt>
      <c:pivotFmt>
        <c:idx val="593"/>
      </c:pivotFmt>
      <c:pivotFmt>
        <c:idx val="594"/>
      </c:pivotFmt>
      <c:pivotFmt>
        <c:idx val="595"/>
      </c:pivotFmt>
      <c:pivotFmt>
        <c:idx val="596"/>
      </c:pivotFmt>
      <c:pivotFmt>
        <c:idx val="597"/>
      </c:pivotFmt>
      <c:pivotFmt>
        <c:idx val="598"/>
      </c:pivotFmt>
      <c:pivotFmt>
        <c:idx val="599"/>
      </c:pivotFmt>
      <c:pivotFmt>
        <c:idx val="600"/>
      </c:pivotFmt>
      <c:pivotFmt>
        <c:idx val="601"/>
      </c:pivotFmt>
      <c:pivotFmt>
        <c:idx val="602"/>
      </c:pivotFmt>
      <c:pivotFmt>
        <c:idx val="603"/>
      </c:pivotFmt>
      <c:pivotFmt>
        <c:idx val="604"/>
      </c:pivotFmt>
      <c:pivotFmt>
        <c:idx val="605"/>
      </c:pivotFmt>
      <c:pivotFmt>
        <c:idx val="606"/>
      </c:pivotFmt>
      <c:pivotFmt>
        <c:idx val="607"/>
      </c:pivotFmt>
      <c:pivotFmt>
        <c:idx val="608"/>
      </c:pivotFmt>
      <c:pivotFmt>
        <c:idx val="609"/>
      </c:pivotFmt>
      <c:pivotFmt>
        <c:idx val="610"/>
      </c:pivotFmt>
      <c:pivotFmt>
        <c:idx val="611"/>
      </c:pivotFmt>
      <c:pivotFmt>
        <c:idx val="612"/>
      </c:pivotFmt>
      <c:pivotFmt>
        <c:idx val="613"/>
      </c:pivotFmt>
      <c:pivotFmt>
        <c:idx val="614"/>
      </c:pivotFmt>
      <c:pivotFmt>
        <c:idx val="615"/>
      </c:pivotFmt>
      <c:pivotFmt>
        <c:idx val="616"/>
      </c:pivotFmt>
      <c:pivotFmt>
        <c:idx val="617"/>
      </c:pivotFmt>
      <c:pivotFmt>
        <c:idx val="618"/>
      </c:pivotFmt>
      <c:pivotFmt>
        <c:idx val="619"/>
      </c:pivotFmt>
      <c:pivotFmt>
        <c:idx val="620"/>
      </c:pivotFmt>
      <c:pivotFmt>
        <c:idx val="621"/>
      </c:pivotFmt>
      <c:pivotFmt>
        <c:idx val="622"/>
      </c:pivotFmt>
      <c:pivotFmt>
        <c:idx val="623"/>
      </c:pivotFmt>
      <c:pivotFmt>
        <c:idx val="624"/>
      </c:pivotFmt>
      <c:pivotFmt>
        <c:idx val="625"/>
      </c:pivotFmt>
      <c:pivotFmt>
        <c:idx val="626"/>
      </c:pivotFmt>
      <c:pivotFmt>
        <c:idx val="627"/>
      </c:pivotFmt>
      <c:pivotFmt>
        <c:idx val="628"/>
      </c:pivotFmt>
      <c:pivotFmt>
        <c:idx val="629"/>
      </c:pivotFmt>
      <c:pivotFmt>
        <c:idx val="630"/>
      </c:pivotFmt>
      <c:pivotFmt>
        <c:idx val="631"/>
      </c:pivotFmt>
      <c:pivotFmt>
        <c:idx val="632"/>
      </c:pivotFmt>
      <c:pivotFmt>
        <c:idx val="633"/>
      </c:pivotFmt>
      <c:pivotFmt>
        <c:idx val="634"/>
      </c:pivotFmt>
      <c:pivotFmt>
        <c:idx val="635"/>
      </c:pivotFmt>
      <c:pivotFmt>
        <c:idx val="636"/>
      </c:pivotFmt>
      <c:pivotFmt>
        <c:idx val="637"/>
      </c:pivotFmt>
      <c:pivotFmt>
        <c:idx val="638"/>
      </c:pivotFmt>
      <c:pivotFmt>
        <c:idx val="639"/>
      </c:pivotFmt>
      <c:pivotFmt>
        <c:idx val="640"/>
      </c:pivotFmt>
      <c:pivotFmt>
        <c:idx val="641"/>
      </c:pivotFmt>
      <c:pivotFmt>
        <c:idx val="642"/>
      </c:pivotFmt>
      <c:pivotFmt>
        <c:idx val="643"/>
      </c:pivotFmt>
      <c:pivotFmt>
        <c:idx val="644"/>
      </c:pivotFmt>
      <c:pivotFmt>
        <c:idx val="645"/>
      </c:pivotFmt>
      <c:pivotFmt>
        <c:idx val="646"/>
      </c:pivotFmt>
      <c:pivotFmt>
        <c:idx val="647"/>
      </c:pivotFmt>
      <c:pivotFmt>
        <c:idx val="648"/>
      </c:pivotFmt>
      <c:pivotFmt>
        <c:idx val="649"/>
      </c:pivotFmt>
      <c:pivotFmt>
        <c:idx val="650"/>
      </c:pivotFmt>
      <c:pivotFmt>
        <c:idx val="651"/>
      </c:pivotFmt>
      <c:pivotFmt>
        <c:idx val="652"/>
      </c:pivotFmt>
      <c:pivotFmt>
        <c:idx val="653"/>
      </c:pivotFmt>
      <c:pivotFmt>
        <c:idx val="654"/>
      </c:pivotFmt>
      <c:pivotFmt>
        <c:idx val="655"/>
      </c:pivotFmt>
      <c:pivotFmt>
        <c:idx val="656"/>
      </c:pivotFmt>
      <c:pivotFmt>
        <c:idx val="657"/>
      </c:pivotFmt>
      <c:pivotFmt>
        <c:idx val="658"/>
      </c:pivotFmt>
      <c:pivotFmt>
        <c:idx val="659"/>
      </c:pivotFmt>
      <c:pivotFmt>
        <c:idx val="660"/>
      </c:pivotFmt>
      <c:pivotFmt>
        <c:idx val="661"/>
      </c:pivotFmt>
      <c:pivotFmt>
        <c:idx val="662"/>
      </c:pivotFmt>
      <c:pivotFmt>
        <c:idx val="663"/>
      </c:pivotFmt>
      <c:pivotFmt>
        <c:idx val="664"/>
      </c:pivotFmt>
      <c:pivotFmt>
        <c:idx val="665"/>
      </c:pivotFmt>
      <c:pivotFmt>
        <c:idx val="666"/>
      </c:pivotFmt>
      <c:pivotFmt>
        <c:idx val="667"/>
      </c:pivotFmt>
      <c:pivotFmt>
        <c:idx val="668"/>
      </c:pivotFmt>
      <c:pivotFmt>
        <c:idx val="669"/>
      </c:pivotFmt>
      <c:pivotFmt>
        <c:idx val="670"/>
      </c:pivotFmt>
      <c:pivotFmt>
        <c:idx val="671"/>
      </c:pivotFmt>
      <c:pivotFmt>
        <c:idx val="672"/>
      </c:pivotFmt>
      <c:pivotFmt>
        <c:idx val="673"/>
      </c:pivotFmt>
      <c:pivotFmt>
        <c:idx val="674"/>
      </c:pivotFmt>
      <c:pivotFmt>
        <c:idx val="675"/>
      </c:pivotFmt>
      <c:pivotFmt>
        <c:idx val="676"/>
      </c:pivotFmt>
      <c:pivotFmt>
        <c:idx val="677"/>
      </c:pivotFmt>
      <c:pivotFmt>
        <c:idx val="678"/>
      </c:pivotFmt>
      <c:pivotFmt>
        <c:idx val="679"/>
      </c:pivotFmt>
      <c:pivotFmt>
        <c:idx val="680"/>
      </c:pivotFmt>
      <c:pivotFmt>
        <c:idx val="681"/>
      </c:pivotFmt>
      <c:pivotFmt>
        <c:idx val="682"/>
      </c:pivotFmt>
      <c:pivotFmt>
        <c:idx val="683"/>
      </c:pivotFmt>
      <c:pivotFmt>
        <c:idx val="684"/>
      </c:pivotFmt>
      <c:pivotFmt>
        <c:idx val="685"/>
      </c:pivotFmt>
      <c:pivotFmt>
        <c:idx val="686"/>
      </c:pivotFmt>
      <c:pivotFmt>
        <c:idx val="687"/>
      </c:pivotFmt>
      <c:pivotFmt>
        <c:idx val="688"/>
      </c:pivotFmt>
      <c:pivotFmt>
        <c:idx val="689"/>
      </c:pivotFmt>
      <c:pivotFmt>
        <c:idx val="690"/>
      </c:pivotFmt>
      <c:pivotFmt>
        <c:idx val="691"/>
      </c:pivotFmt>
      <c:pivotFmt>
        <c:idx val="692"/>
      </c:pivotFmt>
      <c:pivotFmt>
        <c:idx val="693"/>
      </c:pivotFmt>
      <c:pivotFmt>
        <c:idx val="694"/>
      </c:pivotFmt>
      <c:pivotFmt>
        <c:idx val="695"/>
      </c:pivotFmt>
      <c:pivotFmt>
        <c:idx val="696"/>
      </c:pivotFmt>
      <c:pivotFmt>
        <c:idx val="697"/>
      </c:pivotFmt>
      <c:pivotFmt>
        <c:idx val="698"/>
      </c:pivotFmt>
      <c:pivotFmt>
        <c:idx val="699"/>
      </c:pivotFmt>
      <c:pivotFmt>
        <c:idx val="700"/>
      </c:pivotFmt>
      <c:pivotFmt>
        <c:idx val="701"/>
      </c:pivotFmt>
      <c:pivotFmt>
        <c:idx val="702"/>
      </c:pivotFmt>
      <c:pivotFmt>
        <c:idx val="703"/>
      </c:pivotFmt>
      <c:pivotFmt>
        <c:idx val="704"/>
      </c:pivotFmt>
      <c:pivotFmt>
        <c:idx val="705"/>
      </c:pivotFmt>
      <c:pivotFmt>
        <c:idx val="706"/>
      </c:pivotFmt>
      <c:pivotFmt>
        <c:idx val="707"/>
      </c:pivotFmt>
      <c:pivotFmt>
        <c:idx val="708"/>
      </c:pivotFmt>
      <c:pivotFmt>
        <c:idx val="709"/>
      </c:pivotFmt>
      <c:pivotFmt>
        <c:idx val="710"/>
      </c:pivotFmt>
      <c:pivotFmt>
        <c:idx val="711"/>
      </c:pivotFmt>
      <c:pivotFmt>
        <c:idx val="712"/>
      </c:pivotFmt>
      <c:pivotFmt>
        <c:idx val="713"/>
      </c:pivotFmt>
      <c:pivotFmt>
        <c:idx val="714"/>
      </c:pivotFmt>
      <c:pivotFmt>
        <c:idx val="715"/>
      </c:pivotFmt>
      <c:pivotFmt>
        <c:idx val="716"/>
      </c:pivotFmt>
      <c:pivotFmt>
        <c:idx val="717"/>
      </c:pivotFmt>
      <c:pivotFmt>
        <c:idx val="718"/>
      </c:pivotFmt>
      <c:pivotFmt>
        <c:idx val="719"/>
      </c:pivotFmt>
      <c:pivotFmt>
        <c:idx val="720"/>
      </c:pivotFmt>
      <c:pivotFmt>
        <c:idx val="721"/>
      </c:pivotFmt>
      <c:pivotFmt>
        <c:idx val="722"/>
      </c:pivotFmt>
      <c:pivotFmt>
        <c:idx val="723"/>
      </c:pivotFmt>
      <c:pivotFmt>
        <c:idx val="724"/>
      </c:pivotFmt>
      <c:pivotFmt>
        <c:idx val="725"/>
      </c:pivotFmt>
      <c:pivotFmt>
        <c:idx val="726"/>
      </c:pivotFmt>
      <c:pivotFmt>
        <c:idx val="727"/>
      </c:pivotFmt>
      <c:pivotFmt>
        <c:idx val="728"/>
      </c:pivotFmt>
      <c:pivotFmt>
        <c:idx val="729"/>
      </c:pivotFmt>
      <c:pivotFmt>
        <c:idx val="730"/>
      </c:pivotFmt>
      <c:pivotFmt>
        <c:idx val="731"/>
      </c:pivotFmt>
      <c:pivotFmt>
        <c:idx val="732"/>
      </c:pivotFmt>
      <c:pivotFmt>
        <c:idx val="733"/>
      </c:pivotFmt>
      <c:pivotFmt>
        <c:idx val="734"/>
      </c:pivotFmt>
      <c:pivotFmt>
        <c:idx val="735"/>
      </c:pivotFmt>
      <c:pivotFmt>
        <c:idx val="736"/>
      </c:pivotFmt>
      <c:pivotFmt>
        <c:idx val="737"/>
      </c:pivotFmt>
      <c:pivotFmt>
        <c:idx val="738"/>
      </c:pivotFmt>
      <c:pivotFmt>
        <c:idx val="739"/>
      </c:pivotFmt>
      <c:pivotFmt>
        <c:idx val="740"/>
      </c:pivotFmt>
      <c:pivotFmt>
        <c:idx val="741"/>
      </c:pivotFmt>
      <c:pivotFmt>
        <c:idx val="742"/>
      </c:pivotFmt>
      <c:pivotFmt>
        <c:idx val="743"/>
      </c:pivotFmt>
      <c:pivotFmt>
        <c:idx val="744"/>
      </c:pivotFmt>
      <c:pivotFmt>
        <c:idx val="745"/>
      </c:pivotFmt>
      <c:pivotFmt>
        <c:idx val="746"/>
      </c:pivotFmt>
      <c:pivotFmt>
        <c:idx val="747"/>
      </c:pivotFmt>
      <c:pivotFmt>
        <c:idx val="748"/>
      </c:pivotFmt>
      <c:pivotFmt>
        <c:idx val="749"/>
      </c:pivotFmt>
      <c:pivotFmt>
        <c:idx val="750"/>
      </c:pivotFmt>
      <c:pivotFmt>
        <c:idx val="751"/>
      </c:pivotFmt>
      <c:pivotFmt>
        <c:idx val="752"/>
      </c:pivotFmt>
      <c:pivotFmt>
        <c:idx val="753"/>
      </c:pivotFmt>
      <c:pivotFmt>
        <c:idx val="754"/>
      </c:pivotFmt>
      <c:pivotFmt>
        <c:idx val="755"/>
      </c:pivotFmt>
      <c:pivotFmt>
        <c:idx val="756"/>
      </c:pivotFmt>
      <c:pivotFmt>
        <c:idx val="757"/>
      </c:pivotFmt>
      <c:pivotFmt>
        <c:idx val="758"/>
      </c:pivotFmt>
      <c:pivotFmt>
        <c:idx val="759"/>
      </c:pivotFmt>
      <c:pivotFmt>
        <c:idx val="760"/>
      </c:pivotFmt>
      <c:pivotFmt>
        <c:idx val="761"/>
      </c:pivotFmt>
      <c:pivotFmt>
        <c:idx val="762"/>
      </c:pivotFmt>
      <c:pivotFmt>
        <c:idx val="763"/>
      </c:pivotFmt>
      <c:pivotFmt>
        <c:idx val="764"/>
      </c:pivotFmt>
      <c:pivotFmt>
        <c:idx val="765"/>
      </c:pivotFmt>
      <c:pivotFmt>
        <c:idx val="766"/>
      </c:pivotFmt>
      <c:pivotFmt>
        <c:idx val="767"/>
      </c:pivotFmt>
      <c:pivotFmt>
        <c:idx val="768"/>
      </c:pivotFmt>
      <c:pivotFmt>
        <c:idx val="769"/>
      </c:pivotFmt>
      <c:pivotFmt>
        <c:idx val="770"/>
      </c:pivotFmt>
      <c:pivotFmt>
        <c:idx val="771"/>
      </c:pivotFmt>
      <c:pivotFmt>
        <c:idx val="772"/>
      </c:pivotFmt>
      <c:pivotFmt>
        <c:idx val="773"/>
      </c:pivotFmt>
      <c:pivotFmt>
        <c:idx val="774"/>
      </c:pivotFmt>
      <c:pivotFmt>
        <c:idx val="775"/>
      </c:pivotFmt>
      <c:pivotFmt>
        <c:idx val="776"/>
      </c:pivotFmt>
      <c:pivotFmt>
        <c:idx val="777"/>
      </c:pivotFmt>
      <c:pivotFmt>
        <c:idx val="778"/>
      </c:pivotFmt>
      <c:pivotFmt>
        <c:idx val="779"/>
      </c:pivotFmt>
      <c:pivotFmt>
        <c:idx val="780"/>
      </c:pivotFmt>
      <c:pivotFmt>
        <c:idx val="781"/>
      </c:pivotFmt>
      <c:pivotFmt>
        <c:idx val="782"/>
      </c:pivotFmt>
      <c:pivotFmt>
        <c:idx val="783"/>
      </c:pivotFmt>
      <c:pivotFmt>
        <c:idx val="784"/>
      </c:pivotFmt>
      <c:pivotFmt>
        <c:idx val="785"/>
      </c:pivotFmt>
      <c:pivotFmt>
        <c:idx val="786"/>
      </c:pivotFmt>
      <c:pivotFmt>
        <c:idx val="787"/>
      </c:pivotFmt>
      <c:pivotFmt>
        <c:idx val="788"/>
      </c:pivotFmt>
      <c:pivotFmt>
        <c:idx val="789"/>
      </c:pivotFmt>
      <c:pivotFmt>
        <c:idx val="790"/>
      </c:pivotFmt>
      <c:pivotFmt>
        <c:idx val="791"/>
      </c:pivotFmt>
      <c:pivotFmt>
        <c:idx val="792"/>
      </c:pivotFmt>
      <c:pivotFmt>
        <c:idx val="793"/>
      </c:pivotFmt>
      <c:pivotFmt>
        <c:idx val="794"/>
      </c:pivotFmt>
      <c:pivotFmt>
        <c:idx val="795"/>
      </c:pivotFmt>
      <c:pivotFmt>
        <c:idx val="796"/>
      </c:pivotFmt>
      <c:pivotFmt>
        <c:idx val="797"/>
      </c:pivotFmt>
      <c:pivotFmt>
        <c:idx val="798"/>
      </c:pivotFmt>
      <c:pivotFmt>
        <c:idx val="799"/>
      </c:pivotFmt>
      <c:pivotFmt>
        <c:idx val="800"/>
      </c:pivotFmt>
      <c:pivotFmt>
        <c:idx val="801"/>
      </c:pivotFmt>
      <c:pivotFmt>
        <c:idx val="802"/>
      </c:pivotFmt>
      <c:pivotFmt>
        <c:idx val="803"/>
      </c:pivotFmt>
      <c:pivotFmt>
        <c:idx val="804"/>
      </c:pivotFmt>
      <c:pivotFmt>
        <c:idx val="805"/>
      </c:pivotFmt>
      <c:pivotFmt>
        <c:idx val="806"/>
      </c:pivotFmt>
      <c:pivotFmt>
        <c:idx val="807"/>
      </c:pivotFmt>
      <c:pivotFmt>
        <c:idx val="808"/>
      </c:pivotFmt>
      <c:pivotFmt>
        <c:idx val="809"/>
      </c:pivotFmt>
      <c:pivotFmt>
        <c:idx val="810"/>
      </c:pivotFmt>
      <c:pivotFmt>
        <c:idx val="811"/>
      </c:pivotFmt>
      <c:pivotFmt>
        <c:idx val="812"/>
      </c:pivotFmt>
      <c:pivotFmt>
        <c:idx val="813"/>
      </c:pivotFmt>
      <c:pivotFmt>
        <c:idx val="814"/>
      </c:pivotFmt>
      <c:pivotFmt>
        <c:idx val="815"/>
      </c:pivotFmt>
      <c:pivotFmt>
        <c:idx val="816"/>
      </c:pivotFmt>
      <c:pivotFmt>
        <c:idx val="817"/>
      </c:pivotFmt>
      <c:pivotFmt>
        <c:idx val="818"/>
      </c:pivotFmt>
      <c:pivotFmt>
        <c:idx val="819"/>
      </c:pivotFmt>
      <c:pivotFmt>
        <c:idx val="820"/>
      </c:pivotFmt>
      <c:pivotFmt>
        <c:idx val="821"/>
      </c:pivotFmt>
      <c:pivotFmt>
        <c:idx val="822"/>
      </c:pivotFmt>
      <c:pivotFmt>
        <c:idx val="823"/>
      </c:pivotFmt>
      <c:pivotFmt>
        <c:idx val="824"/>
      </c:pivotFmt>
      <c:pivotFmt>
        <c:idx val="825"/>
      </c:pivotFmt>
      <c:pivotFmt>
        <c:idx val="826"/>
      </c:pivotFmt>
      <c:pivotFmt>
        <c:idx val="827"/>
      </c:pivotFmt>
      <c:pivotFmt>
        <c:idx val="828"/>
      </c:pivotFmt>
      <c:pivotFmt>
        <c:idx val="829"/>
      </c:pivotFmt>
      <c:pivotFmt>
        <c:idx val="830"/>
      </c:pivotFmt>
      <c:pivotFmt>
        <c:idx val="831"/>
      </c:pivotFmt>
      <c:pivotFmt>
        <c:idx val="832"/>
      </c:pivotFmt>
      <c:pivotFmt>
        <c:idx val="833"/>
      </c:pivotFmt>
      <c:pivotFmt>
        <c:idx val="834"/>
      </c:pivotFmt>
      <c:pivotFmt>
        <c:idx val="835"/>
      </c:pivotFmt>
      <c:pivotFmt>
        <c:idx val="836"/>
      </c:pivotFmt>
      <c:pivotFmt>
        <c:idx val="837"/>
      </c:pivotFmt>
      <c:pivotFmt>
        <c:idx val="838"/>
      </c:pivotFmt>
      <c:pivotFmt>
        <c:idx val="839"/>
      </c:pivotFmt>
      <c:pivotFmt>
        <c:idx val="840"/>
      </c:pivotFmt>
      <c:pivotFmt>
        <c:idx val="841"/>
      </c:pivotFmt>
      <c:pivotFmt>
        <c:idx val="842"/>
      </c:pivotFmt>
      <c:pivotFmt>
        <c:idx val="843"/>
      </c:pivotFmt>
      <c:pivotFmt>
        <c:idx val="844"/>
      </c:pivotFmt>
      <c:pivotFmt>
        <c:idx val="845"/>
      </c:pivotFmt>
      <c:pivotFmt>
        <c:idx val="846"/>
      </c:pivotFmt>
      <c:pivotFmt>
        <c:idx val="847"/>
      </c:pivotFmt>
      <c:pivotFmt>
        <c:idx val="848"/>
      </c:pivotFmt>
      <c:pivotFmt>
        <c:idx val="849"/>
      </c:pivotFmt>
      <c:pivotFmt>
        <c:idx val="850"/>
      </c:pivotFmt>
      <c:pivotFmt>
        <c:idx val="851"/>
      </c:pivotFmt>
      <c:pivotFmt>
        <c:idx val="852"/>
      </c:pivotFmt>
      <c:pivotFmt>
        <c:idx val="853"/>
      </c:pivotFmt>
      <c:pivotFmt>
        <c:idx val="854"/>
      </c:pivotFmt>
      <c:pivotFmt>
        <c:idx val="855"/>
      </c:pivotFmt>
      <c:pivotFmt>
        <c:idx val="856"/>
      </c:pivotFmt>
      <c:pivotFmt>
        <c:idx val="857"/>
      </c:pivotFmt>
      <c:pivotFmt>
        <c:idx val="858"/>
      </c:pivotFmt>
      <c:pivotFmt>
        <c:idx val="859"/>
      </c:pivotFmt>
      <c:pivotFmt>
        <c:idx val="860"/>
      </c:pivotFmt>
      <c:pivotFmt>
        <c:idx val="861"/>
      </c:pivotFmt>
      <c:pivotFmt>
        <c:idx val="862"/>
      </c:pivotFmt>
      <c:pivotFmt>
        <c:idx val="863"/>
      </c:pivotFmt>
      <c:pivotFmt>
        <c:idx val="864"/>
      </c:pivotFmt>
      <c:pivotFmt>
        <c:idx val="865"/>
      </c:pivotFmt>
      <c:pivotFmt>
        <c:idx val="866"/>
      </c:pivotFmt>
      <c:pivotFmt>
        <c:idx val="867"/>
      </c:pivotFmt>
      <c:pivotFmt>
        <c:idx val="868"/>
      </c:pivotFmt>
      <c:pivotFmt>
        <c:idx val="869"/>
      </c:pivotFmt>
      <c:pivotFmt>
        <c:idx val="870"/>
      </c:pivotFmt>
      <c:pivotFmt>
        <c:idx val="871"/>
      </c:pivotFmt>
      <c:pivotFmt>
        <c:idx val="872"/>
      </c:pivotFmt>
      <c:pivotFmt>
        <c:idx val="873"/>
      </c:pivotFmt>
      <c:pivotFmt>
        <c:idx val="874"/>
      </c:pivotFmt>
      <c:pivotFmt>
        <c:idx val="875"/>
      </c:pivotFmt>
      <c:pivotFmt>
        <c:idx val="876"/>
      </c:pivotFmt>
      <c:pivotFmt>
        <c:idx val="877"/>
      </c:pivotFmt>
      <c:pivotFmt>
        <c:idx val="878"/>
      </c:pivotFmt>
      <c:pivotFmt>
        <c:idx val="879"/>
      </c:pivotFmt>
      <c:pivotFmt>
        <c:idx val="880"/>
      </c:pivotFmt>
      <c:pivotFmt>
        <c:idx val="881"/>
      </c:pivotFmt>
      <c:pivotFmt>
        <c:idx val="882"/>
      </c:pivotFmt>
      <c:pivotFmt>
        <c:idx val="883"/>
      </c:pivotFmt>
      <c:pivotFmt>
        <c:idx val="884"/>
      </c:pivotFmt>
      <c:pivotFmt>
        <c:idx val="885"/>
      </c:pivotFmt>
      <c:pivotFmt>
        <c:idx val="886"/>
      </c:pivotFmt>
      <c:pivotFmt>
        <c:idx val="887"/>
      </c:pivotFmt>
      <c:pivotFmt>
        <c:idx val="888"/>
      </c:pivotFmt>
      <c:pivotFmt>
        <c:idx val="889"/>
      </c:pivotFmt>
      <c:pivotFmt>
        <c:idx val="890"/>
      </c:pivotFmt>
      <c:pivotFmt>
        <c:idx val="891"/>
      </c:pivotFmt>
      <c:pivotFmt>
        <c:idx val="892"/>
      </c:pivotFmt>
      <c:pivotFmt>
        <c:idx val="893"/>
      </c:pivotFmt>
      <c:pivotFmt>
        <c:idx val="894"/>
      </c:pivotFmt>
      <c:pivotFmt>
        <c:idx val="895"/>
      </c:pivotFmt>
      <c:pivotFmt>
        <c:idx val="896"/>
      </c:pivotFmt>
      <c:pivotFmt>
        <c:idx val="897"/>
      </c:pivotFmt>
      <c:pivotFmt>
        <c:idx val="898"/>
      </c:pivotFmt>
      <c:pivotFmt>
        <c:idx val="899"/>
      </c:pivotFmt>
      <c:pivotFmt>
        <c:idx val="900"/>
      </c:pivotFmt>
      <c:pivotFmt>
        <c:idx val="901"/>
      </c:pivotFmt>
      <c:pivotFmt>
        <c:idx val="902"/>
      </c:pivotFmt>
      <c:pivotFmt>
        <c:idx val="903"/>
      </c:pivotFmt>
      <c:pivotFmt>
        <c:idx val="904"/>
      </c:pivotFmt>
      <c:pivotFmt>
        <c:idx val="905"/>
      </c:pivotFmt>
      <c:pivotFmt>
        <c:idx val="906"/>
      </c:pivotFmt>
      <c:pivotFmt>
        <c:idx val="907"/>
      </c:pivotFmt>
      <c:pivotFmt>
        <c:idx val="908"/>
      </c:pivotFmt>
      <c:pivotFmt>
        <c:idx val="909"/>
      </c:pivotFmt>
      <c:pivotFmt>
        <c:idx val="910"/>
      </c:pivotFmt>
      <c:pivotFmt>
        <c:idx val="911"/>
      </c:pivotFmt>
      <c:pivotFmt>
        <c:idx val="912"/>
      </c:pivotFmt>
      <c:pivotFmt>
        <c:idx val="913"/>
      </c:pivotFmt>
      <c:pivotFmt>
        <c:idx val="914"/>
      </c:pivotFmt>
      <c:pivotFmt>
        <c:idx val="915"/>
      </c:pivotFmt>
      <c:pivotFmt>
        <c:idx val="916"/>
      </c:pivotFmt>
      <c:pivotFmt>
        <c:idx val="917"/>
      </c:pivotFmt>
      <c:pivotFmt>
        <c:idx val="918"/>
      </c:pivotFmt>
      <c:pivotFmt>
        <c:idx val="919"/>
      </c:pivotFmt>
      <c:pivotFmt>
        <c:idx val="920"/>
      </c:pivotFmt>
      <c:pivotFmt>
        <c:idx val="921"/>
      </c:pivotFmt>
      <c:pivotFmt>
        <c:idx val="922"/>
      </c:pivotFmt>
      <c:pivotFmt>
        <c:idx val="923"/>
      </c:pivotFmt>
      <c:pivotFmt>
        <c:idx val="924"/>
      </c:pivotFmt>
      <c:pivotFmt>
        <c:idx val="925"/>
      </c:pivotFmt>
      <c:pivotFmt>
        <c:idx val="926"/>
      </c:pivotFmt>
      <c:pivotFmt>
        <c:idx val="927"/>
      </c:pivotFmt>
      <c:pivotFmt>
        <c:idx val="928"/>
      </c:pivotFmt>
      <c:pivotFmt>
        <c:idx val="929"/>
      </c:pivotFmt>
      <c:pivotFmt>
        <c:idx val="930"/>
      </c:pivotFmt>
      <c:pivotFmt>
        <c:idx val="931"/>
      </c:pivotFmt>
      <c:pivotFmt>
        <c:idx val="932"/>
      </c:pivotFmt>
      <c:pivotFmt>
        <c:idx val="933"/>
      </c:pivotFmt>
      <c:pivotFmt>
        <c:idx val="934"/>
      </c:pivotFmt>
      <c:pivotFmt>
        <c:idx val="935"/>
      </c:pivotFmt>
      <c:pivotFmt>
        <c:idx val="936"/>
      </c:pivotFmt>
      <c:pivotFmt>
        <c:idx val="937"/>
      </c:pivotFmt>
      <c:pivotFmt>
        <c:idx val="938"/>
      </c:pivotFmt>
      <c:pivotFmt>
        <c:idx val="939"/>
      </c:pivotFmt>
      <c:pivotFmt>
        <c:idx val="940"/>
      </c:pivotFmt>
      <c:pivotFmt>
        <c:idx val="941"/>
      </c:pivotFmt>
      <c:pivotFmt>
        <c:idx val="942"/>
      </c:pivotFmt>
      <c:pivotFmt>
        <c:idx val="943"/>
      </c:pivotFmt>
      <c:pivotFmt>
        <c:idx val="944"/>
      </c:pivotFmt>
      <c:pivotFmt>
        <c:idx val="945"/>
      </c:pivotFmt>
      <c:pivotFmt>
        <c:idx val="946"/>
      </c:pivotFmt>
      <c:pivotFmt>
        <c:idx val="947"/>
      </c:pivotFmt>
      <c:pivotFmt>
        <c:idx val="948"/>
      </c:pivotFmt>
      <c:pivotFmt>
        <c:idx val="949"/>
      </c:pivotFmt>
      <c:pivotFmt>
        <c:idx val="950"/>
      </c:pivotFmt>
      <c:pivotFmt>
        <c:idx val="951"/>
      </c:pivotFmt>
      <c:pivotFmt>
        <c:idx val="952"/>
      </c:pivotFmt>
      <c:pivotFmt>
        <c:idx val="953"/>
      </c:pivotFmt>
      <c:pivotFmt>
        <c:idx val="954"/>
      </c:pivotFmt>
      <c:pivotFmt>
        <c:idx val="955"/>
      </c:pivotFmt>
      <c:pivotFmt>
        <c:idx val="956"/>
      </c:pivotFmt>
      <c:pivotFmt>
        <c:idx val="957"/>
      </c:pivotFmt>
      <c:pivotFmt>
        <c:idx val="958"/>
      </c:pivotFmt>
      <c:pivotFmt>
        <c:idx val="959"/>
      </c:pivotFmt>
      <c:pivotFmt>
        <c:idx val="960"/>
      </c:pivotFmt>
      <c:pivotFmt>
        <c:idx val="961"/>
      </c:pivotFmt>
      <c:pivotFmt>
        <c:idx val="962"/>
      </c:pivotFmt>
      <c:pivotFmt>
        <c:idx val="963"/>
      </c:pivotFmt>
      <c:pivotFmt>
        <c:idx val="964"/>
      </c:pivotFmt>
      <c:pivotFmt>
        <c:idx val="965"/>
      </c:pivotFmt>
      <c:pivotFmt>
        <c:idx val="966"/>
      </c:pivotFmt>
      <c:pivotFmt>
        <c:idx val="967"/>
      </c:pivotFmt>
      <c:pivotFmt>
        <c:idx val="968"/>
      </c:pivotFmt>
      <c:pivotFmt>
        <c:idx val="969"/>
      </c:pivotFmt>
      <c:pivotFmt>
        <c:idx val="970"/>
      </c:pivotFmt>
      <c:pivotFmt>
        <c:idx val="971"/>
      </c:pivotFmt>
      <c:pivotFmt>
        <c:idx val="972"/>
      </c:pivotFmt>
      <c:pivotFmt>
        <c:idx val="973"/>
      </c:pivotFmt>
      <c:pivotFmt>
        <c:idx val="974"/>
      </c:pivotFmt>
      <c:pivotFmt>
        <c:idx val="975"/>
      </c:pivotFmt>
      <c:pivotFmt>
        <c:idx val="976"/>
      </c:pivotFmt>
      <c:pivotFmt>
        <c:idx val="977"/>
      </c:pivotFmt>
      <c:pivotFmt>
        <c:idx val="978"/>
      </c:pivotFmt>
      <c:pivotFmt>
        <c:idx val="979"/>
      </c:pivotFmt>
      <c:pivotFmt>
        <c:idx val="980"/>
      </c:pivotFmt>
      <c:pivotFmt>
        <c:idx val="981"/>
      </c:pivotFmt>
      <c:pivotFmt>
        <c:idx val="982"/>
      </c:pivotFmt>
      <c:pivotFmt>
        <c:idx val="983"/>
      </c:pivotFmt>
      <c:pivotFmt>
        <c:idx val="984"/>
      </c:pivotFmt>
      <c:pivotFmt>
        <c:idx val="985"/>
      </c:pivotFmt>
      <c:pivotFmt>
        <c:idx val="986"/>
      </c:pivotFmt>
      <c:pivotFmt>
        <c:idx val="987"/>
      </c:pivotFmt>
      <c:pivotFmt>
        <c:idx val="988"/>
      </c:pivotFmt>
      <c:pivotFmt>
        <c:idx val="989"/>
      </c:pivotFmt>
      <c:pivotFmt>
        <c:idx val="990"/>
      </c:pivotFmt>
      <c:pivotFmt>
        <c:idx val="991"/>
      </c:pivotFmt>
      <c:pivotFmt>
        <c:idx val="992"/>
      </c:pivotFmt>
      <c:pivotFmt>
        <c:idx val="993"/>
      </c:pivotFmt>
      <c:pivotFmt>
        <c:idx val="994"/>
      </c:pivotFmt>
      <c:pivotFmt>
        <c:idx val="995"/>
      </c:pivotFmt>
      <c:pivotFmt>
        <c:idx val="996"/>
      </c:pivotFmt>
      <c:pivotFmt>
        <c:idx val="997"/>
      </c:pivotFmt>
      <c:pivotFmt>
        <c:idx val="998"/>
      </c:pivotFmt>
      <c:pivotFmt>
        <c:idx val="999"/>
      </c:pivotFmt>
      <c:pivotFmt>
        <c:idx val="1000"/>
      </c:pivotFmt>
      <c:pivotFmt>
        <c:idx val="1001"/>
      </c:pivotFmt>
      <c:pivotFmt>
        <c:idx val="1002"/>
      </c:pivotFmt>
      <c:pivotFmt>
        <c:idx val="1003"/>
      </c:pivotFmt>
      <c:pivotFmt>
        <c:idx val="1004"/>
      </c:pivotFmt>
      <c:pivotFmt>
        <c:idx val="1005"/>
      </c:pivotFmt>
      <c:pivotFmt>
        <c:idx val="1006"/>
      </c:pivotFmt>
      <c:pivotFmt>
        <c:idx val="1007"/>
      </c:pivotFmt>
      <c:pivotFmt>
        <c:idx val="1008"/>
      </c:pivotFmt>
      <c:pivotFmt>
        <c:idx val="1009"/>
      </c:pivotFmt>
      <c:pivotFmt>
        <c:idx val="1010"/>
      </c:pivotFmt>
      <c:pivotFmt>
        <c:idx val="1011"/>
      </c:pivotFmt>
      <c:pivotFmt>
        <c:idx val="1012"/>
      </c:pivotFmt>
      <c:pivotFmt>
        <c:idx val="1013"/>
      </c:pivotFmt>
      <c:pivotFmt>
        <c:idx val="1014"/>
      </c:pivotFmt>
      <c:pivotFmt>
        <c:idx val="1015"/>
      </c:pivotFmt>
      <c:pivotFmt>
        <c:idx val="1016"/>
      </c:pivotFmt>
      <c:pivotFmt>
        <c:idx val="1017"/>
      </c:pivotFmt>
      <c:pivotFmt>
        <c:idx val="1018"/>
      </c:pivotFmt>
      <c:pivotFmt>
        <c:idx val="1019"/>
      </c:pivotFmt>
      <c:pivotFmt>
        <c:idx val="1020"/>
      </c:pivotFmt>
      <c:pivotFmt>
        <c:idx val="1021"/>
      </c:pivotFmt>
      <c:pivotFmt>
        <c:idx val="1022"/>
      </c:pivotFmt>
      <c:pivotFmt>
        <c:idx val="1023"/>
      </c:pivotFmt>
      <c:pivotFmt>
        <c:idx val="1024"/>
      </c:pivotFmt>
      <c:pivotFmt>
        <c:idx val="1025"/>
      </c:pivotFmt>
      <c:pivotFmt>
        <c:idx val="1026"/>
      </c:pivotFmt>
      <c:pivotFmt>
        <c:idx val="1027"/>
      </c:pivotFmt>
      <c:pivotFmt>
        <c:idx val="1028"/>
      </c:pivotFmt>
      <c:pivotFmt>
        <c:idx val="1029"/>
      </c:pivotFmt>
      <c:pivotFmt>
        <c:idx val="1030"/>
      </c:pivotFmt>
      <c:pivotFmt>
        <c:idx val="1031"/>
      </c:pivotFmt>
      <c:pivotFmt>
        <c:idx val="1032"/>
      </c:pivotFmt>
      <c:pivotFmt>
        <c:idx val="1033"/>
      </c:pivotFmt>
      <c:pivotFmt>
        <c:idx val="1034"/>
      </c:pivotFmt>
      <c:pivotFmt>
        <c:idx val="1035"/>
      </c:pivotFmt>
      <c:pivotFmt>
        <c:idx val="1036"/>
      </c:pivotFmt>
      <c:pivotFmt>
        <c:idx val="1037"/>
      </c:pivotFmt>
      <c:pivotFmt>
        <c:idx val="1038"/>
      </c:pivotFmt>
      <c:pivotFmt>
        <c:idx val="1039"/>
      </c:pivotFmt>
      <c:pivotFmt>
        <c:idx val="1040"/>
      </c:pivotFmt>
      <c:pivotFmt>
        <c:idx val="1041"/>
      </c:pivotFmt>
      <c:pivotFmt>
        <c:idx val="1042"/>
      </c:pivotFmt>
      <c:pivotFmt>
        <c:idx val="1043"/>
      </c:pivotFmt>
      <c:pivotFmt>
        <c:idx val="1044"/>
      </c:pivotFmt>
      <c:pivotFmt>
        <c:idx val="1045"/>
      </c:pivotFmt>
      <c:pivotFmt>
        <c:idx val="1046"/>
      </c:pivotFmt>
      <c:pivotFmt>
        <c:idx val="1047"/>
      </c:pivotFmt>
      <c:pivotFmt>
        <c:idx val="1048"/>
      </c:pivotFmt>
      <c:pivotFmt>
        <c:idx val="1049"/>
      </c:pivotFmt>
      <c:pivotFmt>
        <c:idx val="1050"/>
      </c:pivotFmt>
      <c:pivotFmt>
        <c:idx val="1051"/>
      </c:pivotFmt>
      <c:pivotFmt>
        <c:idx val="1052"/>
      </c:pivotFmt>
      <c:pivotFmt>
        <c:idx val="1053"/>
      </c:pivotFmt>
      <c:pivotFmt>
        <c:idx val="1054"/>
      </c:pivotFmt>
      <c:pivotFmt>
        <c:idx val="1055"/>
      </c:pivotFmt>
      <c:pivotFmt>
        <c:idx val="1056"/>
      </c:pivotFmt>
      <c:pivotFmt>
        <c:idx val="1057"/>
      </c:pivotFmt>
      <c:pivotFmt>
        <c:idx val="1058"/>
      </c:pivotFmt>
      <c:pivotFmt>
        <c:idx val="1059"/>
      </c:pivotFmt>
      <c:pivotFmt>
        <c:idx val="1060"/>
      </c:pivotFmt>
      <c:pivotFmt>
        <c:idx val="1061"/>
      </c:pivotFmt>
      <c:pivotFmt>
        <c:idx val="1062"/>
      </c:pivotFmt>
      <c:pivotFmt>
        <c:idx val="1063"/>
      </c:pivotFmt>
      <c:pivotFmt>
        <c:idx val="1064"/>
      </c:pivotFmt>
      <c:pivotFmt>
        <c:idx val="1065"/>
      </c:pivotFmt>
      <c:pivotFmt>
        <c:idx val="1066"/>
      </c:pivotFmt>
      <c:pivotFmt>
        <c:idx val="1067"/>
      </c:pivotFmt>
      <c:pivotFmt>
        <c:idx val="1068"/>
      </c:pivotFmt>
      <c:pivotFmt>
        <c:idx val="1069"/>
      </c:pivotFmt>
      <c:pivotFmt>
        <c:idx val="1070"/>
      </c:pivotFmt>
      <c:pivotFmt>
        <c:idx val="1071"/>
      </c:pivotFmt>
      <c:pivotFmt>
        <c:idx val="1072"/>
      </c:pivotFmt>
      <c:pivotFmt>
        <c:idx val="1073"/>
      </c:pivotFmt>
      <c:pivotFmt>
        <c:idx val="1074"/>
      </c:pivotFmt>
      <c:pivotFmt>
        <c:idx val="1075"/>
      </c:pivotFmt>
      <c:pivotFmt>
        <c:idx val="1076"/>
      </c:pivotFmt>
      <c:pivotFmt>
        <c:idx val="1077"/>
      </c:pivotFmt>
      <c:pivotFmt>
        <c:idx val="1078"/>
      </c:pivotFmt>
      <c:pivotFmt>
        <c:idx val="1079"/>
      </c:pivotFmt>
      <c:pivotFmt>
        <c:idx val="1080"/>
      </c:pivotFmt>
      <c:pivotFmt>
        <c:idx val="1081"/>
      </c:pivotFmt>
      <c:pivotFmt>
        <c:idx val="1082"/>
      </c:pivotFmt>
      <c:pivotFmt>
        <c:idx val="1083"/>
      </c:pivotFmt>
      <c:pivotFmt>
        <c:idx val="1084"/>
      </c:pivotFmt>
      <c:pivotFmt>
        <c:idx val="1085"/>
      </c:pivotFmt>
      <c:pivotFmt>
        <c:idx val="1086"/>
      </c:pivotFmt>
      <c:pivotFmt>
        <c:idx val="1087"/>
      </c:pivotFmt>
      <c:pivotFmt>
        <c:idx val="1088"/>
      </c:pivotFmt>
      <c:pivotFmt>
        <c:idx val="1089"/>
      </c:pivotFmt>
      <c:pivotFmt>
        <c:idx val="1090"/>
      </c:pivotFmt>
      <c:pivotFmt>
        <c:idx val="1091"/>
      </c:pivotFmt>
      <c:pivotFmt>
        <c:idx val="1092"/>
      </c:pivotFmt>
      <c:pivotFmt>
        <c:idx val="1093"/>
      </c:pivotFmt>
      <c:pivotFmt>
        <c:idx val="1094"/>
      </c:pivotFmt>
      <c:pivotFmt>
        <c:idx val="1095"/>
      </c:pivotFmt>
      <c:pivotFmt>
        <c:idx val="1096"/>
      </c:pivotFmt>
      <c:pivotFmt>
        <c:idx val="1097"/>
      </c:pivotFmt>
      <c:pivotFmt>
        <c:idx val="1098"/>
      </c:pivotFmt>
      <c:pivotFmt>
        <c:idx val="1099"/>
      </c:pivotFmt>
      <c:pivotFmt>
        <c:idx val="1100"/>
      </c:pivotFmt>
      <c:pivotFmt>
        <c:idx val="1101"/>
      </c:pivotFmt>
      <c:pivotFmt>
        <c:idx val="1102"/>
      </c:pivotFmt>
      <c:pivotFmt>
        <c:idx val="1103"/>
      </c:pivotFmt>
      <c:pivotFmt>
        <c:idx val="1104"/>
      </c:pivotFmt>
      <c:pivotFmt>
        <c:idx val="1105"/>
      </c:pivotFmt>
      <c:pivotFmt>
        <c:idx val="1106"/>
      </c:pivotFmt>
      <c:pivotFmt>
        <c:idx val="1107"/>
      </c:pivotFmt>
      <c:pivotFmt>
        <c:idx val="1108"/>
      </c:pivotFmt>
      <c:pivotFmt>
        <c:idx val="1109"/>
      </c:pivotFmt>
      <c:pivotFmt>
        <c:idx val="1110"/>
      </c:pivotFmt>
      <c:pivotFmt>
        <c:idx val="1111"/>
      </c:pivotFmt>
      <c:pivotFmt>
        <c:idx val="1112"/>
        <c:marker>
          <c:symbol val="none"/>
        </c:marker>
      </c:pivotFmt>
      <c:pivotFmt>
        <c:idx val="1113"/>
        <c:marker>
          <c:symbol val="none"/>
        </c:marker>
      </c:pivotFmt>
      <c:pivotFmt>
        <c:idx val="1114"/>
        <c:marker>
          <c:symbol val="none"/>
        </c:marker>
      </c:pivotFmt>
      <c:pivotFmt>
        <c:idx val="1115"/>
        <c:marker>
          <c:symbol val="none"/>
        </c:marker>
      </c:pivotFmt>
      <c:pivotFmt>
        <c:idx val="1116"/>
        <c:marker>
          <c:symbol val="none"/>
        </c:marker>
      </c:pivotFmt>
      <c:pivotFmt>
        <c:idx val="1117"/>
        <c:marker>
          <c:symbol val="none"/>
        </c:marker>
      </c:pivotFmt>
      <c:pivotFmt>
        <c:idx val="1118"/>
        <c:marker>
          <c:symbol val="none"/>
        </c:marker>
      </c:pivotFmt>
      <c:pivotFmt>
        <c:idx val="1119"/>
        <c:marker>
          <c:symbol val="none"/>
        </c:marker>
      </c:pivotFmt>
      <c:pivotFmt>
        <c:idx val="1120"/>
        <c:marker>
          <c:symbol val="none"/>
        </c:marker>
      </c:pivotFmt>
      <c:pivotFmt>
        <c:idx val="1121"/>
        <c:marker>
          <c:symbol val="none"/>
        </c:marker>
      </c:pivotFmt>
      <c:pivotFmt>
        <c:idx val="1122"/>
        <c:marker>
          <c:symbol val="none"/>
        </c:marker>
      </c:pivotFmt>
      <c:pivotFmt>
        <c:idx val="1123"/>
        <c:marker>
          <c:symbol val="none"/>
        </c:marker>
      </c:pivotFmt>
      <c:pivotFmt>
        <c:idx val="1124"/>
        <c:marker>
          <c:symbol val="none"/>
        </c:marker>
      </c:pivotFmt>
      <c:pivotFmt>
        <c:idx val="1125"/>
        <c:marker>
          <c:symbol val="none"/>
        </c:marker>
      </c:pivotFmt>
      <c:pivotFmt>
        <c:idx val="1126"/>
        <c:marker>
          <c:symbol val="none"/>
        </c:marker>
      </c:pivotFmt>
      <c:pivotFmt>
        <c:idx val="1127"/>
        <c:marker>
          <c:symbol val="none"/>
        </c:marker>
      </c:pivotFmt>
      <c:pivotFmt>
        <c:idx val="1128"/>
        <c:marker>
          <c:symbol val="none"/>
        </c:marker>
      </c:pivotFmt>
      <c:pivotFmt>
        <c:idx val="1129"/>
        <c:marker>
          <c:symbol val="none"/>
        </c:marker>
      </c:pivotFmt>
      <c:pivotFmt>
        <c:idx val="1130"/>
        <c:marker>
          <c:symbol val="none"/>
        </c:marker>
      </c:pivotFmt>
      <c:pivotFmt>
        <c:idx val="1131"/>
        <c:marker>
          <c:symbol val="none"/>
        </c:marker>
      </c:pivotFmt>
      <c:pivotFmt>
        <c:idx val="1132"/>
      </c:pivotFmt>
      <c:pivotFmt>
        <c:idx val="1133"/>
      </c:pivotFmt>
      <c:pivotFmt>
        <c:idx val="1134"/>
      </c:pivotFmt>
      <c:pivotFmt>
        <c:idx val="1135"/>
      </c:pivotFmt>
      <c:pivotFmt>
        <c:idx val="1136"/>
      </c:pivotFmt>
      <c:pivotFmt>
        <c:idx val="1137"/>
      </c:pivotFmt>
      <c:pivotFmt>
        <c:idx val="1138"/>
      </c:pivotFmt>
      <c:pivotFmt>
        <c:idx val="1139"/>
      </c:pivotFmt>
      <c:pivotFmt>
        <c:idx val="1140"/>
      </c:pivotFmt>
      <c:pivotFmt>
        <c:idx val="1141"/>
      </c:pivotFmt>
      <c:pivotFmt>
        <c:idx val="1142"/>
      </c:pivotFmt>
      <c:pivotFmt>
        <c:idx val="1143"/>
      </c:pivotFmt>
      <c:pivotFmt>
        <c:idx val="1144"/>
      </c:pivotFmt>
      <c:pivotFmt>
        <c:idx val="1145"/>
      </c:pivotFmt>
      <c:pivotFmt>
        <c:idx val="1146"/>
      </c:pivotFmt>
      <c:pivotFmt>
        <c:idx val="1147"/>
      </c:pivotFmt>
      <c:pivotFmt>
        <c:idx val="1148"/>
      </c:pivotFmt>
      <c:pivotFmt>
        <c:idx val="1149"/>
      </c:pivotFmt>
      <c:pivotFmt>
        <c:idx val="1150"/>
      </c:pivotFmt>
      <c:pivotFmt>
        <c:idx val="1151"/>
      </c:pivotFmt>
      <c:pivotFmt>
        <c:idx val="1152"/>
        <c:marker>
          <c:symbol val="none"/>
        </c:marker>
      </c:pivotFmt>
      <c:pivotFmt>
        <c:idx val="1153"/>
        <c:marker>
          <c:symbol val="none"/>
        </c:marker>
      </c:pivotFmt>
      <c:pivotFmt>
        <c:idx val="1154"/>
        <c:marker>
          <c:symbol val="none"/>
        </c:marker>
      </c:pivotFmt>
      <c:pivotFmt>
        <c:idx val="1155"/>
        <c:marker>
          <c:symbol val="none"/>
        </c:marker>
      </c:pivotFmt>
      <c:pivotFmt>
        <c:idx val="1156"/>
        <c:marker>
          <c:symbol val="none"/>
        </c:marker>
      </c:pivotFmt>
      <c:pivotFmt>
        <c:idx val="1157"/>
        <c:marker>
          <c:symbol val="none"/>
        </c:marker>
      </c:pivotFmt>
      <c:pivotFmt>
        <c:idx val="1158"/>
        <c:marker>
          <c:symbol val="none"/>
        </c:marker>
      </c:pivotFmt>
      <c:pivotFmt>
        <c:idx val="1159"/>
        <c:marker>
          <c:symbol val="none"/>
        </c:marker>
      </c:pivotFmt>
      <c:pivotFmt>
        <c:idx val="1160"/>
        <c:marker>
          <c:symbol val="none"/>
        </c:marker>
      </c:pivotFmt>
      <c:pivotFmt>
        <c:idx val="1161"/>
        <c:marker>
          <c:symbol val="none"/>
        </c:marker>
      </c:pivotFmt>
      <c:pivotFmt>
        <c:idx val="1162"/>
        <c:marker>
          <c:symbol val="none"/>
        </c:marker>
      </c:pivotFmt>
      <c:pivotFmt>
        <c:idx val="1163"/>
        <c:marker>
          <c:symbol val="none"/>
        </c:marker>
      </c:pivotFmt>
      <c:pivotFmt>
        <c:idx val="1164"/>
        <c:marker>
          <c:symbol val="none"/>
        </c:marker>
      </c:pivotFmt>
      <c:pivotFmt>
        <c:idx val="1165"/>
        <c:marker>
          <c:symbol val="none"/>
        </c:marker>
      </c:pivotFmt>
      <c:pivotFmt>
        <c:idx val="1166"/>
        <c:marker>
          <c:symbol val="none"/>
        </c:marker>
      </c:pivotFmt>
      <c:pivotFmt>
        <c:idx val="1167"/>
        <c:marker>
          <c:symbol val="none"/>
        </c:marker>
      </c:pivotFmt>
      <c:pivotFmt>
        <c:idx val="1168"/>
        <c:marker>
          <c:symbol val="none"/>
        </c:marker>
      </c:pivotFmt>
      <c:pivotFmt>
        <c:idx val="1169"/>
        <c:marker>
          <c:symbol val="none"/>
        </c:marker>
      </c:pivotFmt>
      <c:pivotFmt>
        <c:idx val="1170"/>
        <c:marker>
          <c:symbol val="none"/>
        </c:marker>
      </c:pivotFmt>
      <c:pivotFmt>
        <c:idx val="1171"/>
        <c:marker>
          <c:symbol val="none"/>
        </c:marker>
      </c:pivotFmt>
      <c:pivotFmt>
        <c:idx val="1172"/>
        <c:marker>
          <c:symbol val="none"/>
        </c:marker>
      </c:pivotFmt>
      <c:pivotFmt>
        <c:idx val="1173"/>
        <c:marker>
          <c:symbol val="none"/>
        </c:marker>
      </c:pivotFmt>
      <c:pivotFmt>
        <c:idx val="1174"/>
        <c:marker>
          <c:symbol val="none"/>
        </c:marker>
      </c:pivotFmt>
      <c:pivotFmt>
        <c:idx val="1175"/>
        <c:marker>
          <c:symbol val="none"/>
        </c:marker>
      </c:pivotFmt>
      <c:pivotFmt>
        <c:idx val="1176"/>
        <c:marker>
          <c:symbol val="none"/>
        </c:marker>
      </c:pivotFmt>
      <c:pivotFmt>
        <c:idx val="1177"/>
        <c:marker>
          <c:symbol val="none"/>
        </c:marker>
      </c:pivotFmt>
      <c:pivotFmt>
        <c:idx val="1178"/>
        <c:marker>
          <c:symbol val="none"/>
        </c:marker>
      </c:pivotFmt>
      <c:pivotFmt>
        <c:idx val="1179"/>
        <c:marker>
          <c:symbol val="none"/>
        </c:marker>
      </c:pivotFmt>
      <c:pivotFmt>
        <c:idx val="1180"/>
        <c:marker>
          <c:symbol val="none"/>
        </c:marker>
      </c:pivotFmt>
      <c:pivotFmt>
        <c:idx val="1181"/>
        <c:marker>
          <c:symbol val="none"/>
        </c:marker>
      </c:pivotFmt>
      <c:pivotFmt>
        <c:idx val="1182"/>
        <c:marker>
          <c:symbol val="none"/>
        </c:marker>
      </c:pivotFmt>
      <c:pivotFmt>
        <c:idx val="1183"/>
        <c:marker>
          <c:symbol val="none"/>
        </c:marker>
      </c:pivotFmt>
      <c:pivotFmt>
        <c:idx val="1184"/>
        <c:marker>
          <c:symbol val="none"/>
        </c:marker>
      </c:pivotFmt>
      <c:pivotFmt>
        <c:idx val="1185"/>
        <c:marker>
          <c:symbol val="none"/>
        </c:marker>
      </c:pivotFmt>
      <c:pivotFmt>
        <c:idx val="1186"/>
        <c:marker>
          <c:symbol val="none"/>
        </c:marker>
      </c:pivotFmt>
      <c:pivotFmt>
        <c:idx val="1187"/>
        <c:marker>
          <c:symbol val="none"/>
        </c:marker>
      </c:pivotFmt>
      <c:pivotFmt>
        <c:idx val="1188"/>
        <c:marker>
          <c:symbol val="none"/>
        </c:marker>
      </c:pivotFmt>
      <c:pivotFmt>
        <c:idx val="1189"/>
        <c:marker>
          <c:symbol val="none"/>
        </c:marker>
      </c:pivotFmt>
      <c:pivotFmt>
        <c:idx val="1190"/>
        <c:marker>
          <c:symbol val="none"/>
        </c:marker>
      </c:pivotFmt>
      <c:pivotFmt>
        <c:idx val="1191"/>
        <c:marker>
          <c:symbol val="none"/>
        </c:marker>
      </c:pivotFmt>
      <c:pivotFmt>
        <c:idx val="1192"/>
        <c:marker>
          <c:symbol val="none"/>
        </c:marker>
      </c:pivotFmt>
      <c:pivotFmt>
        <c:idx val="1193"/>
        <c:marker>
          <c:symbol val="none"/>
        </c:marker>
      </c:pivotFmt>
      <c:pivotFmt>
        <c:idx val="1194"/>
        <c:marker>
          <c:symbol val="none"/>
        </c:marker>
      </c:pivotFmt>
      <c:pivotFmt>
        <c:idx val="1195"/>
        <c:marker>
          <c:symbol val="none"/>
        </c:marker>
      </c:pivotFmt>
      <c:pivotFmt>
        <c:idx val="1196"/>
        <c:marker>
          <c:symbol val="none"/>
        </c:marker>
      </c:pivotFmt>
      <c:pivotFmt>
        <c:idx val="1197"/>
        <c:marker>
          <c:symbol val="none"/>
        </c:marker>
      </c:pivotFmt>
      <c:pivotFmt>
        <c:idx val="1198"/>
        <c:marker>
          <c:symbol val="none"/>
        </c:marker>
      </c:pivotFmt>
      <c:pivotFmt>
        <c:idx val="1199"/>
        <c:marker>
          <c:symbol val="none"/>
        </c:marker>
      </c:pivotFmt>
      <c:pivotFmt>
        <c:idx val="1200"/>
        <c:marker>
          <c:symbol val="none"/>
        </c:marker>
      </c:pivotFmt>
      <c:pivotFmt>
        <c:idx val="1201"/>
        <c:marker>
          <c:symbol val="none"/>
        </c:marker>
      </c:pivotFmt>
      <c:pivotFmt>
        <c:idx val="1202"/>
        <c:marker>
          <c:symbol val="none"/>
        </c:marker>
      </c:pivotFmt>
      <c:pivotFmt>
        <c:idx val="1203"/>
        <c:marker>
          <c:symbol val="none"/>
        </c:marker>
      </c:pivotFmt>
      <c:pivotFmt>
        <c:idx val="1204"/>
        <c:marker>
          <c:symbol val="none"/>
        </c:marker>
      </c:pivotFmt>
      <c:pivotFmt>
        <c:idx val="1205"/>
        <c:marker>
          <c:symbol val="none"/>
        </c:marker>
      </c:pivotFmt>
      <c:pivotFmt>
        <c:idx val="1206"/>
        <c:marker>
          <c:symbol val="none"/>
        </c:marker>
      </c:pivotFmt>
      <c:pivotFmt>
        <c:idx val="1207"/>
        <c:marker>
          <c:symbol val="none"/>
        </c:marker>
      </c:pivotFmt>
      <c:pivotFmt>
        <c:idx val="1208"/>
        <c:marker>
          <c:symbol val="none"/>
        </c:marker>
      </c:pivotFmt>
      <c:pivotFmt>
        <c:idx val="1209"/>
        <c:marker>
          <c:symbol val="none"/>
        </c:marker>
      </c:pivotFmt>
      <c:pivotFmt>
        <c:idx val="1210"/>
        <c:marker>
          <c:symbol val="none"/>
        </c:marker>
      </c:pivotFmt>
      <c:pivotFmt>
        <c:idx val="1211"/>
        <c:marker>
          <c:symbol val="none"/>
        </c:marker>
      </c:pivotFmt>
      <c:pivotFmt>
        <c:idx val="1212"/>
        <c:marker>
          <c:symbol val="none"/>
        </c:marker>
      </c:pivotFmt>
      <c:pivotFmt>
        <c:idx val="1213"/>
        <c:marker>
          <c:symbol val="none"/>
        </c:marker>
      </c:pivotFmt>
      <c:pivotFmt>
        <c:idx val="1214"/>
        <c:marker>
          <c:symbol val="none"/>
        </c:marker>
      </c:pivotFmt>
      <c:pivotFmt>
        <c:idx val="1215"/>
        <c:marker>
          <c:symbol val="none"/>
        </c:marker>
      </c:pivotFmt>
      <c:pivotFmt>
        <c:idx val="1216"/>
        <c:marker>
          <c:symbol val="none"/>
        </c:marker>
      </c:pivotFmt>
      <c:pivotFmt>
        <c:idx val="1217"/>
        <c:marker>
          <c:symbol val="none"/>
        </c:marker>
      </c:pivotFmt>
      <c:pivotFmt>
        <c:idx val="1218"/>
        <c:marker>
          <c:symbol val="none"/>
        </c:marker>
      </c:pivotFmt>
      <c:pivotFmt>
        <c:idx val="1219"/>
        <c:marker>
          <c:symbol val="none"/>
        </c:marker>
      </c:pivotFmt>
      <c:pivotFmt>
        <c:idx val="1220"/>
        <c:marker>
          <c:symbol val="none"/>
        </c:marker>
      </c:pivotFmt>
      <c:pivotFmt>
        <c:idx val="1221"/>
        <c:marker>
          <c:symbol val="none"/>
        </c:marker>
      </c:pivotFmt>
      <c:pivotFmt>
        <c:idx val="1222"/>
        <c:marker>
          <c:symbol val="none"/>
        </c:marker>
      </c:pivotFmt>
      <c:pivotFmt>
        <c:idx val="1223"/>
        <c:marker>
          <c:symbol val="none"/>
        </c:marker>
      </c:pivotFmt>
      <c:pivotFmt>
        <c:idx val="1224"/>
        <c:marker>
          <c:symbol val="none"/>
        </c:marker>
      </c:pivotFmt>
      <c:pivotFmt>
        <c:idx val="1225"/>
        <c:marker>
          <c:symbol val="none"/>
        </c:marker>
      </c:pivotFmt>
      <c:pivotFmt>
        <c:idx val="1226"/>
        <c:marker>
          <c:symbol val="none"/>
        </c:marker>
      </c:pivotFmt>
      <c:pivotFmt>
        <c:idx val="1227"/>
        <c:marker>
          <c:symbol val="none"/>
        </c:marker>
      </c:pivotFmt>
      <c:pivotFmt>
        <c:idx val="1228"/>
        <c:marker>
          <c:symbol val="none"/>
        </c:marker>
      </c:pivotFmt>
      <c:pivotFmt>
        <c:idx val="1229"/>
        <c:marker>
          <c:symbol val="none"/>
        </c:marker>
      </c:pivotFmt>
      <c:pivotFmt>
        <c:idx val="1230"/>
        <c:marker>
          <c:symbol val="none"/>
        </c:marker>
      </c:pivotFmt>
      <c:pivotFmt>
        <c:idx val="1231"/>
        <c:marker>
          <c:symbol val="none"/>
        </c:marker>
      </c:pivotFmt>
      <c:pivotFmt>
        <c:idx val="1232"/>
        <c:marker>
          <c:symbol val="none"/>
        </c:marker>
      </c:pivotFmt>
      <c:pivotFmt>
        <c:idx val="1233"/>
        <c:marker>
          <c:symbol val="none"/>
        </c:marker>
      </c:pivotFmt>
      <c:pivotFmt>
        <c:idx val="1234"/>
        <c:marker>
          <c:symbol val="none"/>
        </c:marker>
      </c:pivotFmt>
      <c:pivotFmt>
        <c:idx val="1235"/>
        <c:marker>
          <c:symbol val="none"/>
        </c:marker>
      </c:pivotFmt>
      <c:pivotFmt>
        <c:idx val="1236"/>
        <c:marker>
          <c:symbol val="none"/>
        </c:marker>
      </c:pivotFmt>
      <c:pivotFmt>
        <c:idx val="1237"/>
        <c:marker>
          <c:symbol val="none"/>
        </c:marker>
      </c:pivotFmt>
      <c:pivotFmt>
        <c:idx val="1238"/>
        <c:marker>
          <c:symbol val="none"/>
        </c:marker>
      </c:pivotFmt>
      <c:pivotFmt>
        <c:idx val="1239"/>
        <c:marker>
          <c:symbol val="none"/>
        </c:marker>
      </c:pivotFmt>
      <c:pivotFmt>
        <c:idx val="1240"/>
        <c:marker>
          <c:symbol val="none"/>
        </c:marker>
      </c:pivotFmt>
      <c:pivotFmt>
        <c:idx val="1241"/>
        <c:marker>
          <c:symbol val="none"/>
        </c:marker>
      </c:pivotFmt>
      <c:pivotFmt>
        <c:idx val="1242"/>
        <c:marker>
          <c:symbol val="none"/>
        </c:marker>
      </c:pivotFmt>
      <c:pivotFmt>
        <c:idx val="1243"/>
        <c:marker>
          <c:symbol val="none"/>
        </c:marker>
      </c:pivotFmt>
      <c:pivotFmt>
        <c:idx val="1244"/>
        <c:marker>
          <c:symbol val="none"/>
        </c:marker>
      </c:pivotFmt>
      <c:pivotFmt>
        <c:idx val="1245"/>
        <c:marker>
          <c:symbol val="none"/>
        </c:marker>
      </c:pivotFmt>
      <c:pivotFmt>
        <c:idx val="1246"/>
        <c:marker>
          <c:symbol val="none"/>
        </c:marker>
      </c:pivotFmt>
      <c:pivotFmt>
        <c:idx val="1247"/>
        <c:marker>
          <c:symbol val="none"/>
        </c:marker>
      </c:pivotFmt>
      <c:pivotFmt>
        <c:idx val="1248"/>
        <c:marker>
          <c:symbol val="none"/>
        </c:marker>
      </c:pivotFmt>
      <c:pivotFmt>
        <c:idx val="1249"/>
        <c:marker>
          <c:symbol val="none"/>
        </c:marker>
      </c:pivotFmt>
      <c:pivotFmt>
        <c:idx val="1250"/>
        <c:marker>
          <c:symbol val="none"/>
        </c:marker>
      </c:pivotFmt>
      <c:pivotFmt>
        <c:idx val="1251"/>
        <c:marker>
          <c:symbol val="none"/>
        </c:marker>
      </c:pivotFmt>
      <c:pivotFmt>
        <c:idx val="1252"/>
        <c:marker>
          <c:symbol val="none"/>
        </c:marker>
      </c:pivotFmt>
      <c:pivotFmt>
        <c:idx val="1253"/>
        <c:marker>
          <c:symbol val="none"/>
        </c:marker>
      </c:pivotFmt>
      <c:pivotFmt>
        <c:idx val="1254"/>
        <c:marker>
          <c:symbol val="none"/>
        </c:marker>
      </c:pivotFmt>
      <c:pivotFmt>
        <c:idx val="1255"/>
        <c:marker>
          <c:symbol val="none"/>
        </c:marker>
      </c:pivotFmt>
      <c:pivotFmt>
        <c:idx val="1256"/>
        <c:marker>
          <c:symbol val="none"/>
        </c:marker>
      </c:pivotFmt>
      <c:pivotFmt>
        <c:idx val="1257"/>
        <c:marker>
          <c:symbol val="none"/>
        </c:marker>
      </c:pivotFmt>
      <c:pivotFmt>
        <c:idx val="1258"/>
        <c:marker>
          <c:symbol val="none"/>
        </c:marker>
      </c:pivotFmt>
      <c:pivotFmt>
        <c:idx val="1259"/>
        <c:marker>
          <c:symbol val="none"/>
        </c:marker>
      </c:pivotFmt>
      <c:pivotFmt>
        <c:idx val="1260"/>
        <c:marker>
          <c:symbol val="none"/>
        </c:marker>
      </c:pivotFmt>
      <c:pivotFmt>
        <c:idx val="1261"/>
        <c:marker>
          <c:symbol val="none"/>
        </c:marker>
      </c:pivotFmt>
      <c:pivotFmt>
        <c:idx val="1262"/>
        <c:spPr>
          <a:ln>
            <a:solidFill>
              <a:schemeClr val="tx1"/>
            </a:solidFill>
          </a:ln>
        </c:spPr>
        <c:marker>
          <c:symbol val="none"/>
        </c:marker>
      </c:pivotFmt>
      <c:pivotFmt>
        <c:idx val="1263"/>
        <c:marker>
          <c:symbol val="none"/>
        </c:marker>
      </c:pivotFmt>
      <c:pivotFmt>
        <c:idx val="1264"/>
        <c:marker>
          <c:symbol val="none"/>
        </c:marker>
      </c:pivotFmt>
      <c:pivotFmt>
        <c:idx val="1265"/>
        <c:marker>
          <c:symbol val="none"/>
        </c:marker>
      </c:pivotFmt>
      <c:pivotFmt>
        <c:idx val="1266"/>
        <c:spPr>
          <a:ln>
            <a:solidFill>
              <a:srgbClr val="FF0000"/>
            </a:solidFill>
          </a:ln>
        </c:spPr>
        <c:marker>
          <c:symbol val="none"/>
        </c:marker>
      </c:pivotFmt>
      <c:pivotFmt>
        <c:idx val="1267"/>
        <c:marker>
          <c:symbol val="none"/>
        </c:marker>
      </c:pivotFmt>
      <c:pivotFmt>
        <c:idx val="1268"/>
        <c:marker>
          <c:symbol val="none"/>
        </c:marker>
      </c:pivotFmt>
      <c:pivotFmt>
        <c:idx val="1269"/>
        <c:marker>
          <c:symbol val="none"/>
        </c:marker>
      </c:pivotFmt>
      <c:pivotFmt>
        <c:idx val="1270"/>
        <c:marker>
          <c:symbol val="none"/>
        </c:marker>
      </c:pivotFmt>
      <c:pivotFmt>
        <c:idx val="1271"/>
        <c:marker>
          <c:symbol val="none"/>
        </c:marker>
      </c:pivotFmt>
      <c:pivotFmt>
        <c:idx val="1272"/>
        <c:marker>
          <c:symbol val="none"/>
        </c:marker>
      </c:pivotFmt>
      <c:pivotFmt>
        <c:idx val="1273"/>
        <c:marker>
          <c:symbol val="none"/>
        </c:marker>
      </c:pivotFmt>
      <c:pivotFmt>
        <c:idx val="1274"/>
        <c:marker>
          <c:symbol val="none"/>
        </c:marker>
      </c:pivotFmt>
      <c:pivotFmt>
        <c:idx val="1275"/>
        <c:marker>
          <c:symbol val="none"/>
        </c:marker>
      </c:pivotFmt>
      <c:pivotFmt>
        <c:idx val="1276"/>
        <c:marker>
          <c:symbol val="none"/>
        </c:marker>
      </c:pivotFmt>
      <c:pivotFmt>
        <c:idx val="1277"/>
        <c:marker>
          <c:symbol val="none"/>
        </c:marker>
      </c:pivotFmt>
      <c:pivotFmt>
        <c:idx val="1278"/>
        <c:marker>
          <c:symbol val="none"/>
        </c:marker>
      </c:pivotFmt>
      <c:pivotFmt>
        <c:idx val="1279"/>
        <c:marker>
          <c:symbol val="none"/>
        </c:marker>
      </c:pivotFmt>
      <c:pivotFmt>
        <c:idx val="1280"/>
        <c:marker>
          <c:symbol val="none"/>
        </c:marker>
      </c:pivotFmt>
      <c:pivotFmt>
        <c:idx val="1281"/>
        <c:marker>
          <c:symbol val="none"/>
        </c:marker>
      </c:pivotFmt>
      <c:pivotFmt>
        <c:idx val="1282"/>
        <c:marker>
          <c:symbol val="none"/>
        </c:marker>
      </c:pivotFmt>
      <c:pivotFmt>
        <c:idx val="1283"/>
        <c:spPr>
          <a:ln>
            <a:solidFill>
              <a:srgbClr val="FF0000"/>
            </a:solidFill>
          </a:ln>
        </c:spPr>
        <c:marker>
          <c:symbol val="none"/>
        </c:marker>
      </c:pivotFmt>
      <c:pivotFmt>
        <c:idx val="1284"/>
        <c:marker>
          <c:symbol val="none"/>
        </c:marker>
      </c:pivotFmt>
      <c:pivotFmt>
        <c:idx val="1285"/>
        <c:spPr>
          <a:ln>
            <a:solidFill>
              <a:schemeClr val="tx1"/>
            </a:solidFill>
          </a:ln>
        </c:spPr>
        <c:marker>
          <c:symbol val="none"/>
        </c:marker>
      </c:pivotFmt>
      <c:pivotFmt>
        <c:idx val="1286"/>
        <c:marker>
          <c:symbol val="none"/>
        </c:marker>
      </c:pivotFmt>
      <c:pivotFmt>
        <c:idx val="1287"/>
        <c:marker>
          <c:symbol val="none"/>
        </c:marker>
      </c:pivotFmt>
      <c:pivotFmt>
        <c:idx val="1288"/>
        <c:marker>
          <c:symbol val="none"/>
        </c:marker>
      </c:pivotFmt>
      <c:pivotFmt>
        <c:idx val="1289"/>
        <c:marker>
          <c:symbol val="none"/>
        </c:marker>
      </c:pivotFmt>
      <c:pivotFmt>
        <c:idx val="1290"/>
        <c:marker>
          <c:symbol val="none"/>
        </c:marker>
      </c:pivotFmt>
      <c:pivotFmt>
        <c:idx val="1291"/>
        <c:marker>
          <c:symbol val="none"/>
        </c:marker>
      </c:pivotFmt>
      <c:pivotFmt>
        <c:idx val="1292"/>
        <c:marker>
          <c:symbol val="none"/>
        </c:marker>
      </c:pivotFmt>
      <c:pivotFmt>
        <c:idx val="1293"/>
        <c:marker>
          <c:symbol val="none"/>
        </c:marker>
      </c:pivotFmt>
      <c:pivotFmt>
        <c:idx val="1294"/>
        <c:marker>
          <c:symbol val="none"/>
        </c:marker>
      </c:pivotFmt>
      <c:pivotFmt>
        <c:idx val="1295"/>
        <c:marker>
          <c:symbol val="none"/>
        </c:marker>
      </c:pivotFmt>
      <c:pivotFmt>
        <c:idx val="1296"/>
        <c:marker>
          <c:symbol val="none"/>
        </c:marker>
      </c:pivotFmt>
      <c:pivotFmt>
        <c:idx val="1297"/>
        <c:marker>
          <c:symbol val="none"/>
        </c:marker>
      </c:pivotFmt>
      <c:pivotFmt>
        <c:idx val="1298"/>
        <c:marker>
          <c:symbol val="none"/>
        </c:marker>
      </c:pivotFmt>
      <c:pivotFmt>
        <c:idx val="1299"/>
        <c:marker>
          <c:symbol val="none"/>
        </c:marker>
      </c:pivotFmt>
      <c:pivotFmt>
        <c:idx val="1300"/>
        <c:marker>
          <c:symbol val="none"/>
        </c:marker>
      </c:pivotFmt>
      <c:pivotFmt>
        <c:idx val="1301"/>
        <c:spPr>
          <a:ln>
            <a:solidFill>
              <a:srgbClr val="FF0000"/>
            </a:solidFill>
          </a:ln>
        </c:spPr>
        <c:marker>
          <c:symbol val="none"/>
        </c:marker>
      </c:pivotFmt>
      <c:pivotFmt>
        <c:idx val="1302"/>
        <c:marker>
          <c:symbol val="none"/>
        </c:marker>
      </c:pivotFmt>
      <c:pivotFmt>
        <c:idx val="1303"/>
        <c:spPr>
          <a:ln>
            <a:solidFill>
              <a:schemeClr val="tx1"/>
            </a:solidFill>
          </a:ln>
        </c:spPr>
        <c:marker>
          <c:symbol val="none"/>
        </c:marker>
      </c:pivotFmt>
      <c:pivotFmt>
        <c:idx val="1304"/>
        <c:marker>
          <c:symbol val="none"/>
        </c:marker>
      </c:pivotFmt>
      <c:pivotFmt>
        <c:idx val="1305"/>
        <c:marker>
          <c:symbol val="none"/>
        </c:marker>
      </c:pivotFmt>
      <c:pivotFmt>
        <c:idx val="1306"/>
        <c:marker>
          <c:symbol val="none"/>
        </c:marker>
      </c:pivotFmt>
      <c:pivotFmt>
        <c:idx val="1307"/>
        <c:marker>
          <c:symbol val="none"/>
        </c:marker>
      </c:pivotFmt>
      <c:pivotFmt>
        <c:idx val="1308"/>
        <c:marker>
          <c:symbol val="none"/>
        </c:marker>
      </c:pivotFmt>
      <c:pivotFmt>
        <c:idx val="1309"/>
        <c:marker>
          <c:symbol val="none"/>
        </c:marker>
      </c:pivotFmt>
      <c:pivotFmt>
        <c:idx val="1310"/>
        <c:marker>
          <c:symbol val="none"/>
        </c:marker>
      </c:pivotFmt>
      <c:pivotFmt>
        <c:idx val="1311"/>
        <c:marker>
          <c:symbol val="none"/>
        </c:marker>
      </c:pivotFmt>
      <c:pivotFmt>
        <c:idx val="1312"/>
        <c:marker>
          <c:symbol val="none"/>
        </c:marker>
      </c:pivotFmt>
      <c:pivotFmt>
        <c:idx val="1313"/>
        <c:marker>
          <c:symbol val="none"/>
        </c:marker>
      </c:pivotFmt>
      <c:pivotFmt>
        <c:idx val="1314"/>
        <c:marker>
          <c:symbol val="none"/>
        </c:marker>
      </c:pivotFmt>
      <c:pivotFmt>
        <c:idx val="1315"/>
        <c:marker>
          <c:symbol val="none"/>
        </c:marker>
      </c:pivotFmt>
      <c:pivotFmt>
        <c:idx val="1316"/>
        <c:marker>
          <c:symbol val="none"/>
        </c:marker>
      </c:pivotFmt>
      <c:pivotFmt>
        <c:idx val="1317"/>
        <c:marker>
          <c:symbol val="none"/>
        </c:marker>
      </c:pivotFmt>
      <c:pivotFmt>
        <c:idx val="1318"/>
        <c:marker>
          <c:symbol val="none"/>
        </c:marker>
      </c:pivotFmt>
      <c:pivotFmt>
        <c:idx val="1319"/>
        <c:spPr>
          <a:ln>
            <a:solidFill>
              <a:srgbClr val="FF0000"/>
            </a:solidFill>
          </a:ln>
        </c:spPr>
        <c:marker>
          <c:symbol val="none"/>
        </c:marker>
      </c:pivotFmt>
      <c:pivotFmt>
        <c:idx val="1320"/>
        <c:marker>
          <c:symbol val="none"/>
        </c:marker>
      </c:pivotFmt>
      <c:pivotFmt>
        <c:idx val="1321"/>
        <c:spPr>
          <a:ln>
            <a:solidFill>
              <a:schemeClr val="tx1"/>
            </a:solidFill>
          </a:ln>
        </c:spPr>
        <c:marker>
          <c:symbol val="none"/>
        </c:marker>
      </c:pivotFmt>
      <c:pivotFmt>
        <c:idx val="1322"/>
        <c:marker>
          <c:symbol val="none"/>
        </c:marker>
      </c:pivotFmt>
      <c:pivotFmt>
        <c:idx val="1323"/>
        <c:marker>
          <c:symbol val="none"/>
        </c:marker>
      </c:pivotFmt>
      <c:pivotFmt>
        <c:idx val="1324"/>
        <c:marker>
          <c:symbol val="none"/>
        </c:marker>
      </c:pivotFmt>
      <c:pivotFmt>
        <c:idx val="1325"/>
        <c:marker>
          <c:symbol val="none"/>
        </c:marker>
      </c:pivotFmt>
      <c:pivotFmt>
        <c:idx val="1326"/>
        <c:marker>
          <c:symbol val="none"/>
        </c:marker>
      </c:pivotFmt>
      <c:pivotFmt>
        <c:idx val="1327"/>
        <c:marker>
          <c:symbol val="none"/>
        </c:marker>
      </c:pivotFmt>
      <c:pivotFmt>
        <c:idx val="1328"/>
        <c:marker>
          <c:symbol val="none"/>
        </c:marker>
      </c:pivotFmt>
      <c:pivotFmt>
        <c:idx val="1329"/>
        <c:marker>
          <c:symbol val="none"/>
        </c:marker>
      </c:pivotFmt>
      <c:pivotFmt>
        <c:idx val="1330"/>
        <c:marker>
          <c:symbol val="none"/>
        </c:marker>
      </c:pivotFmt>
      <c:pivotFmt>
        <c:idx val="1331"/>
        <c:marker>
          <c:symbol val="none"/>
        </c:marker>
      </c:pivotFmt>
      <c:pivotFmt>
        <c:idx val="1332"/>
        <c:marker>
          <c:symbol val="none"/>
        </c:marker>
      </c:pivotFmt>
      <c:pivotFmt>
        <c:idx val="1333"/>
        <c:marker>
          <c:symbol val="none"/>
        </c:marker>
      </c:pivotFmt>
      <c:pivotFmt>
        <c:idx val="1334"/>
        <c:marker>
          <c:symbol val="none"/>
        </c:marker>
      </c:pivotFmt>
      <c:pivotFmt>
        <c:idx val="1335"/>
        <c:marker>
          <c:symbol val="none"/>
        </c:marker>
      </c:pivotFmt>
      <c:pivotFmt>
        <c:idx val="1336"/>
        <c:marker>
          <c:symbol val="none"/>
        </c:marker>
      </c:pivotFmt>
      <c:pivotFmt>
        <c:idx val="1337"/>
        <c:marker>
          <c:symbol val="none"/>
        </c:marker>
      </c:pivotFmt>
      <c:pivotFmt>
        <c:idx val="1338"/>
        <c:marker>
          <c:symbol val="none"/>
        </c:marker>
      </c:pivotFmt>
      <c:pivotFmt>
        <c:idx val="1339"/>
        <c:spPr>
          <a:ln>
            <a:solidFill>
              <a:srgbClr val="FF0000"/>
            </a:solidFill>
          </a:ln>
        </c:spPr>
        <c:marker>
          <c:symbol val="none"/>
        </c:marker>
      </c:pivotFmt>
      <c:pivotFmt>
        <c:idx val="1340"/>
        <c:marker>
          <c:symbol val="none"/>
        </c:marker>
      </c:pivotFmt>
      <c:pivotFmt>
        <c:idx val="1341"/>
        <c:spPr>
          <a:ln>
            <a:solidFill>
              <a:schemeClr val="tx1"/>
            </a:solidFill>
          </a:ln>
        </c:spPr>
        <c:marker>
          <c:symbol val="none"/>
        </c:marker>
      </c:pivotFmt>
      <c:pivotFmt>
        <c:idx val="1342"/>
        <c:marker>
          <c:symbol val="none"/>
        </c:marker>
      </c:pivotFmt>
      <c:pivotFmt>
        <c:idx val="1343"/>
        <c:marker>
          <c:symbol val="none"/>
        </c:marker>
      </c:pivotFmt>
      <c:pivotFmt>
        <c:idx val="1344"/>
        <c:marker>
          <c:symbol val="none"/>
        </c:marker>
      </c:pivotFmt>
      <c:pivotFmt>
        <c:idx val="1345"/>
        <c:marker>
          <c:symbol val="none"/>
        </c:marker>
      </c:pivotFmt>
      <c:pivotFmt>
        <c:idx val="1346"/>
        <c:marker>
          <c:symbol val="none"/>
        </c:marker>
      </c:pivotFmt>
      <c:pivotFmt>
        <c:idx val="1347"/>
        <c:marker>
          <c:symbol val="none"/>
        </c:marker>
      </c:pivotFmt>
      <c:pivotFmt>
        <c:idx val="1348"/>
        <c:marker>
          <c:symbol val="none"/>
        </c:marker>
      </c:pivotFmt>
      <c:pivotFmt>
        <c:idx val="1349"/>
        <c:marker>
          <c:symbol val="none"/>
        </c:marker>
      </c:pivotFmt>
      <c:pivotFmt>
        <c:idx val="1350"/>
        <c:marker>
          <c:symbol val="none"/>
        </c:marker>
      </c:pivotFmt>
      <c:pivotFmt>
        <c:idx val="1351"/>
        <c:marker>
          <c:symbol val="none"/>
        </c:marker>
      </c:pivotFmt>
      <c:pivotFmt>
        <c:idx val="1352"/>
        <c:marker>
          <c:symbol val="none"/>
        </c:marker>
      </c:pivotFmt>
      <c:pivotFmt>
        <c:idx val="1353"/>
        <c:marker>
          <c:symbol val="none"/>
        </c:marker>
      </c:pivotFmt>
      <c:pivotFmt>
        <c:idx val="1354"/>
        <c:marker>
          <c:symbol val="none"/>
        </c:marker>
      </c:pivotFmt>
      <c:pivotFmt>
        <c:idx val="1355"/>
        <c:marker>
          <c:symbol val="none"/>
        </c:marker>
      </c:pivotFmt>
      <c:pivotFmt>
        <c:idx val="1356"/>
        <c:marker>
          <c:symbol val="none"/>
        </c:marker>
      </c:pivotFmt>
      <c:pivotFmt>
        <c:idx val="1357"/>
        <c:marker>
          <c:symbol val="none"/>
        </c:marker>
      </c:pivotFmt>
      <c:pivotFmt>
        <c:idx val="1358"/>
        <c:marker>
          <c:symbol val="none"/>
        </c:marker>
      </c:pivotFmt>
      <c:pivotFmt>
        <c:idx val="1359"/>
        <c:marker>
          <c:symbol val="none"/>
        </c:marker>
      </c:pivotFmt>
      <c:pivotFmt>
        <c:idx val="1360"/>
        <c:marker>
          <c:symbol val="none"/>
        </c:marker>
      </c:pivotFmt>
      <c:pivotFmt>
        <c:idx val="1361"/>
        <c:marker>
          <c:symbol val="none"/>
        </c:marker>
      </c:pivotFmt>
      <c:pivotFmt>
        <c:idx val="1362"/>
        <c:marker>
          <c:symbol val="none"/>
        </c:marker>
      </c:pivotFmt>
      <c:pivotFmt>
        <c:idx val="1363"/>
        <c:marker>
          <c:symbol val="none"/>
        </c:marker>
      </c:pivotFmt>
      <c:pivotFmt>
        <c:idx val="1364"/>
        <c:marker>
          <c:symbol val="none"/>
        </c:marker>
      </c:pivotFmt>
      <c:pivotFmt>
        <c:idx val="1365"/>
        <c:marker>
          <c:symbol val="none"/>
        </c:marker>
      </c:pivotFmt>
      <c:pivotFmt>
        <c:idx val="1366"/>
        <c:marker>
          <c:symbol val="none"/>
        </c:marker>
      </c:pivotFmt>
      <c:pivotFmt>
        <c:idx val="1367"/>
        <c:marker>
          <c:symbol val="none"/>
        </c:marker>
      </c:pivotFmt>
      <c:pivotFmt>
        <c:idx val="1368"/>
        <c:marker>
          <c:symbol val="none"/>
        </c:marker>
      </c:pivotFmt>
      <c:pivotFmt>
        <c:idx val="1369"/>
        <c:marker>
          <c:symbol val="none"/>
        </c:marker>
      </c:pivotFmt>
      <c:pivotFmt>
        <c:idx val="1370"/>
        <c:marker>
          <c:symbol val="none"/>
        </c:marker>
      </c:pivotFmt>
      <c:pivotFmt>
        <c:idx val="1371"/>
        <c:marker>
          <c:symbol val="none"/>
        </c:marker>
      </c:pivotFmt>
      <c:pivotFmt>
        <c:idx val="1372"/>
        <c:marker>
          <c:symbol val="none"/>
        </c:marker>
      </c:pivotFmt>
      <c:pivotFmt>
        <c:idx val="1373"/>
        <c:marker>
          <c:symbol val="none"/>
        </c:marker>
      </c:pivotFmt>
      <c:pivotFmt>
        <c:idx val="1374"/>
        <c:marker>
          <c:symbol val="none"/>
        </c:marker>
      </c:pivotFmt>
      <c:pivotFmt>
        <c:idx val="1375"/>
        <c:marker>
          <c:symbol val="none"/>
        </c:marker>
      </c:pivotFmt>
      <c:pivotFmt>
        <c:idx val="1376"/>
        <c:marker>
          <c:symbol val="none"/>
        </c:marker>
      </c:pivotFmt>
      <c:pivotFmt>
        <c:idx val="1377"/>
        <c:marker>
          <c:symbol val="none"/>
        </c:marker>
      </c:pivotFmt>
      <c:pivotFmt>
        <c:idx val="1378"/>
        <c:marker>
          <c:symbol val="none"/>
        </c:marker>
      </c:pivotFmt>
      <c:pivotFmt>
        <c:idx val="1379"/>
        <c:marker>
          <c:symbol val="none"/>
        </c:marker>
      </c:pivotFmt>
      <c:pivotFmt>
        <c:idx val="1380"/>
        <c:marker>
          <c:symbol val="none"/>
        </c:marker>
      </c:pivotFmt>
      <c:pivotFmt>
        <c:idx val="1381"/>
        <c:marker>
          <c:symbol val="none"/>
        </c:marker>
      </c:pivotFmt>
      <c:pivotFmt>
        <c:idx val="1382"/>
        <c:marker>
          <c:symbol val="none"/>
        </c:marker>
      </c:pivotFmt>
      <c:pivotFmt>
        <c:idx val="1383"/>
        <c:marker>
          <c:symbol val="none"/>
        </c:marker>
      </c:pivotFmt>
      <c:pivotFmt>
        <c:idx val="1384"/>
        <c:marker>
          <c:symbol val="none"/>
        </c:marker>
      </c:pivotFmt>
      <c:pivotFmt>
        <c:idx val="1385"/>
        <c:marker>
          <c:symbol val="none"/>
        </c:marker>
      </c:pivotFmt>
      <c:pivotFmt>
        <c:idx val="1386"/>
        <c:marker>
          <c:symbol val="none"/>
        </c:marker>
      </c:pivotFmt>
      <c:pivotFmt>
        <c:idx val="1387"/>
        <c:marker>
          <c:symbol val="none"/>
        </c:marker>
      </c:pivotFmt>
      <c:pivotFmt>
        <c:idx val="1388"/>
        <c:marker>
          <c:symbol val="none"/>
        </c:marker>
      </c:pivotFmt>
      <c:pivotFmt>
        <c:idx val="1389"/>
        <c:marker>
          <c:symbol val="none"/>
        </c:marker>
      </c:pivotFmt>
      <c:pivotFmt>
        <c:idx val="1390"/>
        <c:marker>
          <c:symbol val="none"/>
        </c:marker>
      </c:pivotFmt>
      <c:pivotFmt>
        <c:idx val="1391"/>
        <c:marker>
          <c:symbol val="none"/>
        </c:marker>
      </c:pivotFmt>
      <c:pivotFmt>
        <c:idx val="1392"/>
        <c:marker>
          <c:symbol val="none"/>
        </c:marker>
      </c:pivotFmt>
      <c:pivotFmt>
        <c:idx val="1393"/>
        <c:marker>
          <c:symbol val="none"/>
        </c:marker>
      </c:pivotFmt>
      <c:pivotFmt>
        <c:idx val="1394"/>
        <c:marker>
          <c:symbol val="none"/>
        </c:marker>
      </c:pivotFmt>
      <c:pivotFmt>
        <c:idx val="1395"/>
        <c:marker>
          <c:symbol val="none"/>
        </c:marker>
      </c:pivotFmt>
      <c:pivotFmt>
        <c:idx val="1396"/>
        <c:marker>
          <c:symbol val="none"/>
        </c:marker>
      </c:pivotFmt>
      <c:pivotFmt>
        <c:idx val="1397"/>
        <c:marker>
          <c:symbol val="none"/>
        </c:marker>
      </c:pivotFmt>
      <c:pivotFmt>
        <c:idx val="1398"/>
        <c:marker>
          <c:symbol val="none"/>
        </c:marker>
      </c:pivotFmt>
      <c:pivotFmt>
        <c:idx val="1399"/>
        <c:marker>
          <c:symbol val="none"/>
        </c:marker>
      </c:pivotFmt>
      <c:pivotFmt>
        <c:idx val="1400"/>
        <c:marker>
          <c:symbol val="none"/>
        </c:marker>
      </c:pivotFmt>
      <c:pivotFmt>
        <c:idx val="1401"/>
        <c:marker>
          <c:symbol val="none"/>
        </c:marker>
      </c:pivotFmt>
      <c:pivotFmt>
        <c:idx val="1402"/>
        <c:marker>
          <c:symbol val="none"/>
        </c:marker>
      </c:pivotFmt>
      <c:pivotFmt>
        <c:idx val="1403"/>
        <c:marker>
          <c:symbol val="none"/>
        </c:marker>
      </c:pivotFmt>
      <c:pivotFmt>
        <c:idx val="1404"/>
        <c:marker>
          <c:symbol val="none"/>
        </c:marker>
      </c:pivotFmt>
      <c:pivotFmt>
        <c:idx val="1405"/>
        <c:marker>
          <c:symbol val="none"/>
        </c:marker>
      </c:pivotFmt>
      <c:pivotFmt>
        <c:idx val="1406"/>
        <c:marker>
          <c:symbol val="none"/>
        </c:marker>
      </c:pivotFmt>
      <c:pivotFmt>
        <c:idx val="1407"/>
        <c:marker>
          <c:symbol val="none"/>
        </c:marker>
      </c:pivotFmt>
      <c:pivotFmt>
        <c:idx val="1408"/>
        <c:marker>
          <c:symbol val="none"/>
        </c:marker>
      </c:pivotFmt>
      <c:pivotFmt>
        <c:idx val="1409"/>
        <c:marker>
          <c:symbol val="none"/>
        </c:marker>
      </c:pivotFmt>
      <c:pivotFmt>
        <c:idx val="1410"/>
        <c:marker>
          <c:symbol val="none"/>
        </c:marker>
      </c:pivotFmt>
      <c:pivotFmt>
        <c:idx val="1411"/>
        <c:marker>
          <c:symbol val="none"/>
        </c:marker>
      </c:pivotFmt>
      <c:pivotFmt>
        <c:idx val="1412"/>
        <c:marker>
          <c:symbol val="none"/>
        </c:marker>
      </c:pivotFmt>
      <c:pivotFmt>
        <c:idx val="1413"/>
        <c:marker>
          <c:symbol val="none"/>
        </c:marker>
      </c:pivotFmt>
      <c:pivotFmt>
        <c:idx val="1414"/>
        <c:marker>
          <c:symbol val="none"/>
        </c:marker>
      </c:pivotFmt>
      <c:pivotFmt>
        <c:idx val="1415"/>
        <c:marker>
          <c:symbol val="none"/>
        </c:marker>
      </c:pivotFmt>
      <c:pivotFmt>
        <c:idx val="1416"/>
        <c:marker>
          <c:symbol val="none"/>
        </c:marker>
      </c:pivotFmt>
      <c:pivotFmt>
        <c:idx val="1417"/>
        <c:marker>
          <c:symbol val="none"/>
        </c:marker>
      </c:pivotFmt>
      <c:pivotFmt>
        <c:idx val="1418"/>
        <c:marker>
          <c:symbol val="none"/>
        </c:marker>
      </c:pivotFmt>
      <c:pivotFmt>
        <c:idx val="1419"/>
        <c:marker>
          <c:symbol val="none"/>
        </c:marker>
      </c:pivotFmt>
      <c:pivotFmt>
        <c:idx val="1420"/>
        <c:marker>
          <c:symbol val="none"/>
        </c:marker>
      </c:pivotFmt>
      <c:pivotFmt>
        <c:idx val="1421"/>
        <c:marker>
          <c:symbol val="none"/>
        </c:marker>
      </c:pivotFmt>
      <c:pivotFmt>
        <c:idx val="1422"/>
        <c:marker>
          <c:symbol val="none"/>
        </c:marker>
      </c:pivotFmt>
      <c:pivotFmt>
        <c:idx val="1423"/>
        <c:marker>
          <c:symbol val="none"/>
        </c:marker>
      </c:pivotFmt>
      <c:pivotFmt>
        <c:idx val="1424"/>
        <c:marker>
          <c:symbol val="none"/>
        </c:marker>
      </c:pivotFmt>
      <c:pivotFmt>
        <c:idx val="1425"/>
        <c:marker>
          <c:symbol val="none"/>
        </c:marker>
      </c:pivotFmt>
      <c:pivotFmt>
        <c:idx val="1426"/>
        <c:marker>
          <c:symbol val="none"/>
        </c:marker>
      </c:pivotFmt>
      <c:pivotFmt>
        <c:idx val="1427"/>
        <c:marker>
          <c:symbol val="none"/>
        </c:marker>
      </c:pivotFmt>
      <c:pivotFmt>
        <c:idx val="1428"/>
        <c:marker>
          <c:symbol val="none"/>
        </c:marker>
      </c:pivotFmt>
      <c:pivotFmt>
        <c:idx val="1429"/>
        <c:marker>
          <c:symbol val="none"/>
        </c:marker>
      </c:pivotFmt>
      <c:pivotFmt>
        <c:idx val="1430"/>
        <c:marker>
          <c:symbol val="none"/>
        </c:marker>
      </c:pivotFmt>
      <c:pivotFmt>
        <c:idx val="1431"/>
        <c:marker>
          <c:symbol val="none"/>
        </c:marker>
      </c:pivotFmt>
      <c:pivotFmt>
        <c:idx val="1432"/>
        <c:marker>
          <c:symbol val="none"/>
        </c:marker>
      </c:pivotFmt>
      <c:pivotFmt>
        <c:idx val="1433"/>
        <c:marker>
          <c:symbol val="none"/>
        </c:marker>
      </c:pivotFmt>
      <c:pivotFmt>
        <c:idx val="1434"/>
        <c:marker>
          <c:symbol val="none"/>
        </c:marker>
      </c:pivotFmt>
      <c:pivotFmt>
        <c:idx val="1435"/>
        <c:marker>
          <c:symbol val="none"/>
        </c:marker>
      </c:pivotFmt>
      <c:pivotFmt>
        <c:idx val="1436"/>
        <c:marker>
          <c:symbol val="none"/>
        </c:marker>
      </c:pivotFmt>
      <c:pivotFmt>
        <c:idx val="1437"/>
        <c:marker>
          <c:symbol val="none"/>
        </c:marker>
      </c:pivotFmt>
      <c:pivotFmt>
        <c:idx val="1438"/>
        <c:marker>
          <c:symbol val="none"/>
        </c:marker>
      </c:pivotFmt>
      <c:pivotFmt>
        <c:idx val="1439"/>
        <c:marker>
          <c:symbol val="none"/>
        </c:marker>
      </c:pivotFmt>
      <c:pivotFmt>
        <c:idx val="1440"/>
        <c:marker>
          <c:symbol val="none"/>
        </c:marker>
      </c:pivotFmt>
      <c:pivotFmt>
        <c:idx val="1441"/>
        <c:marker>
          <c:symbol val="none"/>
        </c:marker>
      </c:pivotFmt>
      <c:pivotFmt>
        <c:idx val="1442"/>
        <c:marker>
          <c:symbol val="none"/>
        </c:marker>
      </c:pivotFmt>
      <c:pivotFmt>
        <c:idx val="1443"/>
        <c:marker>
          <c:symbol val="none"/>
        </c:marker>
      </c:pivotFmt>
      <c:pivotFmt>
        <c:idx val="1444"/>
        <c:marker>
          <c:symbol val="none"/>
        </c:marker>
      </c:pivotFmt>
      <c:pivotFmt>
        <c:idx val="1445"/>
        <c:marker>
          <c:symbol val="none"/>
        </c:marker>
      </c:pivotFmt>
      <c:pivotFmt>
        <c:idx val="1446"/>
        <c:marker>
          <c:symbol val="none"/>
        </c:marker>
      </c:pivotFmt>
      <c:pivotFmt>
        <c:idx val="1447"/>
        <c:marker>
          <c:symbol val="none"/>
        </c:marker>
      </c:pivotFmt>
      <c:pivotFmt>
        <c:idx val="1448"/>
        <c:marker>
          <c:symbol val="none"/>
        </c:marker>
      </c:pivotFmt>
      <c:pivotFmt>
        <c:idx val="1449"/>
        <c:marker>
          <c:symbol val="none"/>
        </c:marker>
      </c:pivotFmt>
      <c:pivotFmt>
        <c:idx val="1450"/>
        <c:marker>
          <c:symbol val="none"/>
        </c:marker>
      </c:pivotFmt>
      <c:pivotFmt>
        <c:idx val="1451"/>
        <c:marker>
          <c:symbol val="none"/>
        </c:marker>
      </c:pivotFmt>
      <c:pivotFmt>
        <c:idx val="1452"/>
        <c:marker>
          <c:symbol val="none"/>
        </c:marker>
      </c:pivotFmt>
      <c:pivotFmt>
        <c:idx val="1453"/>
        <c:marker>
          <c:symbol val="none"/>
        </c:marker>
      </c:pivotFmt>
      <c:pivotFmt>
        <c:idx val="1454"/>
        <c:marker>
          <c:symbol val="none"/>
        </c:marker>
      </c:pivotFmt>
      <c:pivotFmt>
        <c:idx val="1455"/>
        <c:marker>
          <c:symbol val="none"/>
        </c:marker>
      </c:pivotFmt>
      <c:pivotFmt>
        <c:idx val="1456"/>
        <c:marker>
          <c:symbol val="none"/>
        </c:marker>
      </c:pivotFmt>
      <c:pivotFmt>
        <c:idx val="1457"/>
        <c:marker>
          <c:symbol val="none"/>
        </c:marker>
      </c:pivotFmt>
      <c:pivotFmt>
        <c:idx val="1458"/>
        <c:marker>
          <c:symbol val="none"/>
        </c:marker>
      </c:pivotFmt>
      <c:pivotFmt>
        <c:idx val="1459"/>
        <c:marker>
          <c:symbol val="none"/>
        </c:marker>
      </c:pivotFmt>
      <c:pivotFmt>
        <c:idx val="1460"/>
        <c:marker>
          <c:symbol val="none"/>
        </c:marker>
      </c:pivotFmt>
      <c:pivotFmt>
        <c:idx val="1461"/>
        <c:marker>
          <c:symbol val="none"/>
        </c:marker>
      </c:pivotFmt>
      <c:pivotFmt>
        <c:idx val="1462"/>
        <c:marker>
          <c:symbol val="none"/>
        </c:marker>
      </c:pivotFmt>
      <c:pivotFmt>
        <c:idx val="1463"/>
        <c:marker>
          <c:symbol val="none"/>
        </c:marker>
      </c:pivotFmt>
      <c:pivotFmt>
        <c:idx val="1464"/>
        <c:marker>
          <c:symbol val="none"/>
        </c:marker>
      </c:pivotFmt>
      <c:pivotFmt>
        <c:idx val="1465"/>
        <c:marker>
          <c:symbol val="none"/>
        </c:marker>
      </c:pivotFmt>
      <c:pivotFmt>
        <c:idx val="1466"/>
        <c:marker>
          <c:symbol val="none"/>
        </c:marker>
      </c:pivotFmt>
      <c:pivotFmt>
        <c:idx val="1467"/>
        <c:marker>
          <c:symbol val="none"/>
        </c:marker>
      </c:pivotFmt>
      <c:pivotFmt>
        <c:idx val="1468"/>
        <c:marker>
          <c:symbol val="none"/>
        </c:marker>
      </c:pivotFmt>
      <c:pivotFmt>
        <c:idx val="1469"/>
        <c:marker>
          <c:symbol val="none"/>
        </c:marker>
      </c:pivotFmt>
      <c:pivotFmt>
        <c:idx val="1470"/>
        <c:marker>
          <c:symbol val="none"/>
        </c:marker>
      </c:pivotFmt>
      <c:pivotFmt>
        <c:idx val="1471"/>
        <c:marker>
          <c:symbol val="none"/>
        </c:marker>
      </c:pivotFmt>
      <c:pivotFmt>
        <c:idx val="1472"/>
        <c:marker>
          <c:symbol val="none"/>
        </c:marker>
      </c:pivotFmt>
      <c:pivotFmt>
        <c:idx val="1473"/>
        <c:marker>
          <c:symbol val="none"/>
        </c:marker>
      </c:pivotFmt>
      <c:pivotFmt>
        <c:idx val="1474"/>
        <c:marker>
          <c:symbol val="none"/>
        </c:marker>
      </c:pivotFmt>
      <c:pivotFmt>
        <c:idx val="1475"/>
        <c:marker>
          <c:symbol val="none"/>
        </c:marker>
      </c:pivotFmt>
      <c:pivotFmt>
        <c:idx val="1476"/>
        <c:marker>
          <c:symbol val="none"/>
        </c:marker>
      </c:pivotFmt>
      <c:pivotFmt>
        <c:idx val="1477"/>
        <c:marker>
          <c:symbol val="none"/>
        </c:marker>
      </c:pivotFmt>
      <c:pivotFmt>
        <c:idx val="1478"/>
        <c:marker>
          <c:symbol val="none"/>
        </c:marker>
      </c:pivotFmt>
      <c:pivotFmt>
        <c:idx val="1479"/>
        <c:marker>
          <c:symbol val="none"/>
        </c:marker>
      </c:pivotFmt>
      <c:pivotFmt>
        <c:idx val="1480"/>
        <c:marker>
          <c:symbol val="none"/>
        </c:marker>
      </c:pivotFmt>
      <c:pivotFmt>
        <c:idx val="1481"/>
        <c:marker>
          <c:symbol val="none"/>
        </c:marker>
      </c:pivotFmt>
      <c:pivotFmt>
        <c:idx val="1482"/>
        <c:marker>
          <c:symbol val="none"/>
        </c:marker>
      </c:pivotFmt>
      <c:pivotFmt>
        <c:idx val="1483"/>
        <c:marker>
          <c:symbol val="none"/>
        </c:marker>
      </c:pivotFmt>
      <c:pivotFmt>
        <c:idx val="1484"/>
        <c:marker>
          <c:symbol val="none"/>
        </c:marker>
      </c:pivotFmt>
      <c:pivotFmt>
        <c:idx val="1485"/>
        <c:marker>
          <c:symbol val="none"/>
        </c:marker>
      </c:pivotFmt>
      <c:pivotFmt>
        <c:idx val="1486"/>
        <c:marker>
          <c:symbol val="none"/>
        </c:marker>
      </c:pivotFmt>
      <c:pivotFmt>
        <c:idx val="1487"/>
        <c:marker>
          <c:symbol val="none"/>
        </c:marker>
      </c:pivotFmt>
      <c:pivotFmt>
        <c:idx val="1488"/>
        <c:marker>
          <c:symbol val="none"/>
        </c:marker>
      </c:pivotFmt>
      <c:pivotFmt>
        <c:idx val="1489"/>
        <c:marker>
          <c:symbol val="none"/>
        </c:marker>
      </c:pivotFmt>
      <c:pivotFmt>
        <c:idx val="1490"/>
        <c:marker>
          <c:symbol val="none"/>
        </c:marker>
      </c:pivotFmt>
      <c:pivotFmt>
        <c:idx val="1491"/>
        <c:marker>
          <c:symbol val="none"/>
        </c:marker>
      </c:pivotFmt>
      <c:pivotFmt>
        <c:idx val="1492"/>
        <c:marker>
          <c:symbol val="none"/>
        </c:marker>
      </c:pivotFmt>
      <c:pivotFmt>
        <c:idx val="1493"/>
        <c:marker>
          <c:symbol val="none"/>
        </c:marker>
      </c:pivotFmt>
      <c:pivotFmt>
        <c:idx val="1494"/>
        <c:marker>
          <c:symbol val="none"/>
        </c:marker>
      </c:pivotFmt>
      <c:pivotFmt>
        <c:idx val="1495"/>
        <c:marker>
          <c:symbol val="none"/>
        </c:marker>
      </c:pivotFmt>
      <c:pivotFmt>
        <c:idx val="1496"/>
        <c:marker>
          <c:symbol val="none"/>
        </c:marker>
      </c:pivotFmt>
      <c:pivotFmt>
        <c:idx val="1497"/>
        <c:marker>
          <c:symbol val="none"/>
        </c:marker>
      </c:pivotFmt>
      <c:pivotFmt>
        <c:idx val="1498"/>
        <c:marker>
          <c:symbol val="none"/>
        </c:marker>
      </c:pivotFmt>
      <c:pivotFmt>
        <c:idx val="1499"/>
        <c:marker>
          <c:symbol val="none"/>
        </c:marker>
      </c:pivotFmt>
      <c:pivotFmt>
        <c:idx val="1500"/>
        <c:marker>
          <c:symbol val="none"/>
        </c:marker>
      </c:pivotFmt>
      <c:pivotFmt>
        <c:idx val="1501"/>
        <c:marker>
          <c:symbol val="none"/>
        </c:marker>
      </c:pivotFmt>
      <c:pivotFmt>
        <c:idx val="1502"/>
        <c:marker>
          <c:symbol val="none"/>
        </c:marker>
      </c:pivotFmt>
      <c:pivotFmt>
        <c:idx val="1503"/>
        <c:marker>
          <c:symbol val="none"/>
        </c:marker>
      </c:pivotFmt>
      <c:pivotFmt>
        <c:idx val="1504"/>
        <c:marker>
          <c:symbol val="none"/>
        </c:marker>
      </c:pivotFmt>
      <c:pivotFmt>
        <c:idx val="1505"/>
        <c:marker>
          <c:symbol val="none"/>
        </c:marker>
      </c:pivotFmt>
      <c:pivotFmt>
        <c:idx val="1506"/>
        <c:marker>
          <c:symbol val="none"/>
        </c:marker>
      </c:pivotFmt>
      <c:pivotFmt>
        <c:idx val="1507"/>
        <c:marker>
          <c:symbol val="none"/>
        </c:marker>
      </c:pivotFmt>
      <c:pivotFmt>
        <c:idx val="1508"/>
        <c:marker>
          <c:symbol val="none"/>
        </c:marker>
      </c:pivotFmt>
      <c:pivotFmt>
        <c:idx val="1509"/>
        <c:marker>
          <c:symbol val="none"/>
        </c:marker>
      </c:pivotFmt>
      <c:pivotFmt>
        <c:idx val="1510"/>
        <c:marker>
          <c:symbol val="none"/>
        </c:marker>
      </c:pivotFmt>
      <c:pivotFmt>
        <c:idx val="1511"/>
        <c:marker>
          <c:symbol val="none"/>
        </c:marker>
      </c:pivotFmt>
      <c:pivotFmt>
        <c:idx val="1512"/>
        <c:marker>
          <c:symbol val="none"/>
        </c:marker>
      </c:pivotFmt>
      <c:pivotFmt>
        <c:idx val="1513"/>
        <c:marker>
          <c:symbol val="none"/>
        </c:marker>
      </c:pivotFmt>
      <c:pivotFmt>
        <c:idx val="1514"/>
        <c:marker>
          <c:symbol val="none"/>
        </c:marker>
      </c:pivotFmt>
      <c:pivotFmt>
        <c:idx val="1515"/>
        <c:marker>
          <c:symbol val="none"/>
        </c:marker>
      </c:pivotFmt>
      <c:pivotFmt>
        <c:idx val="1516"/>
        <c:marker>
          <c:symbol val="none"/>
        </c:marker>
      </c:pivotFmt>
      <c:pivotFmt>
        <c:idx val="1517"/>
        <c:marker>
          <c:symbol val="none"/>
        </c:marker>
      </c:pivotFmt>
      <c:pivotFmt>
        <c:idx val="1518"/>
        <c:marker>
          <c:symbol val="none"/>
        </c:marker>
      </c:pivotFmt>
      <c:pivotFmt>
        <c:idx val="1519"/>
        <c:marker>
          <c:symbol val="none"/>
        </c:marker>
      </c:pivotFmt>
      <c:pivotFmt>
        <c:idx val="1520"/>
        <c:marker>
          <c:symbol val="none"/>
        </c:marker>
      </c:pivotFmt>
      <c:pivotFmt>
        <c:idx val="1521"/>
        <c:marker>
          <c:symbol val="none"/>
        </c:marker>
      </c:pivotFmt>
      <c:pivotFmt>
        <c:idx val="1522"/>
        <c:marker>
          <c:symbol val="none"/>
        </c:marker>
      </c:pivotFmt>
      <c:pivotFmt>
        <c:idx val="1523"/>
        <c:marker>
          <c:symbol val="none"/>
        </c:marker>
      </c:pivotFmt>
      <c:pivotFmt>
        <c:idx val="1524"/>
        <c:marker>
          <c:symbol val="none"/>
        </c:marker>
      </c:pivotFmt>
      <c:pivotFmt>
        <c:idx val="1525"/>
        <c:marker>
          <c:symbol val="none"/>
        </c:marker>
      </c:pivotFmt>
      <c:pivotFmt>
        <c:idx val="1526"/>
        <c:marker>
          <c:symbol val="none"/>
        </c:marker>
      </c:pivotFmt>
      <c:pivotFmt>
        <c:idx val="1527"/>
        <c:marker>
          <c:symbol val="none"/>
        </c:marker>
      </c:pivotFmt>
      <c:pivotFmt>
        <c:idx val="1528"/>
        <c:marker>
          <c:symbol val="none"/>
        </c:marker>
      </c:pivotFmt>
      <c:pivotFmt>
        <c:idx val="1529"/>
        <c:marker>
          <c:symbol val="none"/>
        </c:marker>
      </c:pivotFmt>
      <c:pivotFmt>
        <c:idx val="1530"/>
        <c:marker>
          <c:symbol val="none"/>
        </c:marker>
      </c:pivotFmt>
      <c:pivotFmt>
        <c:idx val="1531"/>
        <c:marker>
          <c:symbol val="none"/>
        </c:marker>
      </c:pivotFmt>
      <c:pivotFmt>
        <c:idx val="1532"/>
        <c:marker>
          <c:symbol val="none"/>
        </c:marker>
      </c:pivotFmt>
      <c:pivotFmt>
        <c:idx val="1533"/>
        <c:marker>
          <c:symbol val="none"/>
        </c:marker>
      </c:pivotFmt>
      <c:pivotFmt>
        <c:idx val="1534"/>
        <c:marker>
          <c:symbol val="none"/>
        </c:marker>
      </c:pivotFmt>
      <c:pivotFmt>
        <c:idx val="1535"/>
        <c:marker>
          <c:symbol val="none"/>
        </c:marker>
      </c:pivotFmt>
      <c:pivotFmt>
        <c:idx val="1536"/>
        <c:marker>
          <c:symbol val="none"/>
        </c:marker>
      </c:pivotFmt>
      <c:pivotFmt>
        <c:idx val="1537"/>
        <c:marker>
          <c:symbol val="none"/>
        </c:marker>
      </c:pivotFmt>
      <c:pivotFmt>
        <c:idx val="1538"/>
        <c:marker>
          <c:symbol val="none"/>
        </c:marker>
      </c:pivotFmt>
      <c:pivotFmt>
        <c:idx val="1539"/>
        <c:marker>
          <c:symbol val="none"/>
        </c:marker>
      </c:pivotFmt>
      <c:pivotFmt>
        <c:idx val="1540"/>
        <c:marker>
          <c:symbol val="none"/>
        </c:marker>
      </c:pivotFmt>
      <c:pivotFmt>
        <c:idx val="1541"/>
        <c:marker>
          <c:symbol val="none"/>
        </c:marker>
      </c:pivotFmt>
      <c:pivotFmt>
        <c:idx val="1542"/>
        <c:marker>
          <c:symbol val="none"/>
        </c:marker>
      </c:pivotFmt>
      <c:pivotFmt>
        <c:idx val="1543"/>
        <c:marker>
          <c:symbol val="none"/>
        </c:marker>
      </c:pivotFmt>
      <c:pivotFmt>
        <c:idx val="1544"/>
        <c:marker>
          <c:symbol val="none"/>
        </c:marker>
      </c:pivotFmt>
      <c:pivotFmt>
        <c:idx val="1545"/>
        <c:marker>
          <c:symbol val="none"/>
        </c:marker>
      </c:pivotFmt>
      <c:pivotFmt>
        <c:idx val="1546"/>
        <c:marker>
          <c:symbol val="none"/>
        </c:marker>
      </c:pivotFmt>
      <c:pivotFmt>
        <c:idx val="1547"/>
        <c:marker>
          <c:symbol val="none"/>
        </c:marker>
      </c:pivotFmt>
      <c:pivotFmt>
        <c:idx val="1548"/>
        <c:marker>
          <c:symbol val="none"/>
        </c:marker>
      </c:pivotFmt>
      <c:pivotFmt>
        <c:idx val="1549"/>
        <c:marker>
          <c:symbol val="none"/>
        </c:marker>
      </c:pivotFmt>
      <c:pivotFmt>
        <c:idx val="1550"/>
        <c:marker>
          <c:symbol val="none"/>
        </c:marker>
      </c:pivotFmt>
      <c:pivotFmt>
        <c:idx val="1551"/>
        <c:marker>
          <c:symbol val="none"/>
        </c:marker>
      </c:pivotFmt>
      <c:pivotFmt>
        <c:idx val="1552"/>
        <c:marker>
          <c:symbol val="none"/>
        </c:marker>
      </c:pivotFmt>
      <c:pivotFmt>
        <c:idx val="1553"/>
        <c:marker>
          <c:symbol val="none"/>
        </c:marker>
      </c:pivotFmt>
      <c:pivotFmt>
        <c:idx val="1554"/>
        <c:marker>
          <c:symbol val="none"/>
        </c:marker>
      </c:pivotFmt>
      <c:pivotFmt>
        <c:idx val="1555"/>
        <c:marker>
          <c:symbol val="none"/>
        </c:marker>
      </c:pivotFmt>
      <c:pivotFmt>
        <c:idx val="1556"/>
        <c:marker>
          <c:symbol val="none"/>
        </c:marker>
      </c:pivotFmt>
      <c:pivotFmt>
        <c:idx val="1557"/>
        <c:marker>
          <c:symbol val="none"/>
        </c:marker>
      </c:pivotFmt>
      <c:pivotFmt>
        <c:idx val="1558"/>
        <c:marker>
          <c:symbol val="none"/>
        </c:marker>
      </c:pivotFmt>
      <c:pivotFmt>
        <c:idx val="1559"/>
        <c:marker>
          <c:symbol val="none"/>
        </c:marker>
      </c:pivotFmt>
      <c:pivotFmt>
        <c:idx val="1560"/>
        <c:marker>
          <c:symbol val="none"/>
        </c:marker>
      </c:pivotFmt>
      <c:pivotFmt>
        <c:idx val="1561"/>
        <c:marker>
          <c:symbol val="none"/>
        </c:marker>
      </c:pivotFmt>
      <c:pivotFmt>
        <c:idx val="1562"/>
        <c:marker>
          <c:symbol val="none"/>
        </c:marker>
      </c:pivotFmt>
      <c:pivotFmt>
        <c:idx val="1563"/>
        <c:marker>
          <c:symbol val="none"/>
        </c:marker>
      </c:pivotFmt>
      <c:pivotFmt>
        <c:idx val="1564"/>
        <c:marker>
          <c:symbol val="none"/>
        </c:marker>
      </c:pivotFmt>
      <c:pivotFmt>
        <c:idx val="1565"/>
        <c:marker>
          <c:symbol val="none"/>
        </c:marker>
      </c:pivotFmt>
      <c:pivotFmt>
        <c:idx val="1566"/>
        <c:marker>
          <c:symbol val="none"/>
        </c:marker>
      </c:pivotFmt>
      <c:pivotFmt>
        <c:idx val="1567"/>
        <c:marker>
          <c:symbol val="none"/>
        </c:marker>
      </c:pivotFmt>
      <c:pivotFmt>
        <c:idx val="1568"/>
        <c:marker>
          <c:symbol val="none"/>
        </c:marker>
      </c:pivotFmt>
      <c:pivotFmt>
        <c:idx val="1569"/>
        <c:marker>
          <c:symbol val="none"/>
        </c:marker>
      </c:pivotFmt>
      <c:pivotFmt>
        <c:idx val="1570"/>
        <c:marker>
          <c:symbol val="none"/>
        </c:marker>
      </c:pivotFmt>
      <c:pivotFmt>
        <c:idx val="1571"/>
        <c:marker>
          <c:symbol val="none"/>
        </c:marker>
      </c:pivotFmt>
      <c:pivotFmt>
        <c:idx val="1572"/>
        <c:marker>
          <c:symbol val="none"/>
        </c:marker>
      </c:pivotFmt>
      <c:pivotFmt>
        <c:idx val="1573"/>
        <c:marker>
          <c:symbol val="none"/>
        </c:marker>
      </c:pivotFmt>
      <c:pivotFmt>
        <c:idx val="1574"/>
        <c:marker>
          <c:symbol val="none"/>
        </c:marker>
      </c:pivotFmt>
      <c:pivotFmt>
        <c:idx val="1575"/>
        <c:marker>
          <c:symbol val="none"/>
        </c:marker>
      </c:pivotFmt>
      <c:pivotFmt>
        <c:idx val="1576"/>
        <c:marker>
          <c:symbol val="none"/>
        </c:marker>
      </c:pivotFmt>
      <c:pivotFmt>
        <c:idx val="1577"/>
        <c:marker>
          <c:symbol val="none"/>
        </c:marker>
      </c:pivotFmt>
      <c:pivotFmt>
        <c:idx val="1578"/>
        <c:marker>
          <c:symbol val="none"/>
        </c:marker>
      </c:pivotFmt>
      <c:pivotFmt>
        <c:idx val="1579"/>
        <c:marker>
          <c:symbol val="none"/>
        </c:marker>
      </c:pivotFmt>
      <c:pivotFmt>
        <c:idx val="1580"/>
        <c:marker>
          <c:symbol val="none"/>
        </c:marker>
      </c:pivotFmt>
      <c:pivotFmt>
        <c:idx val="1581"/>
        <c:marker>
          <c:symbol val="none"/>
        </c:marker>
      </c:pivotFmt>
      <c:pivotFmt>
        <c:idx val="1582"/>
        <c:marker>
          <c:symbol val="none"/>
        </c:marker>
      </c:pivotFmt>
      <c:pivotFmt>
        <c:idx val="1583"/>
        <c:marker>
          <c:symbol val="none"/>
        </c:marker>
      </c:pivotFmt>
      <c:pivotFmt>
        <c:idx val="1584"/>
        <c:marker>
          <c:symbol val="none"/>
        </c:marker>
      </c:pivotFmt>
      <c:pivotFmt>
        <c:idx val="1585"/>
        <c:marker>
          <c:symbol val="none"/>
        </c:marker>
      </c:pivotFmt>
      <c:pivotFmt>
        <c:idx val="1586"/>
        <c:marker>
          <c:symbol val="none"/>
        </c:marker>
      </c:pivotFmt>
      <c:pivotFmt>
        <c:idx val="1587"/>
        <c:marker>
          <c:symbol val="none"/>
        </c:marker>
      </c:pivotFmt>
      <c:pivotFmt>
        <c:idx val="1588"/>
        <c:marker>
          <c:symbol val="none"/>
        </c:marker>
      </c:pivotFmt>
      <c:pivotFmt>
        <c:idx val="1589"/>
        <c:marker>
          <c:symbol val="none"/>
        </c:marker>
      </c:pivotFmt>
      <c:pivotFmt>
        <c:idx val="1590"/>
        <c:marker>
          <c:symbol val="none"/>
        </c:marker>
      </c:pivotFmt>
      <c:pivotFmt>
        <c:idx val="1591"/>
        <c:marker>
          <c:symbol val="none"/>
        </c:marker>
      </c:pivotFmt>
      <c:pivotFmt>
        <c:idx val="1592"/>
        <c:marker>
          <c:symbol val="none"/>
        </c:marker>
      </c:pivotFmt>
      <c:pivotFmt>
        <c:idx val="1593"/>
        <c:marker>
          <c:symbol val="none"/>
        </c:marker>
      </c:pivotFmt>
      <c:pivotFmt>
        <c:idx val="1594"/>
        <c:marker>
          <c:symbol val="none"/>
        </c:marker>
      </c:pivotFmt>
      <c:pivotFmt>
        <c:idx val="1595"/>
        <c:marker>
          <c:symbol val="none"/>
        </c:marker>
      </c:pivotFmt>
      <c:pivotFmt>
        <c:idx val="1596"/>
        <c:marker>
          <c:symbol val="none"/>
        </c:marker>
      </c:pivotFmt>
      <c:pivotFmt>
        <c:idx val="1597"/>
        <c:marker>
          <c:symbol val="none"/>
        </c:marker>
      </c:pivotFmt>
      <c:pivotFmt>
        <c:idx val="1598"/>
        <c:marker>
          <c:symbol val="none"/>
        </c:marker>
      </c:pivotFmt>
      <c:pivotFmt>
        <c:idx val="1599"/>
        <c:marker>
          <c:symbol val="none"/>
        </c:marker>
      </c:pivotFmt>
      <c:pivotFmt>
        <c:idx val="1600"/>
        <c:marker>
          <c:symbol val="none"/>
        </c:marker>
      </c:pivotFmt>
      <c:pivotFmt>
        <c:idx val="1601"/>
        <c:marker>
          <c:symbol val="none"/>
        </c:marker>
      </c:pivotFmt>
      <c:pivotFmt>
        <c:idx val="1602"/>
        <c:marker>
          <c:symbol val="none"/>
        </c:marker>
      </c:pivotFmt>
      <c:pivotFmt>
        <c:idx val="1603"/>
        <c:marker>
          <c:symbol val="none"/>
        </c:marker>
      </c:pivotFmt>
      <c:pivotFmt>
        <c:idx val="1604"/>
        <c:marker>
          <c:symbol val="none"/>
        </c:marker>
      </c:pivotFmt>
      <c:pivotFmt>
        <c:idx val="1605"/>
        <c:marker>
          <c:symbol val="none"/>
        </c:marker>
      </c:pivotFmt>
      <c:pivotFmt>
        <c:idx val="1606"/>
        <c:marker>
          <c:symbol val="none"/>
        </c:marker>
      </c:pivotFmt>
      <c:pivotFmt>
        <c:idx val="1607"/>
        <c:marker>
          <c:symbol val="none"/>
        </c:marker>
      </c:pivotFmt>
      <c:pivotFmt>
        <c:idx val="1608"/>
        <c:marker>
          <c:symbol val="none"/>
        </c:marker>
      </c:pivotFmt>
      <c:pivotFmt>
        <c:idx val="1609"/>
        <c:marker>
          <c:symbol val="none"/>
        </c:marker>
      </c:pivotFmt>
      <c:pivotFmt>
        <c:idx val="1610"/>
        <c:marker>
          <c:symbol val="none"/>
        </c:marker>
      </c:pivotFmt>
      <c:pivotFmt>
        <c:idx val="1611"/>
        <c:marker>
          <c:symbol val="none"/>
        </c:marker>
      </c:pivotFmt>
      <c:pivotFmt>
        <c:idx val="1612"/>
        <c:marker>
          <c:symbol val="none"/>
        </c:marker>
      </c:pivotFmt>
      <c:pivotFmt>
        <c:idx val="1613"/>
        <c:marker>
          <c:symbol val="none"/>
        </c:marker>
      </c:pivotFmt>
      <c:pivotFmt>
        <c:idx val="1614"/>
        <c:marker>
          <c:symbol val="none"/>
        </c:marker>
      </c:pivotFmt>
      <c:pivotFmt>
        <c:idx val="1615"/>
        <c:marker>
          <c:symbol val="none"/>
        </c:marker>
      </c:pivotFmt>
      <c:pivotFmt>
        <c:idx val="1616"/>
        <c:marker>
          <c:symbol val="none"/>
        </c:marker>
      </c:pivotFmt>
      <c:pivotFmt>
        <c:idx val="1617"/>
        <c:marker>
          <c:symbol val="none"/>
        </c:marker>
      </c:pivotFmt>
      <c:pivotFmt>
        <c:idx val="1618"/>
        <c:marker>
          <c:symbol val="none"/>
        </c:marker>
      </c:pivotFmt>
      <c:pivotFmt>
        <c:idx val="1619"/>
        <c:marker>
          <c:symbol val="none"/>
        </c:marker>
      </c:pivotFmt>
      <c:pivotFmt>
        <c:idx val="1620"/>
        <c:marker>
          <c:symbol val="none"/>
        </c:marker>
      </c:pivotFmt>
      <c:pivotFmt>
        <c:idx val="1621"/>
        <c:marker>
          <c:symbol val="none"/>
        </c:marker>
      </c:pivotFmt>
      <c:pivotFmt>
        <c:idx val="1622"/>
        <c:marker>
          <c:symbol val="none"/>
        </c:marker>
      </c:pivotFmt>
      <c:pivotFmt>
        <c:idx val="1623"/>
        <c:marker>
          <c:symbol val="none"/>
        </c:marker>
      </c:pivotFmt>
      <c:pivotFmt>
        <c:idx val="1624"/>
        <c:marker>
          <c:symbol val="none"/>
        </c:marker>
      </c:pivotFmt>
      <c:pivotFmt>
        <c:idx val="1625"/>
        <c:marker>
          <c:symbol val="none"/>
        </c:marker>
      </c:pivotFmt>
      <c:pivotFmt>
        <c:idx val="1626"/>
        <c:marker>
          <c:symbol val="none"/>
        </c:marker>
      </c:pivotFmt>
      <c:pivotFmt>
        <c:idx val="1627"/>
        <c:marker>
          <c:symbol val="none"/>
        </c:marker>
      </c:pivotFmt>
      <c:pivotFmt>
        <c:idx val="1628"/>
        <c:marker>
          <c:symbol val="none"/>
        </c:marker>
      </c:pivotFmt>
      <c:pivotFmt>
        <c:idx val="1629"/>
        <c:marker>
          <c:symbol val="none"/>
        </c:marker>
      </c:pivotFmt>
      <c:pivotFmt>
        <c:idx val="1630"/>
        <c:marker>
          <c:symbol val="none"/>
        </c:marker>
      </c:pivotFmt>
      <c:pivotFmt>
        <c:idx val="1631"/>
        <c:marker>
          <c:symbol val="none"/>
        </c:marker>
      </c:pivotFmt>
      <c:pivotFmt>
        <c:idx val="1632"/>
        <c:marker>
          <c:symbol val="none"/>
        </c:marker>
      </c:pivotFmt>
      <c:pivotFmt>
        <c:idx val="1633"/>
        <c:marker>
          <c:symbol val="none"/>
        </c:marker>
      </c:pivotFmt>
      <c:pivotFmt>
        <c:idx val="1634"/>
        <c:marker>
          <c:symbol val="none"/>
        </c:marker>
      </c:pivotFmt>
      <c:pivotFmt>
        <c:idx val="1635"/>
        <c:marker>
          <c:symbol val="none"/>
        </c:marker>
      </c:pivotFmt>
      <c:pivotFmt>
        <c:idx val="1636"/>
        <c:marker>
          <c:symbol val="none"/>
        </c:marker>
      </c:pivotFmt>
      <c:pivotFmt>
        <c:idx val="1637"/>
        <c:marker>
          <c:symbol val="none"/>
        </c:marker>
      </c:pivotFmt>
      <c:pivotFmt>
        <c:idx val="1638"/>
        <c:marker>
          <c:symbol val="none"/>
        </c:marker>
      </c:pivotFmt>
      <c:pivotFmt>
        <c:idx val="1639"/>
        <c:marker>
          <c:symbol val="none"/>
        </c:marker>
      </c:pivotFmt>
      <c:pivotFmt>
        <c:idx val="1640"/>
        <c:marker>
          <c:symbol val="none"/>
        </c:marker>
      </c:pivotFmt>
      <c:pivotFmt>
        <c:idx val="1641"/>
        <c:marker>
          <c:symbol val="none"/>
        </c:marker>
      </c:pivotFmt>
      <c:pivotFmt>
        <c:idx val="1642"/>
        <c:marker>
          <c:symbol val="none"/>
        </c:marker>
      </c:pivotFmt>
      <c:pivotFmt>
        <c:idx val="1643"/>
        <c:marker>
          <c:symbol val="none"/>
        </c:marker>
      </c:pivotFmt>
      <c:pivotFmt>
        <c:idx val="1644"/>
        <c:marker>
          <c:symbol val="none"/>
        </c:marker>
      </c:pivotFmt>
      <c:pivotFmt>
        <c:idx val="1645"/>
        <c:marker>
          <c:symbol val="none"/>
        </c:marker>
      </c:pivotFmt>
      <c:pivotFmt>
        <c:idx val="1646"/>
        <c:marker>
          <c:symbol val="none"/>
        </c:marker>
      </c:pivotFmt>
      <c:pivotFmt>
        <c:idx val="1647"/>
        <c:marker>
          <c:symbol val="none"/>
        </c:marker>
      </c:pivotFmt>
      <c:pivotFmt>
        <c:idx val="1648"/>
        <c:marker>
          <c:symbol val="none"/>
        </c:marker>
      </c:pivotFmt>
      <c:pivotFmt>
        <c:idx val="1649"/>
        <c:marker>
          <c:symbol val="none"/>
        </c:marker>
      </c:pivotFmt>
      <c:pivotFmt>
        <c:idx val="1650"/>
        <c:marker>
          <c:symbol val="none"/>
        </c:marker>
      </c:pivotFmt>
      <c:pivotFmt>
        <c:idx val="1651"/>
        <c:marker>
          <c:symbol val="none"/>
        </c:marker>
      </c:pivotFmt>
      <c:pivotFmt>
        <c:idx val="1652"/>
        <c:marker>
          <c:symbol val="none"/>
        </c:marker>
      </c:pivotFmt>
      <c:pivotFmt>
        <c:idx val="1653"/>
        <c:marker>
          <c:symbol val="none"/>
        </c:marker>
      </c:pivotFmt>
      <c:pivotFmt>
        <c:idx val="1654"/>
        <c:marker>
          <c:symbol val="none"/>
        </c:marker>
      </c:pivotFmt>
      <c:pivotFmt>
        <c:idx val="1655"/>
        <c:marker>
          <c:symbol val="none"/>
        </c:marker>
      </c:pivotFmt>
      <c:pivotFmt>
        <c:idx val="1656"/>
        <c:marker>
          <c:symbol val="none"/>
        </c:marker>
      </c:pivotFmt>
      <c:pivotFmt>
        <c:idx val="1657"/>
        <c:marker>
          <c:symbol val="none"/>
        </c:marker>
      </c:pivotFmt>
      <c:pivotFmt>
        <c:idx val="1658"/>
        <c:marker>
          <c:symbol val="none"/>
        </c:marker>
      </c:pivotFmt>
      <c:pivotFmt>
        <c:idx val="1659"/>
        <c:marker>
          <c:symbol val="none"/>
        </c:marker>
      </c:pivotFmt>
      <c:pivotFmt>
        <c:idx val="1660"/>
        <c:marker>
          <c:symbol val="none"/>
        </c:marker>
      </c:pivotFmt>
      <c:pivotFmt>
        <c:idx val="1661"/>
        <c:marker>
          <c:symbol val="none"/>
        </c:marker>
      </c:pivotFmt>
      <c:pivotFmt>
        <c:idx val="1662"/>
        <c:marker>
          <c:symbol val="none"/>
        </c:marker>
      </c:pivotFmt>
      <c:pivotFmt>
        <c:idx val="1663"/>
        <c:marker>
          <c:symbol val="none"/>
        </c:marker>
      </c:pivotFmt>
      <c:pivotFmt>
        <c:idx val="1664"/>
        <c:marker>
          <c:symbol val="none"/>
        </c:marker>
      </c:pivotFmt>
      <c:pivotFmt>
        <c:idx val="1665"/>
        <c:marker>
          <c:symbol val="none"/>
        </c:marker>
      </c:pivotFmt>
      <c:pivotFmt>
        <c:idx val="1666"/>
        <c:marker>
          <c:symbol val="none"/>
        </c:marker>
      </c:pivotFmt>
      <c:pivotFmt>
        <c:idx val="1667"/>
        <c:marker>
          <c:symbol val="none"/>
        </c:marker>
      </c:pivotFmt>
      <c:pivotFmt>
        <c:idx val="1668"/>
        <c:marker>
          <c:symbol val="none"/>
        </c:marker>
      </c:pivotFmt>
      <c:pivotFmt>
        <c:idx val="1669"/>
        <c:marker>
          <c:symbol val="none"/>
        </c:marker>
      </c:pivotFmt>
      <c:pivotFmt>
        <c:idx val="1670"/>
        <c:marker>
          <c:symbol val="none"/>
        </c:marker>
      </c:pivotFmt>
      <c:pivotFmt>
        <c:idx val="1671"/>
        <c:marker>
          <c:symbol val="none"/>
        </c:marker>
      </c:pivotFmt>
      <c:pivotFmt>
        <c:idx val="1672"/>
        <c:marker>
          <c:symbol val="none"/>
        </c:marker>
      </c:pivotFmt>
      <c:pivotFmt>
        <c:idx val="1673"/>
        <c:marker>
          <c:symbol val="none"/>
        </c:marker>
      </c:pivotFmt>
      <c:pivotFmt>
        <c:idx val="1674"/>
        <c:marker>
          <c:symbol val="none"/>
        </c:marker>
      </c:pivotFmt>
      <c:pivotFmt>
        <c:idx val="1675"/>
        <c:marker>
          <c:symbol val="none"/>
        </c:marker>
      </c:pivotFmt>
      <c:pivotFmt>
        <c:idx val="1676"/>
        <c:marker>
          <c:symbol val="none"/>
        </c:marker>
      </c:pivotFmt>
      <c:pivotFmt>
        <c:idx val="1677"/>
        <c:marker>
          <c:symbol val="none"/>
        </c:marker>
      </c:pivotFmt>
      <c:pivotFmt>
        <c:idx val="1678"/>
        <c:marker>
          <c:symbol val="none"/>
        </c:marker>
      </c:pivotFmt>
      <c:pivotFmt>
        <c:idx val="1679"/>
        <c:marker>
          <c:symbol val="none"/>
        </c:marker>
      </c:pivotFmt>
      <c:pivotFmt>
        <c:idx val="1680"/>
        <c:marker>
          <c:symbol val="none"/>
        </c:marker>
      </c:pivotFmt>
      <c:pivotFmt>
        <c:idx val="1681"/>
        <c:marker>
          <c:symbol val="none"/>
        </c:marker>
      </c:pivotFmt>
      <c:pivotFmt>
        <c:idx val="1682"/>
        <c:marker>
          <c:symbol val="none"/>
        </c:marker>
      </c:pivotFmt>
      <c:pivotFmt>
        <c:idx val="1683"/>
        <c:marker>
          <c:symbol val="none"/>
        </c:marker>
      </c:pivotFmt>
      <c:pivotFmt>
        <c:idx val="1684"/>
        <c:marker>
          <c:symbol val="none"/>
        </c:marker>
      </c:pivotFmt>
      <c:pivotFmt>
        <c:idx val="1685"/>
        <c:marker>
          <c:symbol val="none"/>
        </c:marker>
      </c:pivotFmt>
      <c:pivotFmt>
        <c:idx val="1686"/>
        <c:marker>
          <c:symbol val="none"/>
        </c:marker>
      </c:pivotFmt>
      <c:pivotFmt>
        <c:idx val="1687"/>
        <c:marker>
          <c:symbol val="none"/>
        </c:marker>
      </c:pivotFmt>
      <c:pivotFmt>
        <c:idx val="1688"/>
        <c:marker>
          <c:symbol val="none"/>
        </c:marker>
      </c:pivotFmt>
      <c:pivotFmt>
        <c:idx val="1689"/>
        <c:marker>
          <c:symbol val="none"/>
        </c:marker>
      </c:pivotFmt>
      <c:pivotFmt>
        <c:idx val="1690"/>
        <c:marker>
          <c:symbol val="none"/>
        </c:marker>
      </c:pivotFmt>
      <c:pivotFmt>
        <c:idx val="1691"/>
        <c:marker>
          <c:symbol val="none"/>
        </c:marker>
      </c:pivotFmt>
      <c:pivotFmt>
        <c:idx val="1692"/>
        <c:marker>
          <c:symbol val="none"/>
        </c:marker>
      </c:pivotFmt>
      <c:pivotFmt>
        <c:idx val="1693"/>
        <c:marker>
          <c:symbol val="none"/>
        </c:marker>
      </c:pivotFmt>
      <c:pivotFmt>
        <c:idx val="1694"/>
        <c:marker>
          <c:symbol val="none"/>
        </c:marker>
      </c:pivotFmt>
      <c:pivotFmt>
        <c:idx val="1695"/>
        <c:marker>
          <c:symbol val="none"/>
        </c:marker>
      </c:pivotFmt>
      <c:pivotFmt>
        <c:idx val="1696"/>
        <c:marker>
          <c:symbol val="none"/>
        </c:marker>
      </c:pivotFmt>
      <c:pivotFmt>
        <c:idx val="1697"/>
        <c:marker>
          <c:symbol val="none"/>
        </c:marker>
      </c:pivotFmt>
      <c:pivotFmt>
        <c:idx val="1698"/>
        <c:marker>
          <c:symbol val="none"/>
        </c:marker>
      </c:pivotFmt>
      <c:pivotFmt>
        <c:idx val="1699"/>
        <c:marker>
          <c:symbol val="none"/>
        </c:marker>
      </c:pivotFmt>
      <c:pivotFmt>
        <c:idx val="1700"/>
        <c:marker>
          <c:symbol val="none"/>
        </c:marker>
      </c:pivotFmt>
      <c:pivotFmt>
        <c:idx val="1701"/>
        <c:marker>
          <c:symbol val="none"/>
        </c:marker>
      </c:pivotFmt>
      <c:pivotFmt>
        <c:idx val="1702"/>
        <c:marker>
          <c:symbol val="none"/>
        </c:marker>
      </c:pivotFmt>
      <c:pivotFmt>
        <c:idx val="1703"/>
        <c:marker>
          <c:symbol val="none"/>
        </c:marker>
      </c:pivotFmt>
      <c:pivotFmt>
        <c:idx val="1704"/>
        <c:marker>
          <c:symbol val="none"/>
        </c:marker>
      </c:pivotFmt>
      <c:pivotFmt>
        <c:idx val="1705"/>
        <c:marker>
          <c:symbol val="none"/>
        </c:marker>
      </c:pivotFmt>
      <c:pivotFmt>
        <c:idx val="1706"/>
        <c:marker>
          <c:symbol val="none"/>
        </c:marker>
      </c:pivotFmt>
      <c:pivotFmt>
        <c:idx val="1707"/>
        <c:marker>
          <c:symbol val="none"/>
        </c:marker>
      </c:pivotFmt>
      <c:pivotFmt>
        <c:idx val="1708"/>
        <c:marker>
          <c:symbol val="none"/>
        </c:marker>
      </c:pivotFmt>
      <c:pivotFmt>
        <c:idx val="1709"/>
        <c:marker>
          <c:symbol val="none"/>
        </c:marker>
      </c:pivotFmt>
      <c:pivotFmt>
        <c:idx val="1710"/>
        <c:marker>
          <c:symbol val="none"/>
        </c:marker>
      </c:pivotFmt>
      <c:pivotFmt>
        <c:idx val="1711"/>
        <c:marker>
          <c:symbol val="none"/>
        </c:marker>
      </c:pivotFmt>
      <c:pivotFmt>
        <c:idx val="1712"/>
        <c:marker>
          <c:symbol val="none"/>
        </c:marker>
      </c:pivotFmt>
      <c:pivotFmt>
        <c:idx val="1713"/>
        <c:marker>
          <c:symbol val="none"/>
        </c:marker>
      </c:pivotFmt>
      <c:pivotFmt>
        <c:idx val="1714"/>
        <c:marker>
          <c:symbol val="none"/>
        </c:marker>
      </c:pivotFmt>
      <c:pivotFmt>
        <c:idx val="1715"/>
        <c:marker>
          <c:symbol val="none"/>
        </c:marker>
      </c:pivotFmt>
      <c:pivotFmt>
        <c:idx val="1716"/>
        <c:marker>
          <c:symbol val="none"/>
        </c:marker>
      </c:pivotFmt>
      <c:pivotFmt>
        <c:idx val="1717"/>
        <c:marker>
          <c:symbol val="none"/>
        </c:marker>
      </c:pivotFmt>
      <c:pivotFmt>
        <c:idx val="1718"/>
        <c:marker>
          <c:symbol val="none"/>
        </c:marker>
      </c:pivotFmt>
      <c:pivotFmt>
        <c:idx val="1719"/>
        <c:marker>
          <c:symbol val="none"/>
        </c:marker>
      </c:pivotFmt>
      <c:pivotFmt>
        <c:idx val="1720"/>
        <c:marker>
          <c:symbol val="none"/>
        </c:marker>
      </c:pivotFmt>
      <c:pivotFmt>
        <c:idx val="1721"/>
        <c:marker>
          <c:symbol val="none"/>
        </c:marker>
      </c:pivotFmt>
      <c:pivotFmt>
        <c:idx val="1722"/>
        <c:marker>
          <c:symbol val="none"/>
        </c:marker>
      </c:pivotFmt>
      <c:pivotFmt>
        <c:idx val="1723"/>
        <c:marker>
          <c:symbol val="none"/>
        </c:marker>
      </c:pivotFmt>
      <c:pivotFmt>
        <c:idx val="1724"/>
        <c:marker>
          <c:symbol val="none"/>
        </c:marker>
      </c:pivotFmt>
      <c:pivotFmt>
        <c:idx val="1725"/>
        <c:marker>
          <c:symbol val="none"/>
        </c:marker>
      </c:pivotFmt>
      <c:pivotFmt>
        <c:idx val="1726"/>
        <c:marker>
          <c:symbol val="none"/>
        </c:marker>
      </c:pivotFmt>
      <c:pivotFmt>
        <c:idx val="1727"/>
        <c:marker>
          <c:symbol val="none"/>
        </c:marker>
      </c:pivotFmt>
      <c:pivotFmt>
        <c:idx val="1728"/>
        <c:marker>
          <c:symbol val="none"/>
        </c:marker>
      </c:pivotFmt>
      <c:pivotFmt>
        <c:idx val="1729"/>
        <c:marker>
          <c:symbol val="none"/>
        </c:marker>
      </c:pivotFmt>
      <c:pivotFmt>
        <c:idx val="1730"/>
        <c:marker>
          <c:symbol val="none"/>
        </c:marker>
      </c:pivotFmt>
      <c:pivotFmt>
        <c:idx val="1731"/>
        <c:marker>
          <c:symbol val="none"/>
        </c:marker>
      </c:pivotFmt>
      <c:pivotFmt>
        <c:idx val="1732"/>
        <c:marker>
          <c:symbol val="none"/>
        </c:marker>
      </c:pivotFmt>
      <c:pivotFmt>
        <c:idx val="1733"/>
        <c:marker>
          <c:symbol val="none"/>
        </c:marker>
      </c:pivotFmt>
      <c:pivotFmt>
        <c:idx val="1734"/>
        <c:marker>
          <c:symbol val="none"/>
        </c:marker>
      </c:pivotFmt>
      <c:pivotFmt>
        <c:idx val="1735"/>
        <c:marker>
          <c:symbol val="none"/>
        </c:marker>
      </c:pivotFmt>
      <c:pivotFmt>
        <c:idx val="1736"/>
        <c:marker>
          <c:symbol val="none"/>
        </c:marker>
      </c:pivotFmt>
      <c:pivotFmt>
        <c:idx val="1737"/>
        <c:marker>
          <c:symbol val="none"/>
        </c:marker>
      </c:pivotFmt>
      <c:pivotFmt>
        <c:idx val="1738"/>
        <c:marker>
          <c:symbol val="none"/>
        </c:marker>
      </c:pivotFmt>
      <c:pivotFmt>
        <c:idx val="1739"/>
        <c:marker>
          <c:symbol val="none"/>
        </c:marker>
      </c:pivotFmt>
      <c:pivotFmt>
        <c:idx val="1740"/>
        <c:marker>
          <c:symbol val="none"/>
        </c:marker>
      </c:pivotFmt>
      <c:pivotFmt>
        <c:idx val="1741"/>
        <c:marker>
          <c:symbol val="none"/>
        </c:marker>
      </c:pivotFmt>
      <c:pivotFmt>
        <c:idx val="1742"/>
        <c:marker>
          <c:symbol val="none"/>
        </c:marker>
      </c:pivotFmt>
      <c:pivotFmt>
        <c:idx val="1743"/>
        <c:marker>
          <c:symbol val="none"/>
        </c:marker>
      </c:pivotFmt>
      <c:pivotFmt>
        <c:idx val="1744"/>
        <c:marker>
          <c:symbol val="none"/>
        </c:marker>
      </c:pivotFmt>
      <c:pivotFmt>
        <c:idx val="1745"/>
        <c:marker>
          <c:symbol val="none"/>
        </c:marker>
      </c:pivotFmt>
      <c:pivotFmt>
        <c:idx val="1746"/>
        <c:marker>
          <c:symbol val="none"/>
        </c:marker>
      </c:pivotFmt>
      <c:pivotFmt>
        <c:idx val="1747"/>
        <c:marker>
          <c:symbol val="none"/>
        </c:marker>
      </c:pivotFmt>
      <c:pivotFmt>
        <c:idx val="1748"/>
        <c:marker>
          <c:symbol val="none"/>
        </c:marker>
      </c:pivotFmt>
      <c:pivotFmt>
        <c:idx val="1749"/>
        <c:marker>
          <c:symbol val="none"/>
        </c:marker>
      </c:pivotFmt>
      <c:pivotFmt>
        <c:idx val="1750"/>
        <c:marker>
          <c:symbol val="none"/>
        </c:marker>
      </c:pivotFmt>
      <c:pivotFmt>
        <c:idx val="1751"/>
        <c:marker>
          <c:symbol val="none"/>
        </c:marker>
      </c:pivotFmt>
      <c:pivotFmt>
        <c:idx val="1752"/>
        <c:marker>
          <c:symbol val="none"/>
        </c:marker>
      </c:pivotFmt>
      <c:pivotFmt>
        <c:idx val="1753"/>
        <c:marker>
          <c:symbol val="none"/>
        </c:marker>
      </c:pivotFmt>
      <c:pivotFmt>
        <c:idx val="1754"/>
        <c:marker>
          <c:symbol val="none"/>
        </c:marker>
      </c:pivotFmt>
      <c:pivotFmt>
        <c:idx val="1755"/>
        <c:marker>
          <c:symbol val="none"/>
        </c:marker>
      </c:pivotFmt>
      <c:pivotFmt>
        <c:idx val="1756"/>
        <c:marker>
          <c:symbol val="none"/>
        </c:marker>
      </c:pivotFmt>
      <c:pivotFmt>
        <c:idx val="1757"/>
        <c:marker>
          <c:symbol val="none"/>
        </c:marker>
      </c:pivotFmt>
      <c:pivotFmt>
        <c:idx val="1758"/>
        <c:marker>
          <c:symbol val="none"/>
        </c:marker>
      </c:pivotFmt>
      <c:pivotFmt>
        <c:idx val="1759"/>
        <c:marker>
          <c:symbol val="none"/>
        </c:marker>
      </c:pivotFmt>
      <c:pivotFmt>
        <c:idx val="1760"/>
        <c:marker>
          <c:symbol val="none"/>
        </c:marker>
      </c:pivotFmt>
      <c:pivotFmt>
        <c:idx val="1761"/>
        <c:marker>
          <c:symbol val="none"/>
        </c:marker>
      </c:pivotFmt>
      <c:pivotFmt>
        <c:idx val="1762"/>
        <c:marker>
          <c:symbol val="none"/>
        </c:marker>
      </c:pivotFmt>
      <c:pivotFmt>
        <c:idx val="1763"/>
        <c:marker>
          <c:symbol val="none"/>
        </c:marker>
      </c:pivotFmt>
      <c:pivotFmt>
        <c:idx val="1764"/>
        <c:marker>
          <c:symbol val="none"/>
        </c:marker>
      </c:pivotFmt>
      <c:pivotFmt>
        <c:idx val="1765"/>
        <c:marker>
          <c:symbol val="none"/>
        </c:marker>
      </c:pivotFmt>
      <c:pivotFmt>
        <c:idx val="1766"/>
        <c:marker>
          <c:symbol val="none"/>
        </c:marker>
      </c:pivotFmt>
      <c:pivotFmt>
        <c:idx val="1767"/>
        <c:marker>
          <c:symbol val="none"/>
        </c:marker>
      </c:pivotFmt>
      <c:pivotFmt>
        <c:idx val="1768"/>
        <c:marker>
          <c:symbol val="none"/>
        </c:marker>
      </c:pivotFmt>
      <c:pivotFmt>
        <c:idx val="1769"/>
        <c:marker>
          <c:symbol val="none"/>
        </c:marker>
      </c:pivotFmt>
      <c:pivotFmt>
        <c:idx val="1770"/>
        <c:marker>
          <c:symbol val="none"/>
        </c:marker>
      </c:pivotFmt>
      <c:pivotFmt>
        <c:idx val="1771"/>
        <c:marker>
          <c:symbol val="none"/>
        </c:marker>
      </c:pivotFmt>
      <c:pivotFmt>
        <c:idx val="1772"/>
        <c:marker>
          <c:symbol val="none"/>
        </c:marker>
      </c:pivotFmt>
      <c:pivotFmt>
        <c:idx val="1773"/>
        <c:marker>
          <c:symbol val="none"/>
        </c:marker>
      </c:pivotFmt>
      <c:pivotFmt>
        <c:idx val="1774"/>
        <c:marker>
          <c:symbol val="none"/>
        </c:marker>
      </c:pivotFmt>
      <c:pivotFmt>
        <c:idx val="1775"/>
        <c:marker>
          <c:symbol val="none"/>
        </c:marker>
      </c:pivotFmt>
      <c:pivotFmt>
        <c:idx val="1776"/>
        <c:marker>
          <c:symbol val="none"/>
        </c:marker>
      </c:pivotFmt>
      <c:pivotFmt>
        <c:idx val="1777"/>
        <c:marker>
          <c:symbol val="none"/>
        </c:marker>
      </c:pivotFmt>
      <c:pivotFmt>
        <c:idx val="1778"/>
        <c:marker>
          <c:symbol val="none"/>
        </c:marker>
      </c:pivotFmt>
      <c:pivotFmt>
        <c:idx val="1779"/>
        <c:marker>
          <c:symbol val="none"/>
        </c:marker>
      </c:pivotFmt>
      <c:pivotFmt>
        <c:idx val="1780"/>
        <c:marker>
          <c:symbol val="none"/>
        </c:marker>
      </c:pivotFmt>
      <c:pivotFmt>
        <c:idx val="1781"/>
        <c:marker>
          <c:symbol val="none"/>
        </c:marker>
      </c:pivotFmt>
      <c:pivotFmt>
        <c:idx val="1782"/>
        <c:marker>
          <c:symbol val="none"/>
        </c:marker>
      </c:pivotFmt>
      <c:pivotFmt>
        <c:idx val="1783"/>
        <c:marker>
          <c:symbol val="none"/>
        </c:marker>
      </c:pivotFmt>
      <c:pivotFmt>
        <c:idx val="1784"/>
        <c:marker>
          <c:symbol val="none"/>
        </c:marker>
      </c:pivotFmt>
      <c:pivotFmt>
        <c:idx val="1785"/>
        <c:marker>
          <c:symbol val="none"/>
        </c:marker>
      </c:pivotFmt>
      <c:pivotFmt>
        <c:idx val="1786"/>
        <c:marker>
          <c:symbol val="none"/>
        </c:marker>
      </c:pivotFmt>
      <c:pivotFmt>
        <c:idx val="1787"/>
        <c:marker>
          <c:symbol val="none"/>
        </c:marker>
      </c:pivotFmt>
      <c:pivotFmt>
        <c:idx val="1788"/>
        <c:marker>
          <c:symbol val="none"/>
        </c:marker>
      </c:pivotFmt>
      <c:pivotFmt>
        <c:idx val="1789"/>
        <c:marker>
          <c:symbol val="none"/>
        </c:marker>
      </c:pivotFmt>
      <c:pivotFmt>
        <c:idx val="1790"/>
        <c:marker>
          <c:symbol val="none"/>
        </c:marker>
      </c:pivotFmt>
      <c:pivotFmt>
        <c:idx val="1791"/>
        <c:marker>
          <c:symbol val="none"/>
        </c:marker>
      </c:pivotFmt>
      <c:pivotFmt>
        <c:idx val="1792"/>
        <c:marker>
          <c:symbol val="none"/>
        </c:marker>
      </c:pivotFmt>
      <c:pivotFmt>
        <c:idx val="1793"/>
        <c:marker>
          <c:symbol val="none"/>
        </c:marker>
      </c:pivotFmt>
      <c:pivotFmt>
        <c:idx val="1794"/>
        <c:marker>
          <c:symbol val="none"/>
        </c:marker>
      </c:pivotFmt>
      <c:pivotFmt>
        <c:idx val="1795"/>
        <c:marker>
          <c:symbol val="none"/>
        </c:marker>
      </c:pivotFmt>
      <c:pivotFmt>
        <c:idx val="1796"/>
        <c:marker>
          <c:symbol val="none"/>
        </c:marker>
      </c:pivotFmt>
      <c:pivotFmt>
        <c:idx val="1797"/>
        <c:marker>
          <c:symbol val="none"/>
        </c:marker>
      </c:pivotFmt>
      <c:pivotFmt>
        <c:idx val="1798"/>
        <c:marker>
          <c:symbol val="none"/>
        </c:marker>
      </c:pivotFmt>
      <c:pivotFmt>
        <c:idx val="1799"/>
        <c:marker>
          <c:symbol val="none"/>
        </c:marker>
      </c:pivotFmt>
      <c:pivotFmt>
        <c:idx val="1800"/>
        <c:marker>
          <c:symbol val="none"/>
        </c:marker>
      </c:pivotFmt>
      <c:pivotFmt>
        <c:idx val="1801"/>
        <c:marker>
          <c:symbol val="none"/>
        </c:marker>
      </c:pivotFmt>
      <c:pivotFmt>
        <c:idx val="1802"/>
        <c:marker>
          <c:symbol val="none"/>
        </c:marker>
      </c:pivotFmt>
      <c:pivotFmt>
        <c:idx val="1803"/>
        <c:marker>
          <c:symbol val="none"/>
        </c:marker>
      </c:pivotFmt>
      <c:pivotFmt>
        <c:idx val="1804"/>
        <c:marker>
          <c:symbol val="none"/>
        </c:marker>
      </c:pivotFmt>
      <c:pivotFmt>
        <c:idx val="1805"/>
        <c:marker>
          <c:symbol val="none"/>
        </c:marker>
      </c:pivotFmt>
      <c:pivotFmt>
        <c:idx val="1806"/>
        <c:marker>
          <c:symbol val="none"/>
        </c:marker>
      </c:pivotFmt>
      <c:pivotFmt>
        <c:idx val="1807"/>
        <c:marker>
          <c:symbol val="none"/>
        </c:marker>
      </c:pivotFmt>
      <c:pivotFmt>
        <c:idx val="1808"/>
        <c:marker>
          <c:symbol val="none"/>
        </c:marker>
      </c:pivotFmt>
      <c:pivotFmt>
        <c:idx val="1809"/>
        <c:marker>
          <c:symbol val="none"/>
        </c:marker>
      </c:pivotFmt>
      <c:pivotFmt>
        <c:idx val="1810"/>
        <c:marker>
          <c:symbol val="none"/>
        </c:marker>
      </c:pivotFmt>
      <c:pivotFmt>
        <c:idx val="1811"/>
        <c:marker>
          <c:symbol val="none"/>
        </c:marker>
      </c:pivotFmt>
      <c:pivotFmt>
        <c:idx val="1812"/>
        <c:marker>
          <c:symbol val="none"/>
        </c:marker>
      </c:pivotFmt>
      <c:pivotFmt>
        <c:idx val="1813"/>
        <c:marker>
          <c:symbol val="none"/>
        </c:marker>
      </c:pivotFmt>
      <c:pivotFmt>
        <c:idx val="1814"/>
        <c:marker>
          <c:symbol val="none"/>
        </c:marker>
      </c:pivotFmt>
      <c:pivotFmt>
        <c:idx val="1815"/>
        <c:marker>
          <c:symbol val="none"/>
        </c:marker>
      </c:pivotFmt>
      <c:pivotFmt>
        <c:idx val="1816"/>
        <c:marker>
          <c:symbol val="none"/>
        </c:marker>
      </c:pivotFmt>
      <c:pivotFmt>
        <c:idx val="1817"/>
        <c:marker>
          <c:symbol val="none"/>
        </c:marker>
      </c:pivotFmt>
      <c:pivotFmt>
        <c:idx val="1818"/>
        <c:marker>
          <c:symbol val="none"/>
        </c:marker>
      </c:pivotFmt>
      <c:pivotFmt>
        <c:idx val="1819"/>
        <c:marker>
          <c:symbol val="none"/>
        </c:marker>
      </c:pivotFmt>
      <c:pivotFmt>
        <c:idx val="1820"/>
        <c:marker>
          <c:symbol val="none"/>
        </c:marker>
      </c:pivotFmt>
      <c:pivotFmt>
        <c:idx val="1821"/>
        <c:marker>
          <c:symbol val="none"/>
        </c:marker>
      </c:pivotFmt>
      <c:pivotFmt>
        <c:idx val="1822"/>
        <c:marker>
          <c:symbol val="none"/>
        </c:marker>
      </c:pivotFmt>
      <c:pivotFmt>
        <c:idx val="1823"/>
        <c:marker>
          <c:symbol val="none"/>
        </c:marker>
      </c:pivotFmt>
      <c:pivotFmt>
        <c:idx val="1824"/>
        <c:marker>
          <c:symbol val="none"/>
        </c:marker>
      </c:pivotFmt>
      <c:pivotFmt>
        <c:idx val="1825"/>
        <c:marker>
          <c:symbol val="none"/>
        </c:marker>
      </c:pivotFmt>
      <c:pivotFmt>
        <c:idx val="1826"/>
        <c:marker>
          <c:symbol val="none"/>
        </c:marker>
      </c:pivotFmt>
      <c:pivotFmt>
        <c:idx val="1827"/>
        <c:marker>
          <c:symbol val="none"/>
        </c:marker>
      </c:pivotFmt>
      <c:pivotFmt>
        <c:idx val="1828"/>
        <c:marker>
          <c:symbol val="none"/>
        </c:marker>
      </c:pivotFmt>
      <c:pivotFmt>
        <c:idx val="1829"/>
        <c:marker>
          <c:symbol val="none"/>
        </c:marker>
      </c:pivotFmt>
      <c:pivotFmt>
        <c:idx val="1830"/>
        <c:marker>
          <c:symbol val="none"/>
        </c:marker>
      </c:pivotFmt>
      <c:pivotFmt>
        <c:idx val="1831"/>
        <c:marker>
          <c:symbol val="none"/>
        </c:marker>
      </c:pivotFmt>
      <c:pivotFmt>
        <c:idx val="1832"/>
        <c:marker>
          <c:symbol val="none"/>
        </c:marker>
      </c:pivotFmt>
      <c:pivotFmt>
        <c:idx val="1833"/>
        <c:marker>
          <c:symbol val="none"/>
        </c:marker>
      </c:pivotFmt>
      <c:pivotFmt>
        <c:idx val="1834"/>
        <c:marker>
          <c:symbol val="none"/>
        </c:marker>
      </c:pivotFmt>
      <c:pivotFmt>
        <c:idx val="1835"/>
        <c:marker>
          <c:symbol val="none"/>
        </c:marker>
      </c:pivotFmt>
      <c:pivotFmt>
        <c:idx val="1836"/>
        <c:marker>
          <c:symbol val="none"/>
        </c:marker>
      </c:pivotFmt>
      <c:pivotFmt>
        <c:idx val="1837"/>
        <c:marker>
          <c:symbol val="none"/>
        </c:marker>
      </c:pivotFmt>
      <c:pivotFmt>
        <c:idx val="1838"/>
        <c:marker>
          <c:symbol val="none"/>
        </c:marker>
      </c:pivotFmt>
      <c:pivotFmt>
        <c:idx val="1839"/>
        <c:marker>
          <c:symbol val="none"/>
        </c:marker>
      </c:pivotFmt>
      <c:pivotFmt>
        <c:idx val="1840"/>
        <c:marker>
          <c:symbol val="none"/>
        </c:marker>
      </c:pivotFmt>
      <c:pivotFmt>
        <c:idx val="1841"/>
        <c:marker>
          <c:symbol val="none"/>
        </c:marker>
      </c:pivotFmt>
      <c:pivotFmt>
        <c:idx val="1842"/>
        <c:marker>
          <c:symbol val="none"/>
        </c:marker>
      </c:pivotFmt>
      <c:pivotFmt>
        <c:idx val="1843"/>
        <c:marker>
          <c:symbol val="none"/>
        </c:marker>
      </c:pivotFmt>
      <c:pivotFmt>
        <c:idx val="1844"/>
        <c:marker>
          <c:symbol val="none"/>
        </c:marker>
      </c:pivotFmt>
      <c:pivotFmt>
        <c:idx val="1845"/>
        <c:marker>
          <c:symbol val="none"/>
        </c:marker>
      </c:pivotFmt>
      <c:pivotFmt>
        <c:idx val="1846"/>
        <c:marker>
          <c:symbol val="none"/>
        </c:marker>
      </c:pivotFmt>
      <c:pivotFmt>
        <c:idx val="1847"/>
        <c:marker>
          <c:symbol val="none"/>
        </c:marker>
      </c:pivotFmt>
      <c:pivotFmt>
        <c:idx val="1848"/>
        <c:marker>
          <c:symbol val="none"/>
        </c:marker>
      </c:pivotFmt>
      <c:pivotFmt>
        <c:idx val="1849"/>
        <c:marker>
          <c:symbol val="none"/>
        </c:marker>
      </c:pivotFmt>
      <c:pivotFmt>
        <c:idx val="1850"/>
        <c:marker>
          <c:symbol val="none"/>
        </c:marker>
      </c:pivotFmt>
      <c:pivotFmt>
        <c:idx val="1851"/>
        <c:marker>
          <c:symbol val="none"/>
        </c:marker>
      </c:pivotFmt>
      <c:pivotFmt>
        <c:idx val="1852"/>
        <c:marker>
          <c:symbol val="none"/>
        </c:marker>
      </c:pivotFmt>
      <c:pivotFmt>
        <c:idx val="1853"/>
        <c:marker>
          <c:symbol val="none"/>
        </c:marker>
      </c:pivotFmt>
      <c:pivotFmt>
        <c:idx val="1854"/>
        <c:marker>
          <c:symbol val="none"/>
        </c:marker>
      </c:pivotFmt>
      <c:pivotFmt>
        <c:idx val="1855"/>
        <c:marker>
          <c:symbol val="none"/>
        </c:marker>
      </c:pivotFmt>
      <c:pivotFmt>
        <c:idx val="1856"/>
        <c:marker>
          <c:symbol val="none"/>
        </c:marker>
      </c:pivotFmt>
      <c:pivotFmt>
        <c:idx val="1857"/>
        <c:marker>
          <c:symbol val="none"/>
        </c:marker>
      </c:pivotFmt>
      <c:pivotFmt>
        <c:idx val="1858"/>
        <c:marker>
          <c:symbol val="none"/>
        </c:marker>
      </c:pivotFmt>
      <c:pivotFmt>
        <c:idx val="1859"/>
        <c:marker>
          <c:symbol val="none"/>
        </c:marker>
      </c:pivotFmt>
      <c:pivotFmt>
        <c:idx val="1860"/>
        <c:marker>
          <c:symbol val="none"/>
        </c:marker>
      </c:pivotFmt>
      <c:pivotFmt>
        <c:idx val="1861"/>
        <c:marker>
          <c:symbol val="none"/>
        </c:marker>
      </c:pivotFmt>
      <c:pivotFmt>
        <c:idx val="1862"/>
        <c:marker>
          <c:symbol val="none"/>
        </c:marker>
      </c:pivotFmt>
      <c:pivotFmt>
        <c:idx val="1863"/>
        <c:marker>
          <c:symbol val="none"/>
        </c:marker>
      </c:pivotFmt>
      <c:pivotFmt>
        <c:idx val="1864"/>
        <c:marker>
          <c:symbol val="none"/>
        </c:marker>
      </c:pivotFmt>
      <c:pivotFmt>
        <c:idx val="1865"/>
        <c:marker>
          <c:symbol val="none"/>
        </c:marker>
      </c:pivotFmt>
      <c:pivotFmt>
        <c:idx val="1866"/>
        <c:marker>
          <c:symbol val="none"/>
        </c:marker>
      </c:pivotFmt>
      <c:pivotFmt>
        <c:idx val="1867"/>
        <c:marker>
          <c:symbol val="none"/>
        </c:marker>
      </c:pivotFmt>
      <c:pivotFmt>
        <c:idx val="1868"/>
        <c:marker>
          <c:symbol val="none"/>
        </c:marker>
      </c:pivotFmt>
      <c:pivotFmt>
        <c:idx val="1869"/>
        <c:marker>
          <c:symbol val="none"/>
        </c:marker>
      </c:pivotFmt>
      <c:pivotFmt>
        <c:idx val="1870"/>
        <c:marker>
          <c:symbol val="none"/>
        </c:marker>
      </c:pivotFmt>
      <c:pivotFmt>
        <c:idx val="1871"/>
        <c:marker>
          <c:symbol val="none"/>
        </c:marker>
      </c:pivotFmt>
      <c:pivotFmt>
        <c:idx val="1872"/>
        <c:marker>
          <c:symbol val="none"/>
        </c:marker>
      </c:pivotFmt>
      <c:pivotFmt>
        <c:idx val="1873"/>
        <c:marker>
          <c:symbol val="none"/>
        </c:marker>
      </c:pivotFmt>
      <c:pivotFmt>
        <c:idx val="1874"/>
        <c:marker>
          <c:symbol val="none"/>
        </c:marker>
      </c:pivotFmt>
      <c:pivotFmt>
        <c:idx val="1875"/>
        <c:marker>
          <c:symbol val="none"/>
        </c:marker>
      </c:pivotFmt>
      <c:pivotFmt>
        <c:idx val="1876"/>
        <c:marker>
          <c:symbol val="none"/>
        </c:marker>
      </c:pivotFmt>
      <c:pivotFmt>
        <c:idx val="1877"/>
        <c:marker>
          <c:symbol val="none"/>
        </c:marker>
      </c:pivotFmt>
      <c:pivotFmt>
        <c:idx val="1878"/>
        <c:marker>
          <c:symbol val="none"/>
        </c:marker>
      </c:pivotFmt>
      <c:pivotFmt>
        <c:idx val="1879"/>
        <c:marker>
          <c:symbol val="none"/>
        </c:marker>
      </c:pivotFmt>
      <c:pivotFmt>
        <c:idx val="1880"/>
        <c:marker>
          <c:symbol val="none"/>
        </c:marker>
      </c:pivotFmt>
      <c:pivotFmt>
        <c:idx val="1881"/>
        <c:marker>
          <c:symbol val="none"/>
        </c:marker>
      </c:pivotFmt>
      <c:pivotFmt>
        <c:idx val="1882"/>
        <c:marker>
          <c:symbol val="none"/>
        </c:marker>
      </c:pivotFmt>
      <c:pivotFmt>
        <c:idx val="1883"/>
        <c:marker>
          <c:symbol val="none"/>
        </c:marker>
      </c:pivotFmt>
      <c:pivotFmt>
        <c:idx val="1884"/>
        <c:marker>
          <c:symbol val="none"/>
        </c:marker>
      </c:pivotFmt>
      <c:pivotFmt>
        <c:idx val="1885"/>
        <c:marker>
          <c:symbol val="none"/>
        </c:marker>
      </c:pivotFmt>
      <c:pivotFmt>
        <c:idx val="1886"/>
        <c:marker>
          <c:symbol val="none"/>
        </c:marker>
      </c:pivotFmt>
      <c:pivotFmt>
        <c:idx val="1887"/>
        <c:marker>
          <c:symbol val="none"/>
        </c:marker>
      </c:pivotFmt>
      <c:pivotFmt>
        <c:idx val="1888"/>
        <c:marker>
          <c:symbol val="none"/>
        </c:marker>
      </c:pivotFmt>
      <c:pivotFmt>
        <c:idx val="1889"/>
        <c:marker>
          <c:symbol val="none"/>
        </c:marker>
      </c:pivotFmt>
      <c:pivotFmt>
        <c:idx val="1890"/>
        <c:marker>
          <c:symbol val="none"/>
        </c:marker>
      </c:pivotFmt>
      <c:pivotFmt>
        <c:idx val="1891"/>
        <c:marker>
          <c:symbol val="none"/>
        </c:marker>
      </c:pivotFmt>
      <c:pivotFmt>
        <c:idx val="1892"/>
        <c:marker>
          <c:symbol val="none"/>
        </c:marker>
      </c:pivotFmt>
      <c:pivotFmt>
        <c:idx val="1893"/>
        <c:marker>
          <c:symbol val="none"/>
        </c:marker>
      </c:pivotFmt>
      <c:pivotFmt>
        <c:idx val="1894"/>
        <c:marker>
          <c:symbol val="none"/>
        </c:marker>
      </c:pivotFmt>
      <c:pivotFmt>
        <c:idx val="1895"/>
        <c:marker>
          <c:symbol val="none"/>
        </c:marker>
      </c:pivotFmt>
      <c:pivotFmt>
        <c:idx val="1896"/>
        <c:marker>
          <c:symbol val="none"/>
        </c:marker>
      </c:pivotFmt>
      <c:pivotFmt>
        <c:idx val="1897"/>
        <c:marker>
          <c:symbol val="none"/>
        </c:marker>
      </c:pivotFmt>
      <c:pivotFmt>
        <c:idx val="1898"/>
        <c:marker>
          <c:symbol val="none"/>
        </c:marker>
      </c:pivotFmt>
      <c:pivotFmt>
        <c:idx val="1899"/>
        <c:marker>
          <c:symbol val="none"/>
        </c:marker>
      </c:pivotFmt>
      <c:pivotFmt>
        <c:idx val="1900"/>
        <c:marker>
          <c:symbol val="none"/>
        </c:marker>
      </c:pivotFmt>
      <c:pivotFmt>
        <c:idx val="1901"/>
        <c:marker>
          <c:symbol val="none"/>
        </c:marker>
      </c:pivotFmt>
      <c:pivotFmt>
        <c:idx val="1902"/>
        <c:marker>
          <c:symbol val="none"/>
        </c:marker>
      </c:pivotFmt>
      <c:pivotFmt>
        <c:idx val="1903"/>
        <c:marker>
          <c:symbol val="none"/>
        </c:marker>
      </c:pivotFmt>
      <c:pivotFmt>
        <c:idx val="1904"/>
        <c:marker>
          <c:symbol val="none"/>
        </c:marker>
      </c:pivotFmt>
      <c:pivotFmt>
        <c:idx val="1905"/>
        <c:marker>
          <c:symbol val="none"/>
        </c:marker>
      </c:pivotFmt>
      <c:pivotFmt>
        <c:idx val="1906"/>
        <c:marker>
          <c:symbol val="none"/>
        </c:marker>
      </c:pivotFmt>
      <c:pivotFmt>
        <c:idx val="1907"/>
        <c:marker>
          <c:symbol val="none"/>
        </c:marker>
      </c:pivotFmt>
      <c:pivotFmt>
        <c:idx val="1908"/>
        <c:marker>
          <c:symbol val="none"/>
        </c:marker>
      </c:pivotFmt>
      <c:pivotFmt>
        <c:idx val="1909"/>
        <c:marker>
          <c:symbol val="none"/>
        </c:marker>
      </c:pivotFmt>
      <c:pivotFmt>
        <c:idx val="1910"/>
        <c:marker>
          <c:symbol val="none"/>
        </c:marker>
      </c:pivotFmt>
      <c:pivotFmt>
        <c:idx val="1911"/>
        <c:marker>
          <c:symbol val="none"/>
        </c:marker>
      </c:pivotFmt>
      <c:pivotFmt>
        <c:idx val="1912"/>
        <c:marker>
          <c:symbol val="none"/>
        </c:marker>
      </c:pivotFmt>
      <c:pivotFmt>
        <c:idx val="1913"/>
        <c:marker>
          <c:symbol val="none"/>
        </c:marker>
      </c:pivotFmt>
      <c:pivotFmt>
        <c:idx val="1914"/>
        <c:marker>
          <c:symbol val="none"/>
        </c:marker>
      </c:pivotFmt>
      <c:pivotFmt>
        <c:idx val="1915"/>
        <c:marker>
          <c:symbol val="none"/>
        </c:marker>
      </c:pivotFmt>
      <c:pivotFmt>
        <c:idx val="1916"/>
        <c:marker>
          <c:symbol val="none"/>
        </c:marker>
      </c:pivotFmt>
      <c:pivotFmt>
        <c:idx val="1917"/>
        <c:marker>
          <c:symbol val="none"/>
        </c:marker>
      </c:pivotFmt>
      <c:pivotFmt>
        <c:idx val="1918"/>
        <c:marker>
          <c:symbol val="none"/>
        </c:marker>
      </c:pivotFmt>
      <c:pivotFmt>
        <c:idx val="1919"/>
        <c:marker>
          <c:symbol val="none"/>
        </c:marker>
      </c:pivotFmt>
      <c:pivotFmt>
        <c:idx val="1920"/>
        <c:marker>
          <c:symbol val="none"/>
        </c:marker>
      </c:pivotFmt>
      <c:pivotFmt>
        <c:idx val="1921"/>
        <c:marker>
          <c:symbol val="none"/>
        </c:marker>
      </c:pivotFmt>
      <c:pivotFmt>
        <c:idx val="1922"/>
        <c:marker>
          <c:symbol val="none"/>
        </c:marker>
      </c:pivotFmt>
      <c:pivotFmt>
        <c:idx val="1923"/>
        <c:marker>
          <c:symbol val="none"/>
        </c:marker>
      </c:pivotFmt>
      <c:pivotFmt>
        <c:idx val="1924"/>
        <c:marker>
          <c:symbol val="none"/>
        </c:marker>
      </c:pivotFmt>
      <c:pivotFmt>
        <c:idx val="1925"/>
        <c:marker>
          <c:symbol val="none"/>
        </c:marker>
      </c:pivotFmt>
      <c:pivotFmt>
        <c:idx val="1926"/>
        <c:marker>
          <c:symbol val="none"/>
        </c:marker>
      </c:pivotFmt>
      <c:pivotFmt>
        <c:idx val="1927"/>
        <c:marker>
          <c:symbol val="none"/>
        </c:marker>
      </c:pivotFmt>
      <c:pivotFmt>
        <c:idx val="1928"/>
        <c:marker>
          <c:symbol val="none"/>
        </c:marker>
      </c:pivotFmt>
      <c:pivotFmt>
        <c:idx val="1929"/>
        <c:marker>
          <c:symbol val="none"/>
        </c:marker>
      </c:pivotFmt>
      <c:pivotFmt>
        <c:idx val="1930"/>
        <c:marker>
          <c:symbol val="none"/>
        </c:marker>
      </c:pivotFmt>
      <c:pivotFmt>
        <c:idx val="1931"/>
        <c:marker>
          <c:symbol val="none"/>
        </c:marker>
      </c:pivotFmt>
      <c:pivotFmt>
        <c:idx val="1932"/>
        <c:marker>
          <c:symbol val="none"/>
        </c:marker>
      </c:pivotFmt>
      <c:pivotFmt>
        <c:idx val="1933"/>
        <c:marker>
          <c:symbol val="none"/>
        </c:marker>
      </c:pivotFmt>
      <c:pivotFmt>
        <c:idx val="1934"/>
        <c:marker>
          <c:symbol val="none"/>
        </c:marker>
      </c:pivotFmt>
      <c:pivotFmt>
        <c:idx val="1935"/>
        <c:marker>
          <c:symbol val="none"/>
        </c:marker>
      </c:pivotFmt>
      <c:pivotFmt>
        <c:idx val="1936"/>
        <c:marker>
          <c:symbol val="none"/>
        </c:marker>
      </c:pivotFmt>
      <c:pivotFmt>
        <c:idx val="1937"/>
        <c:marker>
          <c:symbol val="none"/>
        </c:marker>
      </c:pivotFmt>
      <c:pivotFmt>
        <c:idx val="1938"/>
        <c:marker>
          <c:symbol val="none"/>
        </c:marker>
      </c:pivotFmt>
      <c:pivotFmt>
        <c:idx val="1939"/>
        <c:marker>
          <c:symbol val="none"/>
        </c:marker>
      </c:pivotFmt>
      <c:pivotFmt>
        <c:idx val="1940"/>
        <c:marker>
          <c:symbol val="none"/>
        </c:marker>
      </c:pivotFmt>
      <c:pivotFmt>
        <c:idx val="1941"/>
        <c:marker>
          <c:symbol val="none"/>
        </c:marker>
      </c:pivotFmt>
      <c:pivotFmt>
        <c:idx val="1942"/>
        <c:marker>
          <c:symbol val="none"/>
        </c:marker>
      </c:pivotFmt>
      <c:pivotFmt>
        <c:idx val="1943"/>
        <c:marker>
          <c:symbol val="none"/>
        </c:marker>
      </c:pivotFmt>
      <c:pivotFmt>
        <c:idx val="1944"/>
        <c:marker>
          <c:symbol val="none"/>
        </c:marker>
      </c:pivotFmt>
      <c:pivotFmt>
        <c:idx val="1945"/>
        <c:marker>
          <c:symbol val="none"/>
        </c:marker>
      </c:pivotFmt>
      <c:pivotFmt>
        <c:idx val="1946"/>
        <c:marker>
          <c:symbol val="none"/>
        </c:marker>
      </c:pivotFmt>
      <c:pivotFmt>
        <c:idx val="1947"/>
        <c:marker>
          <c:symbol val="none"/>
        </c:marker>
      </c:pivotFmt>
      <c:pivotFmt>
        <c:idx val="1948"/>
        <c:marker>
          <c:symbol val="none"/>
        </c:marker>
      </c:pivotFmt>
      <c:pivotFmt>
        <c:idx val="1949"/>
        <c:marker>
          <c:symbol val="none"/>
        </c:marker>
      </c:pivotFmt>
      <c:pivotFmt>
        <c:idx val="1950"/>
        <c:marker>
          <c:symbol val="none"/>
        </c:marker>
      </c:pivotFmt>
      <c:pivotFmt>
        <c:idx val="1951"/>
        <c:marker>
          <c:symbol val="none"/>
        </c:marker>
      </c:pivotFmt>
      <c:pivotFmt>
        <c:idx val="1952"/>
        <c:marker>
          <c:symbol val="none"/>
        </c:marker>
      </c:pivotFmt>
      <c:pivotFmt>
        <c:idx val="1953"/>
        <c:marker>
          <c:symbol val="none"/>
        </c:marker>
      </c:pivotFmt>
      <c:pivotFmt>
        <c:idx val="1954"/>
        <c:marker>
          <c:symbol val="none"/>
        </c:marker>
      </c:pivotFmt>
      <c:pivotFmt>
        <c:idx val="1955"/>
        <c:marker>
          <c:symbol val="none"/>
        </c:marker>
      </c:pivotFmt>
      <c:pivotFmt>
        <c:idx val="1956"/>
        <c:marker>
          <c:symbol val="none"/>
        </c:marker>
      </c:pivotFmt>
      <c:pivotFmt>
        <c:idx val="1957"/>
        <c:marker>
          <c:symbol val="none"/>
        </c:marker>
      </c:pivotFmt>
      <c:pivotFmt>
        <c:idx val="1958"/>
        <c:marker>
          <c:symbol val="none"/>
        </c:marker>
      </c:pivotFmt>
      <c:pivotFmt>
        <c:idx val="1959"/>
        <c:marker>
          <c:symbol val="none"/>
        </c:marker>
      </c:pivotFmt>
      <c:pivotFmt>
        <c:idx val="1960"/>
        <c:marker>
          <c:symbol val="none"/>
        </c:marker>
      </c:pivotFmt>
      <c:pivotFmt>
        <c:idx val="1961"/>
        <c:marker>
          <c:symbol val="none"/>
        </c:marker>
      </c:pivotFmt>
      <c:pivotFmt>
        <c:idx val="1962"/>
        <c:marker>
          <c:symbol val="none"/>
        </c:marker>
      </c:pivotFmt>
      <c:pivotFmt>
        <c:idx val="1963"/>
        <c:marker>
          <c:symbol val="none"/>
        </c:marker>
      </c:pivotFmt>
      <c:pivotFmt>
        <c:idx val="1964"/>
        <c:marker>
          <c:symbol val="none"/>
        </c:marker>
      </c:pivotFmt>
      <c:pivotFmt>
        <c:idx val="1965"/>
        <c:marker>
          <c:symbol val="none"/>
        </c:marker>
      </c:pivotFmt>
      <c:pivotFmt>
        <c:idx val="1966"/>
        <c:marker>
          <c:symbol val="none"/>
        </c:marker>
      </c:pivotFmt>
      <c:pivotFmt>
        <c:idx val="1967"/>
        <c:marker>
          <c:symbol val="none"/>
        </c:marker>
      </c:pivotFmt>
      <c:pivotFmt>
        <c:idx val="1968"/>
        <c:marker>
          <c:symbol val="none"/>
        </c:marker>
      </c:pivotFmt>
      <c:pivotFmt>
        <c:idx val="1969"/>
        <c:marker>
          <c:symbol val="none"/>
        </c:marker>
      </c:pivotFmt>
      <c:pivotFmt>
        <c:idx val="1970"/>
        <c:marker>
          <c:symbol val="none"/>
        </c:marker>
      </c:pivotFmt>
      <c:pivotFmt>
        <c:idx val="1971"/>
        <c:marker>
          <c:symbol val="none"/>
        </c:marker>
      </c:pivotFmt>
      <c:pivotFmt>
        <c:idx val="1972"/>
        <c:marker>
          <c:symbol val="none"/>
        </c:marker>
      </c:pivotFmt>
      <c:pivotFmt>
        <c:idx val="1973"/>
        <c:marker>
          <c:symbol val="none"/>
        </c:marker>
      </c:pivotFmt>
      <c:pivotFmt>
        <c:idx val="1974"/>
        <c:marker>
          <c:symbol val="none"/>
        </c:marker>
      </c:pivotFmt>
      <c:pivotFmt>
        <c:idx val="1975"/>
        <c:marker>
          <c:symbol val="none"/>
        </c:marker>
      </c:pivotFmt>
      <c:pivotFmt>
        <c:idx val="1976"/>
        <c:marker>
          <c:symbol val="none"/>
        </c:marker>
      </c:pivotFmt>
      <c:pivotFmt>
        <c:idx val="1977"/>
        <c:marker>
          <c:symbol val="none"/>
        </c:marker>
      </c:pivotFmt>
      <c:pivotFmt>
        <c:idx val="1978"/>
        <c:marker>
          <c:symbol val="none"/>
        </c:marker>
      </c:pivotFmt>
      <c:pivotFmt>
        <c:idx val="1979"/>
        <c:marker>
          <c:symbol val="none"/>
        </c:marker>
      </c:pivotFmt>
      <c:pivotFmt>
        <c:idx val="1980"/>
        <c:marker>
          <c:symbol val="none"/>
        </c:marker>
      </c:pivotFmt>
      <c:pivotFmt>
        <c:idx val="1981"/>
        <c:marker>
          <c:symbol val="none"/>
        </c:marker>
      </c:pivotFmt>
      <c:pivotFmt>
        <c:idx val="1982"/>
        <c:marker>
          <c:symbol val="none"/>
        </c:marker>
      </c:pivotFmt>
      <c:pivotFmt>
        <c:idx val="1983"/>
        <c:marker>
          <c:symbol val="none"/>
        </c:marker>
      </c:pivotFmt>
      <c:pivotFmt>
        <c:idx val="1984"/>
        <c:marker>
          <c:symbol val="none"/>
        </c:marker>
      </c:pivotFmt>
      <c:pivotFmt>
        <c:idx val="1985"/>
        <c:marker>
          <c:symbol val="none"/>
        </c:marker>
      </c:pivotFmt>
      <c:pivotFmt>
        <c:idx val="1986"/>
        <c:marker>
          <c:symbol val="none"/>
        </c:marker>
      </c:pivotFmt>
      <c:pivotFmt>
        <c:idx val="1987"/>
        <c:marker>
          <c:symbol val="none"/>
        </c:marker>
      </c:pivotFmt>
      <c:pivotFmt>
        <c:idx val="1988"/>
        <c:marker>
          <c:symbol val="none"/>
        </c:marker>
      </c:pivotFmt>
      <c:pivotFmt>
        <c:idx val="1989"/>
        <c:marker>
          <c:symbol val="none"/>
        </c:marker>
      </c:pivotFmt>
      <c:pivotFmt>
        <c:idx val="1990"/>
        <c:marker>
          <c:symbol val="none"/>
        </c:marker>
      </c:pivotFmt>
      <c:pivotFmt>
        <c:idx val="1991"/>
        <c:marker>
          <c:symbol val="none"/>
        </c:marker>
      </c:pivotFmt>
      <c:pivotFmt>
        <c:idx val="1992"/>
        <c:marker>
          <c:symbol val="none"/>
        </c:marker>
      </c:pivotFmt>
      <c:pivotFmt>
        <c:idx val="1993"/>
        <c:marker>
          <c:symbol val="none"/>
        </c:marker>
      </c:pivotFmt>
      <c:pivotFmt>
        <c:idx val="1994"/>
        <c:marker>
          <c:symbol val="none"/>
        </c:marker>
      </c:pivotFmt>
      <c:pivotFmt>
        <c:idx val="1995"/>
        <c:marker>
          <c:symbol val="none"/>
        </c:marker>
      </c:pivotFmt>
      <c:pivotFmt>
        <c:idx val="1996"/>
        <c:marker>
          <c:symbol val="none"/>
        </c:marker>
      </c:pivotFmt>
      <c:pivotFmt>
        <c:idx val="1997"/>
        <c:marker>
          <c:symbol val="none"/>
        </c:marker>
      </c:pivotFmt>
      <c:pivotFmt>
        <c:idx val="1998"/>
        <c:marker>
          <c:symbol val="none"/>
        </c:marker>
      </c:pivotFmt>
      <c:pivotFmt>
        <c:idx val="1999"/>
        <c:marker>
          <c:symbol val="none"/>
        </c:marker>
      </c:pivotFmt>
      <c:pivotFmt>
        <c:idx val="2000"/>
        <c:marker>
          <c:symbol val="none"/>
        </c:marker>
      </c:pivotFmt>
      <c:pivotFmt>
        <c:idx val="2001"/>
        <c:marker>
          <c:symbol val="none"/>
        </c:marker>
      </c:pivotFmt>
      <c:pivotFmt>
        <c:idx val="2002"/>
        <c:marker>
          <c:symbol val="none"/>
        </c:marker>
      </c:pivotFmt>
      <c:pivotFmt>
        <c:idx val="2003"/>
        <c:marker>
          <c:symbol val="none"/>
        </c:marker>
      </c:pivotFmt>
      <c:pivotFmt>
        <c:idx val="2004"/>
        <c:marker>
          <c:symbol val="none"/>
        </c:marker>
      </c:pivotFmt>
      <c:pivotFmt>
        <c:idx val="2005"/>
        <c:marker>
          <c:symbol val="none"/>
        </c:marker>
      </c:pivotFmt>
      <c:pivotFmt>
        <c:idx val="2006"/>
        <c:marker>
          <c:symbol val="none"/>
        </c:marker>
      </c:pivotFmt>
      <c:pivotFmt>
        <c:idx val="2007"/>
        <c:marker>
          <c:symbol val="none"/>
        </c:marker>
      </c:pivotFmt>
      <c:pivotFmt>
        <c:idx val="2008"/>
        <c:marker>
          <c:symbol val="none"/>
        </c:marker>
      </c:pivotFmt>
      <c:pivotFmt>
        <c:idx val="2009"/>
        <c:marker>
          <c:symbol val="none"/>
        </c:marker>
      </c:pivotFmt>
      <c:pivotFmt>
        <c:idx val="2010"/>
        <c:marker>
          <c:symbol val="none"/>
        </c:marker>
      </c:pivotFmt>
      <c:pivotFmt>
        <c:idx val="2011"/>
        <c:marker>
          <c:symbol val="none"/>
        </c:marker>
      </c:pivotFmt>
      <c:pivotFmt>
        <c:idx val="2012"/>
        <c:marker>
          <c:symbol val="none"/>
        </c:marker>
      </c:pivotFmt>
      <c:pivotFmt>
        <c:idx val="2013"/>
        <c:marker>
          <c:symbol val="none"/>
        </c:marker>
      </c:pivotFmt>
      <c:pivotFmt>
        <c:idx val="2014"/>
        <c:marker>
          <c:symbol val="none"/>
        </c:marker>
      </c:pivotFmt>
      <c:pivotFmt>
        <c:idx val="2015"/>
        <c:marker>
          <c:symbol val="none"/>
        </c:marker>
      </c:pivotFmt>
      <c:pivotFmt>
        <c:idx val="2016"/>
        <c:marker>
          <c:symbol val="none"/>
        </c:marker>
      </c:pivotFmt>
      <c:pivotFmt>
        <c:idx val="2017"/>
        <c:marker>
          <c:symbol val="none"/>
        </c:marker>
      </c:pivotFmt>
      <c:pivotFmt>
        <c:idx val="2018"/>
        <c:marker>
          <c:symbol val="none"/>
        </c:marker>
      </c:pivotFmt>
      <c:pivotFmt>
        <c:idx val="2019"/>
        <c:marker>
          <c:symbol val="none"/>
        </c:marker>
      </c:pivotFmt>
      <c:pivotFmt>
        <c:idx val="2020"/>
        <c:marker>
          <c:symbol val="none"/>
        </c:marker>
      </c:pivotFmt>
      <c:pivotFmt>
        <c:idx val="2021"/>
        <c:marker>
          <c:symbol val="none"/>
        </c:marker>
      </c:pivotFmt>
      <c:pivotFmt>
        <c:idx val="2022"/>
        <c:marker>
          <c:symbol val="none"/>
        </c:marker>
      </c:pivotFmt>
      <c:pivotFmt>
        <c:idx val="2023"/>
        <c:marker>
          <c:symbol val="none"/>
        </c:marker>
      </c:pivotFmt>
      <c:pivotFmt>
        <c:idx val="2024"/>
        <c:marker>
          <c:symbol val="none"/>
        </c:marker>
      </c:pivotFmt>
      <c:pivotFmt>
        <c:idx val="2025"/>
        <c:marker>
          <c:symbol val="none"/>
        </c:marker>
      </c:pivotFmt>
      <c:pivotFmt>
        <c:idx val="2026"/>
        <c:marker>
          <c:symbol val="none"/>
        </c:marker>
      </c:pivotFmt>
      <c:pivotFmt>
        <c:idx val="2027"/>
        <c:marker>
          <c:symbol val="none"/>
        </c:marker>
      </c:pivotFmt>
      <c:pivotFmt>
        <c:idx val="2028"/>
        <c:marker>
          <c:symbol val="none"/>
        </c:marker>
      </c:pivotFmt>
      <c:pivotFmt>
        <c:idx val="2029"/>
        <c:marker>
          <c:symbol val="none"/>
        </c:marker>
      </c:pivotFmt>
      <c:pivotFmt>
        <c:idx val="2030"/>
        <c:marker>
          <c:symbol val="none"/>
        </c:marker>
      </c:pivotFmt>
      <c:pivotFmt>
        <c:idx val="2031"/>
        <c:marker>
          <c:symbol val="none"/>
        </c:marker>
      </c:pivotFmt>
      <c:pivotFmt>
        <c:idx val="2032"/>
        <c:marker>
          <c:symbol val="none"/>
        </c:marker>
      </c:pivotFmt>
      <c:pivotFmt>
        <c:idx val="2033"/>
        <c:marker>
          <c:symbol val="none"/>
        </c:marker>
      </c:pivotFmt>
      <c:pivotFmt>
        <c:idx val="2034"/>
        <c:marker>
          <c:symbol val="none"/>
        </c:marker>
      </c:pivotFmt>
      <c:pivotFmt>
        <c:idx val="2035"/>
        <c:marker>
          <c:symbol val="none"/>
        </c:marker>
      </c:pivotFmt>
      <c:pivotFmt>
        <c:idx val="2036"/>
        <c:marker>
          <c:symbol val="none"/>
        </c:marker>
      </c:pivotFmt>
      <c:pivotFmt>
        <c:idx val="2037"/>
        <c:marker>
          <c:symbol val="none"/>
        </c:marker>
      </c:pivotFmt>
      <c:pivotFmt>
        <c:idx val="2038"/>
        <c:marker>
          <c:symbol val="none"/>
        </c:marker>
      </c:pivotFmt>
      <c:pivotFmt>
        <c:idx val="2039"/>
        <c:marker>
          <c:symbol val="none"/>
        </c:marker>
      </c:pivotFmt>
      <c:pivotFmt>
        <c:idx val="2040"/>
        <c:marker>
          <c:symbol val="none"/>
        </c:marker>
      </c:pivotFmt>
      <c:pivotFmt>
        <c:idx val="2041"/>
        <c:marker>
          <c:symbol val="none"/>
        </c:marker>
      </c:pivotFmt>
      <c:pivotFmt>
        <c:idx val="2042"/>
        <c:marker>
          <c:symbol val="none"/>
        </c:marker>
      </c:pivotFmt>
      <c:pivotFmt>
        <c:idx val="2043"/>
        <c:marker>
          <c:symbol val="none"/>
        </c:marker>
      </c:pivotFmt>
      <c:pivotFmt>
        <c:idx val="2044"/>
        <c:marker>
          <c:symbol val="none"/>
        </c:marker>
      </c:pivotFmt>
      <c:pivotFmt>
        <c:idx val="2045"/>
        <c:marker>
          <c:symbol val="none"/>
        </c:marker>
      </c:pivotFmt>
      <c:pivotFmt>
        <c:idx val="2046"/>
        <c:marker>
          <c:symbol val="none"/>
        </c:marker>
      </c:pivotFmt>
      <c:pivotFmt>
        <c:idx val="2047"/>
        <c:marker>
          <c:symbol val="none"/>
        </c:marker>
      </c:pivotFmt>
      <c:pivotFmt>
        <c:idx val="2048"/>
        <c:marker>
          <c:symbol val="none"/>
        </c:marker>
      </c:pivotFmt>
      <c:pivotFmt>
        <c:idx val="2049"/>
        <c:marker>
          <c:symbol val="none"/>
        </c:marker>
      </c:pivotFmt>
      <c:pivotFmt>
        <c:idx val="2050"/>
        <c:marker>
          <c:symbol val="none"/>
        </c:marker>
        <c:dLbl>
          <c:idx val="0"/>
          <c:delete val="1"/>
        </c:dLbl>
      </c:pivotFmt>
      <c:pivotFmt>
        <c:idx val="2051"/>
        <c:marker>
          <c:symbol val="none"/>
        </c:marker>
      </c:pivotFmt>
      <c:pivotFmt>
        <c:idx val="2052"/>
        <c:marker>
          <c:symbol val="none"/>
        </c:marker>
        <c:dLbl>
          <c:idx val="0"/>
          <c:delete val="1"/>
        </c:dLbl>
      </c:pivotFmt>
      <c:pivotFmt>
        <c:idx val="2053"/>
        <c:marker>
          <c:symbol val="none"/>
        </c:marker>
        <c:dLbl>
          <c:idx val="0"/>
          <c:delete val="1"/>
        </c:dLbl>
      </c:pivotFmt>
      <c:pivotFmt>
        <c:idx val="2054"/>
        <c:marker>
          <c:symbol val="none"/>
        </c:marker>
        <c:dLbl>
          <c:idx val="0"/>
          <c:delete val="1"/>
        </c:dLbl>
      </c:pivotFmt>
      <c:pivotFmt>
        <c:idx val="2055"/>
        <c:marker>
          <c:symbol val="none"/>
        </c:marker>
        <c:dLbl>
          <c:idx val="0"/>
          <c:delete val="1"/>
        </c:dLbl>
      </c:pivotFmt>
      <c:pivotFmt>
        <c:idx val="2056"/>
        <c:marker>
          <c:symbol val="none"/>
        </c:marker>
        <c:dLbl>
          <c:idx val="0"/>
          <c:delete val="1"/>
        </c:dLbl>
      </c:pivotFmt>
      <c:pivotFmt>
        <c:idx val="2057"/>
        <c:marker>
          <c:symbol val="none"/>
        </c:marker>
        <c:dLbl>
          <c:idx val="0"/>
          <c:delete val="1"/>
        </c:dLbl>
      </c:pivotFmt>
      <c:pivotFmt>
        <c:idx val="2058"/>
        <c:marker>
          <c:symbol val="none"/>
        </c:marker>
      </c:pivotFmt>
      <c:pivotFmt>
        <c:idx val="2059"/>
        <c:marker>
          <c:symbol val="none"/>
        </c:marker>
      </c:pivotFmt>
      <c:pivotFmt>
        <c:idx val="2060"/>
        <c:marker>
          <c:symbol val="none"/>
        </c:marker>
      </c:pivotFmt>
      <c:pivotFmt>
        <c:idx val="2061"/>
        <c:marker>
          <c:symbol val="none"/>
        </c:marker>
      </c:pivotFmt>
      <c:pivotFmt>
        <c:idx val="2062"/>
        <c:marker>
          <c:symbol val="none"/>
        </c:marker>
      </c:pivotFmt>
      <c:pivotFmt>
        <c:idx val="2063"/>
        <c:marker>
          <c:symbol val="none"/>
        </c:marker>
      </c:pivotFmt>
      <c:pivotFmt>
        <c:idx val="2064"/>
        <c:marker>
          <c:symbol val="none"/>
        </c:marker>
      </c:pivotFmt>
      <c:pivotFmt>
        <c:idx val="2065"/>
        <c:marker>
          <c:symbol val="none"/>
        </c:marker>
      </c:pivotFmt>
      <c:pivotFmt>
        <c:idx val="2066"/>
        <c:marker>
          <c:symbol val="none"/>
        </c:marker>
      </c:pivotFmt>
      <c:pivotFmt>
        <c:idx val="2067"/>
        <c:marker>
          <c:symbol val="none"/>
        </c:marker>
      </c:pivotFmt>
      <c:pivotFmt>
        <c:idx val="2068"/>
        <c:marker>
          <c:symbol val="none"/>
        </c:marker>
      </c:pivotFmt>
      <c:pivotFmt>
        <c:idx val="2069"/>
        <c:marker>
          <c:symbol val="none"/>
        </c:marker>
      </c:pivotFmt>
      <c:pivotFmt>
        <c:idx val="2070"/>
        <c:marker>
          <c:symbol val="none"/>
        </c:marker>
      </c:pivotFmt>
      <c:pivotFmt>
        <c:idx val="2071"/>
        <c:marker>
          <c:symbol val="none"/>
        </c:marker>
      </c:pivotFmt>
      <c:pivotFmt>
        <c:idx val="2072"/>
        <c:marker>
          <c:symbol val="none"/>
        </c:marker>
      </c:pivotFmt>
      <c:pivotFmt>
        <c:idx val="2073"/>
        <c:marker>
          <c:symbol val="none"/>
        </c:marker>
      </c:pivotFmt>
      <c:pivotFmt>
        <c:idx val="2074"/>
        <c:marker>
          <c:symbol val="none"/>
        </c:marker>
      </c:pivotFmt>
      <c:pivotFmt>
        <c:idx val="2075"/>
        <c:marker>
          <c:symbol val="none"/>
        </c:marker>
      </c:pivotFmt>
      <c:pivotFmt>
        <c:idx val="2076"/>
        <c:marker>
          <c:symbol val="none"/>
        </c:marker>
      </c:pivotFmt>
      <c:pivotFmt>
        <c:idx val="2077"/>
        <c:marker>
          <c:symbol val="none"/>
        </c:marker>
      </c:pivotFmt>
      <c:pivotFmt>
        <c:idx val="2078"/>
        <c:marker>
          <c:symbol val="none"/>
        </c:marker>
      </c:pivotFmt>
      <c:pivotFmt>
        <c:idx val="2079"/>
        <c:marker>
          <c:symbol val="none"/>
        </c:marker>
      </c:pivotFmt>
      <c:pivotFmt>
        <c:idx val="2080"/>
        <c:marker>
          <c:symbol val="none"/>
        </c:marker>
      </c:pivotFmt>
      <c:pivotFmt>
        <c:idx val="2081"/>
        <c:marker>
          <c:symbol val="none"/>
        </c:marker>
      </c:pivotFmt>
      <c:pivotFmt>
        <c:idx val="2082"/>
        <c:marker>
          <c:symbol val="none"/>
        </c:marker>
      </c:pivotFmt>
      <c:pivotFmt>
        <c:idx val="2083"/>
        <c:marker>
          <c:symbol val="none"/>
        </c:marker>
      </c:pivotFmt>
      <c:pivotFmt>
        <c:idx val="2084"/>
        <c:marker>
          <c:symbol val="none"/>
        </c:marker>
      </c:pivotFmt>
      <c:pivotFmt>
        <c:idx val="2085"/>
        <c:marker>
          <c:symbol val="none"/>
        </c:marker>
      </c:pivotFmt>
      <c:pivotFmt>
        <c:idx val="2086"/>
        <c:marker>
          <c:symbol val="none"/>
        </c:marker>
      </c:pivotFmt>
      <c:pivotFmt>
        <c:idx val="2087"/>
        <c:marker>
          <c:symbol val="none"/>
        </c:marker>
      </c:pivotFmt>
      <c:pivotFmt>
        <c:idx val="2088"/>
        <c:marker>
          <c:symbol val="none"/>
        </c:marker>
      </c:pivotFmt>
      <c:pivotFmt>
        <c:idx val="2089"/>
        <c:marker>
          <c:symbol val="none"/>
        </c:marker>
      </c:pivotFmt>
      <c:pivotFmt>
        <c:idx val="2090"/>
        <c:marker>
          <c:symbol val="none"/>
        </c:marker>
      </c:pivotFmt>
      <c:pivotFmt>
        <c:idx val="2091"/>
        <c:marker>
          <c:symbol val="none"/>
        </c:marker>
      </c:pivotFmt>
      <c:pivotFmt>
        <c:idx val="2092"/>
        <c:marker>
          <c:symbol val="none"/>
        </c:marker>
      </c:pivotFmt>
      <c:pivotFmt>
        <c:idx val="2093"/>
        <c:marker>
          <c:symbol val="none"/>
        </c:marker>
      </c:pivotFmt>
      <c:pivotFmt>
        <c:idx val="2094"/>
        <c:marker>
          <c:symbol val="none"/>
        </c:marker>
      </c:pivotFmt>
      <c:pivotFmt>
        <c:idx val="2095"/>
        <c:marker>
          <c:symbol val="none"/>
        </c:marker>
      </c:pivotFmt>
      <c:pivotFmt>
        <c:idx val="2096"/>
        <c:marker>
          <c:symbol val="none"/>
        </c:marker>
      </c:pivotFmt>
      <c:pivotFmt>
        <c:idx val="2097"/>
        <c:marker>
          <c:symbol val="none"/>
        </c:marker>
      </c:pivotFmt>
      <c:pivotFmt>
        <c:idx val="2098"/>
        <c:marker>
          <c:symbol val="none"/>
        </c:marker>
      </c:pivotFmt>
      <c:pivotFmt>
        <c:idx val="2099"/>
        <c:marker>
          <c:symbol val="none"/>
        </c:marker>
      </c:pivotFmt>
      <c:pivotFmt>
        <c:idx val="2100"/>
        <c:marker>
          <c:symbol val="none"/>
        </c:marker>
      </c:pivotFmt>
      <c:pivotFmt>
        <c:idx val="2101"/>
        <c:marker>
          <c:symbol val="none"/>
        </c:marker>
      </c:pivotFmt>
      <c:pivotFmt>
        <c:idx val="2102"/>
        <c:marker>
          <c:symbol val="none"/>
        </c:marker>
      </c:pivotFmt>
      <c:pivotFmt>
        <c:idx val="2103"/>
        <c:marker>
          <c:symbol val="none"/>
        </c:marker>
      </c:pivotFmt>
      <c:pivotFmt>
        <c:idx val="2104"/>
        <c:marker>
          <c:symbol val="none"/>
        </c:marker>
      </c:pivotFmt>
      <c:pivotFmt>
        <c:idx val="2105"/>
        <c:marker>
          <c:symbol val="none"/>
        </c:marker>
      </c:pivotFmt>
      <c:pivotFmt>
        <c:idx val="2106"/>
        <c:marker>
          <c:symbol val="none"/>
        </c:marker>
      </c:pivotFmt>
      <c:pivotFmt>
        <c:idx val="2107"/>
        <c:marker>
          <c:symbol val="none"/>
        </c:marker>
      </c:pivotFmt>
      <c:pivotFmt>
        <c:idx val="2108"/>
        <c:marker>
          <c:symbol val="none"/>
        </c:marker>
      </c:pivotFmt>
      <c:pivotFmt>
        <c:idx val="2109"/>
        <c:marker>
          <c:symbol val="none"/>
        </c:marker>
      </c:pivotFmt>
      <c:pivotFmt>
        <c:idx val="2110"/>
        <c:marker>
          <c:symbol val="none"/>
        </c:marker>
      </c:pivotFmt>
      <c:pivotFmt>
        <c:idx val="2111"/>
        <c:marker>
          <c:symbol val="none"/>
        </c:marker>
      </c:pivotFmt>
      <c:pivotFmt>
        <c:idx val="2112"/>
        <c:marker>
          <c:symbol val="none"/>
        </c:marker>
      </c:pivotFmt>
      <c:pivotFmt>
        <c:idx val="2113"/>
        <c:marker>
          <c:symbol val="none"/>
        </c:marker>
      </c:pivotFmt>
      <c:pivotFmt>
        <c:idx val="2114"/>
        <c:marker>
          <c:symbol val="none"/>
        </c:marker>
      </c:pivotFmt>
      <c:pivotFmt>
        <c:idx val="2115"/>
        <c:marker>
          <c:symbol val="none"/>
        </c:marker>
      </c:pivotFmt>
      <c:pivotFmt>
        <c:idx val="2116"/>
        <c:marker>
          <c:symbol val="none"/>
        </c:marker>
      </c:pivotFmt>
      <c:pivotFmt>
        <c:idx val="2117"/>
        <c:marker>
          <c:symbol val="none"/>
        </c:marker>
      </c:pivotFmt>
      <c:pivotFmt>
        <c:idx val="2118"/>
        <c:marker>
          <c:symbol val="none"/>
        </c:marker>
      </c:pivotFmt>
      <c:pivotFmt>
        <c:idx val="2119"/>
        <c:marker>
          <c:symbol val="none"/>
        </c:marker>
      </c:pivotFmt>
      <c:pivotFmt>
        <c:idx val="2120"/>
        <c:marker>
          <c:symbol val="none"/>
        </c:marker>
      </c:pivotFmt>
      <c:pivotFmt>
        <c:idx val="2121"/>
        <c:marker>
          <c:symbol val="none"/>
        </c:marker>
      </c:pivotFmt>
      <c:pivotFmt>
        <c:idx val="2122"/>
        <c:marker>
          <c:symbol val="none"/>
        </c:marker>
      </c:pivotFmt>
      <c:pivotFmt>
        <c:idx val="2123"/>
        <c:marker>
          <c:symbol val="none"/>
        </c:marker>
      </c:pivotFmt>
      <c:pivotFmt>
        <c:idx val="2124"/>
        <c:marker>
          <c:symbol val="none"/>
        </c:marker>
      </c:pivotFmt>
      <c:pivotFmt>
        <c:idx val="2125"/>
        <c:marker>
          <c:symbol val="none"/>
        </c:marker>
      </c:pivotFmt>
      <c:pivotFmt>
        <c:idx val="2126"/>
        <c:marker>
          <c:symbol val="none"/>
        </c:marker>
      </c:pivotFmt>
      <c:pivotFmt>
        <c:idx val="2127"/>
        <c:marker>
          <c:symbol val="none"/>
        </c:marker>
      </c:pivotFmt>
      <c:pivotFmt>
        <c:idx val="2128"/>
        <c:marker>
          <c:symbol val="none"/>
        </c:marker>
      </c:pivotFmt>
      <c:pivotFmt>
        <c:idx val="2129"/>
        <c:marker>
          <c:symbol val="none"/>
        </c:marker>
      </c:pivotFmt>
      <c:pivotFmt>
        <c:idx val="2130"/>
        <c:marker>
          <c:symbol val="none"/>
        </c:marker>
      </c:pivotFmt>
      <c:pivotFmt>
        <c:idx val="2131"/>
        <c:marker>
          <c:symbol val="none"/>
        </c:marker>
      </c:pivotFmt>
      <c:pivotFmt>
        <c:idx val="2132"/>
        <c:marker>
          <c:symbol val="none"/>
        </c:marker>
      </c:pivotFmt>
      <c:pivotFmt>
        <c:idx val="2133"/>
        <c:marker>
          <c:symbol val="none"/>
        </c:marker>
      </c:pivotFmt>
      <c:pivotFmt>
        <c:idx val="2134"/>
        <c:marker>
          <c:symbol val="none"/>
        </c:marker>
      </c:pivotFmt>
      <c:pivotFmt>
        <c:idx val="2135"/>
        <c:marker>
          <c:symbol val="none"/>
        </c:marker>
      </c:pivotFmt>
      <c:pivotFmt>
        <c:idx val="2136"/>
        <c:marker>
          <c:symbol val="none"/>
        </c:marker>
      </c:pivotFmt>
      <c:pivotFmt>
        <c:idx val="2137"/>
        <c:marker>
          <c:symbol val="none"/>
        </c:marker>
      </c:pivotFmt>
      <c:pivotFmt>
        <c:idx val="2138"/>
        <c:marker>
          <c:symbol val="none"/>
        </c:marker>
      </c:pivotFmt>
      <c:pivotFmt>
        <c:idx val="2139"/>
        <c:marker>
          <c:symbol val="none"/>
        </c:marker>
      </c:pivotFmt>
      <c:pivotFmt>
        <c:idx val="2140"/>
        <c:marker>
          <c:symbol val="none"/>
        </c:marker>
      </c:pivotFmt>
      <c:pivotFmt>
        <c:idx val="2141"/>
        <c:marker>
          <c:symbol val="none"/>
        </c:marker>
      </c:pivotFmt>
      <c:pivotFmt>
        <c:idx val="2142"/>
        <c:marker>
          <c:symbol val="none"/>
        </c:marker>
      </c:pivotFmt>
      <c:pivotFmt>
        <c:idx val="2143"/>
        <c:marker>
          <c:symbol val="none"/>
        </c:marker>
      </c:pivotFmt>
      <c:pivotFmt>
        <c:idx val="2144"/>
        <c:marker>
          <c:symbol val="none"/>
        </c:marker>
      </c:pivotFmt>
      <c:pivotFmt>
        <c:idx val="2145"/>
        <c:marker>
          <c:symbol val="none"/>
        </c:marker>
      </c:pivotFmt>
      <c:pivotFmt>
        <c:idx val="2146"/>
        <c:marker>
          <c:symbol val="none"/>
        </c:marker>
      </c:pivotFmt>
      <c:pivotFmt>
        <c:idx val="2147"/>
        <c:marker>
          <c:symbol val="none"/>
        </c:marker>
      </c:pivotFmt>
      <c:pivotFmt>
        <c:idx val="2148"/>
        <c:marker>
          <c:symbol val="none"/>
        </c:marker>
      </c:pivotFmt>
      <c:pivotFmt>
        <c:idx val="2149"/>
        <c:marker>
          <c:symbol val="none"/>
        </c:marker>
      </c:pivotFmt>
      <c:pivotFmt>
        <c:idx val="2150"/>
        <c:marker>
          <c:symbol val="none"/>
        </c:marker>
      </c:pivotFmt>
      <c:pivotFmt>
        <c:idx val="2151"/>
        <c:marker>
          <c:symbol val="none"/>
        </c:marker>
      </c:pivotFmt>
      <c:pivotFmt>
        <c:idx val="2152"/>
        <c:marker>
          <c:symbol val="none"/>
        </c:marker>
      </c:pivotFmt>
      <c:pivotFmt>
        <c:idx val="2153"/>
        <c:marker>
          <c:symbol val="none"/>
        </c:marker>
      </c:pivotFmt>
      <c:pivotFmt>
        <c:idx val="2154"/>
        <c:marker>
          <c:symbol val="none"/>
        </c:marker>
      </c:pivotFmt>
      <c:pivotFmt>
        <c:idx val="2155"/>
        <c:marker>
          <c:symbol val="none"/>
        </c:marker>
      </c:pivotFmt>
      <c:pivotFmt>
        <c:idx val="2156"/>
        <c:marker>
          <c:symbol val="none"/>
        </c:marker>
      </c:pivotFmt>
      <c:pivotFmt>
        <c:idx val="2157"/>
        <c:marker>
          <c:symbol val="none"/>
        </c:marker>
      </c:pivotFmt>
      <c:pivotFmt>
        <c:idx val="2158"/>
        <c:marker>
          <c:symbol val="none"/>
        </c:marker>
      </c:pivotFmt>
      <c:pivotFmt>
        <c:idx val="2159"/>
        <c:marker>
          <c:symbol val="none"/>
        </c:marker>
      </c:pivotFmt>
      <c:pivotFmt>
        <c:idx val="2160"/>
        <c:marker>
          <c:symbol val="none"/>
        </c:marker>
      </c:pivotFmt>
      <c:pivotFmt>
        <c:idx val="2161"/>
        <c:marker>
          <c:symbol val="none"/>
        </c:marker>
      </c:pivotFmt>
      <c:pivotFmt>
        <c:idx val="2162"/>
        <c:marker>
          <c:symbol val="none"/>
        </c:marker>
      </c:pivotFmt>
      <c:pivotFmt>
        <c:idx val="2163"/>
        <c:marker>
          <c:symbol val="none"/>
        </c:marker>
      </c:pivotFmt>
      <c:pivotFmt>
        <c:idx val="2164"/>
        <c:marker>
          <c:symbol val="none"/>
        </c:marker>
      </c:pivotFmt>
      <c:pivotFmt>
        <c:idx val="2165"/>
        <c:marker>
          <c:symbol val="none"/>
        </c:marker>
      </c:pivotFmt>
      <c:pivotFmt>
        <c:idx val="2166"/>
        <c:marker>
          <c:symbol val="none"/>
        </c:marker>
      </c:pivotFmt>
      <c:pivotFmt>
        <c:idx val="2167"/>
        <c:marker>
          <c:symbol val="none"/>
        </c:marker>
      </c:pivotFmt>
      <c:pivotFmt>
        <c:idx val="2168"/>
        <c:marker>
          <c:symbol val="none"/>
        </c:marker>
      </c:pivotFmt>
      <c:pivotFmt>
        <c:idx val="2169"/>
        <c:marker>
          <c:symbol val="none"/>
        </c:marker>
      </c:pivotFmt>
      <c:pivotFmt>
        <c:idx val="2170"/>
        <c:marker>
          <c:symbol val="none"/>
        </c:marker>
      </c:pivotFmt>
      <c:pivotFmt>
        <c:idx val="2171"/>
        <c:marker>
          <c:symbol val="none"/>
        </c:marker>
      </c:pivotFmt>
      <c:pivotFmt>
        <c:idx val="2172"/>
        <c:marker>
          <c:symbol val="none"/>
        </c:marker>
      </c:pivotFmt>
      <c:pivotFmt>
        <c:idx val="2173"/>
        <c:marker>
          <c:symbol val="none"/>
        </c:marker>
      </c:pivotFmt>
      <c:pivotFmt>
        <c:idx val="2174"/>
        <c:marker>
          <c:symbol val="none"/>
        </c:marker>
      </c:pivotFmt>
      <c:pivotFmt>
        <c:idx val="2175"/>
        <c:marker>
          <c:symbol val="none"/>
        </c:marker>
      </c:pivotFmt>
      <c:pivotFmt>
        <c:idx val="2176"/>
        <c:marker>
          <c:symbol val="none"/>
        </c:marker>
      </c:pivotFmt>
      <c:pivotFmt>
        <c:idx val="2177"/>
        <c:marker>
          <c:symbol val="none"/>
        </c:marker>
      </c:pivotFmt>
      <c:pivotFmt>
        <c:idx val="2178"/>
        <c:marker>
          <c:symbol val="none"/>
        </c:marker>
      </c:pivotFmt>
      <c:pivotFmt>
        <c:idx val="2179"/>
        <c:marker>
          <c:symbol val="none"/>
        </c:marker>
      </c:pivotFmt>
      <c:pivotFmt>
        <c:idx val="2180"/>
        <c:marker>
          <c:symbol val="none"/>
        </c:marker>
      </c:pivotFmt>
      <c:pivotFmt>
        <c:idx val="2181"/>
        <c:marker>
          <c:symbol val="none"/>
        </c:marker>
      </c:pivotFmt>
      <c:pivotFmt>
        <c:idx val="2182"/>
        <c:marker>
          <c:symbol val="none"/>
        </c:marker>
      </c:pivotFmt>
      <c:pivotFmt>
        <c:idx val="2183"/>
        <c:marker>
          <c:symbol val="none"/>
        </c:marker>
      </c:pivotFmt>
      <c:pivotFmt>
        <c:idx val="2184"/>
        <c:marker>
          <c:symbol val="none"/>
        </c:marker>
      </c:pivotFmt>
      <c:pivotFmt>
        <c:idx val="2185"/>
        <c:marker>
          <c:symbol val="none"/>
        </c:marker>
      </c:pivotFmt>
      <c:pivotFmt>
        <c:idx val="2186"/>
        <c:marker>
          <c:symbol val="none"/>
        </c:marker>
      </c:pivotFmt>
      <c:pivotFmt>
        <c:idx val="2187"/>
        <c:marker>
          <c:symbol val="none"/>
        </c:marker>
      </c:pivotFmt>
      <c:pivotFmt>
        <c:idx val="2188"/>
        <c:marker>
          <c:symbol val="none"/>
        </c:marker>
      </c:pivotFmt>
      <c:pivotFmt>
        <c:idx val="2189"/>
        <c:marker>
          <c:symbol val="none"/>
        </c:marker>
      </c:pivotFmt>
      <c:pivotFmt>
        <c:idx val="2190"/>
        <c:marker>
          <c:symbol val="none"/>
        </c:marker>
      </c:pivotFmt>
      <c:pivotFmt>
        <c:idx val="2191"/>
        <c:marker>
          <c:symbol val="none"/>
        </c:marker>
      </c:pivotFmt>
      <c:pivotFmt>
        <c:idx val="2192"/>
        <c:marker>
          <c:symbol val="none"/>
        </c:marker>
      </c:pivotFmt>
      <c:pivotFmt>
        <c:idx val="2193"/>
        <c:marker>
          <c:symbol val="none"/>
        </c:marker>
      </c:pivotFmt>
      <c:pivotFmt>
        <c:idx val="2194"/>
        <c:marker>
          <c:symbol val="none"/>
        </c:marker>
      </c:pivotFmt>
      <c:pivotFmt>
        <c:idx val="2195"/>
        <c:marker>
          <c:symbol val="none"/>
        </c:marker>
      </c:pivotFmt>
      <c:pivotFmt>
        <c:idx val="2196"/>
        <c:marker>
          <c:symbol val="none"/>
        </c:marker>
      </c:pivotFmt>
      <c:pivotFmt>
        <c:idx val="2197"/>
        <c:marker>
          <c:symbol val="none"/>
        </c:marker>
      </c:pivotFmt>
      <c:pivotFmt>
        <c:idx val="2198"/>
        <c:marker>
          <c:symbol val="none"/>
        </c:marker>
      </c:pivotFmt>
      <c:pivotFmt>
        <c:idx val="2199"/>
        <c:marker>
          <c:symbol val="none"/>
        </c:marker>
      </c:pivotFmt>
      <c:pivotFmt>
        <c:idx val="2200"/>
        <c:marker>
          <c:symbol val="none"/>
        </c:marker>
      </c:pivotFmt>
      <c:pivotFmt>
        <c:idx val="2201"/>
        <c:marker>
          <c:symbol val="none"/>
        </c:marker>
      </c:pivotFmt>
      <c:pivotFmt>
        <c:idx val="2202"/>
        <c:marker>
          <c:symbol val="none"/>
        </c:marker>
      </c:pivotFmt>
      <c:pivotFmt>
        <c:idx val="2203"/>
        <c:marker>
          <c:symbol val="none"/>
        </c:marker>
      </c:pivotFmt>
      <c:pivotFmt>
        <c:idx val="2204"/>
        <c:marker>
          <c:symbol val="none"/>
        </c:marker>
      </c:pivotFmt>
      <c:pivotFmt>
        <c:idx val="2205"/>
        <c:marker>
          <c:symbol val="none"/>
        </c:marker>
      </c:pivotFmt>
      <c:pivotFmt>
        <c:idx val="2206"/>
        <c:marker>
          <c:symbol val="none"/>
        </c:marker>
      </c:pivotFmt>
      <c:pivotFmt>
        <c:idx val="2207"/>
        <c:marker>
          <c:symbol val="none"/>
        </c:marker>
      </c:pivotFmt>
      <c:pivotFmt>
        <c:idx val="2208"/>
        <c:marker>
          <c:symbol val="none"/>
        </c:marker>
      </c:pivotFmt>
      <c:pivotFmt>
        <c:idx val="2209"/>
        <c:marker>
          <c:symbol val="none"/>
        </c:marker>
      </c:pivotFmt>
      <c:pivotFmt>
        <c:idx val="2210"/>
        <c:marker>
          <c:symbol val="none"/>
        </c:marker>
      </c:pivotFmt>
      <c:pivotFmt>
        <c:idx val="2211"/>
        <c:marker>
          <c:symbol val="none"/>
        </c:marker>
      </c:pivotFmt>
      <c:pivotFmt>
        <c:idx val="2212"/>
        <c:marker>
          <c:symbol val="none"/>
        </c:marker>
      </c:pivotFmt>
      <c:pivotFmt>
        <c:idx val="2213"/>
        <c:marker>
          <c:symbol val="none"/>
        </c:marker>
      </c:pivotFmt>
      <c:pivotFmt>
        <c:idx val="2214"/>
        <c:marker>
          <c:symbol val="none"/>
        </c:marker>
      </c:pivotFmt>
      <c:pivotFmt>
        <c:idx val="2215"/>
        <c:marker>
          <c:symbol val="none"/>
        </c:marker>
      </c:pivotFmt>
      <c:pivotFmt>
        <c:idx val="2216"/>
        <c:marker>
          <c:symbol val="none"/>
        </c:marker>
      </c:pivotFmt>
      <c:pivotFmt>
        <c:idx val="2217"/>
        <c:marker>
          <c:symbol val="none"/>
        </c:marker>
      </c:pivotFmt>
      <c:pivotFmt>
        <c:idx val="2218"/>
        <c:marker>
          <c:symbol val="none"/>
        </c:marker>
      </c:pivotFmt>
      <c:pivotFmt>
        <c:idx val="2219"/>
        <c:marker>
          <c:symbol val="none"/>
        </c:marker>
      </c:pivotFmt>
      <c:pivotFmt>
        <c:idx val="2220"/>
        <c:marker>
          <c:symbol val="none"/>
        </c:marker>
      </c:pivotFmt>
      <c:pivotFmt>
        <c:idx val="2221"/>
        <c:marker>
          <c:symbol val="none"/>
        </c:marker>
      </c:pivotFmt>
      <c:pivotFmt>
        <c:idx val="2222"/>
        <c:marker>
          <c:symbol val="none"/>
        </c:marker>
      </c:pivotFmt>
      <c:pivotFmt>
        <c:idx val="2223"/>
        <c:marker>
          <c:symbol val="none"/>
        </c:marker>
      </c:pivotFmt>
      <c:pivotFmt>
        <c:idx val="2224"/>
        <c:marker>
          <c:symbol val="none"/>
        </c:marker>
      </c:pivotFmt>
      <c:pivotFmt>
        <c:idx val="2225"/>
        <c:marker>
          <c:symbol val="none"/>
        </c:marker>
      </c:pivotFmt>
      <c:pivotFmt>
        <c:idx val="2226"/>
        <c:marker>
          <c:symbol val="none"/>
        </c:marker>
      </c:pivotFmt>
      <c:pivotFmt>
        <c:idx val="2227"/>
        <c:marker>
          <c:symbol val="none"/>
        </c:marker>
      </c:pivotFmt>
      <c:pivotFmt>
        <c:idx val="2228"/>
        <c:marker>
          <c:symbol val="none"/>
        </c:marker>
      </c:pivotFmt>
      <c:pivotFmt>
        <c:idx val="2229"/>
        <c:marker>
          <c:symbol val="none"/>
        </c:marker>
      </c:pivotFmt>
      <c:pivotFmt>
        <c:idx val="2230"/>
        <c:marker>
          <c:symbol val="none"/>
        </c:marker>
      </c:pivotFmt>
      <c:pivotFmt>
        <c:idx val="2231"/>
        <c:marker>
          <c:symbol val="none"/>
        </c:marker>
      </c:pivotFmt>
      <c:pivotFmt>
        <c:idx val="2232"/>
        <c:marker>
          <c:symbol val="none"/>
        </c:marker>
      </c:pivotFmt>
      <c:pivotFmt>
        <c:idx val="2233"/>
        <c:marker>
          <c:symbol val="none"/>
        </c:marker>
      </c:pivotFmt>
      <c:pivotFmt>
        <c:idx val="2234"/>
        <c:marker>
          <c:symbol val="none"/>
        </c:marker>
      </c:pivotFmt>
      <c:pivotFmt>
        <c:idx val="2235"/>
        <c:marker>
          <c:symbol val="none"/>
        </c:marker>
      </c:pivotFmt>
      <c:pivotFmt>
        <c:idx val="2236"/>
        <c:marker>
          <c:symbol val="none"/>
        </c:marker>
      </c:pivotFmt>
      <c:pivotFmt>
        <c:idx val="2237"/>
        <c:marker>
          <c:symbol val="none"/>
        </c:marker>
      </c:pivotFmt>
      <c:pivotFmt>
        <c:idx val="2238"/>
        <c:marker>
          <c:symbol val="none"/>
        </c:marker>
      </c:pivotFmt>
      <c:pivotFmt>
        <c:idx val="2239"/>
        <c:marker>
          <c:symbol val="none"/>
        </c:marker>
      </c:pivotFmt>
      <c:pivotFmt>
        <c:idx val="2240"/>
        <c:marker>
          <c:symbol val="none"/>
        </c:marker>
      </c:pivotFmt>
      <c:pivotFmt>
        <c:idx val="2241"/>
        <c:marker>
          <c:symbol val="none"/>
        </c:marker>
      </c:pivotFmt>
      <c:pivotFmt>
        <c:idx val="2242"/>
        <c:marker>
          <c:symbol val="none"/>
        </c:marker>
      </c:pivotFmt>
      <c:pivotFmt>
        <c:idx val="2243"/>
        <c:marker>
          <c:symbol val="none"/>
        </c:marker>
      </c:pivotFmt>
      <c:pivotFmt>
        <c:idx val="2244"/>
        <c:marker>
          <c:symbol val="none"/>
        </c:marker>
      </c:pivotFmt>
      <c:pivotFmt>
        <c:idx val="2245"/>
        <c:marker>
          <c:symbol val="none"/>
        </c:marker>
      </c:pivotFmt>
      <c:pivotFmt>
        <c:idx val="2246"/>
        <c:marker>
          <c:symbol val="none"/>
        </c:marker>
      </c:pivotFmt>
      <c:pivotFmt>
        <c:idx val="2247"/>
        <c:marker>
          <c:symbol val="none"/>
        </c:marker>
      </c:pivotFmt>
      <c:pivotFmt>
        <c:idx val="2248"/>
        <c:marker>
          <c:symbol val="none"/>
        </c:marker>
      </c:pivotFmt>
      <c:pivotFmt>
        <c:idx val="2249"/>
        <c:marker>
          <c:symbol val="none"/>
        </c:marker>
      </c:pivotFmt>
      <c:pivotFmt>
        <c:idx val="2250"/>
        <c:marker>
          <c:symbol val="none"/>
        </c:marker>
      </c:pivotFmt>
      <c:pivotFmt>
        <c:idx val="2251"/>
        <c:marker>
          <c:symbol val="none"/>
        </c:marker>
      </c:pivotFmt>
      <c:pivotFmt>
        <c:idx val="2252"/>
        <c:marker>
          <c:symbol val="none"/>
        </c:marker>
      </c:pivotFmt>
      <c:pivotFmt>
        <c:idx val="2253"/>
        <c:marker>
          <c:symbol val="none"/>
        </c:marker>
      </c:pivotFmt>
      <c:pivotFmt>
        <c:idx val="2254"/>
        <c:marker>
          <c:symbol val="none"/>
        </c:marker>
      </c:pivotFmt>
      <c:pivotFmt>
        <c:idx val="2255"/>
        <c:marker>
          <c:symbol val="none"/>
        </c:marker>
      </c:pivotFmt>
      <c:pivotFmt>
        <c:idx val="2256"/>
        <c:marker>
          <c:symbol val="none"/>
        </c:marker>
      </c:pivotFmt>
      <c:pivotFmt>
        <c:idx val="2257"/>
        <c:marker>
          <c:symbol val="none"/>
        </c:marker>
      </c:pivotFmt>
      <c:pivotFmt>
        <c:idx val="2258"/>
        <c:marker>
          <c:symbol val="none"/>
        </c:marker>
      </c:pivotFmt>
      <c:pivotFmt>
        <c:idx val="2259"/>
        <c:marker>
          <c:symbol val="none"/>
        </c:marker>
      </c:pivotFmt>
      <c:pivotFmt>
        <c:idx val="2260"/>
        <c:marker>
          <c:symbol val="none"/>
        </c:marker>
      </c:pivotFmt>
      <c:pivotFmt>
        <c:idx val="2261"/>
        <c:marker>
          <c:symbol val="none"/>
        </c:marker>
      </c:pivotFmt>
      <c:pivotFmt>
        <c:idx val="2262"/>
        <c:marker>
          <c:symbol val="none"/>
        </c:marker>
      </c:pivotFmt>
      <c:pivotFmt>
        <c:idx val="2263"/>
        <c:marker>
          <c:symbol val="none"/>
        </c:marker>
      </c:pivotFmt>
      <c:pivotFmt>
        <c:idx val="2264"/>
        <c:marker>
          <c:symbol val="none"/>
        </c:marker>
      </c:pivotFmt>
      <c:pivotFmt>
        <c:idx val="2265"/>
        <c:marker>
          <c:symbol val="none"/>
        </c:marker>
      </c:pivotFmt>
      <c:pivotFmt>
        <c:idx val="2266"/>
        <c:marker>
          <c:symbol val="none"/>
        </c:marker>
      </c:pivotFmt>
      <c:pivotFmt>
        <c:idx val="2267"/>
        <c:marker>
          <c:symbol val="none"/>
        </c:marker>
      </c:pivotFmt>
      <c:pivotFmt>
        <c:idx val="2268"/>
        <c:marker>
          <c:symbol val="none"/>
        </c:marker>
      </c:pivotFmt>
      <c:pivotFmt>
        <c:idx val="2269"/>
        <c:marker>
          <c:symbol val="none"/>
        </c:marker>
      </c:pivotFmt>
      <c:pivotFmt>
        <c:idx val="2270"/>
        <c:marker>
          <c:symbol val="none"/>
        </c:marker>
      </c:pivotFmt>
      <c:pivotFmt>
        <c:idx val="2271"/>
        <c:marker>
          <c:symbol val="none"/>
        </c:marker>
      </c:pivotFmt>
      <c:pivotFmt>
        <c:idx val="2272"/>
        <c:marker>
          <c:symbol val="none"/>
        </c:marker>
      </c:pivotFmt>
      <c:pivotFmt>
        <c:idx val="2273"/>
        <c:marker>
          <c:symbol val="none"/>
        </c:marker>
      </c:pivotFmt>
      <c:pivotFmt>
        <c:idx val="2274"/>
        <c:marker>
          <c:symbol val="none"/>
        </c:marker>
      </c:pivotFmt>
      <c:pivotFmt>
        <c:idx val="2275"/>
        <c:marker>
          <c:symbol val="none"/>
        </c:marker>
      </c:pivotFmt>
      <c:pivotFmt>
        <c:idx val="2276"/>
        <c:marker>
          <c:symbol val="none"/>
        </c:marker>
      </c:pivotFmt>
      <c:pivotFmt>
        <c:idx val="2277"/>
        <c:marker>
          <c:symbol val="none"/>
        </c:marker>
      </c:pivotFmt>
      <c:pivotFmt>
        <c:idx val="2278"/>
        <c:marker>
          <c:symbol val="none"/>
        </c:marker>
      </c:pivotFmt>
      <c:pivotFmt>
        <c:idx val="2279"/>
        <c:marker>
          <c:symbol val="none"/>
        </c:marker>
      </c:pivotFmt>
      <c:pivotFmt>
        <c:idx val="2280"/>
        <c:marker>
          <c:symbol val="none"/>
        </c:marker>
      </c:pivotFmt>
      <c:pivotFmt>
        <c:idx val="2281"/>
        <c:marker>
          <c:symbol val="none"/>
        </c:marker>
      </c:pivotFmt>
      <c:pivotFmt>
        <c:idx val="2282"/>
        <c:marker>
          <c:symbol val="none"/>
        </c:marker>
      </c:pivotFmt>
      <c:pivotFmt>
        <c:idx val="2283"/>
        <c:marker>
          <c:symbol val="none"/>
        </c:marker>
      </c:pivotFmt>
      <c:pivotFmt>
        <c:idx val="2284"/>
        <c:marker>
          <c:symbol val="none"/>
        </c:marker>
      </c:pivotFmt>
      <c:pivotFmt>
        <c:idx val="2285"/>
        <c:marker>
          <c:symbol val="none"/>
        </c:marker>
      </c:pivotFmt>
      <c:pivotFmt>
        <c:idx val="2286"/>
        <c:marker>
          <c:symbol val="none"/>
        </c:marker>
      </c:pivotFmt>
      <c:pivotFmt>
        <c:idx val="2287"/>
        <c:marker>
          <c:symbol val="none"/>
        </c:marker>
      </c:pivotFmt>
      <c:pivotFmt>
        <c:idx val="2288"/>
        <c:marker>
          <c:symbol val="none"/>
        </c:marker>
      </c:pivotFmt>
      <c:pivotFmt>
        <c:idx val="2289"/>
        <c:marker>
          <c:symbol val="none"/>
        </c:marker>
      </c:pivotFmt>
      <c:pivotFmt>
        <c:idx val="2290"/>
        <c:marker>
          <c:symbol val="none"/>
        </c:marker>
      </c:pivotFmt>
      <c:pivotFmt>
        <c:idx val="2291"/>
        <c:marker>
          <c:symbol val="none"/>
        </c:marker>
      </c:pivotFmt>
      <c:pivotFmt>
        <c:idx val="2292"/>
        <c:marker>
          <c:symbol val="none"/>
        </c:marker>
      </c:pivotFmt>
      <c:pivotFmt>
        <c:idx val="2293"/>
        <c:marker>
          <c:symbol val="none"/>
        </c:marker>
      </c:pivotFmt>
      <c:pivotFmt>
        <c:idx val="2294"/>
        <c:marker>
          <c:symbol val="none"/>
        </c:marker>
      </c:pivotFmt>
      <c:pivotFmt>
        <c:idx val="2295"/>
        <c:marker>
          <c:symbol val="none"/>
        </c:marker>
      </c:pivotFmt>
      <c:pivotFmt>
        <c:idx val="2296"/>
        <c:marker>
          <c:symbol val="none"/>
        </c:marker>
      </c:pivotFmt>
      <c:pivotFmt>
        <c:idx val="2297"/>
        <c:marker>
          <c:symbol val="none"/>
        </c:marker>
      </c:pivotFmt>
      <c:pivotFmt>
        <c:idx val="2298"/>
        <c:marker>
          <c:symbol val="none"/>
        </c:marker>
      </c:pivotFmt>
      <c:pivotFmt>
        <c:idx val="2299"/>
        <c:marker>
          <c:symbol val="none"/>
        </c:marker>
      </c:pivotFmt>
      <c:pivotFmt>
        <c:idx val="2300"/>
        <c:marker>
          <c:symbol val="none"/>
        </c:marker>
      </c:pivotFmt>
      <c:pivotFmt>
        <c:idx val="2301"/>
        <c:marker>
          <c:symbol val="none"/>
        </c:marker>
      </c:pivotFmt>
      <c:pivotFmt>
        <c:idx val="2302"/>
        <c:marker>
          <c:symbol val="none"/>
        </c:marker>
      </c:pivotFmt>
      <c:pivotFmt>
        <c:idx val="2303"/>
        <c:marker>
          <c:symbol val="none"/>
        </c:marker>
      </c:pivotFmt>
      <c:pivotFmt>
        <c:idx val="2304"/>
        <c:marker>
          <c:symbol val="none"/>
        </c:marker>
      </c:pivotFmt>
      <c:pivotFmt>
        <c:idx val="2305"/>
        <c:marker>
          <c:symbol val="none"/>
        </c:marker>
      </c:pivotFmt>
      <c:pivotFmt>
        <c:idx val="2306"/>
        <c:marker>
          <c:symbol val="none"/>
        </c:marker>
      </c:pivotFmt>
      <c:pivotFmt>
        <c:idx val="2307"/>
        <c:marker>
          <c:symbol val="none"/>
        </c:marker>
      </c:pivotFmt>
      <c:pivotFmt>
        <c:idx val="2308"/>
        <c:marker>
          <c:symbol val="none"/>
        </c:marker>
      </c:pivotFmt>
      <c:pivotFmt>
        <c:idx val="2309"/>
        <c:marker>
          <c:symbol val="none"/>
        </c:marker>
      </c:pivotFmt>
      <c:pivotFmt>
        <c:idx val="2310"/>
        <c:marker>
          <c:symbol val="none"/>
        </c:marker>
      </c:pivotFmt>
      <c:pivotFmt>
        <c:idx val="2311"/>
        <c:marker>
          <c:symbol val="none"/>
        </c:marker>
      </c:pivotFmt>
      <c:pivotFmt>
        <c:idx val="2312"/>
        <c:marker>
          <c:symbol val="none"/>
        </c:marker>
      </c:pivotFmt>
      <c:pivotFmt>
        <c:idx val="2313"/>
        <c:marker>
          <c:symbol val="none"/>
        </c:marker>
      </c:pivotFmt>
      <c:pivotFmt>
        <c:idx val="2314"/>
        <c:marker>
          <c:symbol val="none"/>
        </c:marker>
      </c:pivotFmt>
      <c:pivotFmt>
        <c:idx val="2315"/>
        <c:marker>
          <c:symbol val="none"/>
        </c:marker>
      </c:pivotFmt>
      <c:pivotFmt>
        <c:idx val="2316"/>
        <c:marker>
          <c:symbol val="none"/>
        </c:marker>
      </c:pivotFmt>
      <c:pivotFmt>
        <c:idx val="2317"/>
        <c:marker>
          <c:symbol val="none"/>
        </c:marker>
      </c:pivotFmt>
      <c:pivotFmt>
        <c:idx val="2318"/>
        <c:marker>
          <c:symbol val="none"/>
        </c:marker>
      </c:pivotFmt>
      <c:pivotFmt>
        <c:idx val="2319"/>
        <c:marker>
          <c:symbol val="none"/>
        </c:marker>
      </c:pivotFmt>
      <c:pivotFmt>
        <c:idx val="2320"/>
        <c:marker>
          <c:symbol val="none"/>
        </c:marker>
      </c:pivotFmt>
      <c:pivotFmt>
        <c:idx val="2321"/>
        <c:marker>
          <c:symbol val="none"/>
        </c:marker>
      </c:pivotFmt>
      <c:pivotFmt>
        <c:idx val="2322"/>
        <c:marker>
          <c:symbol val="none"/>
        </c:marker>
      </c:pivotFmt>
      <c:pivotFmt>
        <c:idx val="2323"/>
        <c:marker>
          <c:symbol val="none"/>
        </c:marker>
      </c:pivotFmt>
      <c:pivotFmt>
        <c:idx val="2324"/>
        <c:marker>
          <c:symbol val="none"/>
        </c:marker>
      </c:pivotFmt>
      <c:pivotFmt>
        <c:idx val="2325"/>
        <c:marker>
          <c:symbol val="none"/>
        </c:marker>
      </c:pivotFmt>
      <c:pivotFmt>
        <c:idx val="2326"/>
        <c:marker>
          <c:symbol val="none"/>
        </c:marker>
      </c:pivotFmt>
      <c:pivotFmt>
        <c:idx val="2327"/>
        <c:marker>
          <c:symbol val="none"/>
        </c:marker>
      </c:pivotFmt>
      <c:pivotFmt>
        <c:idx val="2328"/>
        <c:marker>
          <c:symbol val="none"/>
        </c:marker>
      </c:pivotFmt>
      <c:pivotFmt>
        <c:idx val="2329"/>
        <c:marker>
          <c:symbol val="none"/>
        </c:marker>
      </c:pivotFmt>
      <c:pivotFmt>
        <c:idx val="2330"/>
        <c:marker>
          <c:symbol val="none"/>
        </c:marker>
      </c:pivotFmt>
      <c:pivotFmt>
        <c:idx val="2331"/>
        <c:marker>
          <c:symbol val="none"/>
        </c:marker>
      </c:pivotFmt>
      <c:pivotFmt>
        <c:idx val="2332"/>
        <c:marker>
          <c:symbol val="none"/>
        </c:marker>
      </c:pivotFmt>
      <c:pivotFmt>
        <c:idx val="2333"/>
        <c:marker>
          <c:symbol val="none"/>
        </c:marker>
      </c:pivotFmt>
      <c:pivotFmt>
        <c:idx val="2334"/>
        <c:marker>
          <c:symbol val="none"/>
        </c:marker>
      </c:pivotFmt>
      <c:pivotFmt>
        <c:idx val="2335"/>
        <c:marker>
          <c:symbol val="none"/>
        </c:marker>
      </c:pivotFmt>
      <c:pivotFmt>
        <c:idx val="2336"/>
        <c:marker>
          <c:symbol val="none"/>
        </c:marker>
      </c:pivotFmt>
    </c:pivotFmts>
    <c:plotArea>
      <c:layout/>
      <c:lineChart>
        <c:grouping val="standard"/>
        <c:varyColors val="0"/>
        <c:ser>
          <c:idx val="0"/>
          <c:order val="0"/>
          <c:tx>
            <c:strRef>
              <c:f>'Sheet1 (21)'!$B$4:$B$5</c:f>
              <c:strCache>
                <c:ptCount val="1"/>
                <c:pt idx="0">
                  <c:v>Total</c:v>
                </c:pt>
              </c:strCache>
            </c:strRef>
          </c:tx>
          <c:marker>
            <c:symbol val="none"/>
          </c:marker>
          <c:cat>
            <c:strRef>
              <c:f>'Sheet1 (21)'!$A$6:$A$211</c:f>
              <c:strCache>
                <c:ptCount val="205"/>
                <c:pt idx="0">
                  <c:v>31/08/2012</c:v>
                </c:pt>
                <c:pt idx="1">
                  <c:v>7/09/2012</c:v>
                </c:pt>
                <c:pt idx="2">
                  <c:v>14/09/2012</c:v>
                </c:pt>
                <c:pt idx="3">
                  <c:v>21/09/2012</c:v>
                </c:pt>
                <c:pt idx="4">
                  <c:v>28/09/2012</c:v>
                </c:pt>
                <c:pt idx="5">
                  <c:v>5/10/2012</c:v>
                </c:pt>
                <c:pt idx="6">
                  <c:v>12/10/2012</c:v>
                </c:pt>
                <c:pt idx="7">
                  <c:v>19/10/2012</c:v>
                </c:pt>
                <c:pt idx="8">
                  <c:v>26/10/2012</c:v>
                </c:pt>
                <c:pt idx="9">
                  <c:v>2/11/2012</c:v>
                </c:pt>
                <c:pt idx="10">
                  <c:v>9/11/2012</c:v>
                </c:pt>
                <c:pt idx="11">
                  <c:v>16/11/2012</c:v>
                </c:pt>
                <c:pt idx="12">
                  <c:v>23/11/2012</c:v>
                </c:pt>
                <c:pt idx="13">
                  <c:v>30/11/2012</c:v>
                </c:pt>
                <c:pt idx="14">
                  <c:v>7/12/2012</c:v>
                </c:pt>
                <c:pt idx="15">
                  <c:v>14/12/2012</c:v>
                </c:pt>
                <c:pt idx="16">
                  <c:v>21/12/2012</c:v>
                </c:pt>
                <c:pt idx="17">
                  <c:v>28/12/2012</c:v>
                </c:pt>
                <c:pt idx="18">
                  <c:v>4/01/2013</c:v>
                </c:pt>
                <c:pt idx="19">
                  <c:v>11/01/2013</c:v>
                </c:pt>
                <c:pt idx="20">
                  <c:v>18/01/2013</c:v>
                </c:pt>
                <c:pt idx="21">
                  <c:v>25/01/2013</c:v>
                </c:pt>
                <c:pt idx="22">
                  <c:v>1/02/2013</c:v>
                </c:pt>
                <c:pt idx="23">
                  <c:v>8/02/2013</c:v>
                </c:pt>
                <c:pt idx="24">
                  <c:v>15/02/2013</c:v>
                </c:pt>
                <c:pt idx="25">
                  <c:v>22/02/2013</c:v>
                </c:pt>
                <c:pt idx="26">
                  <c:v>1/03/2013</c:v>
                </c:pt>
                <c:pt idx="27">
                  <c:v>8/03/2013</c:v>
                </c:pt>
                <c:pt idx="28">
                  <c:v>15/03/2013</c:v>
                </c:pt>
                <c:pt idx="29">
                  <c:v>22/03/2013</c:v>
                </c:pt>
                <c:pt idx="30">
                  <c:v>29/03/2013</c:v>
                </c:pt>
                <c:pt idx="31">
                  <c:v>5/04/2013</c:v>
                </c:pt>
                <c:pt idx="32">
                  <c:v>12/04/2013</c:v>
                </c:pt>
                <c:pt idx="33">
                  <c:v>19/04/2013</c:v>
                </c:pt>
                <c:pt idx="34">
                  <c:v>26/04/2013</c:v>
                </c:pt>
                <c:pt idx="35">
                  <c:v>3/05/2013</c:v>
                </c:pt>
                <c:pt idx="36">
                  <c:v>10/05/2013</c:v>
                </c:pt>
                <c:pt idx="37">
                  <c:v>17/05/2013</c:v>
                </c:pt>
                <c:pt idx="38">
                  <c:v>24/05/2013</c:v>
                </c:pt>
                <c:pt idx="39">
                  <c:v>31/05/2013</c:v>
                </c:pt>
                <c:pt idx="40">
                  <c:v>7/06/2013</c:v>
                </c:pt>
                <c:pt idx="41">
                  <c:v>14/06/2013</c:v>
                </c:pt>
                <c:pt idx="42">
                  <c:v>21/06/2013</c:v>
                </c:pt>
                <c:pt idx="43">
                  <c:v>28/06/2013</c:v>
                </c:pt>
                <c:pt idx="44">
                  <c:v>5/07/2013</c:v>
                </c:pt>
                <c:pt idx="45">
                  <c:v>12/07/2013</c:v>
                </c:pt>
                <c:pt idx="46">
                  <c:v>19/07/2013</c:v>
                </c:pt>
                <c:pt idx="47">
                  <c:v>26/07/2013</c:v>
                </c:pt>
                <c:pt idx="48">
                  <c:v>2/08/2013</c:v>
                </c:pt>
                <c:pt idx="49">
                  <c:v>9/08/2013</c:v>
                </c:pt>
                <c:pt idx="50">
                  <c:v>16/08/2013</c:v>
                </c:pt>
                <c:pt idx="51">
                  <c:v>23/08/2013</c:v>
                </c:pt>
                <c:pt idx="52">
                  <c:v>30/08/2013</c:v>
                </c:pt>
                <c:pt idx="53">
                  <c:v>6/09/2013</c:v>
                </c:pt>
                <c:pt idx="54">
                  <c:v>13/09/2013</c:v>
                </c:pt>
                <c:pt idx="55">
                  <c:v>20/09/2013</c:v>
                </c:pt>
                <c:pt idx="56">
                  <c:v>27/09/2013</c:v>
                </c:pt>
                <c:pt idx="57">
                  <c:v>4/10/2013</c:v>
                </c:pt>
                <c:pt idx="58">
                  <c:v>11/10/2013</c:v>
                </c:pt>
                <c:pt idx="59">
                  <c:v>18/10/2013</c:v>
                </c:pt>
                <c:pt idx="60">
                  <c:v>25/10/2013</c:v>
                </c:pt>
                <c:pt idx="61">
                  <c:v>1/11/2013</c:v>
                </c:pt>
                <c:pt idx="62">
                  <c:v>8/11/2013</c:v>
                </c:pt>
                <c:pt idx="63">
                  <c:v>15/11/2013</c:v>
                </c:pt>
                <c:pt idx="64">
                  <c:v>22/11/2013</c:v>
                </c:pt>
                <c:pt idx="65">
                  <c:v>29/11/2013</c:v>
                </c:pt>
                <c:pt idx="66">
                  <c:v>6/12/2013</c:v>
                </c:pt>
                <c:pt idx="67">
                  <c:v>13/12/2013</c:v>
                </c:pt>
                <c:pt idx="68">
                  <c:v>20/12/2013</c:v>
                </c:pt>
                <c:pt idx="69">
                  <c:v>27/12/2013</c:v>
                </c:pt>
                <c:pt idx="70">
                  <c:v>3/01/2014</c:v>
                </c:pt>
                <c:pt idx="71">
                  <c:v>10/01/2014</c:v>
                </c:pt>
                <c:pt idx="72">
                  <c:v>17/01/2014</c:v>
                </c:pt>
                <c:pt idx="73">
                  <c:v>24/01/2014</c:v>
                </c:pt>
                <c:pt idx="74">
                  <c:v>31/01/2014</c:v>
                </c:pt>
                <c:pt idx="75">
                  <c:v>7/02/2014</c:v>
                </c:pt>
                <c:pt idx="76">
                  <c:v>14/02/2014</c:v>
                </c:pt>
                <c:pt idx="77">
                  <c:v>21/02/2014</c:v>
                </c:pt>
                <c:pt idx="78">
                  <c:v>28/02/2014</c:v>
                </c:pt>
                <c:pt idx="79">
                  <c:v>7/03/2014</c:v>
                </c:pt>
                <c:pt idx="80">
                  <c:v>14/03/2014</c:v>
                </c:pt>
                <c:pt idx="81">
                  <c:v>21/03/2014</c:v>
                </c:pt>
                <c:pt idx="82">
                  <c:v>28/03/2014</c:v>
                </c:pt>
                <c:pt idx="83">
                  <c:v>4/04/2014</c:v>
                </c:pt>
                <c:pt idx="84">
                  <c:v>11/04/2014</c:v>
                </c:pt>
                <c:pt idx="85">
                  <c:v>18/04/2014</c:v>
                </c:pt>
                <c:pt idx="86">
                  <c:v>25/04/2014</c:v>
                </c:pt>
                <c:pt idx="87">
                  <c:v>2/05/2014</c:v>
                </c:pt>
                <c:pt idx="88">
                  <c:v>9/05/2014</c:v>
                </c:pt>
                <c:pt idx="89">
                  <c:v>16/05/2014</c:v>
                </c:pt>
                <c:pt idx="90">
                  <c:v>23/05/2014</c:v>
                </c:pt>
                <c:pt idx="91">
                  <c:v>30/05/2014</c:v>
                </c:pt>
                <c:pt idx="92">
                  <c:v>6/06/2014</c:v>
                </c:pt>
                <c:pt idx="93">
                  <c:v>13/06/2014</c:v>
                </c:pt>
                <c:pt idx="94">
                  <c:v>20/06/2014</c:v>
                </c:pt>
                <c:pt idx="95">
                  <c:v>27/06/2014</c:v>
                </c:pt>
                <c:pt idx="96">
                  <c:v>4/07/2014</c:v>
                </c:pt>
                <c:pt idx="97">
                  <c:v>11/07/2014</c:v>
                </c:pt>
                <c:pt idx="98">
                  <c:v>18/07/2014</c:v>
                </c:pt>
                <c:pt idx="99">
                  <c:v>25/07/2014</c:v>
                </c:pt>
                <c:pt idx="100">
                  <c:v>1/08/2014</c:v>
                </c:pt>
                <c:pt idx="101">
                  <c:v>8/08/2014</c:v>
                </c:pt>
                <c:pt idx="102">
                  <c:v>15/08/2014</c:v>
                </c:pt>
                <c:pt idx="103">
                  <c:v>22/08/2014</c:v>
                </c:pt>
                <c:pt idx="104">
                  <c:v>29/08/2014</c:v>
                </c:pt>
                <c:pt idx="105">
                  <c:v>5/09/2014</c:v>
                </c:pt>
                <c:pt idx="106">
                  <c:v>12/09/2014</c:v>
                </c:pt>
                <c:pt idx="107">
                  <c:v>19/09/2014</c:v>
                </c:pt>
                <c:pt idx="108">
                  <c:v>26/09/2014</c:v>
                </c:pt>
                <c:pt idx="109">
                  <c:v>3/10/2014</c:v>
                </c:pt>
                <c:pt idx="110">
                  <c:v>10/10/2014</c:v>
                </c:pt>
                <c:pt idx="111">
                  <c:v>17/10/2014</c:v>
                </c:pt>
                <c:pt idx="112">
                  <c:v>24/10/2014</c:v>
                </c:pt>
                <c:pt idx="113">
                  <c:v>31/10/2014</c:v>
                </c:pt>
                <c:pt idx="114">
                  <c:v>7/11/2014</c:v>
                </c:pt>
                <c:pt idx="115">
                  <c:v>14/11/2014</c:v>
                </c:pt>
                <c:pt idx="116">
                  <c:v>21/11/2014</c:v>
                </c:pt>
                <c:pt idx="117">
                  <c:v>28/11/2014</c:v>
                </c:pt>
                <c:pt idx="118">
                  <c:v>5/12/2014</c:v>
                </c:pt>
                <c:pt idx="119">
                  <c:v>12/12/2014</c:v>
                </c:pt>
                <c:pt idx="120">
                  <c:v>19/12/2014</c:v>
                </c:pt>
                <c:pt idx="121">
                  <c:v>26/12/2014</c:v>
                </c:pt>
                <c:pt idx="122">
                  <c:v>2/01/2015</c:v>
                </c:pt>
                <c:pt idx="123">
                  <c:v>9/01/2015</c:v>
                </c:pt>
                <c:pt idx="124">
                  <c:v>16/01/2015</c:v>
                </c:pt>
                <c:pt idx="125">
                  <c:v>23/01/2015</c:v>
                </c:pt>
                <c:pt idx="126">
                  <c:v>30/01/2015</c:v>
                </c:pt>
                <c:pt idx="127">
                  <c:v>6/02/2015</c:v>
                </c:pt>
                <c:pt idx="128">
                  <c:v>13/02/2015</c:v>
                </c:pt>
                <c:pt idx="129">
                  <c:v>20/02/2015</c:v>
                </c:pt>
                <c:pt idx="130">
                  <c:v>27/02/2015</c:v>
                </c:pt>
                <c:pt idx="131">
                  <c:v>6/03/2015</c:v>
                </c:pt>
                <c:pt idx="132">
                  <c:v>13/03/2015</c:v>
                </c:pt>
                <c:pt idx="133">
                  <c:v>20/03/2015</c:v>
                </c:pt>
                <c:pt idx="134">
                  <c:v>27/03/2015</c:v>
                </c:pt>
                <c:pt idx="135">
                  <c:v>3/04/2015</c:v>
                </c:pt>
                <c:pt idx="136">
                  <c:v>10/04/2015</c:v>
                </c:pt>
                <c:pt idx="137">
                  <c:v>17/04/2015</c:v>
                </c:pt>
                <c:pt idx="138">
                  <c:v>24/04/2015</c:v>
                </c:pt>
                <c:pt idx="139">
                  <c:v>1/05/2015</c:v>
                </c:pt>
                <c:pt idx="140">
                  <c:v>8/05/2015</c:v>
                </c:pt>
                <c:pt idx="141">
                  <c:v>15/05/2015</c:v>
                </c:pt>
                <c:pt idx="142">
                  <c:v>22/05/2015</c:v>
                </c:pt>
                <c:pt idx="143">
                  <c:v>29/05/2015</c:v>
                </c:pt>
                <c:pt idx="144">
                  <c:v>5/06/2015</c:v>
                </c:pt>
                <c:pt idx="145">
                  <c:v>12/06/2015</c:v>
                </c:pt>
                <c:pt idx="146">
                  <c:v>19/06/2015</c:v>
                </c:pt>
                <c:pt idx="147">
                  <c:v>26/06/2015</c:v>
                </c:pt>
                <c:pt idx="148">
                  <c:v>3/07/2015</c:v>
                </c:pt>
                <c:pt idx="149">
                  <c:v>10/07/2015</c:v>
                </c:pt>
                <c:pt idx="150">
                  <c:v>17/07/2015</c:v>
                </c:pt>
                <c:pt idx="151">
                  <c:v>24/07/2015</c:v>
                </c:pt>
                <c:pt idx="152">
                  <c:v>31/07/2015</c:v>
                </c:pt>
                <c:pt idx="153">
                  <c:v>7/08/2015</c:v>
                </c:pt>
                <c:pt idx="154">
                  <c:v>14/08/2015</c:v>
                </c:pt>
                <c:pt idx="155">
                  <c:v>21/08/2015</c:v>
                </c:pt>
                <c:pt idx="156">
                  <c:v>28/08/2015</c:v>
                </c:pt>
                <c:pt idx="157">
                  <c:v>4/09/2015</c:v>
                </c:pt>
                <c:pt idx="158">
                  <c:v>11/09/2015</c:v>
                </c:pt>
                <c:pt idx="159">
                  <c:v>18/09/2015</c:v>
                </c:pt>
                <c:pt idx="160">
                  <c:v>25/09/2015</c:v>
                </c:pt>
                <c:pt idx="161">
                  <c:v>2/10/2015</c:v>
                </c:pt>
                <c:pt idx="162">
                  <c:v>9/10/2015</c:v>
                </c:pt>
                <c:pt idx="163">
                  <c:v>16/10/2015</c:v>
                </c:pt>
                <c:pt idx="164">
                  <c:v>23/10/2015</c:v>
                </c:pt>
                <c:pt idx="165">
                  <c:v>30/10/2015</c:v>
                </c:pt>
                <c:pt idx="166">
                  <c:v>6/11/2015</c:v>
                </c:pt>
                <c:pt idx="167">
                  <c:v>13/11/2015</c:v>
                </c:pt>
                <c:pt idx="168">
                  <c:v>20/11/2015</c:v>
                </c:pt>
                <c:pt idx="169">
                  <c:v>27/11/2015</c:v>
                </c:pt>
                <c:pt idx="170">
                  <c:v>4/12/2015</c:v>
                </c:pt>
                <c:pt idx="171">
                  <c:v>11/12/2015</c:v>
                </c:pt>
                <c:pt idx="172">
                  <c:v>18/12/2015</c:v>
                </c:pt>
                <c:pt idx="173">
                  <c:v>25/12/2015</c:v>
                </c:pt>
                <c:pt idx="174">
                  <c:v>1/01/2016</c:v>
                </c:pt>
                <c:pt idx="175">
                  <c:v>8/01/2016</c:v>
                </c:pt>
                <c:pt idx="176">
                  <c:v>15/01/2016</c:v>
                </c:pt>
                <c:pt idx="177">
                  <c:v>22/01/2016</c:v>
                </c:pt>
                <c:pt idx="178">
                  <c:v>29/01/2016</c:v>
                </c:pt>
                <c:pt idx="179">
                  <c:v>5/02/2016</c:v>
                </c:pt>
                <c:pt idx="180">
                  <c:v>12/02/2016</c:v>
                </c:pt>
                <c:pt idx="181">
                  <c:v>19/02/2016</c:v>
                </c:pt>
                <c:pt idx="182">
                  <c:v>26/02/2016</c:v>
                </c:pt>
                <c:pt idx="183">
                  <c:v>4/03/2016</c:v>
                </c:pt>
                <c:pt idx="184">
                  <c:v>11/03/2016</c:v>
                </c:pt>
                <c:pt idx="185">
                  <c:v>18/03/2016</c:v>
                </c:pt>
                <c:pt idx="186">
                  <c:v>25/03/2016</c:v>
                </c:pt>
                <c:pt idx="187">
                  <c:v>1/04/2016</c:v>
                </c:pt>
                <c:pt idx="188">
                  <c:v>8/04/2016</c:v>
                </c:pt>
                <c:pt idx="189">
                  <c:v>15/04/2016</c:v>
                </c:pt>
                <c:pt idx="190">
                  <c:v>22/04/2016</c:v>
                </c:pt>
                <c:pt idx="191">
                  <c:v>29/04/2016</c:v>
                </c:pt>
                <c:pt idx="192">
                  <c:v>6/05/2016</c:v>
                </c:pt>
                <c:pt idx="193">
                  <c:v>13/05/2016</c:v>
                </c:pt>
                <c:pt idx="194">
                  <c:v>20/05/2016</c:v>
                </c:pt>
                <c:pt idx="195">
                  <c:v>27/05/2016</c:v>
                </c:pt>
                <c:pt idx="196">
                  <c:v>3/06/2016</c:v>
                </c:pt>
                <c:pt idx="197">
                  <c:v>10/06/2016</c:v>
                </c:pt>
                <c:pt idx="198">
                  <c:v>17/06/2016</c:v>
                </c:pt>
                <c:pt idx="199">
                  <c:v>24/06/2016</c:v>
                </c:pt>
                <c:pt idx="200">
                  <c:v>1/07/2016</c:v>
                </c:pt>
                <c:pt idx="201">
                  <c:v>8/07/2016</c:v>
                </c:pt>
                <c:pt idx="202">
                  <c:v>15/07/2016</c:v>
                </c:pt>
                <c:pt idx="203">
                  <c:v>22/07/2016</c:v>
                </c:pt>
                <c:pt idx="204">
                  <c:v>29/07/2016</c:v>
                </c:pt>
              </c:strCache>
            </c:strRef>
          </c:cat>
          <c:val>
            <c:numRef>
              <c:f>'Sheet1 (21)'!$B$6:$B$211</c:f>
              <c:numCache>
                <c:formatCode>General</c:formatCode>
                <c:ptCount val="205"/>
                <c:pt idx="0">
                  <c:v>811009</c:v>
                </c:pt>
                <c:pt idx="1">
                  <c:v>812815</c:v>
                </c:pt>
                <c:pt idx="2">
                  <c:v>814345</c:v>
                </c:pt>
                <c:pt idx="3">
                  <c:v>815759</c:v>
                </c:pt>
                <c:pt idx="4">
                  <c:v>816367</c:v>
                </c:pt>
                <c:pt idx="5">
                  <c:v>818186</c:v>
                </c:pt>
                <c:pt idx="6">
                  <c:v>820135</c:v>
                </c:pt>
                <c:pt idx="7">
                  <c:v>821822</c:v>
                </c:pt>
                <c:pt idx="8">
                  <c:v>823553</c:v>
                </c:pt>
                <c:pt idx="9">
                  <c:v>825176</c:v>
                </c:pt>
                <c:pt idx="10">
                  <c:v>827477</c:v>
                </c:pt>
                <c:pt idx="11">
                  <c:v>829018</c:v>
                </c:pt>
                <c:pt idx="12">
                  <c:v>830549</c:v>
                </c:pt>
                <c:pt idx="13">
                  <c:v>832001</c:v>
                </c:pt>
                <c:pt idx="14">
                  <c:v>833678</c:v>
                </c:pt>
                <c:pt idx="15">
                  <c:v>835818</c:v>
                </c:pt>
                <c:pt idx="16">
                  <c:v>834265</c:v>
                </c:pt>
                <c:pt idx="17">
                  <c:v>833148</c:v>
                </c:pt>
                <c:pt idx="18">
                  <c:v>832292</c:v>
                </c:pt>
                <c:pt idx="19">
                  <c:v>831823</c:v>
                </c:pt>
                <c:pt idx="20">
                  <c:v>830586</c:v>
                </c:pt>
                <c:pt idx="21">
                  <c:v>827696</c:v>
                </c:pt>
                <c:pt idx="22">
                  <c:v>826512</c:v>
                </c:pt>
                <c:pt idx="23">
                  <c:v>825245</c:v>
                </c:pt>
                <c:pt idx="24">
                  <c:v>825086</c:v>
                </c:pt>
                <c:pt idx="25">
                  <c:v>824358</c:v>
                </c:pt>
                <c:pt idx="26">
                  <c:v>824111</c:v>
                </c:pt>
                <c:pt idx="27">
                  <c:v>824511</c:v>
                </c:pt>
                <c:pt idx="28">
                  <c:v>824705</c:v>
                </c:pt>
                <c:pt idx="29">
                  <c:v>825959</c:v>
                </c:pt>
                <c:pt idx="30">
                  <c:v>823818</c:v>
                </c:pt>
                <c:pt idx="31">
                  <c:v>824889</c:v>
                </c:pt>
                <c:pt idx="32">
                  <c:v>825689</c:v>
                </c:pt>
                <c:pt idx="33">
                  <c:v>825671</c:v>
                </c:pt>
                <c:pt idx="34">
                  <c:v>826719</c:v>
                </c:pt>
                <c:pt idx="35">
                  <c:v>827712</c:v>
                </c:pt>
                <c:pt idx="36">
                  <c:v>829648</c:v>
                </c:pt>
                <c:pt idx="37">
                  <c:v>830331</c:v>
                </c:pt>
                <c:pt idx="38">
                  <c:v>831159</c:v>
                </c:pt>
                <c:pt idx="39">
                  <c:v>832223</c:v>
                </c:pt>
                <c:pt idx="40">
                  <c:v>832966</c:v>
                </c:pt>
                <c:pt idx="41">
                  <c:v>834354</c:v>
                </c:pt>
                <c:pt idx="42">
                  <c:v>835501</c:v>
                </c:pt>
                <c:pt idx="43">
                  <c:v>836676</c:v>
                </c:pt>
                <c:pt idx="44">
                  <c:v>837910</c:v>
                </c:pt>
                <c:pt idx="45">
                  <c:v>839418</c:v>
                </c:pt>
                <c:pt idx="46">
                  <c:v>841193</c:v>
                </c:pt>
                <c:pt idx="47">
                  <c:v>842414</c:v>
                </c:pt>
                <c:pt idx="48">
                  <c:v>843364</c:v>
                </c:pt>
                <c:pt idx="49">
                  <c:v>844655</c:v>
                </c:pt>
                <c:pt idx="50">
                  <c:v>846041</c:v>
                </c:pt>
                <c:pt idx="51">
                  <c:v>847233</c:v>
                </c:pt>
                <c:pt idx="52">
                  <c:v>848381</c:v>
                </c:pt>
                <c:pt idx="53">
                  <c:v>849517</c:v>
                </c:pt>
                <c:pt idx="54">
                  <c:v>850941</c:v>
                </c:pt>
                <c:pt idx="55">
                  <c:v>852126</c:v>
                </c:pt>
                <c:pt idx="56">
                  <c:v>853106</c:v>
                </c:pt>
                <c:pt idx="57">
                  <c:v>853991</c:v>
                </c:pt>
                <c:pt idx="58">
                  <c:v>855617</c:v>
                </c:pt>
                <c:pt idx="59">
                  <c:v>857446</c:v>
                </c:pt>
                <c:pt idx="60">
                  <c:v>859051</c:v>
                </c:pt>
                <c:pt idx="61">
                  <c:v>860436</c:v>
                </c:pt>
                <c:pt idx="62">
                  <c:v>862216</c:v>
                </c:pt>
                <c:pt idx="63">
                  <c:v>864253</c:v>
                </c:pt>
                <c:pt idx="64">
                  <c:v>865463</c:v>
                </c:pt>
                <c:pt idx="65">
                  <c:v>866605</c:v>
                </c:pt>
                <c:pt idx="66">
                  <c:v>867866</c:v>
                </c:pt>
                <c:pt idx="67">
                  <c:v>869578</c:v>
                </c:pt>
                <c:pt idx="68">
                  <c:v>868097</c:v>
                </c:pt>
                <c:pt idx="69">
                  <c:v>866808</c:v>
                </c:pt>
                <c:pt idx="70">
                  <c:v>865786</c:v>
                </c:pt>
                <c:pt idx="71">
                  <c:v>864970</c:v>
                </c:pt>
                <c:pt idx="72">
                  <c:v>864046</c:v>
                </c:pt>
                <c:pt idx="73">
                  <c:v>861545</c:v>
                </c:pt>
                <c:pt idx="74">
                  <c:v>859177</c:v>
                </c:pt>
                <c:pt idx="75">
                  <c:v>858011</c:v>
                </c:pt>
                <c:pt idx="76">
                  <c:v>858181</c:v>
                </c:pt>
                <c:pt idx="77">
                  <c:v>857615</c:v>
                </c:pt>
                <c:pt idx="78">
                  <c:v>856929</c:v>
                </c:pt>
                <c:pt idx="79">
                  <c:v>857048</c:v>
                </c:pt>
                <c:pt idx="80">
                  <c:v>856982</c:v>
                </c:pt>
                <c:pt idx="81">
                  <c:v>857156</c:v>
                </c:pt>
                <c:pt idx="82">
                  <c:v>857674</c:v>
                </c:pt>
                <c:pt idx="83">
                  <c:v>858374</c:v>
                </c:pt>
                <c:pt idx="84">
                  <c:v>859689</c:v>
                </c:pt>
                <c:pt idx="85">
                  <c:v>858606</c:v>
                </c:pt>
                <c:pt idx="86">
                  <c:v>858570</c:v>
                </c:pt>
                <c:pt idx="87">
                  <c:v>859868</c:v>
                </c:pt>
                <c:pt idx="88">
                  <c:v>860989</c:v>
                </c:pt>
                <c:pt idx="89">
                  <c:v>862050</c:v>
                </c:pt>
                <c:pt idx="90">
                  <c:v>863253</c:v>
                </c:pt>
                <c:pt idx="91">
                  <c:v>865631</c:v>
                </c:pt>
                <c:pt idx="92">
                  <c:v>866203</c:v>
                </c:pt>
                <c:pt idx="93">
                  <c:v>867265</c:v>
                </c:pt>
                <c:pt idx="94">
                  <c:v>868365</c:v>
                </c:pt>
                <c:pt idx="95">
                  <c:v>869227</c:v>
                </c:pt>
                <c:pt idx="96">
                  <c:v>870088</c:v>
                </c:pt>
                <c:pt idx="97">
                  <c:v>871319</c:v>
                </c:pt>
                <c:pt idx="98">
                  <c:v>873064</c:v>
                </c:pt>
                <c:pt idx="99">
                  <c:v>874121</c:v>
                </c:pt>
                <c:pt idx="100">
                  <c:v>875195</c:v>
                </c:pt>
                <c:pt idx="101">
                  <c:v>875986</c:v>
                </c:pt>
                <c:pt idx="102">
                  <c:v>876994</c:v>
                </c:pt>
                <c:pt idx="103">
                  <c:v>878100</c:v>
                </c:pt>
                <c:pt idx="104">
                  <c:v>879091</c:v>
                </c:pt>
                <c:pt idx="105">
                  <c:v>880244</c:v>
                </c:pt>
                <c:pt idx="106">
                  <c:v>881139</c:v>
                </c:pt>
                <c:pt idx="107">
                  <c:v>882255</c:v>
                </c:pt>
                <c:pt idx="108">
                  <c:v>883414</c:v>
                </c:pt>
                <c:pt idx="109">
                  <c:v>884025</c:v>
                </c:pt>
                <c:pt idx="110">
                  <c:v>885619</c:v>
                </c:pt>
                <c:pt idx="111">
                  <c:v>887367</c:v>
                </c:pt>
                <c:pt idx="112">
                  <c:v>888965</c:v>
                </c:pt>
                <c:pt idx="113">
                  <c:v>890416</c:v>
                </c:pt>
                <c:pt idx="114">
                  <c:v>892206</c:v>
                </c:pt>
                <c:pt idx="115">
                  <c:v>894078</c:v>
                </c:pt>
                <c:pt idx="116">
                  <c:v>895407</c:v>
                </c:pt>
                <c:pt idx="117">
                  <c:v>896767</c:v>
                </c:pt>
                <c:pt idx="118">
                  <c:v>898278</c:v>
                </c:pt>
                <c:pt idx="119">
                  <c:v>900177</c:v>
                </c:pt>
                <c:pt idx="120">
                  <c:v>900202</c:v>
                </c:pt>
                <c:pt idx="121">
                  <c:v>897915</c:v>
                </c:pt>
                <c:pt idx="122">
                  <c:v>896631</c:v>
                </c:pt>
                <c:pt idx="123">
                  <c:v>896176</c:v>
                </c:pt>
                <c:pt idx="124">
                  <c:v>895397</c:v>
                </c:pt>
                <c:pt idx="125">
                  <c:v>892658</c:v>
                </c:pt>
                <c:pt idx="126">
                  <c:v>890190</c:v>
                </c:pt>
                <c:pt idx="127">
                  <c:v>889237</c:v>
                </c:pt>
                <c:pt idx="128">
                  <c:v>889039</c:v>
                </c:pt>
                <c:pt idx="129">
                  <c:v>888467</c:v>
                </c:pt>
                <c:pt idx="130">
                  <c:v>887939</c:v>
                </c:pt>
                <c:pt idx="131">
                  <c:v>888472</c:v>
                </c:pt>
                <c:pt idx="132">
                  <c:v>888385</c:v>
                </c:pt>
                <c:pt idx="133">
                  <c:v>888816</c:v>
                </c:pt>
                <c:pt idx="134">
                  <c:v>889788</c:v>
                </c:pt>
                <c:pt idx="135">
                  <c:v>887744</c:v>
                </c:pt>
                <c:pt idx="136">
                  <c:v>888717</c:v>
                </c:pt>
                <c:pt idx="137">
                  <c:v>889750</c:v>
                </c:pt>
                <c:pt idx="138">
                  <c:v>890814</c:v>
                </c:pt>
                <c:pt idx="139">
                  <c:v>892041</c:v>
                </c:pt>
                <c:pt idx="140">
                  <c:v>893144</c:v>
                </c:pt>
                <c:pt idx="141">
                  <c:v>895914</c:v>
                </c:pt>
                <c:pt idx="142">
                  <c:v>897295</c:v>
                </c:pt>
                <c:pt idx="143">
                  <c:v>898638</c:v>
                </c:pt>
                <c:pt idx="144">
                  <c:v>899285</c:v>
                </c:pt>
                <c:pt idx="145">
                  <c:v>900948</c:v>
                </c:pt>
                <c:pt idx="146">
                  <c:v>902660</c:v>
                </c:pt>
                <c:pt idx="147">
                  <c:v>904179</c:v>
                </c:pt>
                <c:pt idx="148">
                  <c:v>905202</c:v>
                </c:pt>
                <c:pt idx="149">
                  <c:v>906721</c:v>
                </c:pt>
                <c:pt idx="150">
                  <c:v>908485</c:v>
                </c:pt>
                <c:pt idx="151">
                  <c:v>909617</c:v>
                </c:pt>
                <c:pt idx="152">
                  <c:v>910752</c:v>
                </c:pt>
                <c:pt idx="153">
                  <c:v>911812</c:v>
                </c:pt>
                <c:pt idx="154">
                  <c:v>913140</c:v>
                </c:pt>
                <c:pt idx="155">
                  <c:v>914541</c:v>
                </c:pt>
                <c:pt idx="156">
                  <c:v>915915</c:v>
                </c:pt>
                <c:pt idx="157">
                  <c:v>917059</c:v>
                </c:pt>
                <c:pt idx="158">
                  <c:v>918125</c:v>
                </c:pt>
                <c:pt idx="159">
                  <c:v>919299</c:v>
                </c:pt>
                <c:pt idx="160">
                  <c:v>920231</c:v>
                </c:pt>
                <c:pt idx="161">
                  <c:v>920869</c:v>
                </c:pt>
                <c:pt idx="162">
                  <c:v>922832</c:v>
                </c:pt>
                <c:pt idx="163">
                  <c:v>924374</c:v>
                </c:pt>
                <c:pt idx="164">
                  <c:v>926258</c:v>
                </c:pt>
                <c:pt idx="165">
                  <c:v>927790</c:v>
                </c:pt>
                <c:pt idx="166">
                  <c:v>929783</c:v>
                </c:pt>
                <c:pt idx="167">
                  <c:v>931805</c:v>
                </c:pt>
                <c:pt idx="168">
                  <c:v>932741</c:v>
                </c:pt>
                <c:pt idx="169">
                  <c:v>934127</c:v>
                </c:pt>
                <c:pt idx="170">
                  <c:v>935710</c:v>
                </c:pt>
                <c:pt idx="171">
                  <c:v>937755</c:v>
                </c:pt>
                <c:pt idx="172">
                  <c:v>939391</c:v>
                </c:pt>
                <c:pt idx="173">
                  <c:v>937213</c:v>
                </c:pt>
                <c:pt idx="174">
                  <c:v>934766</c:v>
                </c:pt>
                <c:pt idx="175">
                  <c:v>933940</c:v>
                </c:pt>
                <c:pt idx="176">
                  <c:v>933092</c:v>
                </c:pt>
                <c:pt idx="177">
                  <c:v>930273</c:v>
                </c:pt>
                <c:pt idx="178">
                  <c:v>928107</c:v>
                </c:pt>
                <c:pt idx="179">
                  <c:v>927573</c:v>
                </c:pt>
                <c:pt idx="180">
                  <c:v>926638</c:v>
                </c:pt>
                <c:pt idx="181">
                  <c:v>925934</c:v>
                </c:pt>
                <c:pt idx="182">
                  <c:v>925502</c:v>
                </c:pt>
                <c:pt idx="183">
                  <c:v>925713</c:v>
                </c:pt>
                <c:pt idx="184">
                  <c:v>924812</c:v>
                </c:pt>
                <c:pt idx="185">
                  <c:v>925380</c:v>
                </c:pt>
                <c:pt idx="186">
                  <c:v>922583</c:v>
                </c:pt>
                <c:pt idx="187">
                  <c:v>922929</c:v>
                </c:pt>
                <c:pt idx="188">
                  <c:v>923305</c:v>
                </c:pt>
                <c:pt idx="189">
                  <c:v>923631</c:v>
                </c:pt>
                <c:pt idx="190">
                  <c:v>922979</c:v>
                </c:pt>
                <c:pt idx="191">
                  <c:v>923047</c:v>
                </c:pt>
                <c:pt idx="192">
                  <c:v>923984</c:v>
                </c:pt>
                <c:pt idx="193">
                  <c:v>923157</c:v>
                </c:pt>
                <c:pt idx="194">
                  <c:v>921989</c:v>
                </c:pt>
                <c:pt idx="195">
                  <c:v>921387</c:v>
                </c:pt>
                <c:pt idx="196">
                  <c:v>921810</c:v>
                </c:pt>
                <c:pt idx="197">
                  <c:v>921178</c:v>
                </c:pt>
                <c:pt idx="198">
                  <c:v>921639</c:v>
                </c:pt>
                <c:pt idx="199">
                  <c:v>923164</c:v>
                </c:pt>
                <c:pt idx="200">
                  <c:v>924314</c:v>
                </c:pt>
                <c:pt idx="201">
                  <c:v>925641</c:v>
                </c:pt>
                <c:pt idx="202">
                  <c:v>927231</c:v>
                </c:pt>
                <c:pt idx="203">
                  <c:v>928579</c:v>
                </c:pt>
                <c:pt idx="204">
                  <c:v>928561</c:v>
                </c:pt>
              </c:numCache>
            </c:numRef>
          </c:val>
          <c:smooth val="0"/>
        </c:ser>
        <c:dLbls>
          <c:showLegendKey val="0"/>
          <c:showVal val="0"/>
          <c:showCatName val="0"/>
          <c:showSerName val="0"/>
          <c:showPercent val="0"/>
          <c:showBubbleSize val="0"/>
        </c:dLbls>
        <c:marker val="1"/>
        <c:smooth val="0"/>
        <c:axId val="122274560"/>
        <c:axId val="122276096"/>
      </c:lineChart>
      <c:catAx>
        <c:axId val="122274560"/>
        <c:scaling>
          <c:orientation val="minMax"/>
        </c:scaling>
        <c:delete val="0"/>
        <c:axPos val="b"/>
        <c:majorTickMark val="none"/>
        <c:minorTickMark val="none"/>
        <c:tickLblPos val="nextTo"/>
        <c:txPr>
          <a:bodyPr/>
          <a:lstStyle/>
          <a:p>
            <a:pPr>
              <a:defRPr sz="900"/>
            </a:pPr>
            <a:endParaRPr lang="en-US"/>
          </a:p>
        </c:txPr>
        <c:crossAx val="122276096"/>
        <c:crosses val="autoZero"/>
        <c:auto val="1"/>
        <c:lblAlgn val="ctr"/>
        <c:lblOffset val="100"/>
        <c:noMultiLvlLbl val="0"/>
      </c:catAx>
      <c:valAx>
        <c:axId val="122276096"/>
        <c:scaling>
          <c:orientation val="minMax"/>
          <c:min val="0"/>
        </c:scaling>
        <c:delete val="0"/>
        <c:axPos val="l"/>
        <c:majorGridlines/>
        <c:title>
          <c:tx>
            <c:rich>
              <a:bodyPr/>
              <a:lstStyle/>
              <a:p>
                <a:pPr>
                  <a:defRPr b="0"/>
                </a:pPr>
                <a:r>
                  <a:rPr lang="en-AU" b="0"/>
                  <a:t>Patients</a:t>
                </a:r>
              </a:p>
            </c:rich>
          </c:tx>
          <c:layout/>
          <c:overlay val="0"/>
        </c:title>
        <c:numFmt formatCode="#,##0" sourceLinked="0"/>
        <c:majorTickMark val="none"/>
        <c:minorTickMark val="none"/>
        <c:tickLblPos val="nextTo"/>
        <c:crossAx val="122274560"/>
        <c:crosses val="autoZero"/>
        <c:crossBetween val="between"/>
      </c:valAx>
    </c:plotArea>
    <c:plotVisOnly val="1"/>
    <c:dispBlanksAs val="gap"/>
    <c:showDLblsOverMax val="0"/>
  </c:chart>
  <c:spPr>
    <a:ln>
      <a:solidFill>
        <a:schemeClr val="tx1"/>
      </a:solidFill>
    </a:ln>
  </c:spPr>
  <c:txPr>
    <a:bodyPr/>
    <a:lstStyle/>
    <a:p>
      <a:pPr>
        <a:defRPr sz="900"/>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[D957 - A10 prevalent drg regimens, v6 - exenatide regimens.xlsx]Sheet1 (32)!PivotTable1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
        <c:idx val="275"/>
      </c:pivotFmt>
      <c:pivotFmt>
        <c:idx val="276"/>
      </c:pivotFmt>
      <c:pivotFmt>
        <c:idx val="277"/>
      </c:pivotFmt>
      <c:pivotFmt>
        <c:idx val="278"/>
      </c:pivotFmt>
      <c:pivotFmt>
        <c:idx val="279"/>
      </c:pivotFmt>
      <c:pivotFmt>
        <c:idx val="280"/>
      </c:pivotFmt>
      <c:pivotFmt>
        <c:idx val="281"/>
      </c:pivotFmt>
      <c:pivotFmt>
        <c:idx val="282"/>
      </c:pivotFmt>
      <c:pivotFmt>
        <c:idx val="283"/>
      </c:pivotFmt>
      <c:pivotFmt>
        <c:idx val="284"/>
      </c:pivotFmt>
      <c:pivotFmt>
        <c:idx val="285"/>
      </c:pivotFmt>
      <c:pivotFmt>
        <c:idx val="286"/>
      </c:pivotFmt>
      <c:pivotFmt>
        <c:idx val="287"/>
      </c:pivotFmt>
      <c:pivotFmt>
        <c:idx val="288"/>
      </c:pivotFmt>
      <c:pivotFmt>
        <c:idx val="289"/>
      </c:pivotFmt>
      <c:pivotFmt>
        <c:idx val="290"/>
      </c:pivotFmt>
      <c:pivotFmt>
        <c:idx val="291"/>
      </c:pivotFmt>
      <c:pivotFmt>
        <c:idx val="292"/>
      </c:pivotFmt>
      <c:pivotFmt>
        <c:idx val="293"/>
      </c:pivotFmt>
      <c:pivotFmt>
        <c:idx val="294"/>
      </c:pivotFmt>
      <c:pivotFmt>
        <c:idx val="295"/>
      </c:pivotFmt>
      <c:pivotFmt>
        <c:idx val="296"/>
      </c:pivotFmt>
      <c:pivotFmt>
        <c:idx val="297"/>
      </c:pivotFmt>
      <c:pivotFmt>
        <c:idx val="298"/>
      </c:pivotFmt>
      <c:pivotFmt>
        <c:idx val="299"/>
      </c:pivotFmt>
      <c:pivotFmt>
        <c:idx val="300"/>
      </c:pivotFmt>
      <c:pivotFmt>
        <c:idx val="301"/>
      </c:pivotFmt>
      <c:pivotFmt>
        <c:idx val="302"/>
      </c:pivotFmt>
      <c:pivotFmt>
        <c:idx val="303"/>
      </c:pivotFmt>
      <c:pivotFmt>
        <c:idx val="304"/>
      </c:pivotFmt>
      <c:pivotFmt>
        <c:idx val="305"/>
      </c:pivotFmt>
      <c:pivotFmt>
        <c:idx val="306"/>
      </c:pivotFmt>
      <c:pivotFmt>
        <c:idx val="307"/>
      </c:pivotFmt>
      <c:pivotFmt>
        <c:idx val="308"/>
      </c:pivotFmt>
      <c:pivotFmt>
        <c:idx val="309"/>
      </c:pivotFmt>
      <c:pivotFmt>
        <c:idx val="310"/>
      </c:pivotFmt>
      <c:pivotFmt>
        <c:idx val="311"/>
      </c:pivotFmt>
      <c:pivotFmt>
        <c:idx val="312"/>
      </c:pivotFmt>
      <c:pivotFmt>
        <c:idx val="313"/>
      </c:pivotFmt>
      <c:pivotFmt>
        <c:idx val="314"/>
      </c:pivotFmt>
      <c:pivotFmt>
        <c:idx val="315"/>
      </c:pivotFmt>
      <c:pivotFmt>
        <c:idx val="316"/>
      </c:pivotFmt>
      <c:pivotFmt>
        <c:idx val="317"/>
      </c:pivotFmt>
      <c:pivotFmt>
        <c:idx val="318"/>
      </c:pivotFmt>
      <c:pivotFmt>
        <c:idx val="319"/>
      </c:pivotFmt>
      <c:pivotFmt>
        <c:idx val="320"/>
      </c:pivotFmt>
      <c:pivotFmt>
        <c:idx val="321"/>
      </c:pivotFmt>
      <c:pivotFmt>
        <c:idx val="322"/>
      </c:pivotFmt>
      <c:pivotFmt>
        <c:idx val="323"/>
      </c:pivotFmt>
      <c:pivotFmt>
        <c:idx val="324"/>
      </c:pivotFmt>
      <c:pivotFmt>
        <c:idx val="325"/>
      </c:pivotFmt>
      <c:pivotFmt>
        <c:idx val="326"/>
      </c:pivotFmt>
      <c:pivotFmt>
        <c:idx val="327"/>
      </c:pivotFmt>
      <c:pivotFmt>
        <c:idx val="328"/>
      </c:pivotFmt>
      <c:pivotFmt>
        <c:idx val="329"/>
      </c:pivotFmt>
      <c:pivotFmt>
        <c:idx val="330"/>
      </c:pivotFmt>
      <c:pivotFmt>
        <c:idx val="331"/>
      </c:pivotFmt>
      <c:pivotFmt>
        <c:idx val="332"/>
      </c:pivotFmt>
      <c:pivotFmt>
        <c:idx val="333"/>
      </c:pivotFmt>
      <c:pivotFmt>
        <c:idx val="334"/>
      </c:pivotFmt>
      <c:pivotFmt>
        <c:idx val="335"/>
      </c:pivotFmt>
      <c:pivotFmt>
        <c:idx val="336"/>
      </c:pivotFmt>
      <c:pivotFmt>
        <c:idx val="337"/>
      </c:pivotFmt>
      <c:pivotFmt>
        <c:idx val="338"/>
      </c:pivotFmt>
      <c:pivotFmt>
        <c:idx val="339"/>
      </c:pivotFmt>
      <c:pivotFmt>
        <c:idx val="340"/>
      </c:pivotFmt>
      <c:pivotFmt>
        <c:idx val="341"/>
      </c:pivotFmt>
      <c:pivotFmt>
        <c:idx val="342"/>
      </c:pivotFmt>
      <c:pivotFmt>
        <c:idx val="343"/>
      </c:pivotFmt>
      <c:pivotFmt>
        <c:idx val="344"/>
      </c:pivotFmt>
      <c:pivotFmt>
        <c:idx val="345"/>
      </c:pivotFmt>
      <c:pivotFmt>
        <c:idx val="346"/>
      </c:pivotFmt>
      <c:pivotFmt>
        <c:idx val="347"/>
      </c:pivotFmt>
      <c:pivotFmt>
        <c:idx val="348"/>
      </c:pivotFmt>
      <c:pivotFmt>
        <c:idx val="349"/>
      </c:pivotFmt>
      <c:pivotFmt>
        <c:idx val="350"/>
      </c:pivotFmt>
      <c:pivotFmt>
        <c:idx val="351"/>
      </c:pivotFmt>
      <c:pivotFmt>
        <c:idx val="352"/>
      </c:pivotFmt>
      <c:pivotFmt>
        <c:idx val="353"/>
      </c:pivotFmt>
      <c:pivotFmt>
        <c:idx val="354"/>
      </c:pivotFmt>
      <c:pivotFmt>
        <c:idx val="355"/>
      </c:pivotFmt>
      <c:pivotFmt>
        <c:idx val="356"/>
      </c:pivotFmt>
      <c:pivotFmt>
        <c:idx val="357"/>
      </c:pivotFmt>
      <c:pivotFmt>
        <c:idx val="358"/>
      </c:pivotFmt>
      <c:pivotFmt>
        <c:idx val="359"/>
      </c:pivotFmt>
      <c:pivotFmt>
        <c:idx val="360"/>
      </c:pivotFmt>
      <c:pivotFmt>
        <c:idx val="361"/>
      </c:pivotFmt>
      <c:pivotFmt>
        <c:idx val="362"/>
      </c:pivotFmt>
      <c:pivotFmt>
        <c:idx val="363"/>
      </c:pivotFmt>
      <c:pivotFmt>
        <c:idx val="364"/>
      </c:pivotFmt>
      <c:pivotFmt>
        <c:idx val="365"/>
      </c:pivotFmt>
      <c:pivotFmt>
        <c:idx val="366"/>
      </c:pivotFmt>
      <c:pivotFmt>
        <c:idx val="367"/>
      </c:pivotFmt>
      <c:pivotFmt>
        <c:idx val="368"/>
      </c:pivotFmt>
      <c:pivotFmt>
        <c:idx val="369"/>
      </c:pivotFmt>
      <c:pivotFmt>
        <c:idx val="370"/>
      </c:pivotFmt>
      <c:pivotFmt>
        <c:idx val="371"/>
      </c:pivotFmt>
      <c:pivotFmt>
        <c:idx val="372"/>
      </c:pivotFmt>
      <c:pivotFmt>
        <c:idx val="373"/>
      </c:pivotFmt>
      <c:pivotFmt>
        <c:idx val="374"/>
      </c:pivotFmt>
      <c:pivotFmt>
        <c:idx val="375"/>
      </c:pivotFmt>
      <c:pivotFmt>
        <c:idx val="376"/>
      </c:pivotFmt>
      <c:pivotFmt>
        <c:idx val="377"/>
      </c:pivotFmt>
      <c:pivotFmt>
        <c:idx val="378"/>
      </c:pivotFmt>
      <c:pivotFmt>
        <c:idx val="379"/>
      </c:pivotFmt>
      <c:pivotFmt>
        <c:idx val="380"/>
      </c:pivotFmt>
      <c:pivotFmt>
        <c:idx val="381"/>
      </c:pivotFmt>
      <c:pivotFmt>
        <c:idx val="382"/>
      </c:pivotFmt>
      <c:pivotFmt>
        <c:idx val="383"/>
      </c:pivotFmt>
      <c:pivotFmt>
        <c:idx val="384"/>
      </c:pivotFmt>
      <c:pivotFmt>
        <c:idx val="385"/>
      </c:pivotFmt>
      <c:pivotFmt>
        <c:idx val="386"/>
      </c:pivotFmt>
      <c:pivotFmt>
        <c:idx val="387"/>
      </c:pivotFmt>
      <c:pivotFmt>
        <c:idx val="388"/>
      </c:pivotFmt>
      <c:pivotFmt>
        <c:idx val="389"/>
      </c:pivotFmt>
      <c:pivotFmt>
        <c:idx val="390"/>
      </c:pivotFmt>
      <c:pivotFmt>
        <c:idx val="391"/>
      </c:pivotFmt>
      <c:pivotFmt>
        <c:idx val="392"/>
      </c:pivotFmt>
      <c:pivotFmt>
        <c:idx val="393"/>
      </c:pivotFmt>
      <c:pivotFmt>
        <c:idx val="394"/>
      </c:pivotFmt>
      <c:pivotFmt>
        <c:idx val="395"/>
      </c:pivotFmt>
      <c:pivotFmt>
        <c:idx val="396"/>
      </c:pivotFmt>
      <c:pivotFmt>
        <c:idx val="397"/>
      </c:pivotFmt>
      <c:pivotFmt>
        <c:idx val="398"/>
      </c:pivotFmt>
      <c:pivotFmt>
        <c:idx val="399"/>
      </c:pivotFmt>
      <c:pivotFmt>
        <c:idx val="400"/>
      </c:pivotFmt>
      <c:pivotFmt>
        <c:idx val="401"/>
      </c:pivotFmt>
      <c:pivotFmt>
        <c:idx val="402"/>
      </c:pivotFmt>
      <c:pivotFmt>
        <c:idx val="403"/>
      </c:pivotFmt>
      <c:pivotFmt>
        <c:idx val="404"/>
      </c:pivotFmt>
      <c:pivotFmt>
        <c:idx val="405"/>
      </c:pivotFmt>
      <c:pivotFmt>
        <c:idx val="406"/>
      </c:pivotFmt>
      <c:pivotFmt>
        <c:idx val="407"/>
      </c:pivotFmt>
      <c:pivotFmt>
        <c:idx val="408"/>
      </c:pivotFmt>
      <c:pivotFmt>
        <c:idx val="409"/>
      </c:pivotFmt>
      <c:pivotFmt>
        <c:idx val="410"/>
      </c:pivotFmt>
      <c:pivotFmt>
        <c:idx val="411"/>
      </c:pivotFmt>
      <c:pivotFmt>
        <c:idx val="412"/>
      </c:pivotFmt>
      <c:pivotFmt>
        <c:idx val="413"/>
      </c:pivotFmt>
      <c:pivotFmt>
        <c:idx val="414"/>
      </c:pivotFmt>
      <c:pivotFmt>
        <c:idx val="415"/>
      </c:pivotFmt>
      <c:pivotFmt>
        <c:idx val="416"/>
      </c:pivotFmt>
      <c:pivotFmt>
        <c:idx val="417"/>
      </c:pivotFmt>
      <c:pivotFmt>
        <c:idx val="418"/>
      </c:pivotFmt>
      <c:pivotFmt>
        <c:idx val="419"/>
      </c:pivotFmt>
      <c:pivotFmt>
        <c:idx val="420"/>
      </c:pivotFmt>
      <c:pivotFmt>
        <c:idx val="421"/>
      </c:pivotFmt>
      <c:pivotFmt>
        <c:idx val="422"/>
      </c:pivotFmt>
      <c:pivotFmt>
        <c:idx val="423"/>
      </c:pivotFmt>
      <c:pivotFmt>
        <c:idx val="424"/>
      </c:pivotFmt>
      <c:pivotFmt>
        <c:idx val="425"/>
      </c:pivotFmt>
      <c:pivotFmt>
        <c:idx val="426"/>
      </c:pivotFmt>
      <c:pivotFmt>
        <c:idx val="427"/>
      </c:pivotFmt>
      <c:pivotFmt>
        <c:idx val="428"/>
      </c:pivotFmt>
      <c:pivotFmt>
        <c:idx val="429"/>
      </c:pivotFmt>
      <c:pivotFmt>
        <c:idx val="430"/>
      </c:pivotFmt>
      <c:pivotFmt>
        <c:idx val="431"/>
      </c:pivotFmt>
      <c:pivotFmt>
        <c:idx val="432"/>
      </c:pivotFmt>
      <c:pivotFmt>
        <c:idx val="433"/>
      </c:pivotFmt>
      <c:pivotFmt>
        <c:idx val="434"/>
      </c:pivotFmt>
      <c:pivotFmt>
        <c:idx val="435"/>
      </c:pivotFmt>
      <c:pivotFmt>
        <c:idx val="436"/>
      </c:pivotFmt>
      <c:pivotFmt>
        <c:idx val="437"/>
      </c:pivotFmt>
      <c:pivotFmt>
        <c:idx val="438"/>
      </c:pivotFmt>
      <c:pivotFmt>
        <c:idx val="439"/>
      </c:pivotFmt>
      <c:pivotFmt>
        <c:idx val="440"/>
      </c:pivotFmt>
      <c:pivotFmt>
        <c:idx val="441"/>
      </c:pivotFmt>
      <c:pivotFmt>
        <c:idx val="442"/>
      </c:pivotFmt>
      <c:pivotFmt>
        <c:idx val="443"/>
      </c:pivotFmt>
      <c:pivotFmt>
        <c:idx val="444"/>
      </c:pivotFmt>
      <c:pivotFmt>
        <c:idx val="445"/>
      </c:pivotFmt>
      <c:pivotFmt>
        <c:idx val="446"/>
      </c:pivotFmt>
      <c:pivotFmt>
        <c:idx val="447"/>
      </c:pivotFmt>
      <c:pivotFmt>
        <c:idx val="448"/>
      </c:pivotFmt>
      <c:pivotFmt>
        <c:idx val="449"/>
      </c:pivotFmt>
      <c:pivotFmt>
        <c:idx val="450"/>
      </c:pivotFmt>
      <c:pivotFmt>
        <c:idx val="451"/>
      </c:pivotFmt>
      <c:pivotFmt>
        <c:idx val="452"/>
      </c:pivotFmt>
      <c:pivotFmt>
        <c:idx val="453"/>
      </c:pivotFmt>
      <c:pivotFmt>
        <c:idx val="454"/>
      </c:pivotFmt>
      <c:pivotFmt>
        <c:idx val="455"/>
      </c:pivotFmt>
      <c:pivotFmt>
        <c:idx val="456"/>
      </c:pivotFmt>
      <c:pivotFmt>
        <c:idx val="457"/>
      </c:pivotFmt>
      <c:pivotFmt>
        <c:idx val="458"/>
      </c:pivotFmt>
      <c:pivotFmt>
        <c:idx val="459"/>
      </c:pivotFmt>
      <c:pivotFmt>
        <c:idx val="460"/>
      </c:pivotFmt>
      <c:pivotFmt>
        <c:idx val="461"/>
      </c:pivotFmt>
      <c:pivotFmt>
        <c:idx val="462"/>
      </c:pivotFmt>
      <c:pivotFmt>
        <c:idx val="463"/>
      </c:pivotFmt>
      <c:pivotFmt>
        <c:idx val="464"/>
      </c:pivotFmt>
      <c:pivotFmt>
        <c:idx val="465"/>
      </c:pivotFmt>
      <c:pivotFmt>
        <c:idx val="466"/>
      </c:pivotFmt>
      <c:pivotFmt>
        <c:idx val="467"/>
      </c:pivotFmt>
      <c:pivotFmt>
        <c:idx val="468"/>
      </c:pivotFmt>
      <c:pivotFmt>
        <c:idx val="469"/>
      </c:pivotFmt>
      <c:pivotFmt>
        <c:idx val="470"/>
      </c:pivotFmt>
      <c:pivotFmt>
        <c:idx val="471"/>
      </c:pivotFmt>
      <c:pivotFmt>
        <c:idx val="472"/>
      </c:pivotFmt>
      <c:pivotFmt>
        <c:idx val="473"/>
      </c:pivotFmt>
      <c:pivotFmt>
        <c:idx val="474"/>
      </c:pivotFmt>
      <c:pivotFmt>
        <c:idx val="475"/>
      </c:pivotFmt>
      <c:pivotFmt>
        <c:idx val="476"/>
      </c:pivotFmt>
      <c:pivotFmt>
        <c:idx val="477"/>
      </c:pivotFmt>
      <c:pivotFmt>
        <c:idx val="478"/>
      </c:pivotFmt>
      <c:pivotFmt>
        <c:idx val="479"/>
      </c:pivotFmt>
      <c:pivotFmt>
        <c:idx val="480"/>
      </c:pivotFmt>
      <c:pivotFmt>
        <c:idx val="481"/>
      </c:pivotFmt>
      <c:pivotFmt>
        <c:idx val="482"/>
      </c:pivotFmt>
      <c:pivotFmt>
        <c:idx val="483"/>
      </c:pivotFmt>
      <c:pivotFmt>
        <c:idx val="484"/>
      </c:pivotFmt>
      <c:pivotFmt>
        <c:idx val="485"/>
      </c:pivotFmt>
      <c:pivotFmt>
        <c:idx val="486"/>
      </c:pivotFmt>
      <c:pivotFmt>
        <c:idx val="487"/>
      </c:pivotFmt>
      <c:pivotFmt>
        <c:idx val="488"/>
      </c:pivotFmt>
      <c:pivotFmt>
        <c:idx val="489"/>
      </c:pivotFmt>
      <c:pivotFmt>
        <c:idx val="490"/>
      </c:pivotFmt>
      <c:pivotFmt>
        <c:idx val="491"/>
      </c:pivotFmt>
      <c:pivotFmt>
        <c:idx val="492"/>
      </c:pivotFmt>
      <c:pivotFmt>
        <c:idx val="493"/>
      </c:pivotFmt>
      <c:pivotFmt>
        <c:idx val="494"/>
      </c:pivotFmt>
      <c:pivotFmt>
        <c:idx val="495"/>
      </c:pivotFmt>
      <c:pivotFmt>
        <c:idx val="496"/>
      </c:pivotFmt>
      <c:pivotFmt>
        <c:idx val="497"/>
      </c:pivotFmt>
      <c:pivotFmt>
        <c:idx val="498"/>
      </c:pivotFmt>
      <c:pivotFmt>
        <c:idx val="499"/>
      </c:pivotFmt>
      <c:pivotFmt>
        <c:idx val="500"/>
      </c:pivotFmt>
      <c:pivotFmt>
        <c:idx val="501"/>
      </c:pivotFmt>
      <c:pivotFmt>
        <c:idx val="502"/>
      </c:pivotFmt>
      <c:pivotFmt>
        <c:idx val="503"/>
      </c:pivotFmt>
      <c:pivotFmt>
        <c:idx val="504"/>
      </c:pivotFmt>
      <c:pivotFmt>
        <c:idx val="505"/>
      </c:pivotFmt>
      <c:pivotFmt>
        <c:idx val="506"/>
      </c:pivotFmt>
      <c:pivotFmt>
        <c:idx val="507"/>
      </c:pivotFmt>
      <c:pivotFmt>
        <c:idx val="508"/>
      </c:pivotFmt>
      <c:pivotFmt>
        <c:idx val="509"/>
      </c:pivotFmt>
      <c:pivotFmt>
        <c:idx val="510"/>
      </c:pivotFmt>
      <c:pivotFmt>
        <c:idx val="511"/>
      </c:pivotFmt>
      <c:pivotFmt>
        <c:idx val="512"/>
      </c:pivotFmt>
      <c:pivotFmt>
        <c:idx val="513"/>
      </c:pivotFmt>
      <c:pivotFmt>
        <c:idx val="514"/>
      </c:pivotFmt>
      <c:pivotFmt>
        <c:idx val="515"/>
      </c:pivotFmt>
      <c:pivotFmt>
        <c:idx val="516"/>
      </c:pivotFmt>
      <c:pivotFmt>
        <c:idx val="517"/>
      </c:pivotFmt>
      <c:pivotFmt>
        <c:idx val="518"/>
      </c:pivotFmt>
      <c:pivotFmt>
        <c:idx val="519"/>
      </c:pivotFmt>
      <c:pivotFmt>
        <c:idx val="520"/>
      </c:pivotFmt>
      <c:pivotFmt>
        <c:idx val="521"/>
      </c:pivotFmt>
      <c:pivotFmt>
        <c:idx val="522"/>
      </c:pivotFmt>
      <c:pivotFmt>
        <c:idx val="523"/>
      </c:pivotFmt>
      <c:pivotFmt>
        <c:idx val="524"/>
      </c:pivotFmt>
      <c:pivotFmt>
        <c:idx val="525"/>
      </c:pivotFmt>
      <c:pivotFmt>
        <c:idx val="526"/>
      </c:pivotFmt>
      <c:pivotFmt>
        <c:idx val="527"/>
      </c:pivotFmt>
      <c:pivotFmt>
        <c:idx val="528"/>
      </c:pivotFmt>
      <c:pivotFmt>
        <c:idx val="529"/>
      </c:pivotFmt>
      <c:pivotFmt>
        <c:idx val="530"/>
      </c:pivotFmt>
      <c:pivotFmt>
        <c:idx val="531"/>
      </c:pivotFmt>
      <c:pivotFmt>
        <c:idx val="532"/>
      </c:pivotFmt>
      <c:pivotFmt>
        <c:idx val="533"/>
      </c:pivotFmt>
      <c:pivotFmt>
        <c:idx val="534"/>
      </c:pivotFmt>
      <c:pivotFmt>
        <c:idx val="535"/>
      </c:pivotFmt>
      <c:pivotFmt>
        <c:idx val="536"/>
      </c:pivotFmt>
      <c:pivotFmt>
        <c:idx val="537"/>
      </c:pivotFmt>
      <c:pivotFmt>
        <c:idx val="538"/>
      </c:pivotFmt>
      <c:pivotFmt>
        <c:idx val="539"/>
      </c:pivotFmt>
      <c:pivotFmt>
        <c:idx val="540"/>
      </c:pivotFmt>
      <c:pivotFmt>
        <c:idx val="541"/>
      </c:pivotFmt>
      <c:pivotFmt>
        <c:idx val="542"/>
      </c:pivotFmt>
      <c:pivotFmt>
        <c:idx val="543"/>
      </c:pivotFmt>
      <c:pivotFmt>
        <c:idx val="544"/>
      </c:pivotFmt>
      <c:pivotFmt>
        <c:idx val="545"/>
      </c:pivotFmt>
      <c:pivotFmt>
        <c:idx val="546"/>
      </c:pivotFmt>
      <c:pivotFmt>
        <c:idx val="547"/>
      </c:pivotFmt>
      <c:pivotFmt>
        <c:idx val="548"/>
      </c:pivotFmt>
      <c:pivotFmt>
        <c:idx val="549"/>
      </c:pivotFmt>
      <c:pivotFmt>
        <c:idx val="550"/>
      </c:pivotFmt>
      <c:pivotFmt>
        <c:idx val="551"/>
      </c:pivotFmt>
      <c:pivotFmt>
        <c:idx val="552"/>
      </c:pivotFmt>
      <c:pivotFmt>
        <c:idx val="553"/>
      </c:pivotFmt>
      <c:pivotFmt>
        <c:idx val="554"/>
      </c:pivotFmt>
      <c:pivotFmt>
        <c:idx val="555"/>
      </c:pivotFmt>
      <c:pivotFmt>
        <c:idx val="556"/>
      </c:pivotFmt>
      <c:pivotFmt>
        <c:idx val="557"/>
      </c:pivotFmt>
      <c:pivotFmt>
        <c:idx val="558"/>
      </c:pivotFmt>
      <c:pivotFmt>
        <c:idx val="559"/>
      </c:pivotFmt>
      <c:pivotFmt>
        <c:idx val="560"/>
      </c:pivotFmt>
      <c:pivotFmt>
        <c:idx val="561"/>
      </c:pivotFmt>
      <c:pivotFmt>
        <c:idx val="562"/>
      </c:pivotFmt>
      <c:pivotFmt>
        <c:idx val="563"/>
      </c:pivotFmt>
      <c:pivotFmt>
        <c:idx val="564"/>
      </c:pivotFmt>
      <c:pivotFmt>
        <c:idx val="565"/>
      </c:pivotFmt>
      <c:pivotFmt>
        <c:idx val="566"/>
      </c:pivotFmt>
      <c:pivotFmt>
        <c:idx val="567"/>
      </c:pivotFmt>
      <c:pivotFmt>
        <c:idx val="568"/>
      </c:pivotFmt>
      <c:pivotFmt>
        <c:idx val="569"/>
      </c:pivotFmt>
      <c:pivotFmt>
        <c:idx val="570"/>
      </c:pivotFmt>
      <c:pivotFmt>
        <c:idx val="571"/>
      </c:pivotFmt>
      <c:pivotFmt>
        <c:idx val="572"/>
      </c:pivotFmt>
      <c:pivotFmt>
        <c:idx val="573"/>
      </c:pivotFmt>
      <c:pivotFmt>
        <c:idx val="574"/>
      </c:pivotFmt>
      <c:pivotFmt>
        <c:idx val="575"/>
      </c:pivotFmt>
      <c:pivotFmt>
        <c:idx val="576"/>
      </c:pivotFmt>
      <c:pivotFmt>
        <c:idx val="577"/>
      </c:pivotFmt>
      <c:pivotFmt>
        <c:idx val="578"/>
      </c:pivotFmt>
      <c:pivotFmt>
        <c:idx val="579"/>
      </c:pivotFmt>
      <c:pivotFmt>
        <c:idx val="580"/>
      </c:pivotFmt>
      <c:pivotFmt>
        <c:idx val="581"/>
      </c:pivotFmt>
      <c:pivotFmt>
        <c:idx val="582"/>
      </c:pivotFmt>
      <c:pivotFmt>
        <c:idx val="583"/>
      </c:pivotFmt>
      <c:pivotFmt>
        <c:idx val="584"/>
      </c:pivotFmt>
      <c:pivotFmt>
        <c:idx val="585"/>
      </c:pivotFmt>
      <c:pivotFmt>
        <c:idx val="586"/>
      </c:pivotFmt>
      <c:pivotFmt>
        <c:idx val="587"/>
      </c:pivotFmt>
      <c:pivotFmt>
        <c:idx val="588"/>
      </c:pivotFmt>
      <c:pivotFmt>
        <c:idx val="589"/>
      </c:pivotFmt>
      <c:pivotFmt>
        <c:idx val="590"/>
      </c:pivotFmt>
      <c:pivotFmt>
        <c:idx val="591"/>
      </c:pivotFmt>
      <c:pivotFmt>
        <c:idx val="592"/>
      </c:pivotFmt>
      <c:pivotFmt>
        <c:idx val="593"/>
      </c:pivotFmt>
      <c:pivotFmt>
        <c:idx val="594"/>
      </c:pivotFmt>
      <c:pivotFmt>
        <c:idx val="595"/>
      </c:pivotFmt>
      <c:pivotFmt>
        <c:idx val="596"/>
      </c:pivotFmt>
      <c:pivotFmt>
        <c:idx val="597"/>
      </c:pivotFmt>
      <c:pivotFmt>
        <c:idx val="598"/>
      </c:pivotFmt>
      <c:pivotFmt>
        <c:idx val="599"/>
      </c:pivotFmt>
      <c:pivotFmt>
        <c:idx val="600"/>
      </c:pivotFmt>
      <c:pivotFmt>
        <c:idx val="601"/>
      </c:pivotFmt>
      <c:pivotFmt>
        <c:idx val="602"/>
      </c:pivotFmt>
      <c:pivotFmt>
        <c:idx val="603"/>
      </c:pivotFmt>
      <c:pivotFmt>
        <c:idx val="604"/>
      </c:pivotFmt>
      <c:pivotFmt>
        <c:idx val="605"/>
      </c:pivotFmt>
      <c:pivotFmt>
        <c:idx val="606"/>
      </c:pivotFmt>
      <c:pivotFmt>
        <c:idx val="607"/>
      </c:pivotFmt>
      <c:pivotFmt>
        <c:idx val="608"/>
      </c:pivotFmt>
      <c:pivotFmt>
        <c:idx val="609"/>
      </c:pivotFmt>
      <c:pivotFmt>
        <c:idx val="610"/>
      </c:pivotFmt>
      <c:pivotFmt>
        <c:idx val="611"/>
      </c:pivotFmt>
      <c:pivotFmt>
        <c:idx val="612"/>
      </c:pivotFmt>
      <c:pivotFmt>
        <c:idx val="613"/>
      </c:pivotFmt>
      <c:pivotFmt>
        <c:idx val="614"/>
      </c:pivotFmt>
      <c:pivotFmt>
        <c:idx val="615"/>
      </c:pivotFmt>
      <c:pivotFmt>
        <c:idx val="616"/>
      </c:pivotFmt>
      <c:pivotFmt>
        <c:idx val="617"/>
      </c:pivotFmt>
      <c:pivotFmt>
        <c:idx val="618"/>
      </c:pivotFmt>
      <c:pivotFmt>
        <c:idx val="619"/>
      </c:pivotFmt>
      <c:pivotFmt>
        <c:idx val="620"/>
      </c:pivotFmt>
      <c:pivotFmt>
        <c:idx val="621"/>
      </c:pivotFmt>
      <c:pivotFmt>
        <c:idx val="622"/>
      </c:pivotFmt>
      <c:pivotFmt>
        <c:idx val="623"/>
      </c:pivotFmt>
      <c:pivotFmt>
        <c:idx val="624"/>
      </c:pivotFmt>
      <c:pivotFmt>
        <c:idx val="625"/>
      </c:pivotFmt>
      <c:pivotFmt>
        <c:idx val="626"/>
      </c:pivotFmt>
      <c:pivotFmt>
        <c:idx val="627"/>
      </c:pivotFmt>
      <c:pivotFmt>
        <c:idx val="628"/>
      </c:pivotFmt>
      <c:pivotFmt>
        <c:idx val="629"/>
      </c:pivotFmt>
      <c:pivotFmt>
        <c:idx val="630"/>
      </c:pivotFmt>
      <c:pivotFmt>
        <c:idx val="631"/>
      </c:pivotFmt>
      <c:pivotFmt>
        <c:idx val="632"/>
      </c:pivotFmt>
      <c:pivotFmt>
        <c:idx val="633"/>
      </c:pivotFmt>
      <c:pivotFmt>
        <c:idx val="634"/>
      </c:pivotFmt>
      <c:pivotFmt>
        <c:idx val="635"/>
      </c:pivotFmt>
      <c:pivotFmt>
        <c:idx val="636"/>
      </c:pivotFmt>
      <c:pivotFmt>
        <c:idx val="637"/>
      </c:pivotFmt>
      <c:pivotFmt>
        <c:idx val="638"/>
      </c:pivotFmt>
      <c:pivotFmt>
        <c:idx val="639"/>
      </c:pivotFmt>
      <c:pivotFmt>
        <c:idx val="640"/>
      </c:pivotFmt>
      <c:pivotFmt>
        <c:idx val="641"/>
      </c:pivotFmt>
      <c:pivotFmt>
        <c:idx val="642"/>
      </c:pivotFmt>
      <c:pivotFmt>
        <c:idx val="643"/>
      </c:pivotFmt>
      <c:pivotFmt>
        <c:idx val="644"/>
      </c:pivotFmt>
      <c:pivotFmt>
        <c:idx val="645"/>
      </c:pivotFmt>
      <c:pivotFmt>
        <c:idx val="646"/>
      </c:pivotFmt>
      <c:pivotFmt>
        <c:idx val="647"/>
      </c:pivotFmt>
      <c:pivotFmt>
        <c:idx val="648"/>
      </c:pivotFmt>
      <c:pivotFmt>
        <c:idx val="649"/>
      </c:pivotFmt>
      <c:pivotFmt>
        <c:idx val="650"/>
      </c:pivotFmt>
      <c:pivotFmt>
        <c:idx val="651"/>
      </c:pivotFmt>
      <c:pivotFmt>
        <c:idx val="652"/>
      </c:pivotFmt>
      <c:pivotFmt>
        <c:idx val="653"/>
      </c:pivotFmt>
      <c:pivotFmt>
        <c:idx val="654"/>
      </c:pivotFmt>
      <c:pivotFmt>
        <c:idx val="655"/>
      </c:pivotFmt>
      <c:pivotFmt>
        <c:idx val="656"/>
      </c:pivotFmt>
      <c:pivotFmt>
        <c:idx val="657"/>
      </c:pivotFmt>
      <c:pivotFmt>
        <c:idx val="658"/>
      </c:pivotFmt>
      <c:pivotFmt>
        <c:idx val="659"/>
      </c:pivotFmt>
      <c:pivotFmt>
        <c:idx val="660"/>
      </c:pivotFmt>
      <c:pivotFmt>
        <c:idx val="661"/>
      </c:pivotFmt>
      <c:pivotFmt>
        <c:idx val="662"/>
      </c:pivotFmt>
      <c:pivotFmt>
        <c:idx val="663"/>
      </c:pivotFmt>
      <c:pivotFmt>
        <c:idx val="664"/>
      </c:pivotFmt>
      <c:pivotFmt>
        <c:idx val="665"/>
      </c:pivotFmt>
      <c:pivotFmt>
        <c:idx val="666"/>
      </c:pivotFmt>
      <c:pivotFmt>
        <c:idx val="667"/>
      </c:pivotFmt>
      <c:pivotFmt>
        <c:idx val="668"/>
      </c:pivotFmt>
      <c:pivotFmt>
        <c:idx val="669"/>
      </c:pivotFmt>
      <c:pivotFmt>
        <c:idx val="670"/>
      </c:pivotFmt>
      <c:pivotFmt>
        <c:idx val="671"/>
      </c:pivotFmt>
      <c:pivotFmt>
        <c:idx val="672"/>
      </c:pivotFmt>
      <c:pivotFmt>
        <c:idx val="673"/>
      </c:pivotFmt>
      <c:pivotFmt>
        <c:idx val="674"/>
      </c:pivotFmt>
      <c:pivotFmt>
        <c:idx val="675"/>
      </c:pivotFmt>
      <c:pivotFmt>
        <c:idx val="676"/>
      </c:pivotFmt>
      <c:pivotFmt>
        <c:idx val="677"/>
      </c:pivotFmt>
      <c:pivotFmt>
        <c:idx val="678"/>
      </c:pivotFmt>
      <c:pivotFmt>
        <c:idx val="679"/>
      </c:pivotFmt>
      <c:pivotFmt>
        <c:idx val="680"/>
      </c:pivotFmt>
      <c:pivotFmt>
        <c:idx val="681"/>
      </c:pivotFmt>
      <c:pivotFmt>
        <c:idx val="682"/>
      </c:pivotFmt>
      <c:pivotFmt>
        <c:idx val="683"/>
      </c:pivotFmt>
      <c:pivotFmt>
        <c:idx val="684"/>
      </c:pivotFmt>
      <c:pivotFmt>
        <c:idx val="685"/>
      </c:pivotFmt>
      <c:pivotFmt>
        <c:idx val="686"/>
      </c:pivotFmt>
      <c:pivotFmt>
        <c:idx val="687"/>
      </c:pivotFmt>
      <c:pivotFmt>
        <c:idx val="688"/>
      </c:pivotFmt>
      <c:pivotFmt>
        <c:idx val="689"/>
      </c:pivotFmt>
      <c:pivotFmt>
        <c:idx val="690"/>
      </c:pivotFmt>
      <c:pivotFmt>
        <c:idx val="691"/>
      </c:pivotFmt>
      <c:pivotFmt>
        <c:idx val="692"/>
      </c:pivotFmt>
      <c:pivotFmt>
        <c:idx val="693"/>
      </c:pivotFmt>
      <c:pivotFmt>
        <c:idx val="694"/>
      </c:pivotFmt>
      <c:pivotFmt>
        <c:idx val="695"/>
      </c:pivotFmt>
      <c:pivotFmt>
        <c:idx val="696"/>
      </c:pivotFmt>
      <c:pivotFmt>
        <c:idx val="697"/>
      </c:pivotFmt>
      <c:pivotFmt>
        <c:idx val="698"/>
      </c:pivotFmt>
      <c:pivotFmt>
        <c:idx val="699"/>
      </c:pivotFmt>
      <c:pivotFmt>
        <c:idx val="700"/>
      </c:pivotFmt>
      <c:pivotFmt>
        <c:idx val="701"/>
      </c:pivotFmt>
      <c:pivotFmt>
        <c:idx val="702"/>
      </c:pivotFmt>
      <c:pivotFmt>
        <c:idx val="703"/>
      </c:pivotFmt>
      <c:pivotFmt>
        <c:idx val="704"/>
      </c:pivotFmt>
      <c:pivotFmt>
        <c:idx val="705"/>
      </c:pivotFmt>
      <c:pivotFmt>
        <c:idx val="706"/>
      </c:pivotFmt>
      <c:pivotFmt>
        <c:idx val="707"/>
      </c:pivotFmt>
      <c:pivotFmt>
        <c:idx val="708"/>
      </c:pivotFmt>
      <c:pivotFmt>
        <c:idx val="709"/>
      </c:pivotFmt>
      <c:pivotFmt>
        <c:idx val="710"/>
      </c:pivotFmt>
      <c:pivotFmt>
        <c:idx val="711"/>
      </c:pivotFmt>
      <c:pivotFmt>
        <c:idx val="712"/>
      </c:pivotFmt>
      <c:pivotFmt>
        <c:idx val="713"/>
      </c:pivotFmt>
      <c:pivotFmt>
        <c:idx val="714"/>
      </c:pivotFmt>
      <c:pivotFmt>
        <c:idx val="715"/>
      </c:pivotFmt>
      <c:pivotFmt>
        <c:idx val="716"/>
      </c:pivotFmt>
      <c:pivotFmt>
        <c:idx val="717"/>
      </c:pivotFmt>
      <c:pivotFmt>
        <c:idx val="718"/>
      </c:pivotFmt>
      <c:pivotFmt>
        <c:idx val="719"/>
      </c:pivotFmt>
      <c:pivotFmt>
        <c:idx val="720"/>
      </c:pivotFmt>
      <c:pivotFmt>
        <c:idx val="721"/>
      </c:pivotFmt>
      <c:pivotFmt>
        <c:idx val="722"/>
      </c:pivotFmt>
      <c:pivotFmt>
        <c:idx val="723"/>
      </c:pivotFmt>
      <c:pivotFmt>
        <c:idx val="724"/>
      </c:pivotFmt>
      <c:pivotFmt>
        <c:idx val="725"/>
      </c:pivotFmt>
      <c:pivotFmt>
        <c:idx val="726"/>
      </c:pivotFmt>
      <c:pivotFmt>
        <c:idx val="727"/>
      </c:pivotFmt>
      <c:pivotFmt>
        <c:idx val="728"/>
      </c:pivotFmt>
      <c:pivotFmt>
        <c:idx val="729"/>
      </c:pivotFmt>
      <c:pivotFmt>
        <c:idx val="730"/>
      </c:pivotFmt>
      <c:pivotFmt>
        <c:idx val="731"/>
      </c:pivotFmt>
      <c:pivotFmt>
        <c:idx val="732"/>
      </c:pivotFmt>
      <c:pivotFmt>
        <c:idx val="733"/>
      </c:pivotFmt>
      <c:pivotFmt>
        <c:idx val="734"/>
      </c:pivotFmt>
      <c:pivotFmt>
        <c:idx val="735"/>
      </c:pivotFmt>
      <c:pivotFmt>
        <c:idx val="736"/>
      </c:pivotFmt>
      <c:pivotFmt>
        <c:idx val="737"/>
      </c:pivotFmt>
      <c:pivotFmt>
        <c:idx val="738"/>
      </c:pivotFmt>
      <c:pivotFmt>
        <c:idx val="739"/>
      </c:pivotFmt>
      <c:pivotFmt>
        <c:idx val="740"/>
      </c:pivotFmt>
      <c:pivotFmt>
        <c:idx val="741"/>
      </c:pivotFmt>
      <c:pivotFmt>
        <c:idx val="742"/>
      </c:pivotFmt>
      <c:pivotFmt>
        <c:idx val="743"/>
      </c:pivotFmt>
      <c:pivotFmt>
        <c:idx val="744"/>
      </c:pivotFmt>
      <c:pivotFmt>
        <c:idx val="745"/>
      </c:pivotFmt>
      <c:pivotFmt>
        <c:idx val="746"/>
      </c:pivotFmt>
      <c:pivotFmt>
        <c:idx val="747"/>
      </c:pivotFmt>
      <c:pivotFmt>
        <c:idx val="748"/>
      </c:pivotFmt>
      <c:pivotFmt>
        <c:idx val="749"/>
      </c:pivotFmt>
      <c:pivotFmt>
        <c:idx val="750"/>
      </c:pivotFmt>
      <c:pivotFmt>
        <c:idx val="751"/>
      </c:pivotFmt>
      <c:pivotFmt>
        <c:idx val="752"/>
      </c:pivotFmt>
      <c:pivotFmt>
        <c:idx val="753"/>
      </c:pivotFmt>
      <c:pivotFmt>
        <c:idx val="754"/>
      </c:pivotFmt>
      <c:pivotFmt>
        <c:idx val="755"/>
      </c:pivotFmt>
      <c:pivotFmt>
        <c:idx val="756"/>
      </c:pivotFmt>
      <c:pivotFmt>
        <c:idx val="757"/>
      </c:pivotFmt>
      <c:pivotFmt>
        <c:idx val="758"/>
      </c:pivotFmt>
      <c:pivotFmt>
        <c:idx val="759"/>
      </c:pivotFmt>
      <c:pivotFmt>
        <c:idx val="760"/>
      </c:pivotFmt>
      <c:pivotFmt>
        <c:idx val="761"/>
      </c:pivotFmt>
      <c:pivotFmt>
        <c:idx val="762"/>
      </c:pivotFmt>
      <c:pivotFmt>
        <c:idx val="763"/>
      </c:pivotFmt>
      <c:pivotFmt>
        <c:idx val="764"/>
      </c:pivotFmt>
      <c:pivotFmt>
        <c:idx val="765"/>
      </c:pivotFmt>
      <c:pivotFmt>
        <c:idx val="766"/>
      </c:pivotFmt>
      <c:pivotFmt>
        <c:idx val="767"/>
      </c:pivotFmt>
      <c:pivotFmt>
        <c:idx val="768"/>
      </c:pivotFmt>
      <c:pivotFmt>
        <c:idx val="769"/>
      </c:pivotFmt>
      <c:pivotFmt>
        <c:idx val="770"/>
      </c:pivotFmt>
      <c:pivotFmt>
        <c:idx val="771"/>
      </c:pivotFmt>
      <c:pivotFmt>
        <c:idx val="772"/>
      </c:pivotFmt>
      <c:pivotFmt>
        <c:idx val="773"/>
      </c:pivotFmt>
      <c:pivotFmt>
        <c:idx val="774"/>
      </c:pivotFmt>
      <c:pivotFmt>
        <c:idx val="775"/>
      </c:pivotFmt>
      <c:pivotFmt>
        <c:idx val="776"/>
      </c:pivotFmt>
      <c:pivotFmt>
        <c:idx val="777"/>
      </c:pivotFmt>
      <c:pivotFmt>
        <c:idx val="778"/>
      </c:pivotFmt>
      <c:pivotFmt>
        <c:idx val="779"/>
      </c:pivotFmt>
      <c:pivotFmt>
        <c:idx val="780"/>
      </c:pivotFmt>
      <c:pivotFmt>
        <c:idx val="781"/>
      </c:pivotFmt>
      <c:pivotFmt>
        <c:idx val="782"/>
      </c:pivotFmt>
      <c:pivotFmt>
        <c:idx val="783"/>
      </c:pivotFmt>
      <c:pivotFmt>
        <c:idx val="784"/>
      </c:pivotFmt>
      <c:pivotFmt>
        <c:idx val="785"/>
      </c:pivotFmt>
      <c:pivotFmt>
        <c:idx val="786"/>
      </c:pivotFmt>
      <c:pivotFmt>
        <c:idx val="787"/>
      </c:pivotFmt>
      <c:pivotFmt>
        <c:idx val="788"/>
      </c:pivotFmt>
      <c:pivotFmt>
        <c:idx val="789"/>
      </c:pivotFmt>
      <c:pivotFmt>
        <c:idx val="790"/>
      </c:pivotFmt>
      <c:pivotFmt>
        <c:idx val="791"/>
      </c:pivotFmt>
      <c:pivotFmt>
        <c:idx val="792"/>
      </c:pivotFmt>
      <c:pivotFmt>
        <c:idx val="793"/>
      </c:pivotFmt>
      <c:pivotFmt>
        <c:idx val="794"/>
      </c:pivotFmt>
      <c:pivotFmt>
        <c:idx val="795"/>
      </c:pivotFmt>
      <c:pivotFmt>
        <c:idx val="796"/>
      </c:pivotFmt>
      <c:pivotFmt>
        <c:idx val="797"/>
      </c:pivotFmt>
      <c:pivotFmt>
        <c:idx val="798"/>
      </c:pivotFmt>
      <c:pivotFmt>
        <c:idx val="799"/>
      </c:pivotFmt>
      <c:pivotFmt>
        <c:idx val="800"/>
      </c:pivotFmt>
      <c:pivotFmt>
        <c:idx val="801"/>
      </c:pivotFmt>
      <c:pivotFmt>
        <c:idx val="802"/>
      </c:pivotFmt>
      <c:pivotFmt>
        <c:idx val="803"/>
      </c:pivotFmt>
      <c:pivotFmt>
        <c:idx val="804"/>
      </c:pivotFmt>
      <c:pivotFmt>
        <c:idx val="805"/>
      </c:pivotFmt>
      <c:pivotFmt>
        <c:idx val="806"/>
      </c:pivotFmt>
      <c:pivotFmt>
        <c:idx val="807"/>
      </c:pivotFmt>
      <c:pivotFmt>
        <c:idx val="808"/>
      </c:pivotFmt>
      <c:pivotFmt>
        <c:idx val="809"/>
      </c:pivotFmt>
      <c:pivotFmt>
        <c:idx val="810"/>
      </c:pivotFmt>
      <c:pivotFmt>
        <c:idx val="811"/>
      </c:pivotFmt>
      <c:pivotFmt>
        <c:idx val="812"/>
      </c:pivotFmt>
      <c:pivotFmt>
        <c:idx val="813"/>
      </c:pivotFmt>
      <c:pivotFmt>
        <c:idx val="814"/>
      </c:pivotFmt>
      <c:pivotFmt>
        <c:idx val="815"/>
      </c:pivotFmt>
      <c:pivotFmt>
        <c:idx val="816"/>
      </c:pivotFmt>
      <c:pivotFmt>
        <c:idx val="817"/>
      </c:pivotFmt>
      <c:pivotFmt>
        <c:idx val="818"/>
      </c:pivotFmt>
      <c:pivotFmt>
        <c:idx val="819"/>
      </c:pivotFmt>
      <c:pivotFmt>
        <c:idx val="820"/>
      </c:pivotFmt>
      <c:pivotFmt>
        <c:idx val="821"/>
      </c:pivotFmt>
      <c:pivotFmt>
        <c:idx val="822"/>
      </c:pivotFmt>
      <c:pivotFmt>
        <c:idx val="823"/>
      </c:pivotFmt>
      <c:pivotFmt>
        <c:idx val="824"/>
      </c:pivotFmt>
      <c:pivotFmt>
        <c:idx val="825"/>
      </c:pivotFmt>
      <c:pivotFmt>
        <c:idx val="826"/>
      </c:pivotFmt>
      <c:pivotFmt>
        <c:idx val="827"/>
      </c:pivotFmt>
      <c:pivotFmt>
        <c:idx val="828"/>
      </c:pivotFmt>
      <c:pivotFmt>
        <c:idx val="829"/>
      </c:pivotFmt>
      <c:pivotFmt>
        <c:idx val="830"/>
      </c:pivotFmt>
      <c:pivotFmt>
        <c:idx val="831"/>
      </c:pivotFmt>
      <c:pivotFmt>
        <c:idx val="832"/>
      </c:pivotFmt>
      <c:pivotFmt>
        <c:idx val="833"/>
      </c:pivotFmt>
      <c:pivotFmt>
        <c:idx val="834"/>
      </c:pivotFmt>
      <c:pivotFmt>
        <c:idx val="835"/>
      </c:pivotFmt>
      <c:pivotFmt>
        <c:idx val="836"/>
      </c:pivotFmt>
      <c:pivotFmt>
        <c:idx val="837"/>
      </c:pivotFmt>
      <c:pivotFmt>
        <c:idx val="838"/>
      </c:pivotFmt>
      <c:pivotFmt>
        <c:idx val="839"/>
      </c:pivotFmt>
      <c:pivotFmt>
        <c:idx val="840"/>
      </c:pivotFmt>
      <c:pivotFmt>
        <c:idx val="841"/>
      </c:pivotFmt>
      <c:pivotFmt>
        <c:idx val="842"/>
      </c:pivotFmt>
      <c:pivotFmt>
        <c:idx val="843"/>
      </c:pivotFmt>
      <c:pivotFmt>
        <c:idx val="844"/>
      </c:pivotFmt>
      <c:pivotFmt>
        <c:idx val="845"/>
      </c:pivotFmt>
      <c:pivotFmt>
        <c:idx val="846"/>
      </c:pivotFmt>
      <c:pivotFmt>
        <c:idx val="847"/>
      </c:pivotFmt>
      <c:pivotFmt>
        <c:idx val="848"/>
      </c:pivotFmt>
      <c:pivotFmt>
        <c:idx val="849"/>
      </c:pivotFmt>
      <c:pivotFmt>
        <c:idx val="850"/>
      </c:pivotFmt>
      <c:pivotFmt>
        <c:idx val="851"/>
      </c:pivotFmt>
      <c:pivotFmt>
        <c:idx val="852"/>
      </c:pivotFmt>
      <c:pivotFmt>
        <c:idx val="853"/>
      </c:pivotFmt>
      <c:pivotFmt>
        <c:idx val="854"/>
      </c:pivotFmt>
      <c:pivotFmt>
        <c:idx val="855"/>
      </c:pivotFmt>
      <c:pivotFmt>
        <c:idx val="856"/>
      </c:pivotFmt>
      <c:pivotFmt>
        <c:idx val="857"/>
      </c:pivotFmt>
      <c:pivotFmt>
        <c:idx val="858"/>
      </c:pivotFmt>
      <c:pivotFmt>
        <c:idx val="859"/>
      </c:pivotFmt>
      <c:pivotFmt>
        <c:idx val="860"/>
      </c:pivotFmt>
      <c:pivotFmt>
        <c:idx val="861"/>
      </c:pivotFmt>
      <c:pivotFmt>
        <c:idx val="862"/>
      </c:pivotFmt>
      <c:pivotFmt>
        <c:idx val="863"/>
      </c:pivotFmt>
      <c:pivotFmt>
        <c:idx val="864"/>
      </c:pivotFmt>
      <c:pivotFmt>
        <c:idx val="865"/>
      </c:pivotFmt>
      <c:pivotFmt>
        <c:idx val="866"/>
      </c:pivotFmt>
      <c:pivotFmt>
        <c:idx val="867"/>
      </c:pivotFmt>
      <c:pivotFmt>
        <c:idx val="868"/>
      </c:pivotFmt>
      <c:pivotFmt>
        <c:idx val="869"/>
      </c:pivotFmt>
      <c:pivotFmt>
        <c:idx val="870"/>
      </c:pivotFmt>
      <c:pivotFmt>
        <c:idx val="871"/>
      </c:pivotFmt>
      <c:pivotFmt>
        <c:idx val="872"/>
      </c:pivotFmt>
      <c:pivotFmt>
        <c:idx val="873"/>
      </c:pivotFmt>
      <c:pivotFmt>
        <c:idx val="874"/>
      </c:pivotFmt>
      <c:pivotFmt>
        <c:idx val="875"/>
      </c:pivotFmt>
      <c:pivotFmt>
        <c:idx val="876"/>
      </c:pivotFmt>
      <c:pivotFmt>
        <c:idx val="877"/>
      </c:pivotFmt>
      <c:pivotFmt>
        <c:idx val="878"/>
      </c:pivotFmt>
      <c:pivotFmt>
        <c:idx val="879"/>
      </c:pivotFmt>
      <c:pivotFmt>
        <c:idx val="880"/>
      </c:pivotFmt>
      <c:pivotFmt>
        <c:idx val="881"/>
      </c:pivotFmt>
      <c:pivotFmt>
        <c:idx val="882"/>
      </c:pivotFmt>
      <c:pivotFmt>
        <c:idx val="883"/>
      </c:pivotFmt>
      <c:pivotFmt>
        <c:idx val="884"/>
      </c:pivotFmt>
      <c:pivotFmt>
        <c:idx val="885"/>
      </c:pivotFmt>
      <c:pivotFmt>
        <c:idx val="886"/>
      </c:pivotFmt>
      <c:pivotFmt>
        <c:idx val="887"/>
      </c:pivotFmt>
      <c:pivotFmt>
        <c:idx val="888"/>
      </c:pivotFmt>
      <c:pivotFmt>
        <c:idx val="889"/>
      </c:pivotFmt>
      <c:pivotFmt>
        <c:idx val="890"/>
      </c:pivotFmt>
      <c:pivotFmt>
        <c:idx val="891"/>
      </c:pivotFmt>
      <c:pivotFmt>
        <c:idx val="892"/>
      </c:pivotFmt>
      <c:pivotFmt>
        <c:idx val="893"/>
      </c:pivotFmt>
      <c:pivotFmt>
        <c:idx val="894"/>
      </c:pivotFmt>
      <c:pivotFmt>
        <c:idx val="895"/>
      </c:pivotFmt>
      <c:pivotFmt>
        <c:idx val="896"/>
      </c:pivotFmt>
      <c:pivotFmt>
        <c:idx val="897"/>
      </c:pivotFmt>
      <c:pivotFmt>
        <c:idx val="898"/>
      </c:pivotFmt>
      <c:pivotFmt>
        <c:idx val="899"/>
      </c:pivotFmt>
      <c:pivotFmt>
        <c:idx val="900"/>
      </c:pivotFmt>
      <c:pivotFmt>
        <c:idx val="901"/>
      </c:pivotFmt>
      <c:pivotFmt>
        <c:idx val="902"/>
      </c:pivotFmt>
      <c:pivotFmt>
        <c:idx val="903"/>
      </c:pivotFmt>
      <c:pivotFmt>
        <c:idx val="904"/>
      </c:pivotFmt>
      <c:pivotFmt>
        <c:idx val="905"/>
      </c:pivotFmt>
      <c:pivotFmt>
        <c:idx val="906"/>
      </c:pivotFmt>
      <c:pivotFmt>
        <c:idx val="907"/>
      </c:pivotFmt>
      <c:pivotFmt>
        <c:idx val="908"/>
      </c:pivotFmt>
      <c:pivotFmt>
        <c:idx val="909"/>
      </c:pivotFmt>
      <c:pivotFmt>
        <c:idx val="910"/>
      </c:pivotFmt>
      <c:pivotFmt>
        <c:idx val="911"/>
      </c:pivotFmt>
      <c:pivotFmt>
        <c:idx val="912"/>
      </c:pivotFmt>
      <c:pivotFmt>
        <c:idx val="913"/>
      </c:pivotFmt>
      <c:pivotFmt>
        <c:idx val="914"/>
      </c:pivotFmt>
      <c:pivotFmt>
        <c:idx val="915"/>
      </c:pivotFmt>
      <c:pivotFmt>
        <c:idx val="916"/>
      </c:pivotFmt>
      <c:pivotFmt>
        <c:idx val="917"/>
      </c:pivotFmt>
      <c:pivotFmt>
        <c:idx val="918"/>
      </c:pivotFmt>
      <c:pivotFmt>
        <c:idx val="919"/>
      </c:pivotFmt>
      <c:pivotFmt>
        <c:idx val="920"/>
      </c:pivotFmt>
      <c:pivotFmt>
        <c:idx val="921"/>
      </c:pivotFmt>
      <c:pivotFmt>
        <c:idx val="922"/>
      </c:pivotFmt>
      <c:pivotFmt>
        <c:idx val="923"/>
      </c:pivotFmt>
      <c:pivotFmt>
        <c:idx val="924"/>
      </c:pivotFmt>
      <c:pivotFmt>
        <c:idx val="925"/>
      </c:pivotFmt>
      <c:pivotFmt>
        <c:idx val="926"/>
      </c:pivotFmt>
      <c:pivotFmt>
        <c:idx val="927"/>
      </c:pivotFmt>
      <c:pivotFmt>
        <c:idx val="928"/>
      </c:pivotFmt>
      <c:pivotFmt>
        <c:idx val="929"/>
      </c:pivotFmt>
      <c:pivotFmt>
        <c:idx val="930"/>
      </c:pivotFmt>
      <c:pivotFmt>
        <c:idx val="931"/>
      </c:pivotFmt>
      <c:pivotFmt>
        <c:idx val="932"/>
      </c:pivotFmt>
      <c:pivotFmt>
        <c:idx val="933"/>
      </c:pivotFmt>
      <c:pivotFmt>
        <c:idx val="934"/>
      </c:pivotFmt>
      <c:pivotFmt>
        <c:idx val="935"/>
      </c:pivotFmt>
      <c:pivotFmt>
        <c:idx val="936"/>
      </c:pivotFmt>
      <c:pivotFmt>
        <c:idx val="937"/>
      </c:pivotFmt>
      <c:pivotFmt>
        <c:idx val="938"/>
      </c:pivotFmt>
      <c:pivotFmt>
        <c:idx val="939"/>
      </c:pivotFmt>
      <c:pivotFmt>
        <c:idx val="940"/>
      </c:pivotFmt>
      <c:pivotFmt>
        <c:idx val="941"/>
      </c:pivotFmt>
      <c:pivotFmt>
        <c:idx val="942"/>
      </c:pivotFmt>
      <c:pivotFmt>
        <c:idx val="943"/>
      </c:pivotFmt>
      <c:pivotFmt>
        <c:idx val="944"/>
      </c:pivotFmt>
      <c:pivotFmt>
        <c:idx val="945"/>
      </c:pivotFmt>
      <c:pivotFmt>
        <c:idx val="946"/>
      </c:pivotFmt>
      <c:pivotFmt>
        <c:idx val="947"/>
      </c:pivotFmt>
      <c:pivotFmt>
        <c:idx val="948"/>
      </c:pivotFmt>
      <c:pivotFmt>
        <c:idx val="949"/>
      </c:pivotFmt>
      <c:pivotFmt>
        <c:idx val="950"/>
      </c:pivotFmt>
      <c:pivotFmt>
        <c:idx val="951"/>
      </c:pivotFmt>
      <c:pivotFmt>
        <c:idx val="952"/>
      </c:pivotFmt>
      <c:pivotFmt>
        <c:idx val="953"/>
      </c:pivotFmt>
      <c:pivotFmt>
        <c:idx val="954"/>
      </c:pivotFmt>
      <c:pivotFmt>
        <c:idx val="955"/>
      </c:pivotFmt>
      <c:pivotFmt>
        <c:idx val="956"/>
      </c:pivotFmt>
      <c:pivotFmt>
        <c:idx val="957"/>
      </c:pivotFmt>
      <c:pivotFmt>
        <c:idx val="958"/>
      </c:pivotFmt>
      <c:pivotFmt>
        <c:idx val="959"/>
      </c:pivotFmt>
      <c:pivotFmt>
        <c:idx val="960"/>
      </c:pivotFmt>
      <c:pivotFmt>
        <c:idx val="961"/>
      </c:pivotFmt>
      <c:pivotFmt>
        <c:idx val="962"/>
      </c:pivotFmt>
      <c:pivotFmt>
        <c:idx val="963"/>
      </c:pivotFmt>
      <c:pivotFmt>
        <c:idx val="964"/>
      </c:pivotFmt>
      <c:pivotFmt>
        <c:idx val="965"/>
      </c:pivotFmt>
      <c:pivotFmt>
        <c:idx val="966"/>
      </c:pivotFmt>
      <c:pivotFmt>
        <c:idx val="967"/>
      </c:pivotFmt>
      <c:pivotFmt>
        <c:idx val="968"/>
      </c:pivotFmt>
      <c:pivotFmt>
        <c:idx val="969"/>
      </c:pivotFmt>
      <c:pivotFmt>
        <c:idx val="970"/>
      </c:pivotFmt>
      <c:pivotFmt>
        <c:idx val="971"/>
      </c:pivotFmt>
      <c:pivotFmt>
        <c:idx val="972"/>
      </c:pivotFmt>
      <c:pivotFmt>
        <c:idx val="973"/>
      </c:pivotFmt>
      <c:pivotFmt>
        <c:idx val="974"/>
      </c:pivotFmt>
      <c:pivotFmt>
        <c:idx val="975"/>
      </c:pivotFmt>
      <c:pivotFmt>
        <c:idx val="976"/>
      </c:pivotFmt>
      <c:pivotFmt>
        <c:idx val="977"/>
      </c:pivotFmt>
      <c:pivotFmt>
        <c:idx val="978"/>
      </c:pivotFmt>
      <c:pivotFmt>
        <c:idx val="979"/>
      </c:pivotFmt>
      <c:pivotFmt>
        <c:idx val="980"/>
      </c:pivotFmt>
      <c:pivotFmt>
        <c:idx val="981"/>
      </c:pivotFmt>
      <c:pivotFmt>
        <c:idx val="982"/>
      </c:pivotFmt>
      <c:pivotFmt>
        <c:idx val="983"/>
      </c:pivotFmt>
      <c:pivotFmt>
        <c:idx val="984"/>
      </c:pivotFmt>
      <c:pivotFmt>
        <c:idx val="985"/>
      </c:pivotFmt>
      <c:pivotFmt>
        <c:idx val="986"/>
      </c:pivotFmt>
      <c:pivotFmt>
        <c:idx val="987"/>
      </c:pivotFmt>
      <c:pivotFmt>
        <c:idx val="988"/>
      </c:pivotFmt>
      <c:pivotFmt>
        <c:idx val="989"/>
      </c:pivotFmt>
      <c:pivotFmt>
        <c:idx val="990"/>
      </c:pivotFmt>
      <c:pivotFmt>
        <c:idx val="991"/>
      </c:pivotFmt>
      <c:pivotFmt>
        <c:idx val="992"/>
      </c:pivotFmt>
      <c:pivotFmt>
        <c:idx val="993"/>
      </c:pivotFmt>
      <c:pivotFmt>
        <c:idx val="994"/>
      </c:pivotFmt>
      <c:pivotFmt>
        <c:idx val="995"/>
      </c:pivotFmt>
      <c:pivotFmt>
        <c:idx val="996"/>
      </c:pivotFmt>
      <c:pivotFmt>
        <c:idx val="997"/>
      </c:pivotFmt>
      <c:pivotFmt>
        <c:idx val="998"/>
      </c:pivotFmt>
      <c:pivotFmt>
        <c:idx val="999"/>
      </c:pivotFmt>
      <c:pivotFmt>
        <c:idx val="1000"/>
      </c:pivotFmt>
      <c:pivotFmt>
        <c:idx val="1001"/>
      </c:pivotFmt>
      <c:pivotFmt>
        <c:idx val="1002"/>
      </c:pivotFmt>
      <c:pivotFmt>
        <c:idx val="1003"/>
      </c:pivotFmt>
      <c:pivotFmt>
        <c:idx val="1004"/>
      </c:pivotFmt>
      <c:pivotFmt>
        <c:idx val="1005"/>
      </c:pivotFmt>
      <c:pivotFmt>
        <c:idx val="1006"/>
      </c:pivotFmt>
      <c:pivotFmt>
        <c:idx val="1007"/>
      </c:pivotFmt>
      <c:pivotFmt>
        <c:idx val="1008"/>
      </c:pivotFmt>
      <c:pivotFmt>
        <c:idx val="1009"/>
      </c:pivotFmt>
      <c:pivotFmt>
        <c:idx val="1010"/>
      </c:pivotFmt>
      <c:pivotFmt>
        <c:idx val="1011"/>
      </c:pivotFmt>
      <c:pivotFmt>
        <c:idx val="1012"/>
      </c:pivotFmt>
      <c:pivotFmt>
        <c:idx val="1013"/>
      </c:pivotFmt>
      <c:pivotFmt>
        <c:idx val="1014"/>
      </c:pivotFmt>
      <c:pivotFmt>
        <c:idx val="1015"/>
      </c:pivotFmt>
      <c:pivotFmt>
        <c:idx val="1016"/>
      </c:pivotFmt>
      <c:pivotFmt>
        <c:idx val="1017"/>
      </c:pivotFmt>
      <c:pivotFmt>
        <c:idx val="1018"/>
      </c:pivotFmt>
      <c:pivotFmt>
        <c:idx val="1019"/>
      </c:pivotFmt>
      <c:pivotFmt>
        <c:idx val="1020"/>
      </c:pivotFmt>
      <c:pivotFmt>
        <c:idx val="1021"/>
      </c:pivotFmt>
      <c:pivotFmt>
        <c:idx val="1022"/>
      </c:pivotFmt>
      <c:pivotFmt>
        <c:idx val="1023"/>
      </c:pivotFmt>
      <c:pivotFmt>
        <c:idx val="1024"/>
      </c:pivotFmt>
      <c:pivotFmt>
        <c:idx val="1025"/>
      </c:pivotFmt>
      <c:pivotFmt>
        <c:idx val="1026"/>
      </c:pivotFmt>
      <c:pivotFmt>
        <c:idx val="1027"/>
      </c:pivotFmt>
      <c:pivotFmt>
        <c:idx val="1028"/>
      </c:pivotFmt>
      <c:pivotFmt>
        <c:idx val="1029"/>
      </c:pivotFmt>
      <c:pivotFmt>
        <c:idx val="1030"/>
      </c:pivotFmt>
      <c:pivotFmt>
        <c:idx val="1031"/>
      </c:pivotFmt>
      <c:pivotFmt>
        <c:idx val="1032"/>
      </c:pivotFmt>
      <c:pivotFmt>
        <c:idx val="1033"/>
      </c:pivotFmt>
      <c:pivotFmt>
        <c:idx val="1034"/>
      </c:pivotFmt>
      <c:pivotFmt>
        <c:idx val="1035"/>
      </c:pivotFmt>
      <c:pivotFmt>
        <c:idx val="1036"/>
      </c:pivotFmt>
      <c:pivotFmt>
        <c:idx val="1037"/>
      </c:pivotFmt>
      <c:pivotFmt>
        <c:idx val="1038"/>
      </c:pivotFmt>
      <c:pivotFmt>
        <c:idx val="1039"/>
      </c:pivotFmt>
      <c:pivotFmt>
        <c:idx val="1040"/>
      </c:pivotFmt>
      <c:pivotFmt>
        <c:idx val="1041"/>
      </c:pivotFmt>
      <c:pivotFmt>
        <c:idx val="1042"/>
      </c:pivotFmt>
      <c:pivotFmt>
        <c:idx val="1043"/>
      </c:pivotFmt>
      <c:pivotFmt>
        <c:idx val="1044"/>
      </c:pivotFmt>
      <c:pivotFmt>
        <c:idx val="1045"/>
      </c:pivotFmt>
      <c:pivotFmt>
        <c:idx val="1046"/>
      </c:pivotFmt>
      <c:pivotFmt>
        <c:idx val="1047"/>
      </c:pivotFmt>
      <c:pivotFmt>
        <c:idx val="1048"/>
      </c:pivotFmt>
      <c:pivotFmt>
        <c:idx val="1049"/>
      </c:pivotFmt>
      <c:pivotFmt>
        <c:idx val="1050"/>
      </c:pivotFmt>
      <c:pivotFmt>
        <c:idx val="1051"/>
      </c:pivotFmt>
      <c:pivotFmt>
        <c:idx val="1052"/>
      </c:pivotFmt>
      <c:pivotFmt>
        <c:idx val="1053"/>
      </c:pivotFmt>
      <c:pivotFmt>
        <c:idx val="1054"/>
      </c:pivotFmt>
      <c:pivotFmt>
        <c:idx val="1055"/>
      </c:pivotFmt>
      <c:pivotFmt>
        <c:idx val="1056"/>
      </c:pivotFmt>
      <c:pivotFmt>
        <c:idx val="1057"/>
      </c:pivotFmt>
      <c:pivotFmt>
        <c:idx val="1058"/>
      </c:pivotFmt>
      <c:pivotFmt>
        <c:idx val="1059"/>
      </c:pivotFmt>
      <c:pivotFmt>
        <c:idx val="1060"/>
      </c:pivotFmt>
      <c:pivotFmt>
        <c:idx val="1061"/>
      </c:pivotFmt>
      <c:pivotFmt>
        <c:idx val="1062"/>
      </c:pivotFmt>
      <c:pivotFmt>
        <c:idx val="1063"/>
      </c:pivotFmt>
      <c:pivotFmt>
        <c:idx val="1064"/>
      </c:pivotFmt>
      <c:pivotFmt>
        <c:idx val="1065"/>
      </c:pivotFmt>
      <c:pivotFmt>
        <c:idx val="1066"/>
      </c:pivotFmt>
      <c:pivotFmt>
        <c:idx val="1067"/>
      </c:pivotFmt>
      <c:pivotFmt>
        <c:idx val="1068"/>
      </c:pivotFmt>
      <c:pivotFmt>
        <c:idx val="1069"/>
      </c:pivotFmt>
      <c:pivotFmt>
        <c:idx val="1070"/>
      </c:pivotFmt>
      <c:pivotFmt>
        <c:idx val="1071"/>
      </c:pivotFmt>
      <c:pivotFmt>
        <c:idx val="1072"/>
      </c:pivotFmt>
      <c:pivotFmt>
        <c:idx val="1073"/>
      </c:pivotFmt>
      <c:pivotFmt>
        <c:idx val="1074"/>
      </c:pivotFmt>
      <c:pivotFmt>
        <c:idx val="1075"/>
      </c:pivotFmt>
      <c:pivotFmt>
        <c:idx val="1076"/>
      </c:pivotFmt>
      <c:pivotFmt>
        <c:idx val="1077"/>
      </c:pivotFmt>
      <c:pivotFmt>
        <c:idx val="1078"/>
      </c:pivotFmt>
      <c:pivotFmt>
        <c:idx val="1079"/>
      </c:pivotFmt>
      <c:pivotFmt>
        <c:idx val="1080"/>
      </c:pivotFmt>
      <c:pivotFmt>
        <c:idx val="1081"/>
      </c:pivotFmt>
      <c:pivotFmt>
        <c:idx val="1082"/>
      </c:pivotFmt>
      <c:pivotFmt>
        <c:idx val="1083"/>
      </c:pivotFmt>
      <c:pivotFmt>
        <c:idx val="1084"/>
      </c:pivotFmt>
      <c:pivotFmt>
        <c:idx val="1085"/>
      </c:pivotFmt>
      <c:pivotFmt>
        <c:idx val="1086"/>
      </c:pivotFmt>
      <c:pivotFmt>
        <c:idx val="1087"/>
      </c:pivotFmt>
      <c:pivotFmt>
        <c:idx val="1088"/>
      </c:pivotFmt>
      <c:pivotFmt>
        <c:idx val="1089"/>
      </c:pivotFmt>
      <c:pivotFmt>
        <c:idx val="1090"/>
      </c:pivotFmt>
      <c:pivotFmt>
        <c:idx val="1091"/>
      </c:pivotFmt>
      <c:pivotFmt>
        <c:idx val="1092"/>
      </c:pivotFmt>
      <c:pivotFmt>
        <c:idx val="1093"/>
      </c:pivotFmt>
      <c:pivotFmt>
        <c:idx val="1094"/>
      </c:pivotFmt>
      <c:pivotFmt>
        <c:idx val="1095"/>
      </c:pivotFmt>
      <c:pivotFmt>
        <c:idx val="1096"/>
      </c:pivotFmt>
      <c:pivotFmt>
        <c:idx val="1097"/>
      </c:pivotFmt>
      <c:pivotFmt>
        <c:idx val="1098"/>
      </c:pivotFmt>
      <c:pivotFmt>
        <c:idx val="1099"/>
      </c:pivotFmt>
      <c:pivotFmt>
        <c:idx val="1100"/>
      </c:pivotFmt>
      <c:pivotFmt>
        <c:idx val="1101"/>
      </c:pivotFmt>
      <c:pivotFmt>
        <c:idx val="1102"/>
      </c:pivotFmt>
      <c:pivotFmt>
        <c:idx val="1103"/>
      </c:pivotFmt>
      <c:pivotFmt>
        <c:idx val="1104"/>
      </c:pivotFmt>
      <c:pivotFmt>
        <c:idx val="1105"/>
      </c:pivotFmt>
      <c:pivotFmt>
        <c:idx val="1106"/>
      </c:pivotFmt>
      <c:pivotFmt>
        <c:idx val="1107"/>
      </c:pivotFmt>
      <c:pivotFmt>
        <c:idx val="1108"/>
      </c:pivotFmt>
      <c:pivotFmt>
        <c:idx val="1109"/>
      </c:pivotFmt>
      <c:pivotFmt>
        <c:idx val="1110"/>
      </c:pivotFmt>
      <c:pivotFmt>
        <c:idx val="1111"/>
      </c:pivotFmt>
      <c:pivotFmt>
        <c:idx val="1112"/>
        <c:marker>
          <c:symbol val="none"/>
        </c:marker>
      </c:pivotFmt>
      <c:pivotFmt>
        <c:idx val="1113"/>
        <c:marker>
          <c:symbol val="none"/>
        </c:marker>
      </c:pivotFmt>
      <c:pivotFmt>
        <c:idx val="1114"/>
        <c:marker>
          <c:symbol val="none"/>
        </c:marker>
      </c:pivotFmt>
      <c:pivotFmt>
        <c:idx val="1115"/>
        <c:marker>
          <c:symbol val="none"/>
        </c:marker>
      </c:pivotFmt>
      <c:pivotFmt>
        <c:idx val="1116"/>
        <c:marker>
          <c:symbol val="none"/>
        </c:marker>
      </c:pivotFmt>
      <c:pivotFmt>
        <c:idx val="1117"/>
        <c:marker>
          <c:symbol val="none"/>
        </c:marker>
      </c:pivotFmt>
      <c:pivotFmt>
        <c:idx val="1118"/>
        <c:marker>
          <c:symbol val="none"/>
        </c:marker>
      </c:pivotFmt>
      <c:pivotFmt>
        <c:idx val="1119"/>
        <c:marker>
          <c:symbol val="none"/>
        </c:marker>
      </c:pivotFmt>
      <c:pivotFmt>
        <c:idx val="1120"/>
        <c:marker>
          <c:symbol val="none"/>
        </c:marker>
      </c:pivotFmt>
      <c:pivotFmt>
        <c:idx val="1121"/>
        <c:marker>
          <c:symbol val="none"/>
        </c:marker>
      </c:pivotFmt>
      <c:pivotFmt>
        <c:idx val="1122"/>
        <c:marker>
          <c:symbol val="none"/>
        </c:marker>
      </c:pivotFmt>
      <c:pivotFmt>
        <c:idx val="1123"/>
        <c:marker>
          <c:symbol val="none"/>
        </c:marker>
      </c:pivotFmt>
      <c:pivotFmt>
        <c:idx val="1124"/>
        <c:marker>
          <c:symbol val="none"/>
        </c:marker>
      </c:pivotFmt>
      <c:pivotFmt>
        <c:idx val="1125"/>
        <c:marker>
          <c:symbol val="none"/>
        </c:marker>
      </c:pivotFmt>
      <c:pivotFmt>
        <c:idx val="1126"/>
        <c:marker>
          <c:symbol val="none"/>
        </c:marker>
      </c:pivotFmt>
      <c:pivotFmt>
        <c:idx val="1127"/>
        <c:marker>
          <c:symbol val="none"/>
        </c:marker>
      </c:pivotFmt>
      <c:pivotFmt>
        <c:idx val="1128"/>
        <c:marker>
          <c:symbol val="none"/>
        </c:marker>
      </c:pivotFmt>
      <c:pivotFmt>
        <c:idx val="1129"/>
        <c:marker>
          <c:symbol val="none"/>
        </c:marker>
      </c:pivotFmt>
      <c:pivotFmt>
        <c:idx val="1130"/>
        <c:marker>
          <c:symbol val="none"/>
        </c:marker>
      </c:pivotFmt>
      <c:pivotFmt>
        <c:idx val="1131"/>
        <c:marker>
          <c:symbol val="none"/>
        </c:marker>
      </c:pivotFmt>
      <c:pivotFmt>
        <c:idx val="1132"/>
      </c:pivotFmt>
      <c:pivotFmt>
        <c:idx val="1133"/>
      </c:pivotFmt>
      <c:pivotFmt>
        <c:idx val="1134"/>
      </c:pivotFmt>
      <c:pivotFmt>
        <c:idx val="1135"/>
      </c:pivotFmt>
      <c:pivotFmt>
        <c:idx val="1136"/>
      </c:pivotFmt>
      <c:pivotFmt>
        <c:idx val="1137"/>
      </c:pivotFmt>
      <c:pivotFmt>
        <c:idx val="1138"/>
      </c:pivotFmt>
      <c:pivotFmt>
        <c:idx val="1139"/>
      </c:pivotFmt>
      <c:pivotFmt>
        <c:idx val="1140"/>
      </c:pivotFmt>
      <c:pivotFmt>
        <c:idx val="1141"/>
      </c:pivotFmt>
      <c:pivotFmt>
        <c:idx val="1142"/>
      </c:pivotFmt>
      <c:pivotFmt>
        <c:idx val="1143"/>
      </c:pivotFmt>
      <c:pivotFmt>
        <c:idx val="1144"/>
      </c:pivotFmt>
      <c:pivotFmt>
        <c:idx val="1145"/>
      </c:pivotFmt>
      <c:pivotFmt>
        <c:idx val="1146"/>
      </c:pivotFmt>
      <c:pivotFmt>
        <c:idx val="1147"/>
      </c:pivotFmt>
      <c:pivotFmt>
        <c:idx val="1148"/>
      </c:pivotFmt>
      <c:pivotFmt>
        <c:idx val="1149"/>
      </c:pivotFmt>
      <c:pivotFmt>
        <c:idx val="1150"/>
      </c:pivotFmt>
      <c:pivotFmt>
        <c:idx val="1151"/>
      </c:pivotFmt>
      <c:pivotFmt>
        <c:idx val="1152"/>
        <c:marker>
          <c:symbol val="none"/>
        </c:marker>
      </c:pivotFmt>
      <c:pivotFmt>
        <c:idx val="1153"/>
        <c:marker>
          <c:symbol val="none"/>
        </c:marker>
      </c:pivotFmt>
      <c:pivotFmt>
        <c:idx val="1154"/>
        <c:marker>
          <c:symbol val="none"/>
        </c:marker>
      </c:pivotFmt>
      <c:pivotFmt>
        <c:idx val="1155"/>
        <c:marker>
          <c:symbol val="none"/>
        </c:marker>
      </c:pivotFmt>
      <c:pivotFmt>
        <c:idx val="1156"/>
        <c:marker>
          <c:symbol val="none"/>
        </c:marker>
      </c:pivotFmt>
      <c:pivotFmt>
        <c:idx val="1157"/>
        <c:marker>
          <c:symbol val="none"/>
        </c:marker>
      </c:pivotFmt>
      <c:pivotFmt>
        <c:idx val="1158"/>
        <c:marker>
          <c:symbol val="none"/>
        </c:marker>
      </c:pivotFmt>
      <c:pivotFmt>
        <c:idx val="1159"/>
        <c:marker>
          <c:symbol val="none"/>
        </c:marker>
      </c:pivotFmt>
      <c:pivotFmt>
        <c:idx val="1160"/>
        <c:marker>
          <c:symbol val="none"/>
        </c:marker>
      </c:pivotFmt>
      <c:pivotFmt>
        <c:idx val="1161"/>
        <c:marker>
          <c:symbol val="none"/>
        </c:marker>
      </c:pivotFmt>
      <c:pivotFmt>
        <c:idx val="1162"/>
        <c:marker>
          <c:symbol val="none"/>
        </c:marker>
      </c:pivotFmt>
      <c:pivotFmt>
        <c:idx val="1163"/>
        <c:marker>
          <c:symbol val="none"/>
        </c:marker>
      </c:pivotFmt>
      <c:pivotFmt>
        <c:idx val="1164"/>
        <c:marker>
          <c:symbol val="none"/>
        </c:marker>
      </c:pivotFmt>
      <c:pivotFmt>
        <c:idx val="1165"/>
        <c:marker>
          <c:symbol val="none"/>
        </c:marker>
      </c:pivotFmt>
      <c:pivotFmt>
        <c:idx val="1166"/>
        <c:marker>
          <c:symbol val="none"/>
        </c:marker>
      </c:pivotFmt>
      <c:pivotFmt>
        <c:idx val="1167"/>
        <c:marker>
          <c:symbol val="none"/>
        </c:marker>
      </c:pivotFmt>
      <c:pivotFmt>
        <c:idx val="1168"/>
        <c:marker>
          <c:symbol val="none"/>
        </c:marker>
      </c:pivotFmt>
      <c:pivotFmt>
        <c:idx val="1169"/>
        <c:marker>
          <c:symbol val="none"/>
        </c:marker>
      </c:pivotFmt>
      <c:pivotFmt>
        <c:idx val="1170"/>
        <c:marker>
          <c:symbol val="none"/>
        </c:marker>
      </c:pivotFmt>
      <c:pivotFmt>
        <c:idx val="1171"/>
        <c:marker>
          <c:symbol val="none"/>
        </c:marker>
      </c:pivotFmt>
      <c:pivotFmt>
        <c:idx val="1172"/>
        <c:marker>
          <c:symbol val="none"/>
        </c:marker>
      </c:pivotFmt>
      <c:pivotFmt>
        <c:idx val="1173"/>
        <c:marker>
          <c:symbol val="none"/>
        </c:marker>
      </c:pivotFmt>
      <c:pivotFmt>
        <c:idx val="1174"/>
        <c:marker>
          <c:symbol val="none"/>
        </c:marker>
      </c:pivotFmt>
      <c:pivotFmt>
        <c:idx val="1175"/>
        <c:marker>
          <c:symbol val="none"/>
        </c:marker>
      </c:pivotFmt>
      <c:pivotFmt>
        <c:idx val="1176"/>
        <c:marker>
          <c:symbol val="none"/>
        </c:marker>
      </c:pivotFmt>
      <c:pivotFmt>
        <c:idx val="1177"/>
        <c:marker>
          <c:symbol val="none"/>
        </c:marker>
      </c:pivotFmt>
      <c:pivotFmt>
        <c:idx val="1178"/>
        <c:marker>
          <c:symbol val="none"/>
        </c:marker>
      </c:pivotFmt>
      <c:pivotFmt>
        <c:idx val="1179"/>
        <c:marker>
          <c:symbol val="none"/>
        </c:marker>
      </c:pivotFmt>
      <c:pivotFmt>
        <c:idx val="1180"/>
        <c:marker>
          <c:symbol val="none"/>
        </c:marker>
      </c:pivotFmt>
      <c:pivotFmt>
        <c:idx val="1181"/>
        <c:marker>
          <c:symbol val="none"/>
        </c:marker>
      </c:pivotFmt>
      <c:pivotFmt>
        <c:idx val="1182"/>
        <c:marker>
          <c:symbol val="none"/>
        </c:marker>
      </c:pivotFmt>
      <c:pivotFmt>
        <c:idx val="1183"/>
        <c:marker>
          <c:symbol val="none"/>
        </c:marker>
      </c:pivotFmt>
      <c:pivotFmt>
        <c:idx val="1184"/>
        <c:marker>
          <c:symbol val="none"/>
        </c:marker>
      </c:pivotFmt>
      <c:pivotFmt>
        <c:idx val="1185"/>
        <c:marker>
          <c:symbol val="none"/>
        </c:marker>
      </c:pivotFmt>
      <c:pivotFmt>
        <c:idx val="1186"/>
        <c:marker>
          <c:symbol val="none"/>
        </c:marker>
      </c:pivotFmt>
      <c:pivotFmt>
        <c:idx val="1187"/>
        <c:marker>
          <c:symbol val="none"/>
        </c:marker>
      </c:pivotFmt>
      <c:pivotFmt>
        <c:idx val="1188"/>
        <c:marker>
          <c:symbol val="none"/>
        </c:marker>
      </c:pivotFmt>
      <c:pivotFmt>
        <c:idx val="1189"/>
        <c:marker>
          <c:symbol val="none"/>
        </c:marker>
      </c:pivotFmt>
      <c:pivotFmt>
        <c:idx val="1190"/>
        <c:marker>
          <c:symbol val="none"/>
        </c:marker>
      </c:pivotFmt>
      <c:pivotFmt>
        <c:idx val="1191"/>
        <c:marker>
          <c:symbol val="none"/>
        </c:marker>
      </c:pivotFmt>
      <c:pivotFmt>
        <c:idx val="1192"/>
        <c:marker>
          <c:symbol val="none"/>
        </c:marker>
      </c:pivotFmt>
      <c:pivotFmt>
        <c:idx val="1193"/>
        <c:marker>
          <c:symbol val="none"/>
        </c:marker>
      </c:pivotFmt>
      <c:pivotFmt>
        <c:idx val="1194"/>
        <c:marker>
          <c:symbol val="none"/>
        </c:marker>
      </c:pivotFmt>
      <c:pivotFmt>
        <c:idx val="1195"/>
        <c:marker>
          <c:symbol val="none"/>
        </c:marker>
      </c:pivotFmt>
      <c:pivotFmt>
        <c:idx val="1196"/>
        <c:marker>
          <c:symbol val="none"/>
        </c:marker>
      </c:pivotFmt>
      <c:pivotFmt>
        <c:idx val="1197"/>
        <c:marker>
          <c:symbol val="none"/>
        </c:marker>
      </c:pivotFmt>
      <c:pivotFmt>
        <c:idx val="1198"/>
        <c:marker>
          <c:symbol val="none"/>
        </c:marker>
      </c:pivotFmt>
      <c:pivotFmt>
        <c:idx val="1199"/>
        <c:marker>
          <c:symbol val="none"/>
        </c:marker>
      </c:pivotFmt>
      <c:pivotFmt>
        <c:idx val="1200"/>
        <c:marker>
          <c:symbol val="none"/>
        </c:marker>
      </c:pivotFmt>
      <c:pivotFmt>
        <c:idx val="1201"/>
        <c:marker>
          <c:symbol val="none"/>
        </c:marker>
      </c:pivotFmt>
      <c:pivotFmt>
        <c:idx val="1202"/>
        <c:marker>
          <c:symbol val="none"/>
        </c:marker>
      </c:pivotFmt>
      <c:pivotFmt>
        <c:idx val="1203"/>
        <c:marker>
          <c:symbol val="none"/>
        </c:marker>
      </c:pivotFmt>
      <c:pivotFmt>
        <c:idx val="1204"/>
        <c:marker>
          <c:symbol val="none"/>
        </c:marker>
      </c:pivotFmt>
      <c:pivotFmt>
        <c:idx val="1205"/>
        <c:marker>
          <c:symbol val="none"/>
        </c:marker>
      </c:pivotFmt>
      <c:pivotFmt>
        <c:idx val="1206"/>
        <c:marker>
          <c:symbol val="none"/>
        </c:marker>
      </c:pivotFmt>
      <c:pivotFmt>
        <c:idx val="1207"/>
        <c:marker>
          <c:symbol val="none"/>
        </c:marker>
      </c:pivotFmt>
      <c:pivotFmt>
        <c:idx val="1208"/>
        <c:marker>
          <c:symbol val="none"/>
        </c:marker>
      </c:pivotFmt>
      <c:pivotFmt>
        <c:idx val="1209"/>
        <c:marker>
          <c:symbol val="none"/>
        </c:marker>
      </c:pivotFmt>
      <c:pivotFmt>
        <c:idx val="1210"/>
        <c:marker>
          <c:symbol val="none"/>
        </c:marker>
      </c:pivotFmt>
      <c:pivotFmt>
        <c:idx val="1211"/>
        <c:marker>
          <c:symbol val="none"/>
        </c:marker>
      </c:pivotFmt>
      <c:pivotFmt>
        <c:idx val="1212"/>
        <c:marker>
          <c:symbol val="none"/>
        </c:marker>
      </c:pivotFmt>
      <c:pivotFmt>
        <c:idx val="1213"/>
        <c:marker>
          <c:symbol val="none"/>
        </c:marker>
      </c:pivotFmt>
      <c:pivotFmt>
        <c:idx val="1214"/>
        <c:marker>
          <c:symbol val="none"/>
        </c:marker>
      </c:pivotFmt>
      <c:pivotFmt>
        <c:idx val="1215"/>
        <c:marker>
          <c:symbol val="none"/>
        </c:marker>
      </c:pivotFmt>
      <c:pivotFmt>
        <c:idx val="1216"/>
        <c:marker>
          <c:symbol val="none"/>
        </c:marker>
      </c:pivotFmt>
      <c:pivotFmt>
        <c:idx val="1217"/>
        <c:marker>
          <c:symbol val="none"/>
        </c:marker>
      </c:pivotFmt>
      <c:pivotFmt>
        <c:idx val="1218"/>
        <c:marker>
          <c:symbol val="none"/>
        </c:marker>
      </c:pivotFmt>
      <c:pivotFmt>
        <c:idx val="1219"/>
        <c:marker>
          <c:symbol val="none"/>
        </c:marker>
      </c:pivotFmt>
      <c:pivotFmt>
        <c:idx val="1220"/>
        <c:marker>
          <c:symbol val="none"/>
        </c:marker>
      </c:pivotFmt>
      <c:pivotFmt>
        <c:idx val="1221"/>
        <c:marker>
          <c:symbol val="none"/>
        </c:marker>
      </c:pivotFmt>
      <c:pivotFmt>
        <c:idx val="1222"/>
        <c:marker>
          <c:symbol val="none"/>
        </c:marker>
      </c:pivotFmt>
      <c:pivotFmt>
        <c:idx val="1223"/>
        <c:marker>
          <c:symbol val="none"/>
        </c:marker>
      </c:pivotFmt>
      <c:pivotFmt>
        <c:idx val="1224"/>
        <c:marker>
          <c:symbol val="none"/>
        </c:marker>
      </c:pivotFmt>
      <c:pivotFmt>
        <c:idx val="1225"/>
        <c:marker>
          <c:symbol val="none"/>
        </c:marker>
      </c:pivotFmt>
      <c:pivotFmt>
        <c:idx val="1226"/>
        <c:marker>
          <c:symbol val="none"/>
        </c:marker>
      </c:pivotFmt>
      <c:pivotFmt>
        <c:idx val="1227"/>
        <c:marker>
          <c:symbol val="none"/>
        </c:marker>
      </c:pivotFmt>
      <c:pivotFmt>
        <c:idx val="1228"/>
        <c:marker>
          <c:symbol val="none"/>
        </c:marker>
      </c:pivotFmt>
      <c:pivotFmt>
        <c:idx val="1229"/>
        <c:marker>
          <c:symbol val="none"/>
        </c:marker>
      </c:pivotFmt>
      <c:pivotFmt>
        <c:idx val="1230"/>
        <c:marker>
          <c:symbol val="none"/>
        </c:marker>
      </c:pivotFmt>
      <c:pivotFmt>
        <c:idx val="1231"/>
        <c:marker>
          <c:symbol val="none"/>
        </c:marker>
      </c:pivotFmt>
      <c:pivotFmt>
        <c:idx val="1232"/>
        <c:marker>
          <c:symbol val="none"/>
        </c:marker>
      </c:pivotFmt>
      <c:pivotFmt>
        <c:idx val="1233"/>
        <c:marker>
          <c:symbol val="none"/>
        </c:marker>
      </c:pivotFmt>
      <c:pivotFmt>
        <c:idx val="1234"/>
        <c:marker>
          <c:symbol val="none"/>
        </c:marker>
      </c:pivotFmt>
      <c:pivotFmt>
        <c:idx val="1235"/>
        <c:marker>
          <c:symbol val="none"/>
        </c:marker>
      </c:pivotFmt>
      <c:pivotFmt>
        <c:idx val="1236"/>
        <c:marker>
          <c:symbol val="none"/>
        </c:marker>
      </c:pivotFmt>
      <c:pivotFmt>
        <c:idx val="1237"/>
        <c:marker>
          <c:symbol val="none"/>
        </c:marker>
      </c:pivotFmt>
      <c:pivotFmt>
        <c:idx val="1238"/>
        <c:marker>
          <c:symbol val="none"/>
        </c:marker>
      </c:pivotFmt>
      <c:pivotFmt>
        <c:idx val="1239"/>
        <c:marker>
          <c:symbol val="none"/>
        </c:marker>
      </c:pivotFmt>
      <c:pivotFmt>
        <c:idx val="1240"/>
        <c:marker>
          <c:symbol val="none"/>
        </c:marker>
      </c:pivotFmt>
      <c:pivotFmt>
        <c:idx val="1241"/>
        <c:marker>
          <c:symbol val="none"/>
        </c:marker>
      </c:pivotFmt>
      <c:pivotFmt>
        <c:idx val="1242"/>
        <c:marker>
          <c:symbol val="none"/>
        </c:marker>
      </c:pivotFmt>
      <c:pivotFmt>
        <c:idx val="1243"/>
        <c:marker>
          <c:symbol val="none"/>
        </c:marker>
      </c:pivotFmt>
      <c:pivotFmt>
        <c:idx val="1244"/>
        <c:marker>
          <c:symbol val="none"/>
        </c:marker>
      </c:pivotFmt>
      <c:pivotFmt>
        <c:idx val="1245"/>
        <c:marker>
          <c:symbol val="none"/>
        </c:marker>
      </c:pivotFmt>
      <c:pivotFmt>
        <c:idx val="1246"/>
        <c:marker>
          <c:symbol val="none"/>
        </c:marker>
      </c:pivotFmt>
      <c:pivotFmt>
        <c:idx val="1247"/>
        <c:marker>
          <c:symbol val="none"/>
        </c:marker>
      </c:pivotFmt>
      <c:pivotFmt>
        <c:idx val="1248"/>
        <c:marker>
          <c:symbol val="none"/>
        </c:marker>
      </c:pivotFmt>
      <c:pivotFmt>
        <c:idx val="1249"/>
        <c:marker>
          <c:symbol val="none"/>
        </c:marker>
      </c:pivotFmt>
      <c:pivotFmt>
        <c:idx val="1250"/>
        <c:marker>
          <c:symbol val="none"/>
        </c:marker>
      </c:pivotFmt>
      <c:pivotFmt>
        <c:idx val="1251"/>
        <c:marker>
          <c:symbol val="none"/>
        </c:marker>
      </c:pivotFmt>
      <c:pivotFmt>
        <c:idx val="1252"/>
        <c:marker>
          <c:symbol val="none"/>
        </c:marker>
      </c:pivotFmt>
      <c:pivotFmt>
        <c:idx val="1253"/>
        <c:marker>
          <c:symbol val="none"/>
        </c:marker>
      </c:pivotFmt>
      <c:pivotFmt>
        <c:idx val="1254"/>
        <c:marker>
          <c:symbol val="none"/>
        </c:marker>
      </c:pivotFmt>
      <c:pivotFmt>
        <c:idx val="1255"/>
        <c:marker>
          <c:symbol val="none"/>
        </c:marker>
      </c:pivotFmt>
      <c:pivotFmt>
        <c:idx val="1256"/>
        <c:marker>
          <c:symbol val="none"/>
        </c:marker>
      </c:pivotFmt>
      <c:pivotFmt>
        <c:idx val="1257"/>
        <c:marker>
          <c:symbol val="none"/>
        </c:marker>
      </c:pivotFmt>
      <c:pivotFmt>
        <c:idx val="1258"/>
        <c:marker>
          <c:symbol val="none"/>
        </c:marker>
      </c:pivotFmt>
      <c:pivotFmt>
        <c:idx val="1259"/>
        <c:marker>
          <c:symbol val="none"/>
        </c:marker>
      </c:pivotFmt>
      <c:pivotFmt>
        <c:idx val="1260"/>
        <c:marker>
          <c:symbol val="none"/>
        </c:marker>
      </c:pivotFmt>
      <c:pivotFmt>
        <c:idx val="1261"/>
        <c:marker>
          <c:symbol val="none"/>
        </c:marker>
      </c:pivotFmt>
      <c:pivotFmt>
        <c:idx val="1262"/>
        <c:spPr>
          <a:ln>
            <a:solidFill>
              <a:schemeClr val="tx1"/>
            </a:solidFill>
          </a:ln>
        </c:spPr>
        <c:marker>
          <c:symbol val="none"/>
        </c:marker>
      </c:pivotFmt>
      <c:pivotFmt>
        <c:idx val="1263"/>
        <c:marker>
          <c:symbol val="none"/>
        </c:marker>
      </c:pivotFmt>
      <c:pivotFmt>
        <c:idx val="1264"/>
        <c:marker>
          <c:symbol val="none"/>
        </c:marker>
      </c:pivotFmt>
      <c:pivotFmt>
        <c:idx val="1265"/>
        <c:marker>
          <c:symbol val="none"/>
        </c:marker>
      </c:pivotFmt>
      <c:pivotFmt>
        <c:idx val="1266"/>
        <c:spPr>
          <a:ln>
            <a:solidFill>
              <a:srgbClr val="FF0000"/>
            </a:solidFill>
          </a:ln>
        </c:spPr>
        <c:marker>
          <c:symbol val="none"/>
        </c:marker>
      </c:pivotFmt>
      <c:pivotFmt>
        <c:idx val="1267"/>
        <c:marker>
          <c:symbol val="none"/>
        </c:marker>
      </c:pivotFmt>
      <c:pivotFmt>
        <c:idx val="1268"/>
        <c:marker>
          <c:symbol val="none"/>
        </c:marker>
      </c:pivotFmt>
      <c:pivotFmt>
        <c:idx val="1269"/>
        <c:marker>
          <c:symbol val="none"/>
        </c:marker>
      </c:pivotFmt>
      <c:pivotFmt>
        <c:idx val="1270"/>
        <c:marker>
          <c:symbol val="none"/>
        </c:marker>
      </c:pivotFmt>
      <c:pivotFmt>
        <c:idx val="1271"/>
        <c:marker>
          <c:symbol val="none"/>
        </c:marker>
      </c:pivotFmt>
      <c:pivotFmt>
        <c:idx val="1272"/>
        <c:marker>
          <c:symbol val="none"/>
        </c:marker>
      </c:pivotFmt>
      <c:pivotFmt>
        <c:idx val="1273"/>
        <c:marker>
          <c:symbol val="none"/>
        </c:marker>
      </c:pivotFmt>
      <c:pivotFmt>
        <c:idx val="1274"/>
        <c:marker>
          <c:symbol val="none"/>
        </c:marker>
      </c:pivotFmt>
      <c:pivotFmt>
        <c:idx val="1275"/>
        <c:marker>
          <c:symbol val="none"/>
        </c:marker>
      </c:pivotFmt>
      <c:pivotFmt>
        <c:idx val="1276"/>
        <c:marker>
          <c:symbol val="none"/>
        </c:marker>
      </c:pivotFmt>
      <c:pivotFmt>
        <c:idx val="1277"/>
        <c:marker>
          <c:symbol val="none"/>
        </c:marker>
      </c:pivotFmt>
      <c:pivotFmt>
        <c:idx val="1278"/>
        <c:marker>
          <c:symbol val="none"/>
        </c:marker>
      </c:pivotFmt>
      <c:pivotFmt>
        <c:idx val="1279"/>
        <c:marker>
          <c:symbol val="none"/>
        </c:marker>
      </c:pivotFmt>
      <c:pivotFmt>
        <c:idx val="1280"/>
        <c:marker>
          <c:symbol val="none"/>
        </c:marker>
      </c:pivotFmt>
      <c:pivotFmt>
        <c:idx val="1281"/>
        <c:marker>
          <c:symbol val="none"/>
        </c:marker>
      </c:pivotFmt>
      <c:pivotFmt>
        <c:idx val="1282"/>
        <c:marker>
          <c:symbol val="none"/>
        </c:marker>
      </c:pivotFmt>
      <c:pivotFmt>
        <c:idx val="1283"/>
        <c:spPr>
          <a:ln>
            <a:solidFill>
              <a:srgbClr val="FF0000"/>
            </a:solidFill>
          </a:ln>
        </c:spPr>
        <c:marker>
          <c:symbol val="none"/>
        </c:marker>
      </c:pivotFmt>
      <c:pivotFmt>
        <c:idx val="1284"/>
        <c:marker>
          <c:symbol val="none"/>
        </c:marker>
      </c:pivotFmt>
      <c:pivotFmt>
        <c:idx val="1285"/>
        <c:spPr>
          <a:ln>
            <a:solidFill>
              <a:schemeClr val="tx1"/>
            </a:solidFill>
          </a:ln>
        </c:spPr>
        <c:marker>
          <c:symbol val="none"/>
        </c:marker>
      </c:pivotFmt>
      <c:pivotFmt>
        <c:idx val="1286"/>
        <c:marker>
          <c:symbol val="none"/>
        </c:marker>
      </c:pivotFmt>
      <c:pivotFmt>
        <c:idx val="1287"/>
        <c:marker>
          <c:symbol val="none"/>
        </c:marker>
      </c:pivotFmt>
      <c:pivotFmt>
        <c:idx val="1288"/>
        <c:marker>
          <c:symbol val="none"/>
        </c:marker>
      </c:pivotFmt>
      <c:pivotFmt>
        <c:idx val="1289"/>
        <c:marker>
          <c:symbol val="none"/>
        </c:marker>
      </c:pivotFmt>
      <c:pivotFmt>
        <c:idx val="1290"/>
        <c:marker>
          <c:symbol val="none"/>
        </c:marker>
      </c:pivotFmt>
      <c:pivotFmt>
        <c:idx val="1291"/>
        <c:marker>
          <c:symbol val="none"/>
        </c:marker>
      </c:pivotFmt>
      <c:pivotFmt>
        <c:idx val="1292"/>
        <c:marker>
          <c:symbol val="none"/>
        </c:marker>
      </c:pivotFmt>
      <c:pivotFmt>
        <c:idx val="1293"/>
        <c:marker>
          <c:symbol val="none"/>
        </c:marker>
      </c:pivotFmt>
      <c:pivotFmt>
        <c:idx val="1294"/>
        <c:marker>
          <c:symbol val="none"/>
        </c:marker>
      </c:pivotFmt>
      <c:pivotFmt>
        <c:idx val="1295"/>
        <c:marker>
          <c:symbol val="none"/>
        </c:marker>
      </c:pivotFmt>
      <c:pivotFmt>
        <c:idx val="1296"/>
        <c:marker>
          <c:symbol val="none"/>
        </c:marker>
      </c:pivotFmt>
      <c:pivotFmt>
        <c:idx val="1297"/>
        <c:marker>
          <c:symbol val="none"/>
        </c:marker>
      </c:pivotFmt>
      <c:pivotFmt>
        <c:idx val="1298"/>
        <c:marker>
          <c:symbol val="none"/>
        </c:marker>
      </c:pivotFmt>
      <c:pivotFmt>
        <c:idx val="1299"/>
        <c:marker>
          <c:symbol val="none"/>
        </c:marker>
      </c:pivotFmt>
      <c:pivotFmt>
        <c:idx val="1300"/>
        <c:marker>
          <c:symbol val="none"/>
        </c:marker>
      </c:pivotFmt>
      <c:pivotFmt>
        <c:idx val="1301"/>
        <c:spPr>
          <a:ln>
            <a:solidFill>
              <a:srgbClr val="FF0000"/>
            </a:solidFill>
          </a:ln>
        </c:spPr>
        <c:marker>
          <c:symbol val="none"/>
        </c:marker>
      </c:pivotFmt>
      <c:pivotFmt>
        <c:idx val="1302"/>
        <c:marker>
          <c:symbol val="none"/>
        </c:marker>
      </c:pivotFmt>
      <c:pivotFmt>
        <c:idx val="1303"/>
        <c:spPr>
          <a:ln>
            <a:solidFill>
              <a:schemeClr val="tx1"/>
            </a:solidFill>
          </a:ln>
        </c:spPr>
        <c:marker>
          <c:symbol val="none"/>
        </c:marker>
      </c:pivotFmt>
      <c:pivotFmt>
        <c:idx val="1304"/>
        <c:marker>
          <c:symbol val="none"/>
        </c:marker>
      </c:pivotFmt>
      <c:pivotFmt>
        <c:idx val="1305"/>
        <c:marker>
          <c:symbol val="none"/>
        </c:marker>
      </c:pivotFmt>
      <c:pivotFmt>
        <c:idx val="1306"/>
        <c:marker>
          <c:symbol val="none"/>
        </c:marker>
      </c:pivotFmt>
      <c:pivotFmt>
        <c:idx val="1307"/>
        <c:marker>
          <c:symbol val="none"/>
        </c:marker>
      </c:pivotFmt>
      <c:pivotFmt>
        <c:idx val="1308"/>
        <c:marker>
          <c:symbol val="none"/>
        </c:marker>
      </c:pivotFmt>
      <c:pivotFmt>
        <c:idx val="1309"/>
        <c:marker>
          <c:symbol val="none"/>
        </c:marker>
      </c:pivotFmt>
      <c:pivotFmt>
        <c:idx val="1310"/>
        <c:marker>
          <c:symbol val="none"/>
        </c:marker>
      </c:pivotFmt>
      <c:pivotFmt>
        <c:idx val="1311"/>
        <c:marker>
          <c:symbol val="none"/>
        </c:marker>
      </c:pivotFmt>
      <c:pivotFmt>
        <c:idx val="1312"/>
        <c:marker>
          <c:symbol val="none"/>
        </c:marker>
      </c:pivotFmt>
      <c:pivotFmt>
        <c:idx val="1313"/>
        <c:marker>
          <c:symbol val="none"/>
        </c:marker>
      </c:pivotFmt>
      <c:pivotFmt>
        <c:idx val="1314"/>
        <c:marker>
          <c:symbol val="none"/>
        </c:marker>
      </c:pivotFmt>
      <c:pivotFmt>
        <c:idx val="1315"/>
        <c:marker>
          <c:symbol val="none"/>
        </c:marker>
      </c:pivotFmt>
      <c:pivotFmt>
        <c:idx val="1316"/>
        <c:marker>
          <c:symbol val="none"/>
        </c:marker>
      </c:pivotFmt>
      <c:pivotFmt>
        <c:idx val="1317"/>
        <c:marker>
          <c:symbol val="none"/>
        </c:marker>
      </c:pivotFmt>
      <c:pivotFmt>
        <c:idx val="1318"/>
        <c:marker>
          <c:symbol val="none"/>
        </c:marker>
      </c:pivotFmt>
      <c:pivotFmt>
        <c:idx val="1319"/>
        <c:spPr>
          <a:ln>
            <a:solidFill>
              <a:srgbClr val="FF0000"/>
            </a:solidFill>
          </a:ln>
        </c:spPr>
        <c:marker>
          <c:symbol val="none"/>
        </c:marker>
      </c:pivotFmt>
      <c:pivotFmt>
        <c:idx val="1320"/>
        <c:marker>
          <c:symbol val="none"/>
        </c:marker>
      </c:pivotFmt>
      <c:pivotFmt>
        <c:idx val="1321"/>
        <c:spPr>
          <a:ln>
            <a:solidFill>
              <a:schemeClr val="tx1"/>
            </a:solidFill>
          </a:ln>
        </c:spPr>
        <c:marker>
          <c:symbol val="none"/>
        </c:marker>
      </c:pivotFmt>
      <c:pivotFmt>
        <c:idx val="1322"/>
        <c:marker>
          <c:symbol val="none"/>
        </c:marker>
      </c:pivotFmt>
      <c:pivotFmt>
        <c:idx val="1323"/>
        <c:marker>
          <c:symbol val="none"/>
        </c:marker>
      </c:pivotFmt>
      <c:pivotFmt>
        <c:idx val="1324"/>
        <c:marker>
          <c:symbol val="none"/>
        </c:marker>
      </c:pivotFmt>
      <c:pivotFmt>
        <c:idx val="1325"/>
        <c:marker>
          <c:symbol val="none"/>
        </c:marker>
      </c:pivotFmt>
      <c:pivotFmt>
        <c:idx val="1326"/>
        <c:marker>
          <c:symbol val="none"/>
        </c:marker>
      </c:pivotFmt>
      <c:pivotFmt>
        <c:idx val="1327"/>
        <c:marker>
          <c:symbol val="none"/>
        </c:marker>
      </c:pivotFmt>
      <c:pivotFmt>
        <c:idx val="1328"/>
        <c:marker>
          <c:symbol val="none"/>
        </c:marker>
      </c:pivotFmt>
      <c:pivotFmt>
        <c:idx val="1329"/>
        <c:marker>
          <c:symbol val="none"/>
        </c:marker>
      </c:pivotFmt>
      <c:pivotFmt>
        <c:idx val="1330"/>
        <c:marker>
          <c:symbol val="none"/>
        </c:marker>
      </c:pivotFmt>
      <c:pivotFmt>
        <c:idx val="1331"/>
        <c:marker>
          <c:symbol val="none"/>
        </c:marker>
      </c:pivotFmt>
      <c:pivotFmt>
        <c:idx val="1332"/>
        <c:marker>
          <c:symbol val="none"/>
        </c:marker>
      </c:pivotFmt>
      <c:pivotFmt>
        <c:idx val="1333"/>
        <c:marker>
          <c:symbol val="none"/>
        </c:marker>
      </c:pivotFmt>
      <c:pivotFmt>
        <c:idx val="1334"/>
        <c:marker>
          <c:symbol val="none"/>
        </c:marker>
      </c:pivotFmt>
      <c:pivotFmt>
        <c:idx val="1335"/>
        <c:marker>
          <c:symbol val="none"/>
        </c:marker>
      </c:pivotFmt>
      <c:pivotFmt>
        <c:idx val="1336"/>
        <c:marker>
          <c:symbol val="none"/>
        </c:marker>
      </c:pivotFmt>
      <c:pivotFmt>
        <c:idx val="1337"/>
        <c:marker>
          <c:symbol val="none"/>
        </c:marker>
      </c:pivotFmt>
      <c:pivotFmt>
        <c:idx val="1338"/>
        <c:marker>
          <c:symbol val="none"/>
        </c:marker>
      </c:pivotFmt>
      <c:pivotFmt>
        <c:idx val="1339"/>
        <c:spPr>
          <a:ln>
            <a:solidFill>
              <a:srgbClr val="FF0000"/>
            </a:solidFill>
          </a:ln>
        </c:spPr>
        <c:marker>
          <c:symbol val="none"/>
        </c:marker>
      </c:pivotFmt>
      <c:pivotFmt>
        <c:idx val="1340"/>
        <c:marker>
          <c:symbol val="none"/>
        </c:marker>
      </c:pivotFmt>
      <c:pivotFmt>
        <c:idx val="1341"/>
        <c:spPr>
          <a:ln>
            <a:solidFill>
              <a:schemeClr val="tx1"/>
            </a:solidFill>
          </a:ln>
        </c:spPr>
        <c:marker>
          <c:symbol val="none"/>
        </c:marker>
      </c:pivotFmt>
      <c:pivotFmt>
        <c:idx val="1342"/>
        <c:marker>
          <c:symbol val="none"/>
        </c:marker>
      </c:pivotFmt>
      <c:pivotFmt>
        <c:idx val="1343"/>
        <c:marker>
          <c:symbol val="none"/>
        </c:marker>
      </c:pivotFmt>
      <c:pivotFmt>
        <c:idx val="1344"/>
        <c:marker>
          <c:symbol val="none"/>
        </c:marker>
      </c:pivotFmt>
      <c:pivotFmt>
        <c:idx val="1345"/>
        <c:marker>
          <c:symbol val="none"/>
        </c:marker>
      </c:pivotFmt>
      <c:pivotFmt>
        <c:idx val="1346"/>
        <c:marker>
          <c:symbol val="none"/>
        </c:marker>
      </c:pivotFmt>
      <c:pivotFmt>
        <c:idx val="1347"/>
        <c:marker>
          <c:symbol val="none"/>
        </c:marker>
      </c:pivotFmt>
      <c:pivotFmt>
        <c:idx val="1348"/>
        <c:marker>
          <c:symbol val="none"/>
        </c:marker>
      </c:pivotFmt>
      <c:pivotFmt>
        <c:idx val="1349"/>
        <c:marker>
          <c:symbol val="none"/>
        </c:marker>
      </c:pivotFmt>
      <c:pivotFmt>
        <c:idx val="1350"/>
        <c:marker>
          <c:symbol val="none"/>
        </c:marker>
      </c:pivotFmt>
      <c:pivotFmt>
        <c:idx val="1351"/>
        <c:marker>
          <c:symbol val="none"/>
        </c:marker>
      </c:pivotFmt>
      <c:pivotFmt>
        <c:idx val="1352"/>
        <c:marker>
          <c:symbol val="none"/>
        </c:marker>
      </c:pivotFmt>
      <c:pivotFmt>
        <c:idx val="1353"/>
        <c:marker>
          <c:symbol val="none"/>
        </c:marker>
      </c:pivotFmt>
      <c:pivotFmt>
        <c:idx val="1354"/>
        <c:marker>
          <c:symbol val="none"/>
        </c:marker>
      </c:pivotFmt>
      <c:pivotFmt>
        <c:idx val="1355"/>
        <c:marker>
          <c:symbol val="none"/>
        </c:marker>
      </c:pivotFmt>
      <c:pivotFmt>
        <c:idx val="1356"/>
        <c:marker>
          <c:symbol val="none"/>
        </c:marker>
      </c:pivotFmt>
      <c:pivotFmt>
        <c:idx val="1357"/>
        <c:marker>
          <c:symbol val="none"/>
        </c:marker>
      </c:pivotFmt>
      <c:pivotFmt>
        <c:idx val="1358"/>
        <c:marker>
          <c:symbol val="none"/>
        </c:marker>
      </c:pivotFmt>
      <c:pivotFmt>
        <c:idx val="1359"/>
        <c:marker>
          <c:symbol val="none"/>
        </c:marker>
      </c:pivotFmt>
      <c:pivotFmt>
        <c:idx val="1360"/>
        <c:marker>
          <c:symbol val="none"/>
        </c:marker>
      </c:pivotFmt>
      <c:pivotFmt>
        <c:idx val="1361"/>
        <c:marker>
          <c:symbol val="none"/>
        </c:marker>
      </c:pivotFmt>
      <c:pivotFmt>
        <c:idx val="1362"/>
        <c:marker>
          <c:symbol val="none"/>
        </c:marker>
      </c:pivotFmt>
      <c:pivotFmt>
        <c:idx val="1363"/>
        <c:marker>
          <c:symbol val="none"/>
        </c:marker>
      </c:pivotFmt>
      <c:pivotFmt>
        <c:idx val="1364"/>
        <c:marker>
          <c:symbol val="none"/>
        </c:marker>
      </c:pivotFmt>
      <c:pivotFmt>
        <c:idx val="1365"/>
        <c:marker>
          <c:symbol val="none"/>
        </c:marker>
      </c:pivotFmt>
      <c:pivotFmt>
        <c:idx val="1366"/>
        <c:marker>
          <c:symbol val="none"/>
        </c:marker>
      </c:pivotFmt>
      <c:pivotFmt>
        <c:idx val="1367"/>
        <c:marker>
          <c:symbol val="none"/>
        </c:marker>
      </c:pivotFmt>
      <c:pivotFmt>
        <c:idx val="1368"/>
        <c:marker>
          <c:symbol val="none"/>
        </c:marker>
      </c:pivotFmt>
      <c:pivotFmt>
        <c:idx val="1369"/>
        <c:marker>
          <c:symbol val="none"/>
        </c:marker>
      </c:pivotFmt>
      <c:pivotFmt>
        <c:idx val="1370"/>
        <c:marker>
          <c:symbol val="none"/>
        </c:marker>
      </c:pivotFmt>
      <c:pivotFmt>
        <c:idx val="1371"/>
        <c:marker>
          <c:symbol val="none"/>
        </c:marker>
      </c:pivotFmt>
      <c:pivotFmt>
        <c:idx val="1372"/>
        <c:marker>
          <c:symbol val="none"/>
        </c:marker>
      </c:pivotFmt>
      <c:pivotFmt>
        <c:idx val="1373"/>
        <c:marker>
          <c:symbol val="none"/>
        </c:marker>
      </c:pivotFmt>
      <c:pivotFmt>
        <c:idx val="1374"/>
        <c:marker>
          <c:symbol val="none"/>
        </c:marker>
      </c:pivotFmt>
      <c:pivotFmt>
        <c:idx val="1375"/>
        <c:marker>
          <c:symbol val="none"/>
        </c:marker>
      </c:pivotFmt>
      <c:pivotFmt>
        <c:idx val="1376"/>
        <c:marker>
          <c:symbol val="none"/>
        </c:marker>
      </c:pivotFmt>
      <c:pivotFmt>
        <c:idx val="1377"/>
        <c:marker>
          <c:symbol val="none"/>
        </c:marker>
      </c:pivotFmt>
      <c:pivotFmt>
        <c:idx val="1378"/>
        <c:marker>
          <c:symbol val="none"/>
        </c:marker>
      </c:pivotFmt>
      <c:pivotFmt>
        <c:idx val="1379"/>
        <c:marker>
          <c:symbol val="none"/>
        </c:marker>
      </c:pivotFmt>
      <c:pivotFmt>
        <c:idx val="1380"/>
        <c:marker>
          <c:symbol val="none"/>
        </c:marker>
      </c:pivotFmt>
      <c:pivotFmt>
        <c:idx val="1381"/>
        <c:marker>
          <c:symbol val="none"/>
        </c:marker>
      </c:pivotFmt>
      <c:pivotFmt>
        <c:idx val="1382"/>
        <c:marker>
          <c:symbol val="none"/>
        </c:marker>
      </c:pivotFmt>
      <c:pivotFmt>
        <c:idx val="1383"/>
        <c:marker>
          <c:symbol val="none"/>
        </c:marker>
      </c:pivotFmt>
      <c:pivotFmt>
        <c:idx val="1384"/>
        <c:marker>
          <c:symbol val="none"/>
        </c:marker>
      </c:pivotFmt>
      <c:pivotFmt>
        <c:idx val="1385"/>
        <c:marker>
          <c:symbol val="none"/>
        </c:marker>
      </c:pivotFmt>
      <c:pivotFmt>
        <c:idx val="1386"/>
        <c:marker>
          <c:symbol val="none"/>
        </c:marker>
      </c:pivotFmt>
      <c:pivotFmt>
        <c:idx val="1387"/>
        <c:marker>
          <c:symbol val="none"/>
        </c:marker>
      </c:pivotFmt>
      <c:pivotFmt>
        <c:idx val="1388"/>
        <c:marker>
          <c:symbol val="none"/>
        </c:marker>
      </c:pivotFmt>
      <c:pivotFmt>
        <c:idx val="1389"/>
        <c:marker>
          <c:symbol val="none"/>
        </c:marker>
      </c:pivotFmt>
      <c:pivotFmt>
        <c:idx val="1390"/>
        <c:marker>
          <c:symbol val="none"/>
        </c:marker>
      </c:pivotFmt>
      <c:pivotFmt>
        <c:idx val="1391"/>
        <c:marker>
          <c:symbol val="none"/>
        </c:marker>
      </c:pivotFmt>
      <c:pivotFmt>
        <c:idx val="1392"/>
        <c:marker>
          <c:symbol val="none"/>
        </c:marker>
      </c:pivotFmt>
      <c:pivotFmt>
        <c:idx val="1393"/>
        <c:marker>
          <c:symbol val="none"/>
        </c:marker>
      </c:pivotFmt>
      <c:pivotFmt>
        <c:idx val="1394"/>
        <c:marker>
          <c:symbol val="none"/>
        </c:marker>
      </c:pivotFmt>
      <c:pivotFmt>
        <c:idx val="1395"/>
        <c:marker>
          <c:symbol val="none"/>
        </c:marker>
      </c:pivotFmt>
      <c:pivotFmt>
        <c:idx val="1396"/>
        <c:marker>
          <c:symbol val="none"/>
        </c:marker>
      </c:pivotFmt>
      <c:pivotFmt>
        <c:idx val="1397"/>
        <c:marker>
          <c:symbol val="none"/>
        </c:marker>
      </c:pivotFmt>
      <c:pivotFmt>
        <c:idx val="1398"/>
        <c:marker>
          <c:symbol val="none"/>
        </c:marker>
      </c:pivotFmt>
      <c:pivotFmt>
        <c:idx val="1399"/>
        <c:marker>
          <c:symbol val="none"/>
        </c:marker>
      </c:pivotFmt>
      <c:pivotFmt>
        <c:idx val="1400"/>
        <c:marker>
          <c:symbol val="none"/>
        </c:marker>
      </c:pivotFmt>
      <c:pivotFmt>
        <c:idx val="1401"/>
        <c:marker>
          <c:symbol val="none"/>
        </c:marker>
      </c:pivotFmt>
      <c:pivotFmt>
        <c:idx val="1402"/>
        <c:marker>
          <c:symbol val="none"/>
        </c:marker>
      </c:pivotFmt>
      <c:pivotFmt>
        <c:idx val="1403"/>
        <c:marker>
          <c:symbol val="none"/>
        </c:marker>
      </c:pivotFmt>
      <c:pivotFmt>
        <c:idx val="1404"/>
        <c:marker>
          <c:symbol val="none"/>
        </c:marker>
      </c:pivotFmt>
      <c:pivotFmt>
        <c:idx val="1405"/>
        <c:marker>
          <c:symbol val="none"/>
        </c:marker>
      </c:pivotFmt>
      <c:pivotFmt>
        <c:idx val="1406"/>
        <c:marker>
          <c:symbol val="none"/>
        </c:marker>
      </c:pivotFmt>
      <c:pivotFmt>
        <c:idx val="1407"/>
        <c:marker>
          <c:symbol val="none"/>
        </c:marker>
      </c:pivotFmt>
      <c:pivotFmt>
        <c:idx val="1408"/>
        <c:marker>
          <c:symbol val="none"/>
        </c:marker>
      </c:pivotFmt>
      <c:pivotFmt>
        <c:idx val="1409"/>
        <c:marker>
          <c:symbol val="none"/>
        </c:marker>
      </c:pivotFmt>
      <c:pivotFmt>
        <c:idx val="1410"/>
        <c:marker>
          <c:symbol val="none"/>
        </c:marker>
      </c:pivotFmt>
      <c:pivotFmt>
        <c:idx val="1411"/>
        <c:marker>
          <c:symbol val="none"/>
        </c:marker>
      </c:pivotFmt>
      <c:pivotFmt>
        <c:idx val="1412"/>
        <c:marker>
          <c:symbol val="none"/>
        </c:marker>
      </c:pivotFmt>
      <c:pivotFmt>
        <c:idx val="1413"/>
        <c:marker>
          <c:symbol val="none"/>
        </c:marker>
      </c:pivotFmt>
      <c:pivotFmt>
        <c:idx val="1414"/>
        <c:marker>
          <c:symbol val="none"/>
        </c:marker>
      </c:pivotFmt>
      <c:pivotFmt>
        <c:idx val="1415"/>
        <c:marker>
          <c:symbol val="none"/>
        </c:marker>
      </c:pivotFmt>
      <c:pivotFmt>
        <c:idx val="1416"/>
        <c:marker>
          <c:symbol val="none"/>
        </c:marker>
      </c:pivotFmt>
      <c:pivotFmt>
        <c:idx val="1417"/>
        <c:marker>
          <c:symbol val="none"/>
        </c:marker>
      </c:pivotFmt>
      <c:pivotFmt>
        <c:idx val="1418"/>
        <c:marker>
          <c:symbol val="none"/>
        </c:marker>
      </c:pivotFmt>
      <c:pivotFmt>
        <c:idx val="1419"/>
        <c:marker>
          <c:symbol val="none"/>
        </c:marker>
      </c:pivotFmt>
      <c:pivotFmt>
        <c:idx val="1420"/>
        <c:marker>
          <c:symbol val="none"/>
        </c:marker>
      </c:pivotFmt>
      <c:pivotFmt>
        <c:idx val="1421"/>
        <c:marker>
          <c:symbol val="none"/>
        </c:marker>
      </c:pivotFmt>
      <c:pivotFmt>
        <c:idx val="1422"/>
        <c:marker>
          <c:symbol val="none"/>
        </c:marker>
      </c:pivotFmt>
      <c:pivotFmt>
        <c:idx val="1423"/>
        <c:marker>
          <c:symbol val="none"/>
        </c:marker>
      </c:pivotFmt>
      <c:pivotFmt>
        <c:idx val="1424"/>
        <c:marker>
          <c:symbol val="none"/>
        </c:marker>
      </c:pivotFmt>
      <c:pivotFmt>
        <c:idx val="1425"/>
        <c:marker>
          <c:symbol val="none"/>
        </c:marker>
      </c:pivotFmt>
      <c:pivotFmt>
        <c:idx val="1426"/>
        <c:marker>
          <c:symbol val="none"/>
        </c:marker>
      </c:pivotFmt>
      <c:pivotFmt>
        <c:idx val="1427"/>
        <c:marker>
          <c:symbol val="none"/>
        </c:marker>
      </c:pivotFmt>
      <c:pivotFmt>
        <c:idx val="1428"/>
        <c:marker>
          <c:symbol val="none"/>
        </c:marker>
      </c:pivotFmt>
      <c:pivotFmt>
        <c:idx val="1429"/>
        <c:marker>
          <c:symbol val="none"/>
        </c:marker>
      </c:pivotFmt>
      <c:pivotFmt>
        <c:idx val="1430"/>
        <c:marker>
          <c:symbol val="none"/>
        </c:marker>
      </c:pivotFmt>
      <c:pivotFmt>
        <c:idx val="1431"/>
        <c:marker>
          <c:symbol val="none"/>
        </c:marker>
      </c:pivotFmt>
      <c:pivotFmt>
        <c:idx val="1432"/>
        <c:marker>
          <c:symbol val="none"/>
        </c:marker>
      </c:pivotFmt>
      <c:pivotFmt>
        <c:idx val="1433"/>
        <c:marker>
          <c:symbol val="none"/>
        </c:marker>
      </c:pivotFmt>
      <c:pivotFmt>
        <c:idx val="1434"/>
        <c:marker>
          <c:symbol val="none"/>
        </c:marker>
      </c:pivotFmt>
      <c:pivotFmt>
        <c:idx val="1435"/>
        <c:marker>
          <c:symbol val="none"/>
        </c:marker>
      </c:pivotFmt>
      <c:pivotFmt>
        <c:idx val="1436"/>
        <c:marker>
          <c:symbol val="none"/>
        </c:marker>
      </c:pivotFmt>
      <c:pivotFmt>
        <c:idx val="1437"/>
        <c:marker>
          <c:symbol val="none"/>
        </c:marker>
      </c:pivotFmt>
      <c:pivotFmt>
        <c:idx val="1438"/>
        <c:marker>
          <c:symbol val="none"/>
        </c:marker>
      </c:pivotFmt>
      <c:pivotFmt>
        <c:idx val="1439"/>
        <c:marker>
          <c:symbol val="none"/>
        </c:marker>
      </c:pivotFmt>
      <c:pivotFmt>
        <c:idx val="1440"/>
        <c:marker>
          <c:symbol val="none"/>
        </c:marker>
      </c:pivotFmt>
      <c:pivotFmt>
        <c:idx val="1441"/>
        <c:marker>
          <c:symbol val="none"/>
        </c:marker>
      </c:pivotFmt>
      <c:pivotFmt>
        <c:idx val="1442"/>
        <c:marker>
          <c:symbol val="none"/>
        </c:marker>
      </c:pivotFmt>
      <c:pivotFmt>
        <c:idx val="1443"/>
        <c:marker>
          <c:symbol val="none"/>
        </c:marker>
      </c:pivotFmt>
      <c:pivotFmt>
        <c:idx val="1444"/>
        <c:marker>
          <c:symbol val="none"/>
        </c:marker>
      </c:pivotFmt>
      <c:pivotFmt>
        <c:idx val="1445"/>
        <c:marker>
          <c:symbol val="none"/>
        </c:marker>
      </c:pivotFmt>
      <c:pivotFmt>
        <c:idx val="1446"/>
        <c:marker>
          <c:symbol val="none"/>
        </c:marker>
      </c:pivotFmt>
      <c:pivotFmt>
        <c:idx val="1447"/>
        <c:marker>
          <c:symbol val="none"/>
        </c:marker>
      </c:pivotFmt>
      <c:pivotFmt>
        <c:idx val="1448"/>
        <c:marker>
          <c:symbol val="none"/>
        </c:marker>
      </c:pivotFmt>
      <c:pivotFmt>
        <c:idx val="1449"/>
        <c:marker>
          <c:symbol val="none"/>
        </c:marker>
      </c:pivotFmt>
      <c:pivotFmt>
        <c:idx val="1450"/>
        <c:marker>
          <c:symbol val="none"/>
        </c:marker>
      </c:pivotFmt>
      <c:pivotFmt>
        <c:idx val="1451"/>
        <c:marker>
          <c:symbol val="none"/>
        </c:marker>
      </c:pivotFmt>
      <c:pivotFmt>
        <c:idx val="1452"/>
        <c:marker>
          <c:symbol val="none"/>
        </c:marker>
      </c:pivotFmt>
      <c:pivotFmt>
        <c:idx val="1453"/>
        <c:marker>
          <c:symbol val="none"/>
        </c:marker>
      </c:pivotFmt>
      <c:pivotFmt>
        <c:idx val="1454"/>
        <c:marker>
          <c:symbol val="none"/>
        </c:marker>
      </c:pivotFmt>
      <c:pivotFmt>
        <c:idx val="1455"/>
        <c:marker>
          <c:symbol val="none"/>
        </c:marker>
      </c:pivotFmt>
      <c:pivotFmt>
        <c:idx val="1456"/>
        <c:marker>
          <c:symbol val="none"/>
        </c:marker>
      </c:pivotFmt>
      <c:pivotFmt>
        <c:idx val="1457"/>
        <c:marker>
          <c:symbol val="none"/>
        </c:marker>
      </c:pivotFmt>
      <c:pivotFmt>
        <c:idx val="1458"/>
        <c:marker>
          <c:symbol val="none"/>
        </c:marker>
      </c:pivotFmt>
      <c:pivotFmt>
        <c:idx val="1459"/>
        <c:marker>
          <c:symbol val="none"/>
        </c:marker>
      </c:pivotFmt>
      <c:pivotFmt>
        <c:idx val="1460"/>
        <c:marker>
          <c:symbol val="none"/>
        </c:marker>
      </c:pivotFmt>
      <c:pivotFmt>
        <c:idx val="1461"/>
        <c:marker>
          <c:symbol val="none"/>
        </c:marker>
      </c:pivotFmt>
      <c:pivotFmt>
        <c:idx val="1462"/>
        <c:marker>
          <c:symbol val="none"/>
        </c:marker>
      </c:pivotFmt>
      <c:pivotFmt>
        <c:idx val="1463"/>
        <c:marker>
          <c:symbol val="none"/>
        </c:marker>
      </c:pivotFmt>
      <c:pivotFmt>
        <c:idx val="1464"/>
        <c:marker>
          <c:symbol val="none"/>
        </c:marker>
      </c:pivotFmt>
      <c:pivotFmt>
        <c:idx val="1465"/>
        <c:marker>
          <c:symbol val="none"/>
        </c:marker>
      </c:pivotFmt>
      <c:pivotFmt>
        <c:idx val="1466"/>
        <c:marker>
          <c:symbol val="none"/>
        </c:marker>
      </c:pivotFmt>
      <c:pivotFmt>
        <c:idx val="1467"/>
        <c:marker>
          <c:symbol val="none"/>
        </c:marker>
      </c:pivotFmt>
      <c:pivotFmt>
        <c:idx val="1468"/>
        <c:marker>
          <c:symbol val="none"/>
        </c:marker>
      </c:pivotFmt>
      <c:pivotFmt>
        <c:idx val="1469"/>
        <c:marker>
          <c:symbol val="none"/>
        </c:marker>
      </c:pivotFmt>
      <c:pivotFmt>
        <c:idx val="1470"/>
        <c:marker>
          <c:symbol val="none"/>
        </c:marker>
      </c:pivotFmt>
      <c:pivotFmt>
        <c:idx val="1471"/>
        <c:marker>
          <c:symbol val="none"/>
        </c:marker>
      </c:pivotFmt>
      <c:pivotFmt>
        <c:idx val="1472"/>
        <c:marker>
          <c:symbol val="none"/>
        </c:marker>
      </c:pivotFmt>
      <c:pivotFmt>
        <c:idx val="1473"/>
        <c:marker>
          <c:symbol val="none"/>
        </c:marker>
      </c:pivotFmt>
      <c:pivotFmt>
        <c:idx val="1474"/>
        <c:marker>
          <c:symbol val="none"/>
        </c:marker>
      </c:pivotFmt>
      <c:pivotFmt>
        <c:idx val="1475"/>
        <c:marker>
          <c:symbol val="none"/>
        </c:marker>
      </c:pivotFmt>
      <c:pivotFmt>
        <c:idx val="1476"/>
        <c:marker>
          <c:symbol val="none"/>
        </c:marker>
      </c:pivotFmt>
      <c:pivotFmt>
        <c:idx val="1477"/>
        <c:marker>
          <c:symbol val="none"/>
        </c:marker>
      </c:pivotFmt>
      <c:pivotFmt>
        <c:idx val="1478"/>
        <c:marker>
          <c:symbol val="none"/>
        </c:marker>
      </c:pivotFmt>
      <c:pivotFmt>
        <c:idx val="1479"/>
        <c:marker>
          <c:symbol val="none"/>
        </c:marker>
      </c:pivotFmt>
      <c:pivotFmt>
        <c:idx val="1480"/>
        <c:marker>
          <c:symbol val="none"/>
        </c:marker>
      </c:pivotFmt>
      <c:pivotFmt>
        <c:idx val="1481"/>
        <c:marker>
          <c:symbol val="none"/>
        </c:marker>
      </c:pivotFmt>
      <c:pivotFmt>
        <c:idx val="1482"/>
        <c:marker>
          <c:symbol val="none"/>
        </c:marker>
      </c:pivotFmt>
      <c:pivotFmt>
        <c:idx val="1483"/>
        <c:marker>
          <c:symbol val="none"/>
        </c:marker>
      </c:pivotFmt>
      <c:pivotFmt>
        <c:idx val="1484"/>
        <c:marker>
          <c:symbol val="none"/>
        </c:marker>
      </c:pivotFmt>
      <c:pivotFmt>
        <c:idx val="1485"/>
        <c:marker>
          <c:symbol val="none"/>
        </c:marker>
      </c:pivotFmt>
      <c:pivotFmt>
        <c:idx val="1486"/>
        <c:marker>
          <c:symbol val="none"/>
        </c:marker>
      </c:pivotFmt>
      <c:pivotFmt>
        <c:idx val="1487"/>
        <c:marker>
          <c:symbol val="none"/>
        </c:marker>
      </c:pivotFmt>
      <c:pivotFmt>
        <c:idx val="1488"/>
        <c:marker>
          <c:symbol val="none"/>
        </c:marker>
      </c:pivotFmt>
      <c:pivotFmt>
        <c:idx val="1489"/>
        <c:marker>
          <c:symbol val="none"/>
        </c:marker>
      </c:pivotFmt>
      <c:pivotFmt>
        <c:idx val="1490"/>
        <c:marker>
          <c:symbol val="none"/>
        </c:marker>
      </c:pivotFmt>
      <c:pivotFmt>
        <c:idx val="1491"/>
        <c:marker>
          <c:symbol val="none"/>
        </c:marker>
      </c:pivotFmt>
      <c:pivotFmt>
        <c:idx val="1492"/>
        <c:marker>
          <c:symbol val="none"/>
        </c:marker>
      </c:pivotFmt>
      <c:pivotFmt>
        <c:idx val="1493"/>
        <c:marker>
          <c:symbol val="none"/>
        </c:marker>
      </c:pivotFmt>
      <c:pivotFmt>
        <c:idx val="1494"/>
        <c:marker>
          <c:symbol val="none"/>
        </c:marker>
      </c:pivotFmt>
      <c:pivotFmt>
        <c:idx val="1495"/>
        <c:marker>
          <c:symbol val="none"/>
        </c:marker>
      </c:pivotFmt>
      <c:pivotFmt>
        <c:idx val="1496"/>
        <c:marker>
          <c:symbol val="none"/>
        </c:marker>
      </c:pivotFmt>
      <c:pivotFmt>
        <c:idx val="1497"/>
        <c:marker>
          <c:symbol val="none"/>
        </c:marker>
      </c:pivotFmt>
      <c:pivotFmt>
        <c:idx val="1498"/>
        <c:marker>
          <c:symbol val="none"/>
        </c:marker>
      </c:pivotFmt>
      <c:pivotFmt>
        <c:idx val="1499"/>
        <c:marker>
          <c:symbol val="none"/>
        </c:marker>
      </c:pivotFmt>
      <c:pivotFmt>
        <c:idx val="1500"/>
        <c:marker>
          <c:symbol val="none"/>
        </c:marker>
      </c:pivotFmt>
      <c:pivotFmt>
        <c:idx val="1501"/>
        <c:marker>
          <c:symbol val="none"/>
        </c:marker>
      </c:pivotFmt>
      <c:pivotFmt>
        <c:idx val="1502"/>
        <c:marker>
          <c:symbol val="none"/>
        </c:marker>
      </c:pivotFmt>
      <c:pivotFmt>
        <c:idx val="1503"/>
        <c:marker>
          <c:symbol val="none"/>
        </c:marker>
      </c:pivotFmt>
      <c:pivotFmt>
        <c:idx val="1504"/>
        <c:marker>
          <c:symbol val="none"/>
        </c:marker>
      </c:pivotFmt>
      <c:pivotFmt>
        <c:idx val="1505"/>
        <c:marker>
          <c:symbol val="none"/>
        </c:marker>
      </c:pivotFmt>
      <c:pivotFmt>
        <c:idx val="1506"/>
        <c:marker>
          <c:symbol val="none"/>
        </c:marker>
      </c:pivotFmt>
      <c:pivotFmt>
        <c:idx val="1507"/>
        <c:marker>
          <c:symbol val="none"/>
        </c:marker>
      </c:pivotFmt>
      <c:pivotFmt>
        <c:idx val="1508"/>
        <c:marker>
          <c:symbol val="none"/>
        </c:marker>
      </c:pivotFmt>
      <c:pivotFmt>
        <c:idx val="1509"/>
        <c:marker>
          <c:symbol val="none"/>
        </c:marker>
      </c:pivotFmt>
      <c:pivotFmt>
        <c:idx val="1510"/>
        <c:marker>
          <c:symbol val="none"/>
        </c:marker>
      </c:pivotFmt>
      <c:pivotFmt>
        <c:idx val="1511"/>
        <c:marker>
          <c:symbol val="none"/>
        </c:marker>
      </c:pivotFmt>
      <c:pivotFmt>
        <c:idx val="1512"/>
        <c:marker>
          <c:symbol val="none"/>
        </c:marker>
      </c:pivotFmt>
      <c:pivotFmt>
        <c:idx val="1513"/>
        <c:marker>
          <c:symbol val="none"/>
        </c:marker>
      </c:pivotFmt>
      <c:pivotFmt>
        <c:idx val="1514"/>
        <c:marker>
          <c:symbol val="none"/>
        </c:marker>
      </c:pivotFmt>
      <c:pivotFmt>
        <c:idx val="1515"/>
        <c:marker>
          <c:symbol val="none"/>
        </c:marker>
      </c:pivotFmt>
      <c:pivotFmt>
        <c:idx val="1516"/>
        <c:marker>
          <c:symbol val="none"/>
        </c:marker>
      </c:pivotFmt>
      <c:pivotFmt>
        <c:idx val="1517"/>
        <c:marker>
          <c:symbol val="none"/>
        </c:marker>
      </c:pivotFmt>
      <c:pivotFmt>
        <c:idx val="1518"/>
        <c:marker>
          <c:symbol val="none"/>
        </c:marker>
      </c:pivotFmt>
      <c:pivotFmt>
        <c:idx val="1519"/>
        <c:marker>
          <c:symbol val="none"/>
        </c:marker>
      </c:pivotFmt>
      <c:pivotFmt>
        <c:idx val="1520"/>
        <c:marker>
          <c:symbol val="none"/>
        </c:marker>
      </c:pivotFmt>
      <c:pivotFmt>
        <c:idx val="1521"/>
        <c:marker>
          <c:symbol val="none"/>
        </c:marker>
      </c:pivotFmt>
      <c:pivotFmt>
        <c:idx val="1522"/>
        <c:marker>
          <c:symbol val="none"/>
        </c:marker>
      </c:pivotFmt>
      <c:pivotFmt>
        <c:idx val="1523"/>
        <c:marker>
          <c:symbol val="none"/>
        </c:marker>
      </c:pivotFmt>
      <c:pivotFmt>
        <c:idx val="1524"/>
        <c:marker>
          <c:symbol val="none"/>
        </c:marker>
      </c:pivotFmt>
      <c:pivotFmt>
        <c:idx val="1525"/>
        <c:marker>
          <c:symbol val="none"/>
        </c:marker>
      </c:pivotFmt>
      <c:pivotFmt>
        <c:idx val="1526"/>
        <c:marker>
          <c:symbol val="none"/>
        </c:marker>
      </c:pivotFmt>
      <c:pivotFmt>
        <c:idx val="1527"/>
        <c:marker>
          <c:symbol val="none"/>
        </c:marker>
      </c:pivotFmt>
      <c:pivotFmt>
        <c:idx val="1528"/>
        <c:marker>
          <c:symbol val="none"/>
        </c:marker>
      </c:pivotFmt>
      <c:pivotFmt>
        <c:idx val="1529"/>
        <c:marker>
          <c:symbol val="none"/>
        </c:marker>
      </c:pivotFmt>
      <c:pivotFmt>
        <c:idx val="1530"/>
        <c:marker>
          <c:symbol val="none"/>
        </c:marker>
      </c:pivotFmt>
      <c:pivotFmt>
        <c:idx val="1531"/>
        <c:marker>
          <c:symbol val="none"/>
        </c:marker>
      </c:pivotFmt>
      <c:pivotFmt>
        <c:idx val="1532"/>
        <c:marker>
          <c:symbol val="none"/>
        </c:marker>
      </c:pivotFmt>
      <c:pivotFmt>
        <c:idx val="1533"/>
        <c:marker>
          <c:symbol val="none"/>
        </c:marker>
      </c:pivotFmt>
      <c:pivotFmt>
        <c:idx val="1534"/>
        <c:marker>
          <c:symbol val="none"/>
        </c:marker>
      </c:pivotFmt>
      <c:pivotFmt>
        <c:idx val="1535"/>
        <c:marker>
          <c:symbol val="none"/>
        </c:marker>
      </c:pivotFmt>
      <c:pivotFmt>
        <c:idx val="1536"/>
        <c:marker>
          <c:symbol val="none"/>
        </c:marker>
      </c:pivotFmt>
      <c:pivotFmt>
        <c:idx val="1537"/>
        <c:marker>
          <c:symbol val="none"/>
        </c:marker>
      </c:pivotFmt>
      <c:pivotFmt>
        <c:idx val="1538"/>
        <c:marker>
          <c:symbol val="none"/>
        </c:marker>
      </c:pivotFmt>
      <c:pivotFmt>
        <c:idx val="1539"/>
        <c:marker>
          <c:symbol val="none"/>
        </c:marker>
      </c:pivotFmt>
      <c:pivotFmt>
        <c:idx val="1540"/>
        <c:marker>
          <c:symbol val="none"/>
        </c:marker>
      </c:pivotFmt>
      <c:pivotFmt>
        <c:idx val="1541"/>
        <c:marker>
          <c:symbol val="none"/>
        </c:marker>
      </c:pivotFmt>
      <c:pivotFmt>
        <c:idx val="1542"/>
        <c:marker>
          <c:symbol val="none"/>
        </c:marker>
      </c:pivotFmt>
      <c:pivotFmt>
        <c:idx val="1543"/>
        <c:marker>
          <c:symbol val="none"/>
        </c:marker>
      </c:pivotFmt>
      <c:pivotFmt>
        <c:idx val="1544"/>
        <c:marker>
          <c:symbol val="none"/>
        </c:marker>
      </c:pivotFmt>
      <c:pivotFmt>
        <c:idx val="1545"/>
        <c:marker>
          <c:symbol val="none"/>
        </c:marker>
      </c:pivotFmt>
      <c:pivotFmt>
        <c:idx val="1546"/>
        <c:marker>
          <c:symbol val="none"/>
        </c:marker>
      </c:pivotFmt>
      <c:pivotFmt>
        <c:idx val="1547"/>
        <c:marker>
          <c:symbol val="none"/>
        </c:marker>
      </c:pivotFmt>
      <c:pivotFmt>
        <c:idx val="1548"/>
        <c:marker>
          <c:symbol val="none"/>
        </c:marker>
      </c:pivotFmt>
      <c:pivotFmt>
        <c:idx val="1549"/>
        <c:marker>
          <c:symbol val="none"/>
        </c:marker>
      </c:pivotFmt>
      <c:pivotFmt>
        <c:idx val="1550"/>
        <c:marker>
          <c:symbol val="none"/>
        </c:marker>
      </c:pivotFmt>
      <c:pivotFmt>
        <c:idx val="1551"/>
        <c:marker>
          <c:symbol val="none"/>
        </c:marker>
      </c:pivotFmt>
      <c:pivotFmt>
        <c:idx val="1552"/>
        <c:marker>
          <c:symbol val="none"/>
        </c:marker>
      </c:pivotFmt>
      <c:pivotFmt>
        <c:idx val="1553"/>
        <c:marker>
          <c:symbol val="none"/>
        </c:marker>
      </c:pivotFmt>
      <c:pivotFmt>
        <c:idx val="1554"/>
        <c:marker>
          <c:symbol val="none"/>
        </c:marker>
      </c:pivotFmt>
      <c:pivotFmt>
        <c:idx val="1555"/>
        <c:marker>
          <c:symbol val="none"/>
        </c:marker>
      </c:pivotFmt>
      <c:pivotFmt>
        <c:idx val="1556"/>
        <c:marker>
          <c:symbol val="none"/>
        </c:marker>
      </c:pivotFmt>
      <c:pivotFmt>
        <c:idx val="1557"/>
        <c:marker>
          <c:symbol val="none"/>
        </c:marker>
      </c:pivotFmt>
      <c:pivotFmt>
        <c:idx val="1558"/>
        <c:marker>
          <c:symbol val="none"/>
        </c:marker>
      </c:pivotFmt>
      <c:pivotFmt>
        <c:idx val="1559"/>
        <c:marker>
          <c:symbol val="none"/>
        </c:marker>
      </c:pivotFmt>
      <c:pivotFmt>
        <c:idx val="1560"/>
        <c:marker>
          <c:symbol val="none"/>
        </c:marker>
      </c:pivotFmt>
      <c:pivotFmt>
        <c:idx val="1561"/>
        <c:marker>
          <c:symbol val="none"/>
        </c:marker>
      </c:pivotFmt>
      <c:pivotFmt>
        <c:idx val="1562"/>
        <c:marker>
          <c:symbol val="none"/>
        </c:marker>
      </c:pivotFmt>
      <c:pivotFmt>
        <c:idx val="1563"/>
        <c:marker>
          <c:symbol val="none"/>
        </c:marker>
      </c:pivotFmt>
      <c:pivotFmt>
        <c:idx val="1564"/>
        <c:marker>
          <c:symbol val="none"/>
        </c:marker>
      </c:pivotFmt>
      <c:pivotFmt>
        <c:idx val="1565"/>
        <c:marker>
          <c:symbol val="none"/>
        </c:marker>
      </c:pivotFmt>
      <c:pivotFmt>
        <c:idx val="1566"/>
        <c:marker>
          <c:symbol val="none"/>
        </c:marker>
      </c:pivotFmt>
      <c:pivotFmt>
        <c:idx val="1567"/>
        <c:marker>
          <c:symbol val="none"/>
        </c:marker>
      </c:pivotFmt>
      <c:pivotFmt>
        <c:idx val="1568"/>
        <c:marker>
          <c:symbol val="none"/>
        </c:marker>
      </c:pivotFmt>
      <c:pivotFmt>
        <c:idx val="1569"/>
        <c:marker>
          <c:symbol val="none"/>
        </c:marker>
      </c:pivotFmt>
      <c:pivotFmt>
        <c:idx val="1570"/>
        <c:marker>
          <c:symbol val="none"/>
        </c:marker>
      </c:pivotFmt>
      <c:pivotFmt>
        <c:idx val="1571"/>
        <c:marker>
          <c:symbol val="none"/>
        </c:marker>
      </c:pivotFmt>
      <c:pivotFmt>
        <c:idx val="1572"/>
        <c:marker>
          <c:symbol val="none"/>
        </c:marker>
      </c:pivotFmt>
      <c:pivotFmt>
        <c:idx val="1573"/>
        <c:marker>
          <c:symbol val="none"/>
        </c:marker>
      </c:pivotFmt>
      <c:pivotFmt>
        <c:idx val="1574"/>
        <c:marker>
          <c:symbol val="none"/>
        </c:marker>
      </c:pivotFmt>
      <c:pivotFmt>
        <c:idx val="1575"/>
        <c:marker>
          <c:symbol val="none"/>
        </c:marker>
      </c:pivotFmt>
      <c:pivotFmt>
        <c:idx val="1576"/>
        <c:marker>
          <c:symbol val="none"/>
        </c:marker>
      </c:pivotFmt>
      <c:pivotFmt>
        <c:idx val="1577"/>
        <c:marker>
          <c:symbol val="none"/>
        </c:marker>
      </c:pivotFmt>
      <c:pivotFmt>
        <c:idx val="1578"/>
        <c:marker>
          <c:symbol val="none"/>
        </c:marker>
      </c:pivotFmt>
      <c:pivotFmt>
        <c:idx val="1579"/>
        <c:marker>
          <c:symbol val="none"/>
        </c:marker>
      </c:pivotFmt>
      <c:pivotFmt>
        <c:idx val="1580"/>
        <c:marker>
          <c:symbol val="none"/>
        </c:marker>
      </c:pivotFmt>
      <c:pivotFmt>
        <c:idx val="1581"/>
        <c:marker>
          <c:symbol val="none"/>
        </c:marker>
      </c:pivotFmt>
      <c:pivotFmt>
        <c:idx val="1582"/>
        <c:marker>
          <c:symbol val="none"/>
        </c:marker>
      </c:pivotFmt>
      <c:pivotFmt>
        <c:idx val="1583"/>
        <c:marker>
          <c:symbol val="none"/>
        </c:marker>
      </c:pivotFmt>
      <c:pivotFmt>
        <c:idx val="1584"/>
        <c:marker>
          <c:symbol val="none"/>
        </c:marker>
      </c:pivotFmt>
      <c:pivotFmt>
        <c:idx val="1585"/>
        <c:marker>
          <c:symbol val="none"/>
        </c:marker>
      </c:pivotFmt>
      <c:pivotFmt>
        <c:idx val="1586"/>
        <c:marker>
          <c:symbol val="none"/>
        </c:marker>
      </c:pivotFmt>
      <c:pivotFmt>
        <c:idx val="1587"/>
        <c:marker>
          <c:symbol val="none"/>
        </c:marker>
      </c:pivotFmt>
      <c:pivotFmt>
        <c:idx val="1588"/>
        <c:marker>
          <c:symbol val="none"/>
        </c:marker>
      </c:pivotFmt>
      <c:pivotFmt>
        <c:idx val="1589"/>
        <c:marker>
          <c:symbol val="none"/>
        </c:marker>
      </c:pivotFmt>
      <c:pivotFmt>
        <c:idx val="1590"/>
        <c:marker>
          <c:symbol val="none"/>
        </c:marker>
      </c:pivotFmt>
      <c:pivotFmt>
        <c:idx val="1591"/>
        <c:marker>
          <c:symbol val="none"/>
        </c:marker>
      </c:pivotFmt>
      <c:pivotFmt>
        <c:idx val="1592"/>
        <c:marker>
          <c:symbol val="none"/>
        </c:marker>
      </c:pivotFmt>
      <c:pivotFmt>
        <c:idx val="1593"/>
        <c:marker>
          <c:symbol val="none"/>
        </c:marker>
      </c:pivotFmt>
      <c:pivotFmt>
        <c:idx val="1594"/>
        <c:marker>
          <c:symbol val="none"/>
        </c:marker>
      </c:pivotFmt>
      <c:pivotFmt>
        <c:idx val="1595"/>
        <c:marker>
          <c:symbol val="none"/>
        </c:marker>
      </c:pivotFmt>
      <c:pivotFmt>
        <c:idx val="1596"/>
        <c:marker>
          <c:symbol val="none"/>
        </c:marker>
      </c:pivotFmt>
      <c:pivotFmt>
        <c:idx val="1597"/>
        <c:marker>
          <c:symbol val="none"/>
        </c:marker>
      </c:pivotFmt>
      <c:pivotFmt>
        <c:idx val="1598"/>
        <c:marker>
          <c:symbol val="none"/>
        </c:marker>
      </c:pivotFmt>
      <c:pivotFmt>
        <c:idx val="1599"/>
        <c:marker>
          <c:symbol val="none"/>
        </c:marker>
      </c:pivotFmt>
      <c:pivotFmt>
        <c:idx val="1600"/>
        <c:marker>
          <c:symbol val="none"/>
        </c:marker>
      </c:pivotFmt>
      <c:pivotFmt>
        <c:idx val="1601"/>
        <c:marker>
          <c:symbol val="none"/>
        </c:marker>
      </c:pivotFmt>
      <c:pivotFmt>
        <c:idx val="1602"/>
        <c:marker>
          <c:symbol val="none"/>
        </c:marker>
      </c:pivotFmt>
      <c:pivotFmt>
        <c:idx val="1603"/>
        <c:marker>
          <c:symbol val="none"/>
        </c:marker>
      </c:pivotFmt>
      <c:pivotFmt>
        <c:idx val="1604"/>
        <c:marker>
          <c:symbol val="none"/>
        </c:marker>
      </c:pivotFmt>
      <c:pivotFmt>
        <c:idx val="1605"/>
        <c:marker>
          <c:symbol val="none"/>
        </c:marker>
      </c:pivotFmt>
      <c:pivotFmt>
        <c:idx val="1606"/>
        <c:marker>
          <c:symbol val="none"/>
        </c:marker>
      </c:pivotFmt>
      <c:pivotFmt>
        <c:idx val="1607"/>
        <c:marker>
          <c:symbol val="none"/>
        </c:marker>
      </c:pivotFmt>
      <c:pivotFmt>
        <c:idx val="1608"/>
        <c:marker>
          <c:symbol val="none"/>
        </c:marker>
      </c:pivotFmt>
      <c:pivotFmt>
        <c:idx val="1609"/>
        <c:marker>
          <c:symbol val="none"/>
        </c:marker>
      </c:pivotFmt>
      <c:pivotFmt>
        <c:idx val="1610"/>
        <c:marker>
          <c:symbol val="none"/>
        </c:marker>
      </c:pivotFmt>
      <c:pivotFmt>
        <c:idx val="1611"/>
        <c:marker>
          <c:symbol val="none"/>
        </c:marker>
      </c:pivotFmt>
      <c:pivotFmt>
        <c:idx val="1612"/>
        <c:marker>
          <c:symbol val="none"/>
        </c:marker>
      </c:pivotFmt>
      <c:pivotFmt>
        <c:idx val="1613"/>
        <c:marker>
          <c:symbol val="none"/>
        </c:marker>
      </c:pivotFmt>
      <c:pivotFmt>
        <c:idx val="1614"/>
        <c:marker>
          <c:symbol val="none"/>
        </c:marker>
      </c:pivotFmt>
      <c:pivotFmt>
        <c:idx val="1615"/>
        <c:marker>
          <c:symbol val="none"/>
        </c:marker>
      </c:pivotFmt>
      <c:pivotFmt>
        <c:idx val="1616"/>
        <c:marker>
          <c:symbol val="none"/>
        </c:marker>
      </c:pivotFmt>
      <c:pivotFmt>
        <c:idx val="1617"/>
        <c:marker>
          <c:symbol val="none"/>
        </c:marker>
      </c:pivotFmt>
      <c:pivotFmt>
        <c:idx val="1618"/>
        <c:marker>
          <c:symbol val="none"/>
        </c:marker>
      </c:pivotFmt>
      <c:pivotFmt>
        <c:idx val="1619"/>
        <c:marker>
          <c:symbol val="none"/>
        </c:marker>
      </c:pivotFmt>
      <c:pivotFmt>
        <c:idx val="1620"/>
        <c:marker>
          <c:symbol val="none"/>
        </c:marker>
      </c:pivotFmt>
      <c:pivotFmt>
        <c:idx val="1621"/>
        <c:marker>
          <c:symbol val="none"/>
        </c:marker>
      </c:pivotFmt>
      <c:pivotFmt>
        <c:idx val="1622"/>
        <c:marker>
          <c:symbol val="none"/>
        </c:marker>
      </c:pivotFmt>
      <c:pivotFmt>
        <c:idx val="1623"/>
        <c:marker>
          <c:symbol val="none"/>
        </c:marker>
      </c:pivotFmt>
      <c:pivotFmt>
        <c:idx val="1624"/>
        <c:marker>
          <c:symbol val="none"/>
        </c:marker>
      </c:pivotFmt>
      <c:pivotFmt>
        <c:idx val="1625"/>
        <c:marker>
          <c:symbol val="none"/>
        </c:marker>
      </c:pivotFmt>
      <c:pivotFmt>
        <c:idx val="1626"/>
        <c:marker>
          <c:symbol val="none"/>
        </c:marker>
      </c:pivotFmt>
      <c:pivotFmt>
        <c:idx val="1627"/>
        <c:marker>
          <c:symbol val="none"/>
        </c:marker>
      </c:pivotFmt>
      <c:pivotFmt>
        <c:idx val="1628"/>
        <c:marker>
          <c:symbol val="none"/>
        </c:marker>
      </c:pivotFmt>
      <c:pivotFmt>
        <c:idx val="1629"/>
        <c:marker>
          <c:symbol val="none"/>
        </c:marker>
      </c:pivotFmt>
      <c:pivotFmt>
        <c:idx val="1630"/>
        <c:marker>
          <c:symbol val="none"/>
        </c:marker>
      </c:pivotFmt>
      <c:pivotFmt>
        <c:idx val="1631"/>
        <c:marker>
          <c:symbol val="none"/>
        </c:marker>
      </c:pivotFmt>
      <c:pivotFmt>
        <c:idx val="1632"/>
        <c:marker>
          <c:symbol val="none"/>
        </c:marker>
      </c:pivotFmt>
      <c:pivotFmt>
        <c:idx val="1633"/>
        <c:marker>
          <c:symbol val="none"/>
        </c:marker>
      </c:pivotFmt>
      <c:pivotFmt>
        <c:idx val="1634"/>
        <c:marker>
          <c:symbol val="none"/>
        </c:marker>
      </c:pivotFmt>
      <c:pivotFmt>
        <c:idx val="1635"/>
        <c:marker>
          <c:symbol val="none"/>
        </c:marker>
      </c:pivotFmt>
      <c:pivotFmt>
        <c:idx val="1636"/>
        <c:marker>
          <c:symbol val="none"/>
        </c:marker>
      </c:pivotFmt>
      <c:pivotFmt>
        <c:idx val="1637"/>
        <c:marker>
          <c:symbol val="none"/>
        </c:marker>
      </c:pivotFmt>
      <c:pivotFmt>
        <c:idx val="1638"/>
        <c:marker>
          <c:symbol val="none"/>
        </c:marker>
      </c:pivotFmt>
      <c:pivotFmt>
        <c:idx val="1639"/>
        <c:marker>
          <c:symbol val="none"/>
        </c:marker>
      </c:pivotFmt>
      <c:pivotFmt>
        <c:idx val="1640"/>
        <c:marker>
          <c:symbol val="none"/>
        </c:marker>
      </c:pivotFmt>
      <c:pivotFmt>
        <c:idx val="1641"/>
        <c:marker>
          <c:symbol val="none"/>
        </c:marker>
      </c:pivotFmt>
      <c:pivotFmt>
        <c:idx val="1642"/>
        <c:marker>
          <c:symbol val="none"/>
        </c:marker>
      </c:pivotFmt>
      <c:pivotFmt>
        <c:idx val="1643"/>
        <c:marker>
          <c:symbol val="none"/>
        </c:marker>
      </c:pivotFmt>
      <c:pivotFmt>
        <c:idx val="1644"/>
        <c:marker>
          <c:symbol val="none"/>
        </c:marker>
      </c:pivotFmt>
      <c:pivotFmt>
        <c:idx val="1645"/>
        <c:marker>
          <c:symbol val="none"/>
        </c:marker>
      </c:pivotFmt>
      <c:pivotFmt>
        <c:idx val="1646"/>
        <c:marker>
          <c:symbol val="none"/>
        </c:marker>
      </c:pivotFmt>
      <c:pivotFmt>
        <c:idx val="1647"/>
        <c:marker>
          <c:symbol val="none"/>
        </c:marker>
      </c:pivotFmt>
      <c:pivotFmt>
        <c:idx val="1648"/>
        <c:marker>
          <c:symbol val="none"/>
        </c:marker>
      </c:pivotFmt>
      <c:pivotFmt>
        <c:idx val="1649"/>
        <c:marker>
          <c:symbol val="none"/>
        </c:marker>
      </c:pivotFmt>
      <c:pivotFmt>
        <c:idx val="1650"/>
        <c:marker>
          <c:symbol val="none"/>
        </c:marker>
      </c:pivotFmt>
      <c:pivotFmt>
        <c:idx val="1651"/>
        <c:marker>
          <c:symbol val="none"/>
        </c:marker>
      </c:pivotFmt>
      <c:pivotFmt>
        <c:idx val="1652"/>
        <c:marker>
          <c:symbol val="none"/>
        </c:marker>
      </c:pivotFmt>
      <c:pivotFmt>
        <c:idx val="1653"/>
        <c:marker>
          <c:symbol val="none"/>
        </c:marker>
      </c:pivotFmt>
      <c:pivotFmt>
        <c:idx val="1654"/>
        <c:marker>
          <c:symbol val="none"/>
        </c:marker>
      </c:pivotFmt>
      <c:pivotFmt>
        <c:idx val="1655"/>
        <c:marker>
          <c:symbol val="none"/>
        </c:marker>
      </c:pivotFmt>
      <c:pivotFmt>
        <c:idx val="1656"/>
        <c:marker>
          <c:symbol val="none"/>
        </c:marker>
      </c:pivotFmt>
      <c:pivotFmt>
        <c:idx val="1657"/>
        <c:marker>
          <c:symbol val="none"/>
        </c:marker>
      </c:pivotFmt>
      <c:pivotFmt>
        <c:idx val="1658"/>
        <c:marker>
          <c:symbol val="none"/>
        </c:marker>
      </c:pivotFmt>
      <c:pivotFmt>
        <c:idx val="1659"/>
        <c:marker>
          <c:symbol val="none"/>
        </c:marker>
      </c:pivotFmt>
      <c:pivotFmt>
        <c:idx val="1660"/>
        <c:marker>
          <c:symbol val="none"/>
        </c:marker>
      </c:pivotFmt>
      <c:pivotFmt>
        <c:idx val="1661"/>
        <c:marker>
          <c:symbol val="none"/>
        </c:marker>
      </c:pivotFmt>
      <c:pivotFmt>
        <c:idx val="1662"/>
        <c:marker>
          <c:symbol val="none"/>
        </c:marker>
      </c:pivotFmt>
      <c:pivotFmt>
        <c:idx val="1663"/>
        <c:marker>
          <c:symbol val="none"/>
        </c:marker>
      </c:pivotFmt>
      <c:pivotFmt>
        <c:idx val="1664"/>
        <c:marker>
          <c:symbol val="none"/>
        </c:marker>
      </c:pivotFmt>
      <c:pivotFmt>
        <c:idx val="1665"/>
        <c:marker>
          <c:symbol val="none"/>
        </c:marker>
      </c:pivotFmt>
      <c:pivotFmt>
        <c:idx val="1666"/>
        <c:marker>
          <c:symbol val="none"/>
        </c:marker>
      </c:pivotFmt>
      <c:pivotFmt>
        <c:idx val="1667"/>
        <c:marker>
          <c:symbol val="none"/>
        </c:marker>
      </c:pivotFmt>
      <c:pivotFmt>
        <c:idx val="1668"/>
        <c:marker>
          <c:symbol val="none"/>
        </c:marker>
      </c:pivotFmt>
      <c:pivotFmt>
        <c:idx val="1669"/>
        <c:marker>
          <c:symbol val="none"/>
        </c:marker>
      </c:pivotFmt>
      <c:pivotFmt>
        <c:idx val="1670"/>
        <c:marker>
          <c:symbol val="none"/>
        </c:marker>
      </c:pivotFmt>
      <c:pivotFmt>
        <c:idx val="1671"/>
        <c:marker>
          <c:symbol val="none"/>
        </c:marker>
      </c:pivotFmt>
      <c:pivotFmt>
        <c:idx val="1672"/>
        <c:marker>
          <c:symbol val="none"/>
        </c:marker>
      </c:pivotFmt>
      <c:pivotFmt>
        <c:idx val="1673"/>
        <c:marker>
          <c:symbol val="none"/>
        </c:marker>
      </c:pivotFmt>
      <c:pivotFmt>
        <c:idx val="1674"/>
        <c:marker>
          <c:symbol val="none"/>
        </c:marker>
      </c:pivotFmt>
      <c:pivotFmt>
        <c:idx val="1675"/>
        <c:marker>
          <c:symbol val="none"/>
        </c:marker>
      </c:pivotFmt>
      <c:pivotFmt>
        <c:idx val="1676"/>
        <c:marker>
          <c:symbol val="none"/>
        </c:marker>
      </c:pivotFmt>
      <c:pivotFmt>
        <c:idx val="1677"/>
        <c:marker>
          <c:symbol val="none"/>
        </c:marker>
      </c:pivotFmt>
      <c:pivotFmt>
        <c:idx val="1678"/>
        <c:marker>
          <c:symbol val="none"/>
        </c:marker>
      </c:pivotFmt>
      <c:pivotFmt>
        <c:idx val="1679"/>
        <c:marker>
          <c:symbol val="none"/>
        </c:marker>
      </c:pivotFmt>
      <c:pivotFmt>
        <c:idx val="1680"/>
        <c:marker>
          <c:symbol val="none"/>
        </c:marker>
      </c:pivotFmt>
      <c:pivotFmt>
        <c:idx val="1681"/>
        <c:marker>
          <c:symbol val="none"/>
        </c:marker>
      </c:pivotFmt>
      <c:pivotFmt>
        <c:idx val="1682"/>
        <c:marker>
          <c:symbol val="none"/>
        </c:marker>
      </c:pivotFmt>
      <c:pivotFmt>
        <c:idx val="1683"/>
        <c:marker>
          <c:symbol val="none"/>
        </c:marker>
      </c:pivotFmt>
      <c:pivotFmt>
        <c:idx val="1684"/>
        <c:marker>
          <c:symbol val="none"/>
        </c:marker>
      </c:pivotFmt>
      <c:pivotFmt>
        <c:idx val="1685"/>
        <c:marker>
          <c:symbol val="none"/>
        </c:marker>
      </c:pivotFmt>
      <c:pivotFmt>
        <c:idx val="1686"/>
        <c:marker>
          <c:symbol val="none"/>
        </c:marker>
      </c:pivotFmt>
      <c:pivotFmt>
        <c:idx val="1687"/>
        <c:marker>
          <c:symbol val="none"/>
        </c:marker>
      </c:pivotFmt>
      <c:pivotFmt>
        <c:idx val="1688"/>
        <c:marker>
          <c:symbol val="none"/>
        </c:marker>
      </c:pivotFmt>
      <c:pivotFmt>
        <c:idx val="1689"/>
        <c:marker>
          <c:symbol val="none"/>
        </c:marker>
      </c:pivotFmt>
      <c:pivotFmt>
        <c:idx val="1690"/>
        <c:marker>
          <c:symbol val="none"/>
        </c:marker>
      </c:pivotFmt>
      <c:pivotFmt>
        <c:idx val="1691"/>
        <c:marker>
          <c:symbol val="none"/>
        </c:marker>
      </c:pivotFmt>
      <c:pivotFmt>
        <c:idx val="1692"/>
        <c:marker>
          <c:symbol val="none"/>
        </c:marker>
      </c:pivotFmt>
      <c:pivotFmt>
        <c:idx val="1693"/>
        <c:marker>
          <c:symbol val="none"/>
        </c:marker>
      </c:pivotFmt>
      <c:pivotFmt>
        <c:idx val="1694"/>
        <c:marker>
          <c:symbol val="none"/>
        </c:marker>
      </c:pivotFmt>
      <c:pivotFmt>
        <c:idx val="1695"/>
        <c:marker>
          <c:symbol val="none"/>
        </c:marker>
      </c:pivotFmt>
      <c:pivotFmt>
        <c:idx val="1696"/>
        <c:marker>
          <c:symbol val="none"/>
        </c:marker>
      </c:pivotFmt>
      <c:pivotFmt>
        <c:idx val="1697"/>
        <c:marker>
          <c:symbol val="none"/>
        </c:marker>
      </c:pivotFmt>
      <c:pivotFmt>
        <c:idx val="1698"/>
        <c:marker>
          <c:symbol val="none"/>
        </c:marker>
      </c:pivotFmt>
      <c:pivotFmt>
        <c:idx val="1699"/>
        <c:marker>
          <c:symbol val="none"/>
        </c:marker>
      </c:pivotFmt>
      <c:pivotFmt>
        <c:idx val="1700"/>
        <c:marker>
          <c:symbol val="none"/>
        </c:marker>
      </c:pivotFmt>
      <c:pivotFmt>
        <c:idx val="1701"/>
        <c:marker>
          <c:symbol val="none"/>
        </c:marker>
      </c:pivotFmt>
      <c:pivotFmt>
        <c:idx val="1702"/>
        <c:marker>
          <c:symbol val="none"/>
        </c:marker>
      </c:pivotFmt>
      <c:pivotFmt>
        <c:idx val="1703"/>
        <c:marker>
          <c:symbol val="none"/>
        </c:marker>
      </c:pivotFmt>
      <c:pivotFmt>
        <c:idx val="1704"/>
        <c:marker>
          <c:symbol val="none"/>
        </c:marker>
      </c:pivotFmt>
      <c:pivotFmt>
        <c:idx val="1705"/>
        <c:marker>
          <c:symbol val="none"/>
        </c:marker>
      </c:pivotFmt>
      <c:pivotFmt>
        <c:idx val="1706"/>
        <c:marker>
          <c:symbol val="none"/>
        </c:marker>
      </c:pivotFmt>
      <c:pivotFmt>
        <c:idx val="1707"/>
        <c:marker>
          <c:symbol val="none"/>
        </c:marker>
      </c:pivotFmt>
      <c:pivotFmt>
        <c:idx val="1708"/>
        <c:marker>
          <c:symbol val="none"/>
        </c:marker>
      </c:pivotFmt>
      <c:pivotFmt>
        <c:idx val="1709"/>
        <c:marker>
          <c:symbol val="none"/>
        </c:marker>
      </c:pivotFmt>
      <c:pivotFmt>
        <c:idx val="1710"/>
        <c:marker>
          <c:symbol val="none"/>
        </c:marker>
      </c:pivotFmt>
      <c:pivotFmt>
        <c:idx val="1711"/>
        <c:marker>
          <c:symbol val="none"/>
        </c:marker>
      </c:pivotFmt>
      <c:pivotFmt>
        <c:idx val="1712"/>
        <c:marker>
          <c:symbol val="none"/>
        </c:marker>
      </c:pivotFmt>
      <c:pivotFmt>
        <c:idx val="1713"/>
        <c:marker>
          <c:symbol val="none"/>
        </c:marker>
      </c:pivotFmt>
      <c:pivotFmt>
        <c:idx val="1714"/>
        <c:marker>
          <c:symbol val="none"/>
        </c:marker>
      </c:pivotFmt>
      <c:pivotFmt>
        <c:idx val="1715"/>
        <c:marker>
          <c:symbol val="none"/>
        </c:marker>
      </c:pivotFmt>
      <c:pivotFmt>
        <c:idx val="1716"/>
        <c:marker>
          <c:symbol val="none"/>
        </c:marker>
      </c:pivotFmt>
      <c:pivotFmt>
        <c:idx val="1717"/>
        <c:marker>
          <c:symbol val="none"/>
        </c:marker>
      </c:pivotFmt>
      <c:pivotFmt>
        <c:idx val="1718"/>
        <c:marker>
          <c:symbol val="none"/>
        </c:marker>
      </c:pivotFmt>
      <c:pivotFmt>
        <c:idx val="1719"/>
        <c:marker>
          <c:symbol val="none"/>
        </c:marker>
      </c:pivotFmt>
      <c:pivotFmt>
        <c:idx val="1720"/>
        <c:marker>
          <c:symbol val="none"/>
        </c:marker>
      </c:pivotFmt>
      <c:pivotFmt>
        <c:idx val="1721"/>
        <c:marker>
          <c:symbol val="none"/>
        </c:marker>
      </c:pivotFmt>
      <c:pivotFmt>
        <c:idx val="1722"/>
        <c:marker>
          <c:symbol val="none"/>
        </c:marker>
      </c:pivotFmt>
      <c:pivotFmt>
        <c:idx val="1723"/>
        <c:marker>
          <c:symbol val="none"/>
        </c:marker>
      </c:pivotFmt>
      <c:pivotFmt>
        <c:idx val="1724"/>
        <c:marker>
          <c:symbol val="none"/>
        </c:marker>
      </c:pivotFmt>
      <c:pivotFmt>
        <c:idx val="1725"/>
        <c:marker>
          <c:symbol val="none"/>
        </c:marker>
      </c:pivotFmt>
      <c:pivotFmt>
        <c:idx val="1726"/>
        <c:marker>
          <c:symbol val="none"/>
        </c:marker>
      </c:pivotFmt>
      <c:pivotFmt>
        <c:idx val="1727"/>
        <c:marker>
          <c:symbol val="none"/>
        </c:marker>
      </c:pivotFmt>
      <c:pivotFmt>
        <c:idx val="1728"/>
        <c:marker>
          <c:symbol val="none"/>
        </c:marker>
      </c:pivotFmt>
      <c:pivotFmt>
        <c:idx val="1729"/>
        <c:marker>
          <c:symbol val="none"/>
        </c:marker>
      </c:pivotFmt>
      <c:pivotFmt>
        <c:idx val="1730"/>
        <c:marker>
          <c:symbol val="none"/>
        </c:marker>
      </c:pivotFmt>
      <c:pivotFmt>
        <c:idx val="1731"/>
        <c:marker>
          <c:symbol val="none"/>
        </c:marker>
      </c:pivotFmt>
      <c:pivotFmt>
        <c:idx val="1732"/>
        <c:marker>
          <c:symbol val="none"/>
        </c:marker>
      </c:pivotFmt>
      <c:pivotFmt>
        <c:idx val="1733"/>
        <c:marker>
          <c:symbol val="none"/>
        </c:marker>
      </c:pivotFmt>
      <c:pivotFmt>
        <c:idx val="1734"/>
        <c:marker>
          <c:symbol val="none"/>
        </c:marker>
      </c:pivotFmt>
      <c:pivotFmt>
        <c:idx val="1735"/>
        <c:marker>
          <c:symbol val="none"/>
        </c:marker>
      </c:pivotFmt>
      <c:pivotFmt>
        <c:idx val="1736"/>
        <c:marker>
          <c:symbol val="none"/>
        </c:marker>
      </c:pivotFmt>
      <c:pivotFmt>
        <c:idx val="1737"/>
        <c:marker>
          <c:symbol val="none"/>
        </c:marker>
      </c:pivotFmt>
      <c:pivotFmt>
        <c:idx val="1738"/>
        <c:marker>
          <c:symbol val="none"/>
        </c:marker>
      </c:pivotFmt>
      <c:pivotFmt>
        <c:idx val="1739"/>
        <c:marker>
          <c:symbol val="none"/>
        </c:marker>
      </c:pivotFmt>
      <c:pivotFmt>
        <c:idx val="1740"/>
        <c:marker>
          <c:symbol val="none"/>
        </c:marker>
      </c:pivotFmt>
      <c:pivotFmt>
        <c:idx val="1741"/>
        <c:marker>
          <c:symbol val="none"/>
        </c:marker>
      </c:pivotFmt>
      <c:pivotFmt>
        <c:idx val="1742"/>
        <c:marker>
          <c:symbol val="none"/>
        </c:marker>
      </c:pivotFmt>
      <c:pivotFmt>
        <c:idx val="1743"/>
        <c:marker>
          <c:symbol val="none"/>
        </c:marker>
      </c:pivotFmt>
      <c:pivotFmt>
        <c:idx val="1744"/>
        <c:marker>
          <c:symbol val="none"/>
        </c:marker>
      </c:pivotFmt>
      <c:pivotFmt>
        <c:idx val="1745"/>
        <c:marker>
          <c:symbol val="none"/>
        </c:marker>
      </c:pivotFmt>
      <c:pivotFmt>
        <c:idx val="1746"/>
        <c:marker>
          <c:symbol val="none"/>
        </c:marker>
      </c:pivotFmt>
      <c:pivotFmt>
        <c:idx val="1747"/>
        <c:marker>
          <c:symbol val="none"/>
        </c:marker>
      </c:pivotFmt>
      <c:pivotFmt>
        <c:idx val="1748"/>
        <c:marker>
          <c:symbol val="none"/>
        </c:marker>
      </c:pivotFmt>
      <c:pivotFmt>
        <c:idx val="1749"/>
        <c:marker>
          <c:symbol val="none"/>
        </c:marker>
      </c:pivotFmt>
      <c:pivotFmt>
        <c:idx val="1750"/>
        <c:marker>
          <c:symbol val="none"/>
        </c:marker>
      </c:pivotFmt>
      <c:pivotFmt>
        <c:idx val="1751"/>
        <c:marker>
          <c:symbol val="none"/>
        </c:marker>
      </c:pivotFmt>
      <c:pivotFmt>
        <c:idx val="1752"/>
        <c:marker>
          <c:symbol val="none"/>
        </c:marker>
      </c:pivotFmt>
      <c:pivotFmt>
        <c:idx val="1753"/>
        <c:marker>
          <c:symbol val="none"/>
        </c:marker>
      </c:pivotFmt>
      <c:pivotFmt>
        <c:idx val="1754"/>
        <c:marker>
          <c:symbol val="none"/>
        </c:marker>
      </c:pivotFmt>
      <c:pivotFmt>
        <c:idx val="1755"/>
        <c:marker>
          <c:symbol val="none"/>
        </c:marker>
      </c:pivotFmt>
      <c:pivotFmt>
        <c:idx val="1756"/>
        <c:marker>
          <c:symbol val="none"/>
        </c:marker>
      </c:pivotFmt>
      <c:pivotFmt>
        <c:idx val="1757"/>
        <c:marker>
          <c:symbol val="none"/>
        </c:marker>
      </c:pivotFmt>
      <c:pivotFmt>
        <c:idx val="1758"/>
        <c:marker>
          <c:symbol val="none"/>
        </c:marker>
      </c:pivotFmt>
      <c:pivotFmt>
        <c:idx val="1759"/>
        <c:marker>
          <c:symbol val="none"/>
        </c:marker>
      </c:pivotFmt>
      <c:pivotFmt>
        <c:idx val="1760"/>
        <c:marker>
          <c:symbol val="none"/>
        </c:marker>
      </c:pivotFmt>
      <c:pivotFmt>
        <c:idx val="1761"/>
        <c:marker>
          <c:symbol val="none"/>
        </c:marker>
      </c:pivotFmt>
      <c:pivotFmt>
        <c:idx val="1762"/>
        <c:marker>
          <c:symbol val="none"/>
        </c:marker>
      </c:pivotFmt>
      <c:pivotFmt>
        <c:idx val="1763"/>
        <c:marker>
          <c:symbol val="none"/>
        </c:marker>
      </c:pivotFmt>
      <c:pivotFmt>
        <c:idx val="1764"/>
        <c:marker>
          <c:symbol val="none"/>
        </c:marker>
      </c:pivotFmt>
      <c:pivotFmt>
        <c:idx val="1765"/>
        <c:marker>
          <c:symbol val="none"/>
        </c:marker>
      </c:pivotFmt>
      <c:pivotFmt>
        <c:idx val="1766"/>
        <c:marker>
          <c:symbol val="none"/>
        </c:marker>
      </c:pivotFmt>
      <c:pivotFmt>
        <c:idx val="1767"/>
        <c:marker>
          <c:symbol val="none"/>
        </c:marker>
      </c:pivotFmt>
      <c:pivotFmt>
        <c:idx val="1768"/>
        <c:marker>
          <c:symbol val="none"/>
        </c:marker>
      </c:pivotFmt>
      <c:pivotFmt>
        <c:idx val="1769"/>
        <c:marker>
          <c:symbol val="none"/>
        </c:marker>
      </c:pivotFmt>
      <c:pivotFmt>
        <c:idx val="1770"/>
        <c:marker>
          <c:symbol val="none"/>
        </c:marker>
      </c:pivotFmt>
      <c:pivotFmt>
        <c:idx val="1771"/>
        <c:marker>
          <c:symbol val="none"/>
        </c:marker>
      </c:pivotFmt>
      <c:pivotFmt>
        <c:idx val="1772"/>
        <c:marker>
          <c:symbol val="none"/>
        </c:marker>
      </c:pivotFmt>
      <c:pivotFmt>
        <c:idx val="1773"/>
        <c:marker>
          <c:symbol val="none"/>
        </c:marker>
      </c:pivotFmt>
      <c:pivotFmt>
        <c:idx val="1774"/>
        <c:marker>
          <c:symbol val="none"/>
        </c:marker>
      </c:pivotFmt>
      <c:pivotFmt>
        <c:idx val="1775"/>
        <c:marker>
          <c:symbol val="none"/>
        </c:marker>
      </c:pivotFmt>
      <c:pivotFmt>
        <c:idx val="1776"/>
        <c:marker>
          <c:symbol val="none"/>
        </c:marker>
      </c:pivotFmt>
      <c:pivotFmt>
        <c:idx val="1777"/>
        <c:marker>
          <c:symbol val="none"/>
        </c:marker>
      </c:pivotFmt>
      <c:pivotFmt>
        <c:idx val="1778"/>
        <c:marker>
          <c:symbol val="none"/>
        </c:marker>
      </c:pivotFmt>
      <c:pivotFmt>
        <c:idx val="1779"/>
        <c:marker>
          <c:symbol val="none"/>
        </c:marker>
      </c:pivotFmt>
      <c:pivotFmt>
        <c:idx val="1780"/>
        <c:marker>
          <c:symbol val="none"/>
        </c:marker>
      </c:pivotFmt>
      <c:pivotFmt>
        <c:idx val="1781"/>
        <c:marker>
          <c:symbol val="none"/>
        </c:marker>
      </c:pivotFmt>
      <c:pivotFmt>
        <c:idx val="1782"/>
        <c:marker>
          <c:symbol val="none"/>
        </c:marker>
      </c:pivotFmt>
      <c:pivotFmt>
        <c:idx val="1783"/>
        <c:marker>
          <c:symbol val="none"/>
        </c:marker>
      </c:pivotFmt>
      <c:pivotFmt>
        <c:idx val="1784"/>
        <c:marker>
          <c:symbol val="none"/>
        </c:marker>
      </c:pivotFmt>
      <c:pivotFmt>
        <c:idx val="1785"/>
        <c:marker>
          <c:symbol val="none"/>
        </c:marker>
      </c:pivotFmt>
      <c:pivotFmt>
        <c:idx val="1786"/>
        <c:marker>
          <c:symbol val="none"/>
        </c:marker>
      </c:pivotFmt>
      <c:pivotFmt>
        <c:idx val="1787"/>
        <c:marker>
          <c:symbol val="none"/>
        </c:marker>
      </c:pivotFmt>
      <c:pivotFmt>
        <c:idx val="1788"/>
        <c:marker>
          <c:symbol val="none"/>
        </c:marker>
      </c:pivotFmt>
      <c:pivotFmt>
        <c:idx val="1789"/>
        <c:marker>
          <c:symbol val="none"/>
        </c:marker>
      </c:pivotFmt>
      <c:pivotFmt>
        <c:idx val="1790"/>
        <c:marker>
          <c:symbol val="none"/>
        </c:marker>
      </c:pivotFmt>
      <c:pivotFmt>
        <c:idx val="1791"/>
        <c:marker>
          <c:symbol val="none"/>
        </c:marker>
      </c:pivotFmt>
      <c:pivotFmt>
        <c:idx val="1792"/>
        <c:marker>
          <c:symbol val="none"/>
        </c:marker>
      </c:pivotFmt>
      <c:pivotFmt>
        <c:idx val="1793"/>
        <c:marker>
          <c:symbol val="none"/>
        </c:marker>
      </c:pivotFmt>
      <c:pivotFmt>
        <c:idx val="1794"/>
        <c:marker>
          <c:symbol val="none"/>
        </c:marker>
      </c:pivotFmt>
      <c:pivotFmt>
        <c:idx val="1795"/>
        <c:marker>
          <c:symbol val="none"/>
        </c:marker>
      </c:pivotFmt>
      <c:pivotFmt>
        <c:idx val="1796"/>
        <c:marker>
          <c:symbol val="none"/>
        </c:marker>
      </c:pivotFmt>
      <c:pivotFmt>
        <c:idx val="1797"/>
        <c:marker>
          <c:symbol val="none"/>
        </c:marker>
      </c:pivotFmt>
      <c:pivotFmt>
        <c:idx val="1798"/>
        <c:marker>
          <c:symbol val="none"/>
        </c:marker>
      </c:pivotFmt>
      <c:pivotFmt>
        <c:idx val="1799"/>
        <c:marker>
          <c:symbol val="none"/>
        </c:marker>
      </c:pivotFmt>
      <c:pivotFmt>
        <c:idx val="1800"/>
        <c:marker>
          <c:symbol val="none"/>
        </c:marker>
      </c:pivotFmt>
      <c:pivotFmt>
        <c:idx val="1801"/>
        <c:marker>
          <c:symbol val="none"/>
        </c:marker>
      </c:pivotFmt>
      <c:pivotFmt>
        <c:idx val="1802"/>
        <c:marker>
          <c:symbol val="none"/>
        </c:marker>
      </c:pivotFmt>
      <c:pivotFmt>
        <c:idx val="1803"/>
        <c:marker>
          <c:symbol val="none"/>
        </c:marker>
      </c:pivotFmt>
      <c:pivotFmt>
        <c:idx val="1804"/>
        <c:marker>
          <c:symbol val="none"/>
        </c:marker>
      </c:pivotFmt>
      <c:pivotFmt>
        <c:idx val="1805"/>
        <c:marker>
          <c:symbol val="none"/>
        </c:marker>
      </c:pivotFmt>
      <c:pivotFmt>
        <c:idx val="1806"/>
        <c:marker>
          <c:symbol val="none"/>
        </c:marker>
      </c:pivotFmt>
      <c:pivotFmt>
        <c:idx val="1807"/>
        <c:marker>
          <c:symbol val="none"/>
        </c:marker>
      </c:pivotFmt>
      <c:pivotFmt>
        <c:idx val="1808"/>
        <c:marker>
          <c:symbol val="none"/>
        </c:marker>
      </c:pivotFmt>
      <c:pivotFmt>
        <c:idx val="1809"/>
        <c:marker>
          <c:symbol val="none"/>
        </c:marker>
      </c:pivotFmt>
      <c:pivotFmt>
        <c:idx val="1810"/>
        <c:marker>
          <c:symbol val="none"/>
        </c:marker>
      </c:pivotFmt>
      <c:pivotFmt>
        <c:idx val="1811"/>
        <c:marker>
          <c:symbol val="none"/>
        </c:marker>
      </c:pivotFmt>
      <c:pivotFmt>
        <c:idx val="1812"/>
        <c:marker>
          <c:symbol val="none"/>
        </c:marker>
      </c:pivotFmt>
      <c:pivotFmt>
        <c:idx val="1813"/>
        <c:marker>
          <c:symbol val="none"/>
        </c:marker>
      </c:pivotFmt>
      <c:pivotFmt>
        <c:idx val="1814"/>
        <c:marker>
          <c:symbol val="none"/>
        </c:marker>
      </c:pivotFmt>
      <c:pivotFmt>
        <c:idx val="1815"/>
        <c:marker>
          <c:symbol val="none"/>
        </c:marker>
      </c:pivotFmt>
      <c:pivotFmt>
        <c:idx val="1816"/>
        <c:marker>
          <c:symbol val="none"/>
        </c:marker>
      </c:pivotFmt>
      <c:pivotFmt>
        <c:idx val="1817"/>
        <c:marker>
          <c:symbol val="none"/>
        </c:marker>
      </c:pivotFmt>
      <c:pivotFmt>
        <c:idx val="1818"/>
        <c:marker>
          <c:symbol val="none"/>
        </c:marker>
      </c:pivotFmt>
      <c:pivotFmt>
        <c:idx val="1819"/>
        <c:marker>
          <c:symbol val="none"/>
        </c:marker>
      </c:pivotFmt>
      <c:pivotFmt>
        <c:idx val="1820"/>
        <c:marker>
          <c:symbol val="none"/>
        </c:marker>
      </c:pivotFmt>
      <c:pivotFmt>
        <c:idx val="1821"/>
        <c:marker>
          <c:symbol val="none"/>
        </c:marker>
      </c:pivotFmt>
      <c:pivotFmt>
        <c:idx val="1822"/>
        <c:marker>
          <c:symbol val="none"/>
        </c:marker>
      </c:pivotFmt>
      <c:pivotFmt>
        <c:idx val="1823"/>
        <c:marker>
          <c:symbol val="none"/>
        </c:marker>
      </c:pivotFmt>
      <c:pivotFmt>
        <c:idx val="1824"/>
        <c:marker>
          <c:symbol val="none"/>
        </c:marker>
      </c:pivotFmt>
      <c:pivotFmt>
        <c:idx val="1825"/>
        <c:marker>
          <c:symbol val="none"/>
        </c:marker>
      </c:pivotFmt>
      <c:pivotFmt>
        <c:idx val="1826"/>
        <c:marker>
          <c:symbol val="none"/>
        </c:marker>
      </c:pivotFmt>
      <c:pivotFmt>
        <c:idx val="1827"/>
        <c:marker>
          <c:symbol val="none"/>
        </c:marker>
      </c:pivotFmt>
      <c:pivotFmt>
        <c:idx val="1828"/>
        <c:marker>
          <c:symbol val="none"/>
        </c:marker>
      </c:pivotFmt>
      <c:pivotFmt>
        <c:idx val="1829"/>
        <c:marker>
          <c:symbol val="none"/>
        </c:marker>
      </c:pivotFmt>
      <c:pivotFmt>
        <c:idx val="1830"/>
        <c:marker>
          <c:symbol val="none"/>
        </c:marker>
      </c:pivotFmt>
      <c:pivotFmt>
        <c:idx val="1831"/>
        <c:marker>
          <c:symbol val="none"/>
        </c:marker>
      </c:pivotFmt>
      <c:pivotFmt>
        <c:idx val="1832"/>
        <c:marker>
          <c:symbol val="none"/>
        </c:marker>
      </c:pivotFmt>
      <c:pivotFmt>
        <c:idx val="1833"/>
        <c:marker>
          <c:symbol val="none"/>
        </c:marker>
      </c:pivotFmt>
      <c:pivotFmt>
        <c:idx val="1834"/>
        <c:marker>
          <c:symbol val="none"/>
        </c:marker>
      </c:pivotFmt>
      <c:pivotFmt>
        <c:idx val="1835"/>
        <c:marker>
          <c:symbol val="none"/>
        </c:marker>
      </c:pivotFmt>
      <c:pivotFmt>
        <c:idx val="1836"/>
        <c:marker>
          <c:symbol val="none"/>
        </c:marker>
      </c:pivotFmt>
      <c:pivotFmt>
        <c:idx val="1837"/>
        <c:marker>
          <c:symbol val="none"/>
        </c:marker>
      </c:pivotFmt>
      <c:pivotFmt>
        <c:idx val="1838"/>
        <c:marker>
          <c:symbol val="none"/>
        </c:marker>
      </c:pivotFmt>
      <c:pivotFmt>
        <c:idx val="1839"/>
        <c:marker>
          <c:symbol val="none"/>
        </c:marker>
      </c:pivotFmt>
      <c:pivotFmt>
        <c:idx val="1840"/>
        <c:marker>
          <c:symbol val="none"/>
        </c:marker>
      </c:pivotFmt>
      <c:pivotFmt>
        <c:idx val="1841"/>
        <c:marker>
          <c:symbol val="none"/>
        </c:marker>
      </c:pivotFmt>
      <c:pivotFmt>
        <c:idx val="1842"/>
        <c:marker>
          <c:symbol val="none"/>
        </c:marker>
      </c:pivotFmt>
      <c:pivotFmt>
        <c:idx val="1843"/>
        <c:marker>
          <c:symbol val="none"/>
        </c:marker>
      </c:pivotFmt>
      <c:pivotFmt>
        <c:idx val="1844"/>
        <c:marker>
          <c:symbol val="none"/>
        </c:marker>
      </c:pivotFmt>
      <c:pivotFmt>
        <c:idx val="1845"/>
        <c:marker>
          <c:symbol val="none"/>
        </c:marker>
      </c:pivotFmt>
      <c:pivotFmt>
        <c:idx val="1846"/>
        <c:marker>
          <c:symbol val="none"/>
        </c:marker>
      </c:pivotFmt>
      <c:pivotFmt>
        <c:idx val="1847"/>
        <c:marker>
          <c:symbol val="none"/>
        </c:marker>
      </c:pivotFmt>
      <c:pivotFmt>
        <c:idx val="1848"/>
        <c:marker>
          <c:symbol val="none"/>
        </c:marker>
      </c:pivotFmt>
      <c:pivotFmt>
        <c:idx val="1849"/>
        <c:marker>
          <c:symbol val="none"/>
        </c:marker>
      </c:pivotFmt>
      <c:pivotFmt>
        <c:idx val="1850"/>
        <c:marker>
          <c:symbol val="none"/>
        </c:marker>
      </c:pivotFmt>
      <c:pivotFmt>
        <c:idx val="1851"/>
        <c:marker>
          <c:symbol val="none"/>
        </c:marker>
      </c:pivotFmt>
      <c:pivotFmt>
        <c:idx val="1852"/>
        <c:marker>
          <c:symbol val="none"/>
        </c:marker>
      </c:pivotFmt>
      <c:pivotFmt>
        <c:idx val="1853"/>
        <c:marker>
          <c:symbol val="none"/>
        </c:marker>
      </c:pivotFmt>
      <c:pivotFmt>
        <c:idx val="1854"/>
        <c:marker>
          <c:symbol val="none"/>
        </c:marker>
      </c:pivotFmt>
      <c:pivotFmt>
        <c:idx val="1855"/>
        <c:marker>
          <c:symbol val="none"/>
        </c:marker>
      </c:pivotFmt>
      <c:pivotFmt>
        <c:idx val="1856"/>
        <c:marker>
          <c:symbol val="none"/>
        </c:marker>
      </c:pivotFmt>
      <c:pivotFmt>
        <c:idx val="1857"/>
        <c:marker>
          <c:symbol val="none"/>
        </c:marker>
      </c:pivotFmt>
      <c:pivotFmt>
        <c:idx val="1858"/>
        <c:marker>
          <c:symbol val="none"/>
        </c:marker>
      </c:pivotFmt>
      <c:pivotFmt>
        <c:idx val="1859"/>
        <c:marker>
          <c:symbol val="none"/>
        </c:marker>
      </c:pivotFmt>
      <c:pivotFmt>
        <c:idx val="1860"/>
        <c:marker>
          <c:symbol val="none"/>
        </c:marker>
      </c:pivotFmt>
      <c:pivotFmt>
        <c:idx val="1861"/>
        <c:marker>
          <c:symbol val="none"/>
        </c:marker>
      </c:pivotFmt>
      <c:pivotFmt>
        <c:idx val="1862"/>
        <c:marker>
          <c:symbol val="none"/>
        </c:marker>
      </c:pivotFmt>
      <c:pivotFmt>
        <c:idx val="1863"/>
        <c:marker>
          <c:symbol val="none"/>
        </c:marker>
      </c:pivotFmt>
      <c:pivotFmt>
        <c:idx val="1864"/>
        <c:marker>
          <c:symbol val="none"/>
        </c:marker>
      </c:pivotFmt>
      <c:pivotFmt>
        <c:idx val="1865"/>
        <c:marker>
          <c:symbol val="none"/>
        </c:marker>
      </c:pivotFmt>
      <c:pivotFmt>
        <c:idx val="1866"/>
        <c:marker>
          <c:symbol val="none"/>
        </c:marker>
      </c:pivotFmt>
      <c:pivotFmt>
        <c:idx val="1867"/>
        <c:marker>
          <c:symbol val="none"/>
        </c:marker>
      </c:pivotFmt>
      <c:pivotFmt>
        <c:idx val="1868"/>
        <c:marker>
          <c:symbol val="none"/>
        </c:marker>
      </c:pivotFmt>
      <c:pivotFmt>
        <c:idx val="1869"/>
        <c:marker>
          <c:symbol val="none"/>
        </c:marker>
      </c:pivotFmt>
      <c:pivotFmt>
        <c:idx val="1870"/>
        <c:marker>
          <c:symbol val="none"/>
        </c:marker>
      </c:pivotFmt>
      <c:pivotFmt>
        <c:idx val="1871"/>
        <c:marker>
          <c:symbol val="none"/>
        </c:marker>
      </c:pivotFmt>
      <c:pivotFmt>
        <c:idx val="1872"/>
        <c:marker>
          <c:symbol val="none"/>
        </c:marker>
      </c:pivotFmt>
      <c:pivotFmt>
        <c:idx val="1873"/>
        <c:marker>
          <c:symbol val="none"/>
        </c:marker>
      </c:pivotFmt>
      <c:pivotFmt>
        <c:idx val="1874"/>
        <c:marker>
          <c:symbol val="none"/>
        </c:marker>
      </c:pivotFmt>
      <c:pivotFmt>
        <c:idx val="1875"/>
        <c:marker>
          <c:symbol val="none"/>
        </c:marker>
      </c:pivotFmt>
      <c:pivotFmt>
        <c:idx val="1876"/>
        <c:marker>
          <c:symbol val="none"/>
        </c:marker>
      </c:pivotFmt>
      <c:pivotFmt>
        <c:idx val="1877"/>
        <c:marker>
          <c:symbol val="none"/>
        </c:marker>
      </c:pivotFmt>
      <c:pivotFmt>
        <c:idx val="1878"/>
        <c:marker>
          <c:symbol val="none"/>
        </c:marker>
      </c:pivotFmt>
      <c:pivotFmt>
        <c:idx val="1879"/>
        <c:marker>
          <c:symbol val="none"/>
        </c:marker>
      </c:pivotFmt>
      <c:pivotFmt>
        <c:idx val="1880"/>
        <c:marker>
          <c:symbol val="none"/>
        </c:marker>
      </c:pivotFmt>
      <c:pivotFmt>
        <c:idx val="1881"/>
        <c:marker>
          <c:symbol val="none"/>
        </c:marker>
      </c:pivotFmt>
      <c:pivotFmt>
        <c:idx val="1882"/>
        <c:marker>
          <c:symbol val="none"/>
        </c:marker>
      </c:pivotFmt>
      <c:pivotFmt>
        <c:idx val="1883"/>
        <c:marker>
          <c:symbol val="none"/>
        </c:marker>
      </c:pivotFmt>
      <c:pivotFmt>
        <c:idx val="1884"/>
        <c:marker>
          <c:symbol val="none"/>
        </c:marker>
      </c:pivotFmt>
      <c:pivotFmt>
        <c:idx val="1885"/>
        <c:marker>
          <c:symbol val="none"/>
        </c:marker>
      </c:pivotFmt>
      <c:pivotFmt>
        <c:idx val="1886"/>
        <c:marker>
          <c:symbol val="none"/>
        </c:marker>
      </c:pivotFmt>
      <c:pivotFmt>
        <c:idx val="1887"/>
        <c:marker>
          <c:symbol val="none"/>
        </c:marker>
      </c:pivotFmt>
      <c:pivotFmt>
        <c:idx val="1888"/>
        <c:marker>
          <c:symbol val="none"/>
        </c:marker>
      </c:pivotFmt>
      <c:pivotFmt>
        <c:idx val="1889"/>
        <c:marker>
          <c:symbol val="none"/>
        </c:marker>
      </c:pivotFmt>
      <c:pivotFmt>
        <c:idx val="1890"/>
        <c:marker>
          <c:symbol val="none"/>
        </c:marker>
      </c:pivotFmt>
      <c:pivotFmt>
        <c:idx val="1891"/>
        <c:marker>
          <c:symbol val="none"/>
        </c:marker>
      </c:pivotFmt>
      <c:pivotFmt>
        <c:idx val="1892"/>
        <c:marker>
          <c:symbol val="none"/>
        </c:marker>
      </c:pivotFmt>
      <c:pivotFmt>
        <c:idx val="1893"/>
        <c:marker>
          <c:symbol val="none"/>
        </c:marker>
      </c:pivotFmt>
      <c:pivotFmt>
        <c:idx val="1894"/>
        <c:marker>
          <c:symbol val="none"/>
        </c:marker>
      </c:pivotFmt>
      <c:pivotFmt>
        <c:idx val="1895"/>
        <c:marker>
          <c:symbol val="none"/>
        </c:marker>
      </c:pivotFmt>
      <c:pivotFmt>
        <c:idx val="1896"/>
        <c:marker>
          <c:symbol val="none"/>
        </c:marker>
      </c:pivotFmt>
      <c:pivotFmt>
        <c:idx val="1897"/>
        <c:marker>
          <c:symbol val="none"/>
        </c:marker>
      </c:pivotFmt>
      <c:pivotFmt>
        <c:idx val="1898"/>
        <c:marker>
          <c:symbol val="none"/>
        </c:marker>
      </c:pivotFmt>
      <c:pivotFmt>
        <c:idx val="1899"/>
        <c:marker>
          <c:symbol val="none"/>
        </c:marker>
      </c:pivotFmt>
      <c:pivotFmt>
        <c:idx val="1900"/>
        <c:marker>
          <c:symbol val="none"/>
        </c:marker>
      </c:pivotFmt>
      <c:pivotFmt>
        <c:idx val="1901"/>
        <c:marker>
          <c:symbol val="none"/>
        </c:marker>
      </c:pivotFmt>
      <c:pivotFmt>
        <c:idx val="1902"/>
        <c:marker>
          <c:symbol val="none"/>
        </c:marker>
      </c:pivotFmt>
      <c:pivotFmt>
        <c:idx val="1903"/>
        <c:marker>
          <c:symbol val="none"/>
        </c:marker>
      </c:pivotFmt>
      <c:pivotFmt>
        <c:idx val="1904"/>
        <c:marker>
          <c:symbol val="none"/>
        </c:marker>
      </c:pivotFmt>
      <c:pivotFmt>
        <c:idx val="1905"/>
        <c:marker>
          <c:symbol val="none"/>
        </c:marker>
      </c:pivotFmt>
      <c:pivotFmt>
        <c:idx val="1906"/>
        <c:marker>
          <c:symbol val="none"/>
        </c:marker>
      </c:pivotFmt>
      <c:pivotFmt>
        <c:idx val="1907"/>
        <c:marker>
          <c:symbol val="none"/>
        </c:marker>
      </c:pivotFmt>
      <c:pivotFmt>
        <c:idx val="1908"/>
        <c:marker>
          <c:symbol val="none"/>
        </c:marker>
      </c:pivotFmt>
      <c:pivotFmt>
        <c:idx val="1909"/>
        <c:marker>
          <c:symbol val="none"/>
        </c:marker>
      </c:pivotFmt>
      <c:pivotFmt>
        <c:idx val="1910"/>
        <c:marker>
          <c:symbol val="none"/>
        </c:marker>
      </c:pivotFmt>
      <c:pivotFmt>
        <c:idx val="1911"/>
        <c:marker>
          <c:symbol val="none"/>
        </c:marker>
      </c:pivotFmt>
      <c:pivotFmt>
        <c:idx val="1912"/>
        <c:marker>
          <c:symbol val="none"/>
        </c:marker>
      </c:pivotFmt>
      <c:pivotFmt>
        <c:idx val="1913"/>
        <c:marker>
          <c:symbol val="none"/>
        </c:marker>
      </c:pivotFmt>
      <c:pivotFmt>
        <c:idx val="1914"/>
        <c:marker>
          <c:symbol val="none"/>
        </c:marker>
      </c:pivotFmt>
      <c:pivotFmt>
        <c:idx val="1915"/>
        <c:marker>
          <c:symbol val="none"/>
        </c:marker>
      </c:pivotFmt>
      <c:pivotFmt>
        <c:idx val="1916"/>
        <c:marker>
          <c:symbol val="none"/>
        </c:marker>
      </c:pivotFmt>
      <c:pivotFmt>
        <c:idx val="1917"/>
        <c:marker>
          <c:symbol val="none"/>
        </c:marker>
      </c:pivotFmt>
      <c:pivotFmt>
        <c:idx val="1918"/>
        <c:marker>
          <c:symbol val="none"/>
        </c:marker>
      </c:pivotFmt>
      <c:pivotFmt>
        <c:idx val="1919"/>
        <c:marker>
          <c:symbol val="none"/>
        </c:marker>
      </c:pivotFmt>
      <c:pivotFmt>
        <c:idx val="1920"/>
        <c:marker>
          <c:symbol val="none"/>
        </c:marker>
      </c:pivotFmt>
      <c:pivotFmt>
        <c:idx val="1921"/>
        <c:marker>
          <c:symbol val="none"/>
        </c:marker>
      </c:pivotFmt>
      <c:pivotFmt>
        <c:idx val="1922"/>
        <c:marker>
          <c:symbol val="none"/>
        </c:marker>
      </c:pivotFmt>
      <c:pivotFmt>
        <c:idx val="1923"/>
        <c:marker>
          <c:symbol val="none"/>
        </c:marker>
      </c:pivotFmt>
      <c:pivotFmt>
        <c:idx val="1924"/>
        <c:marker>
          <c:symbol val="none"/>
        </c:marker>
      </c:pivotFmt>
      <c:pivotFmt>
        <c:idx val="1925"/>
        <c:marker>
          <c:symbol val="none"/>
        </c:marker>
      </c:pivotFmt>
      <c:pivotFmt>
        <c:idx val="1926"/>
        <c:marker>
          <c:symbol val="none"/>
        </c:marker>
      </c:pivotFmt>
      <c:pivotFmt>
        <c:idx val="1927"/>
        <c:marker>
          <c:symbol val="none"/>
        </c:marker>
      </c:pivotFmt>
      <c:pivotFmt>
        <c:idx val="1928"/>
        <c:marker>
          <c:symbol val="none"/>
        </c:marker>
      </c:pivotFmt>
      <c:pivotFmt>
        <c:idx val="1929"/>
        <c:marker>
          <c:symbol val="none"/>
        </c:marker>
      </c:pivotFmt>
      <c:pivotFmt>
        <c:idx val="1930"/>
        <c:marker>
          <c:symbol val="none"/>
        </c:marker>
      </c:pivotFmt>
      <c:pivotFmt>
        <c:idx val="1931"/>
        <c:marker>
          <c:symbol val="none"/>
        </c:marker>
      </c:pivotFmt>
      <c:pivotFmt>
        <c:idx val="1932"/>
        <c:marker>
          <c:symbol val="none"/>
        </c:marker>
      </c:pivotFmt>
      <c:pivotFmt>
        <c:idx val="1933"/>
        <c:marker>
          <c:symbol val="none"/>
        </c:marker>
      </c:pivotFmt>
      <c:pivotFmt>
        <c:idx val="1934"/>
        <c:marker>
          <c:symbol val="none"/>
        </c:marker>
      </c:pivotFmt>
      <c:pivotFmt>
        <c:idx val="1935"/>
        <c:marker>
          <c:symbol val="none"/>
        </c:marker>
      </c:pivotFmt>
      <c:pivotFmt>
        <c:idx val="1936"/>
        <c:marker>
          <c:symbol val="none"/>
        </c:marker>
      </c:pivotFmt>
      <c:pivotFmt>
        <c:idx val="1937"/>
        <c:marker>
          <c:symbol val="none"/>
        </c:marker>
      </c:pivotFmt>
      <c:pivotFmt>
        <c:idx val="1938"/>
        <c:marker>
          <c:symbol val="none"/>
        </c:marker>
      </c:pivotFmt>
      <c:pivotFmt>
        <c:idx val="1939"/>
        <c:marker>
          <c:symbol val="none"/>
        </c:marker>
      </c:pivotFmt>
      <c:pivotFmt>
        <c:idx val="1940"/>
        <c:marker>
          <c:symbol val="none"/>
        </c:marker>
      </c:pivotFmt>
      <c:pivotFmt>
        <c:idx val="1941"/>
        <c:marker>
          <c:symbol val="none"/>
        </c:marker>
      </c:pivotFmt>
      <c:pivotFmt>
        <c:idx val="1942"/>
        <c:marker>
          <c:symbol val="none"/>
        </c:marker>
      </c:pivotFmt>
      <c:pivotFmt>
        <c:idx val="1943"/>
        <c:marker>
          <c:symbol val="none"/>
        </c:marker>
      </c:pivotFmt>
      <c:pivotFmt>
        <c:idx val="1944"/>
        <c:marker>
          <c:symbol val="none"/>
        </c:marker>
      </c:pivotFmt>
      <c:pivotFmt>
        <c:idx val="1945"/>
        <c:marker>
          <c:symbol val="none"/>
        </c:marker>
      </c:pivotFmt>
      <c:pivotFmt>
        <c:idx val="1946"/>
        <c:marker>
          <c:symbol val="none"/>
        </c:marker>
      </c:pivotFmt>
      <c:pivotFmt>
        <c:idx val="1947"/>
        <c:marker>
          <c:symbol val="none"/>
        </c:marker>
      </c:pivotFmt>
      <c:pivotFmt>
        <c:idx val="1948"/>
        <c:marker>
          <c:symbol val="none"/>
        </c:marker>
      </c:pivotFmt>
      <c:pivotFmt>
        <c:idx val="1949"/>
        <c:marker>
          <c:symbol val="none"/>
        </c:marker>
      </c:pivotFmt>
      <c:pivotFmt>
        <c:idx val="1950"/>
        <c:marker>
          <c:symbol val="none"/>
        </c:marker>
      </c:pivotFmt>
      <c:pivotFmt>
        <c:idx val="1951"/>
        <c:marker>
          <c:symbol val="none"/>
        </c:marker>
      </c:pivotFmt>
      <c:pivotFmt>
        <c:idx val="1952"/>
        <c:marker>
          <c:symbol val="none"/>
        </c:marker>
      </c:pivotFmt>
      <c:pivotFmt>
        <c:idx val="1953"/>
        <c:marker>
          <c:symbol val="none"/>
        </c:marker>
      </c:pivotFmt>
      <c:pivotFmt>
        <c:idx val="1954"/>
        <c:marker>
          <c:symbol val="none"/>
        </c:marker>
      </c:pivotFmt>
      <c:pivotFmt>
        <c:idx val="1955"/>
        <c:marker>
          <c:symbol val="none"/>
        </c:marker>
      </c:pivotFmt>
      <c:pivotFmt>
        <c:idx val="1956"/>
        <c:marker>
          <c:symbol val="none"/>
        </c:marker>
      </c:pivotFmt>
      <c:pivotFmt>
        <c:idx val="1957"/>
        <c:marker>
          <c:symbol val="none"/>
        </c:marker>
      </c:pivotFmt>
      <c:pivotFmt>
        <c:idx val="1958"/>
        <c:marker>
          <c:symbol val="none"/>
        </c:marker>
      </c:pivotFmt>
      <c:pivotFmt>
        <c:idx val="1959"/>
        <c:marker>
          <c:symbol val="none"/>
        </c:marker>
      </c:pivotFmt>
      <c:pivotFmt>
        <c:idx val="1960"/>
        <c:marker>
          <c:symbol val="none"/>
        </c:marker>
      </c:pivotFmt>
      <c:pivotFmt>
        <c:idx val="1961"/>
        <c:marker>
          <c:symbol val="none"/>
        </c:marker>
      </c:pivotFmt>
      <c:pivotFmt>
        <c:idx val="1962"/>
        <c:marker>
          <c:symbol val="none"/>
        </c:marker>
      </c:pivotFmt>
      <c:pivotFmt>
        <c:idx val="1963"/>
        <c:marker>
          <c:symbol val="none"/>
        </c:marker>
      </c:pivotFmt>
      <c:pivotFmt>
        <c:idx val="1964"/>
        <c:marker>
          <c:symbol val="none"/>
        </c:marker>
      </c:pivotFmt>
      <c:pivotFmt>
        <c:idx val="1965"/>
        <c:marker>
          <c:symbol val="none"/>
        </c:marker>
      </c:pivotFmt>
      <c:pivotFmt>
        <c:idx val="1966"/>
        <c:marker>
          <c:symbol val="none"/>
        </c:marker>
      </c:pivotFmt>
      <c:pivotFmt>
        <c:idx val="1967"/>
        <c:marker>
          <c:symbol val="none"/>
        </c:marker>
      </c:pivotFmt>
      <c:pivotFmt>
        <c:idx val="1968"/>
        <c:marker>
          <c:symbol val="none"/>
        </c:marker>
      </c:pivotFmt>
      <c:pivotFmt>
        <c:idx val="1969"/>
        <c:marker>
          <c:symbol val="none"/>
        </c:marker>
      </c:pivotFmt>
      <c:pivotFmt>
        <c:idx val="1970"/>
        <c:marker>
          <c:symbol val="none"/>
        </c:marker>
      </c:pivotFmt>
      <c:pivotFmt>
        <c:idx val="1971"/>
        <c:marker>
          <c:symbol val="none"/>
        </c:marker>
      </c:pivotFmt>
      <c:pivotFmt>
        <c:idx val="1972"/>
        <c:marker>
          <c:symbol val="none"/>
        </c:marker>
      </c:pivotFmt>
      <c:pivotFmt>
        <c:idx val="1973"/>
        <c:marker>
          <c:symbol val="none"/>
        </c:marker>
      </c:pivotFmt>
      <c:pivotFmt>
        <c:idx val="1974"/>
        <c:marker>
          <c:symbol val="none"/>
        </c:marker>
      </c:pivotFmt>
      <c:pivotFmt>
        <c:idx val="1975"/>
        <c:marker>
          <c:symbol val="none"/>
        </c:marker>
      </c:pivotFmt>
      <c:pivotFmt>
        <c:idx val="1976"/>
        <c:marker>
          <c:symbol val="none"/>
        </c:marker>
      </c:pivotFmt>
      <c:pivotFmt>
        <c:idx val="1977"/>
        <c:marker>
          <c:symbol val="none"/>
        </c:marker>
      </c:pivotFmt>
      <c:pivotFmt>
        <c:idx val="1978"/>
        <c:marker>
          <c:symbol val="none"/>
        </c:marker>
      </c:pivotFmt>
      <c:pivotFmt>
        <c:idx val="1979"/>
        <c:marker>
          <c:symbol val="none"/>
        </c:marker>
      </c:pivotFmt>
      <c:pivotFmt>
        <c:idx val="1980"/>
        <c:marker>
          <c:symbol val="none"/>
        </c:marker>
      </c:pivotFmt>
      <c:pivotFmt>
        <c:idx val="1981"/>
        <c:marker>
          <c:symbol val="none"/>
        </c:marker>
      </c:pivotFmt>
      <c:pivotFmt>
        <c:idx val="1982"/>
        <c:marker>
          <c:symbol val="none"/>
        </c:marker>
      </c:pivotFmt>
      <c:pivotFmt>
        <c:idx val="1983"/>
        <c:marker>
          <c:symbol val="none"/>
        </c:marker>
      </c:pivotFmt>
      <c:pivotFmt>
        <c:idx val="1984"/>
        <c:marker>
          <c:symbol val="none"/>
        </c:marker>
      </c:pivotFmt>
      <c:pivotFmt>
        <c:idx val="1985"/>
        <c:marker>
          <c:symbol val="none"/>
        </c:marker>
      </c:pivotFmt>
      <c:pivotFmt>
        <c:idx val="1986"/>
        <c:marker>
          <c:symbol val="none"/>
        </c:marker>
      </c:pivotFmt>
      <c:pivotFmt>
        <c:idx val="1987"/>
        <c:marker>
          <c:symbol val="none"/>
        </c:marker>
      </c:pivotFmt>
      <c:pivotFmt>
        <c:idx val="1988"/>
        <c:marker>
          <c:symbol val="none"/>
        </c:marker>
      </c:pivotFmt>
      <c:pivotFmt>
        <c:idx val="1989"/>
        <c:marker>
          <c:symbol val="none"/>
        </c:marker>
      </c:pivotFmt>
      <c:pivotFmt>
        <c:idx val="1990"/>
        <c:marker>
          <c:symbol val="none"/>
        </c:marker>
      </c:pivotFmt>
      <c:pivotFmt>
        <c:idx val="1991"/>
        <c:marker>
          <c:symbol val="none"/>
        </c:marker>
      </c:pivotFmt>
      <c:pivotFmt>
        <c:idx val="1992"/>
        <c:marker>
          <c:symbol val="none"/>
        </c:marker>
      </c:pivotFmt>
      <c:pivotFmt>
        <c:idx val="1993"/>
        <c:marker>
          <c:symbol val="none"/>
        </c:marker>
      </c:pivotFmt>
      <c:pivotFmt>
        <c:idx val="1994"/>
        <c:marker>
          <c:symbol val="none"/>
        </c:marker>
      </c:pivotFmt>
      <c:pivotFmt>
        <c:idx val="1995"/>
        <c:marker>
          <c:symbol val="none"/>
        </c:marker>
      </c:pivotFmt>
      <c:pivotFmt>
        <c:idx val="1996"/>
        <c:marker>
          <c:symbol val="none"/>
        </c:marker>
      </c:pivotFmt>
      <c:pivotFmt>
        <c:idx val="1997"/>
        <c:marker>
          <c:symbol val="none"/>
        </c:marker>
      </c:pivotFmt>
      <c:pivotFmt>
        <c:idx val="1998"/>
        <c:marker>
          <c:symbol val="none"/>
        </c:marker>
      </c:pivotFmt>
      <c:pivotFmt>
        <c:idx val="1999"/>
        <c:marker>
          <c:symbol val="none"/>
        </c:marker>
      </c:pivotFmt>
      <c:pivotFmt>
        <c:idx val="2000"/>
        <c:marker>
          <c:symbol val="none"/>
        </c:marker>
      </c:pivotFmt>
      <c:pivotFmt>
        <c:idx val="2001"/>
        <c:marker>
          <c:symbol val="none"/>
        </c:marker>
      </c:pivotFmt>
      <c:pivotFmt>
        <c:idx val="2002"/>
        <c:marker>
          <c:symbol val="none"/>
        </c:marker>
      </c:pivotFmt>
      <c:pivotFmt>
        <c:idx val="2003"/>
        <c:marker>
          <c:symbol val="none"/>
        </c:marker>
      </c:pivotFmt>
      <c:pivotFmt>
        <c:idx val="2004"/>
        <c:marker>
          <c:symbol val="none"/>
        </c:marker>
      </c:pivotFmt>
      <c:pivotFmt>
        <c:idx val="2005"/>
        <c:marker>
          <c:symbol val="none"/>
        </c:marker>
      </c:pivotFmt>
      <c:pivotFmt>
        <c:idx val="2006"/>
        <c:marker>
          <c:symbol val="none"/>
        </c:marker>
      </c:pivotFmt>
      <c:pivotFmt>
        <c:idx val="2007"/>
        <c:marker>
          <c:symbol val="none"/>
        </c:marker>
      </c:pivotFmt>
      <c:pivotFmt>
        <c:idx val="2008"/>
        <c:marker>
          <c:symbol val="none"/>
        </c:marker>
      </c:pivotFmt>
      <c:pivotFmt>
        <c:idx val="2009"/>
        <c:marker>
          <c:symbol val="none"/>
        </c:marker>
      </c:pivotFmt>
      <c:pivotFmt>
        <c:idx val="2010"/>
        <c:marker>
          <c:symbol val="none"/>
        </c:marker>
      </c:pivotFmt>
      <c:pivotFmt>
        <c:idx val="2011"/>
        <c:marker>
          <c:symbol val="none"/>
        </c:marker>
      </c:pivotFmt>
      <c:pivotFmt>
        <c:idx val="2012"/>
        <c:marker>
          <c:symbol val="none"/>
        </c:marker>
      </c:pivotFmt>
      <c:pivotFmt>
        <c:idx val="2013"/>
        <c:marker>
          <c:symbol val="none"/>
        </c:marker>
      </c:pivotFmt>
      <c:pivotFmt>
        <c:idx val="2014"/>
        <c:marker>
          <c:symbol val="none"/>
        </c:marker>
      </c:pivotFmt>
      <c:pivotFmt>
        <c:idx val="2015"/>
        <c:marker>
          <c:symbol val="none"/>
        </c:marker>
      </c:pivotFmt>
      <c:pivotFmt>
        <c:idx val="2016"/>
        <c:marker>
          <c:symbol val="none"/>
        </c:marker>
      </c:pivotFmt>
      <c:pivotFmt>
        <c:idx val="2017"/>
        <c:marker>
          <c:symbol val="none"/>
        </c:marker>
      </c:pivotFmt>
      <c:pivotFmt>
        <c:idx val="2018"/>
        <c:marker>
          <c:symbol val="none"/>
        </c:marker>
      </c:pivotFmt>
      <c:pivotFmt>
        <c:idx val="2019"/>
        <c:marker>
          <c:symbol val="none"/>
        </c:marker>
      </c:pivotFmt>
      <c:pivotFmt>
        <c:idx val="2020"/>
        <c:marker>
          <c:symbol val="none"/>
        </c:marker>
      </c:pivotFmt>
      <c:pivotFmt>
        <c:idx val="2021"/>
        <c:marker>
          <c:symbol val="none"/>
        </c:marker>
      </c:pivotFmt>
      <c:pivotFmt>
        <c:idx val="2022"/>
        <c:marker>
          <c:symbol val="none"/>
        </c:marker>
      </c:pivotFmt>
      <c:pivotFmt>
        <c:idx val="2023"/>
        <c:marker>
          <c:symbol val="none"/>
        </c:marker>
      </c:pivotFmt>
      <c:pivotFmt>
        <c:idx val="2024"/>
        <c:marker>
          <c:symbol val="none"/>
        </c:marker>
      </c:pivotFmt>
      <c:pivotFmt>
        <c:idx val="2025"/>
        <c:marker>
          <c:symbol val="none"/>
        </c:marker>
      </c:pivotFmt>
      <c:pivotFmt>
        <c:idx val="2026"/>
        <c:marker>
          <c:symbol val="none"/>
        </c:marker>
      </c:pivotFmt>
      <c:pivotFmt>
        <c:idx val="2027"/>
        <c:marker>
          <c:symbol val="none"/>
        </c:marker>
      </c:pivotFmt>
      <c:pivotFmt>
        <c:idx val="2028"/>
        <c:marker>
          <c:symbol val="none"/>
        </c:marker>
      </c:pivotFmt>
      <c:pivotFmt>
        <c:idx val="2029"/>
        <c:marker>
          <c:symbol val="none"/>
        </c:marker>
      </c:pivotFmt>
      <c:pivotFmt>
        <c:idx val="2030"/>
        <c:marker>
          <c:symbol val="none"/>
        </c:marker>
      </c:pivotFmt>
      <c:pivotFmt>
        <c:idx val="2031"/>
        <c:marker>
          <c:symbol val="none"/>
        </c:marker>
      </c:pivotFmt>
      <c:pivotFmt>
        <c:idx val="2032"/>
        <c:marker>
          <c:symbol val="none"/>
        </c:marker>
      </c:pivotFmt>
      <c:pivotFmt>
        <c:idx val="2033"/>
        <c:marker>
          <c:symbol val="none"/>
        </c:marker>
      </c:pivotFmt>
      <c:pivotFmt>
        <c:idx val="2034"/>
        <c:marker>
          <c:symbol val="none"/>
        </c:marker>
      </c:pivotFmt>
      <c:pivotFmt>
        <c:idx val="2035"/>
        <c:marker>
          <c:symbol val="none"/>
        </c:marker>
      </c:pivotFmt>
      <c:pivotFmt>
        <c:idx val="2036"/>
        <c:marker>
          <c:symbol val="none"/>
        </c:marker>
      </c:pivotFmt>
      <c:pivotFmt>
        <c:idx val="2037"/>
        <c:marker>
          <c:symbol val="none"/>
        </c:marker>
      </c:pivotFmt>
      <c:pivotFmt>
        <c:idx val="2038"/>
        <c:marker>
          <c:symbol val="none"/>
        </c:marker>
      </c:pivotFmt>
      <c:pivotFmt>
        <c:idx val="2039"/>
        <c:marker>
          <c:symbol val="none"/>
        </c:marker>
      </c:pivotFmt>
      <c:pivotFmt>
        <c:idx val="2040"/>
        <c:marker>
          <c:symbol val="none"/>
        </c:marker>
      </c:pivotFmt>
      <c:pivotFmt>
        <c:idx val="2041"/>
        <c:marker>
          <c:symbol val="none"/>
        </c:marker>
      </c:pivotFmt>
      <c:pivotFmt>
        <c:idx val="2042"/>
        <c:marker>
          <c:symbol val="none"/>
        </c:marker>
      </c:pivotFmt>
      <c:pivotFmt>
        <c:idx val="2043"/>
        <c:marker>
          <c:symbol val="none"/>
        </c:marker>
      </c:pivotFmt>
      <c:pivotFmt>
        <c:idx val="2044"/>
        <c:marker>
          <c:symbol val="none"/>
        </c:marker>
      </c:pivotFmt>
      <c:pivotFmt>
        <c:idx val="2045"/>
        <c:marker>
          <c:symbol val="none"/>
        </c:marker>
      </c:pivotFmt>
      <c:pivotFmt>
        <c:idx val="2046"/>
        <c:marker>
          <c:symbol val="none"/>
        </c:marker>
      </c:pivotFmt>
      <c:pivotFmt>
        <c:idx val="2047"/>
        <c:marker>
          <c:symbol val="none"/>
        </c:marker>
      </c:pivotFmt>
      <c:pivotFmt>
        <c:idx val="2048"/>
        <c:marker>
          <c:symbol val="none"/>
        </c:marker>
      </c:pivotFmt>
      <c:pivotFmt>
        <c:idx val="2049"/>
        <c:marker>
          <c:symbol val="none"/>
        </c:marker>
      </c:pivotFmt>
      <c:pivotFmt>
        <c:idx val="2050"/>
        <c:marker>
          <c:symbol val="none"/>
        </c:marker>
        <c:dLbl>
          <c:idx val="0"/>
          <c:delete val="1"/>
        </c:dLbl>
      </c:pivotFmt>
      <c:pivotFmt>
        <c:idx val="2051"/>
        <c:marker>
          <c:symbol val="none"/>
        </c:marker>
      </c:pivotFmt>
      <c:pivotFmt>
        <c:idx val="2052"/>
        <c:marker>
          <c:symbol val="none"/>
        </c:marker>
        <c:dLbl>
          <c:idx val="0"/>
          <c:delete val="1"/>
        </c:dLbl>
      </c:pivotFmt>
      <c:pivotFmt>
        <c:idx val="2053"/>
        <c:marker>
          <c:symbol val="none"/>
        </c:marker>
        <c:dLbl>
          <c:idx val="0"/>
          <c:delete val="1"/>
        </c:dLbl>
      </c:pivotFmt>
      <c:pivotFmt>
        <c:idx val="2054"/>
        <c:marker>
          <c:symbol val="none"/>
        </c:marker>
        <c:dLbl>
          <c:idx val="0"/>
          <c:delete val="1"/>
        </c:dLbl>
      </c:pivotFmt>
      <c:pivotFmt>
        <c:idx val="2055"/>
        <c:marker>
          <c:symbol val="none"/>
        </c:marker>
        <c:dLbl>
          <c:idx val="0"/>
          <c:delete val="1"/>
        </c:dLbl>
      </c:pivotFmt>
      <c:pivotFmt>
        <c:idx val="2056"/>
        <c:marker>
          <c:symbol val="none"/>
        </c:marker>
        <c:dLbl>
          <c:idx val="0"/>
          <c:delete val="1"/>
        </c:dLbl>
      </c:pivotFmt>
      <c:pivotFmt>
        <c:idx val="2057"/>
        <c:marker>
          <c:symbol val="none"/>
        </c:marker>
        <c:dLbl>
          <c:idx val="0"/>
          <c:delete val="1"/>
        </c:dLbl>
      </c:pivotFmt>
      <c:pivotFmt>
        <c:idx val="2058"/>
        <c:marker>
          <c:symbol val="none"/>
        </c:marker>
      </c:pivotFmt>
      <c:pivotFmt>
        <c:idx val="2059"/>
        <c:marker>
          <c:symbol val="none"/>
        </c:marker>
      </c:pivotFmt>
      <c:pivotFmt>
        <c:idx val="2060"/>
        <c:marker>
          <c:symbol val="none"/>
        </c:marker>
      </c:pivotFmt>
      <c:pivotFmt>
        <c:idx val="2061"/>
        <c:marker>
          <c:symbol val="none"/>
        </c:marker>
      </c:pivotFmt>
      <c:pivotFmt>
        <c:idx val="2062"/>
        <c:marker>
          <c:symbol val="none"/>
        </c:marker>
      </c:pivotFmt>
      <c:pivotFmt>
        <c:idx val="2063"/>
        <c:marker>
          <c:symbol val="none"/>
        </c:marker>
      </c:pivotFmt>
      <c:pivotFmt>
        <c:idx val="2064"/>
        <c:marker>
          <c:symbol val="none"/>
        </c:marker>
      </c:pivotFmt>
      <c:pivotFmt>
        <c:idx val="2065"/>
        <c:marker>
          <c:symbol val="none"/>
        </c:marker>
      </c:pivotFmt>
      <c:pivotFmt>
        <c:idx val="2066"/>
        <c:marker>
          <c:symbol val="none"/>
        </c:marker>
      </c:pivotFmt>
      <c:pivotFmt>
        <c:idx val="2067"/>
        <c:marker>
          <c:symbol val="none"/>
        </c:marker>
      </c:pivotFmt>
      <c:pivotFmt>
        <c:idx val="2068"/>
        <c:marker>
          <c:symbol val="none"/>
        </c:marker>
      </c:pivotFmt>
      <c:pivotFmt>
        <c:idx val="2069"/>
        <c:marker>
          <c:symbol val="none"/>
        </c:marker>
      </c:pivotFmt>
      <c:pivotFmt>
        <c:idx val="2070"/>
        <c:marker>
          <c:symbol val="none"/>
        </c:marker>
      </c:pivotFmt>
      <c:pivotFmt>
        <c:idx val="2071"/>
        <c:marker>
          <c:symbol val="none"/>
        </c:marker>
      </c:pivotFmt>
      <c:pivotFmt>
        <c:idx val="2072"/>
        <c:marker>
          <c:symbol val="none"/>
        </c:marker>
      </c:pivotFmt>
      <c:pivotFmt>
        <c:idx val="2073"/>
        <c:marker>
          <c:symbol val="none"/>
        </c:marker>
      </c:pivotFmt>
      <c:pivotFmt>
        <c:idx val="2074"/>
        <c:marker>
          <c:symbol val="none"/>
        </c:marker>
      </c:pivotFmt>
      <c:pivotFmt>
        <c:idx val="2075"/>
        <c:marker>
          <c:symbol val="none"/>
        </c:marker>
      </c:pivotFmt>
      <c:pivotFmt>
        <c:idx val="2076"/>
        <c:marker>
          <c:symbol val="none"/>
        </c:marker>
      </c:pivotFmt>
      <c:pivotFmt>
        <c:idx val="2077"/>
        <c:marker>
          <c:symbol val="none"/>
        </c:marker>
      </c:pivotFmt>
      <c:pivotFmt>
        <c:idx val="2078"/>
        <c:marker>
          <c:symbol val="none"/>
        </c:marker>
      </c:pivotFmt>
      <c:pivotFmt>
        <c:idx val="2079"/>
        <c:marker>
          <c:symbol val="none"/>
        </c:marker>
      </c:pivotFmt>
      <c:pivotFmt>
        <c:idx val="2080"/>
        <c:marker>
          <c:symbol val="none"/>
        </c:marker>
      </c:pivotFmt>
      <c:pivotFmt>
        <c:idx val="2081"/>
        <c:marker>
          <c:symbol val="none"/>
        </c:marker>
      </c:pivotFmt>
      <c:pivotFmt>
        <c:idx val="2082"/>
        <c:marker>
          <c:symbol val="none"/>
        </c:marker>
      </c:pivotFmt>
      <c:pivotFmt>
        <c:idx val="2083"/>
        <c:marker>
          <c:symbol val="none"/>
        </c:marker>
      </c:pivotFmt>
      <c:pivotFmt>
        <c:idx val="2084"/>
        <c:marker>
          <c:symbol val="none"/>
        </c:marker>
      </c:pivotFmt>
      <c:pivotFmt>
        <c:idx val="2085"/>
        <c:marker>
          <c:symbol val="none"/>
        </c:marker>
      </c:pivotFmt>
      <c:pivotFmt>
        <c:idx val="2086"/>
        <c:marker>
          <c:symbol val="none"/>
        </c:marker>
      </c:pivotFmt>
      <c:pivotFmt>
        <c:idx val="2087"/>
        <c:marker>
          <c:symbol val="none"/>
        </c:marker>
      </c:pivotFmt>
      <c:pivotFmt>
        <c:idx val="2088"/>
        <c:marker>
          <c:symbol val="none"/>
        </c:marker>
      </c:pivotFmt>
      <c:pivotFmt>
        <c:idx val="2089"/>
        <c:marker>
          <c:symbol val="none"/>
        </c:marker>
      </c:pivotFmt>
      <c:pivotFmt>
        <c:idx val="2090"/>
        <c:marker>
          <c:symbol val="none"/>
        </c:marker>
      </c:pivotFmt>
      <c:pivotFmt>
        <c:idx val="2091"/>
        <c:marker>
          <c:symbol val="none"/>
        </c:marker>
      </c:pivotFmt>
      <c:pivotFmt>
        <c:idx val="2092"/>
        <c:marker>
          <c:symbol val="none"/>
        </c:marker>
      </c:pivotFmt>
      <c:pivotFmt>
        <c:idx val="2093"/>
        <c:marker>
          <c:symbol val="none"/>
        </c:marker>
      </c:pivotFmt>
      <c:pivotFmt>
        <c:idx val="2094"/>
        <c:marker>
          <c:symbol val="none"/>
        </c:marker>
      </c:pivotFmt>
      <c:pivotFmt>
        <c:idx val="2095"/>
        <c:marker>
          <c:symbol val="none"/>
        </c:marker>
      </c:pivotFmt>
      <c:pivotFmt>
        <c:idx val="2096"/>
        <c:marker>
          <c:symbol val="none"/>
        </c:marker>
      </c:pivotFmt>
      <c:pivotFmt>
        <c:idx val="2097"/>
        <c:marker>
          <c:symbol val="none"/>
        </c:marker>
      </c:pivotFmt>
      <c:pivotFmt>
        <c:idx val="2098"/>
        <c:marker>
          <c:symbol val="none"/>
        </c:marker>
      </c:pivotFmt>
      <c:pivotFmt>
        <c:idx val="2099"/>
        <c:marker>
          <c:symbol val="none"/>
        </c:marker>
      </c:pivotFmt>
      <c:pivotFmt>
        <c:idx val="2100"/>
        <c:marker>
          <c:symbol val="none"/>
        </c:marker>
      </c:pivotFmt>
      <c:pivotFmt>
        <c:idx val="2101"/>
        <c:marker>
          <c:symbol val="none"/>
        </c:marker>
      </c:pivotFmt>
      <c:pivotFmt>
        <c:idx val="2102"/>
        <c:marker>
          <c:symbol val="none"/>
        </c:marker>
      </c:pivotFmt>
      <c:pivotFmt>
        <c:idx val="2103"/>
        <c:marker>
          <c:symbol val="none"/>
        </c:marker>
      </c:pivotFmt>
      <c:pivotFmt>
        <c:idx val="2104"/>
        <c:marker>
          <c:symbol val="none"/>
        </c:marker>
      </c:pivotFmt>
      <c:pivotFmt>
        <c:idx val="2105"/>
        <c:marker>
          <c:symbol val="none"/>
        </c:marker>
      </c:pivotFmt>
      <c:pivotFmt>
        <c:idx val="2106"/>
        <c:marker>
          <c:symbol val="none"/>
        </c:marker>
      </c:pivotFmt>
      <c:pivotFmt>
        <c:idx val="2107"/>
        <c:marker>
          <c:symbol val="none"/>
        </c:marker>
      </c:pivotFmt>
      <c:pivotFmt>
        <c:idx val="2108"/>
        <c:marker>
          <c:symbol val="none"/>
        </c:marker>
      </c:pivotFmt>
      <c:pivotFmt>
        <c:idx val="2109"/>
        <c:marker>
          <c:symbol val="none"/>
        </c:marker>
      </c:pivotFmt>
      <c:pivotFmt>
        <c:idx val="2110"/>
        <c:marker>
          <c:symbol val="none"/>
        </c:marker>
      </c:pivotFmt>
      <c:pivotFmt>
        <c:idx val="2111"/>
        <c:marker>
          <c:symbol val="none"/>
        </c:marker>
      </c:pivotFmt>
      <c:pivotFmt>
        <c:idx val="2112"/>
        <c:marker>
          <c:symbol val="none"/>
        </c:marker>
      </c:pivotFmt>
      <c:pivotFmt>
        <c:idx val="2113"/>
        <c:marker>
          <c:symbol val="none"/>
        </c:marker>
      </c:pivotFmt>
      <c:pivotFmt>
        <c:idx val="2114"/>
        <c:marker>
          <c:symbol val="none"/>
        </c:marker>
      </c:pivotFmt>
      <c:pivotFmt>
        <c:idx val="2115"/>
        <c:marker>
          <c:symbol val="none"/>
        </c:marker>
      </c:pivotFmt>
      <c:pivotFmt>
        <c:idx val="2116"/>
        <c:marker>
          <c:symbol val="none"/>
        </c:marker>
      </c:pivotFmt>
      <c:pivotFmt>
        <c:idx val="2117"/>
        <c:marker>
          <c:symbol val="none"/>
        </c:marker>
      </c:pivotFmt>
      <c:pivotFmt>
        <c:idx val="2118"/>
        <c:marker>
          <c:symbol val="none"/>
        </c:marker>
      </c:pivotFmt>
      <c:pivotFmt>
        <c:idx val="2119"/>
        <c:marker>
          <c:symbol val="none"/>
        </c:marker>
      </c:pivotFmt>
      <c:pivotFmt>
        <c:idx val="2120"/>
        <c:marker>
          <c:symbol val="none"/>
        </c:marker>
      </c:pivotFmt>
      <c:pivotFmt>
        <c:idx val="2121"/>
        <c:marker>
          <c:symbol val="none"/>
        </c:marker>
      </c:pivotFmt>
      <c:pivotFmt>
        <c:idx val="2122"/>
        <c:marker>
          <c:symbol val="none"/>
        </c:marker>
      </c:pivotFmt>
      <c:pivotFmt>
        <c:idx val="2123"/>
        <c:marker>
          <c:symbol val="none"/>
        </c:marker>
      </c:pivotFmt>
      <c:pivotFmt>
        <c:idx val="2124"/>
        <c:marker>
          <c:symbol val="none"/>
        </c:marker>
      </c:pivotFmt>
      <c:pivotFmt>
        <c:idx val="2125"/>
        <c:marker>
          <c:symbol val="none"/>
        </c:marker>
      </c:pivotFmt>
      <c:pivotFmt>
        <c:idx val="2126"/>
        <c:marker>
          <c:symbol val="none"/>
        </c:marker>
      </c:pivotFmt>
      <c:pivotFmt>
        <c:idx val="2127"/>
        <c:marker>
          <c:symbol val="none"/>
        </c:marker>
      </c:pivotFmt>
      <c:pivotFmt>
        <c:idx val="2128"/>
        <c:marker>
          <c:symbol val="none"/>
        </c:marker>
      </c:pivotFmt>
      <c:pivotFmt>
        <c:idx val="2129"/>
        <c:marker>
          <c:symbol val="none"/>
        </c:marker>
      </c:pivotFmt>
      <c:pivotFmt>
        <c:idx val="2130"/>
        <c:marker>
          <c:symbol val="none"/>
        </c:marker>
      </c:pivotFmt>
      <c:pivotFmt>
        <c:idx val="2131"/>
        <c:marker>
          <c:symbol val="none"/>
        </c:marker>
      </c:pivotFmt>
      <c:pivotFmt>
        <c:idx val="2132"/>
        <c:marker>
          <c:symbol val="none"/>
        </c:marker>
      </c:pivotFmt>
      <c:pivotFmt>
        <c:idx val="2133"/>
        <c:marker>
          <c:symbol val="none"/>
        </c:marker>
      </c:pivotFmt>
      <c:pivotFmt>
        <c:idx val="2134"/>
        <c:marker>
          <c:symbol val="none"/>
        </c:marker>
      </c:pivotFmt>
      <c:pivotFmt>
        <c:idx val="2135"/>
        <c:marker>
          <c:symbol val="none"/>
        </c:marker>
      </c:pivotFmt>
      <c:pivotFmt>
        <c:idx val="2136"/>
        <c:marker>
          <c:symbol val="none"/>
        </c:marker>
      </c:pivotFmt>
      <c:pivotFmt>
        <c:idx val="2137"/>
        <c:marker>
          <c:symbol val="none"/>
        </c:marker>
      </c:pivotFmt>
      <c:pivotFmt>
        <c:idx val="2138"/>
        <c:marker>
          <c:symbol val="none"/>
        </c:marker>
      </c:pivotFmt>
      <c:pivotFmt>
        <c:idx val="2139"/>
        <c:marker>
          <c:symbol val="none"/>
        </c:marker>
      </c:pivotFmt>
      <c:pivotFmt>
        <c:idx val="2140"/>
        <c:marker>
          <c:symbol val="none"/>
        </c:marker>
      </c:pivotFmt>
      <c:pivotFmt>
        <c:idx val="2141"/>
        <c:marker>
          <c:symbol val="none"/>
        </c:marker>
      </c:pivotFmt>
      <c:pivotFmt>
        <c:idx val="2142"/>
        <c:marker>
          <c:symbol val="none"/>
        </c:marker>
      </c:pivotFmt>
      <c:pivotFmt>
        <c:idx val="2143"/>
        <c:marker>
          <c:symbol val="none"/>
        </c:marker>
      </c:pivotFmt>
      <c:pivotFmt>
        <c:idx val="2144"/>
        <c:marker>
          <c:symbol val="none"/>
        </c:marker>
      </c:pivotFmt>
      <c:pivotFmt>
        <c:idx val="2145"/>
        <c:marker>
          <c:symbol val="none"/>
        </c:marker>
      </c:pivotFmt>
      <c:pivotFmt>
        <c:idx val="2146"/>
        <c:marker>
          <c:symbol val="none"/>
        </c:marker>
      </c:pivotFmt>
      <c:pivotFmt>
        <c:idx val="2147"/>
        <c:marker>
          <c:symbol val="none"/>
        </c:marker>
      </c:pivotFmt>
      <c:pivotFmt>
        <c:idx val="2148"/>
        <c:marker>
          <c:symbol val="none"/>
        </c:marker>
      </c:pivotFmt>
      <c:pivotFmt>
        <c:idx val="2149"/>
        <c:marker>
          <c:symbol val="none"/>
        </c:marker>
      </c:pivotFmt>
      <c:pivotFmt>
        <c:idx val="2150"/>
        <c:marker>
          <c:symbol val="none"/>
        </c:marker>
      </c:pivotFmt>
      <c:pivotFmt>
        <c:idx val="2151"/>
        <c:marker>
          <c:symbol val="none"/>
        </c:marker>
      </c:pivotFmt>
      <c:pivotFmt>
        <c:idx val="2152"/>
        <c:marker>
          <c:symbol val="none"/>
        </c:marker>
      </c:pivotFmt>
      <c:pivotFmt>
        <c:idx val="2153"/>
        <c:marker>
          <c:symbol val="none"/>
        </c:marker>
      </c:pivotFmt>
      <c:pivotFmt>
        <c:idx val="2154"/>
        <c:marker>
          <c:symbol val="none"/>
        </c:marker>
      </c:pivotFmt>
      <c:pivotFmt>
        <c:idx val="2155"/>
        <c:marker>
          <c:symbol val="none"/>
        </c:marker>
      </c:pivotFmt>
      <c:pivotFmt>
        <c:idx val="2156"/>
        <c:marker>
          <c:symbol val="none"/>
        </c:marker>
      </c:pivotFmt>
      <c:pivotFmt>
        <c:idx val="2157"/>
        <c:marker>
          <c:symbol val="none"/>
        </c:marker>
      </c:pivotFmt>
      <c:pivotFmt>
        <c:idx val="2158"/>
        <c:marker>
          <c:symbol val="none"/>
        </c:marker>
      </c:pivotFmt>
      <c:pivotFmt>
        <c:idx val="2159"/>
        <c:marker>
          <c:symbol val="none"/>
        </c:marker>
      </c:pivotFmt>
      <c:pivotFmt>
        <c:idx val="2160"/>
        <c:marker>
          <c:symbol val="none"/>
        </c:marker>
      </c:pivotFmt>
      <c:pivotFmt>
        <c:idx val="2161"/>
        <c:marker>
          <c:symbol val="none"/>
        </c:marker>
      </c:pivotFmt>
      <c:pivotFmt>
        <c:idx val="2162"/>
        <c:marker>
          <c:symbol val="none"/>
        </c:marker>
      </c:pivotFmt>
      <c:pivotFmt>
        <c:idx val="2163"/>
        <c:marker>
          <c:symbol val="none"/>
        </c:marker>
      </c:pivotFmt>
      <c:pivotFmt>
        <c:idx val="2164"/>
        <c:marker>
          <c:symbol val="none"/>
        </c:marker>
      </c:pivotFmt>
      <c:pivotFmt>
        <c:idx val="2165"/>
        <c:marker>
          <c:symbol val="none"/>
        </c:marker>
      </c:pivotFmt>
      <c:pivotFmt>
        <c:idx val="2166"/>
        <c:marker>
          <c:symbol val="none"/>
        </c:marker>
      </c:pivotFmt>
      <c:pivotFmt>
        <c:idx val="2167"/>
        <c:marker>
          <c:symbol val="none"/>
        </c:marker>
      </c:pivotFmt>
      <c:pivotFmt>
        <c:idx val="2168"/>
        <c:marker>
          <c:symbol val="none"/>
        </c:marker>
      </c:pivotFmt>
      <c:pivotFmt>
        <c:idx val="2169"/>
        <c:marker>
          <c:symbol val="none"/>
        </c:marker>
      </c:pivotFmt>
      <c:pivotFmt>
        <c:idx val="2170"/>
        <c:marker>
          <c:symbol val="none"/>
        </c:marker>
      </c:pivotFmt>
      <c:pivotFmt>
        <c:idx val="2171"/>
        <c:marker>
          <c:symbol val="none"/>
        </c:marker>
      </c:pivotFmt>
      <c:pivotFmt>
        <c:idx val="2172"/>
        <c:marker>
          <c:symbol val="none"/>
        </c:marker>
      </c:pivotFmt>
      <c:pivotFmt>
        <c:idx val="2173"/>
        <c:marker>
          <c:symbol val="none"/>
        </c:marker>
      </c:pivotFmt>
      <c:pivotFmt>
        <c:idx val="2174"/>
        <c:marker>
          <c:symbol val="none"/>
        </c:marker>
      </c:pivotFmt>
      <c:pivotFmt>
        <c:idx val="2175"/>
        <c:marker>
          <c:symbol val="none"/>
        </c:marker>
      </c:pivotFmt>
      <c:pivotFmt>
        <c:idx val="2176"/>
        <c:marker>
          <c:symbol val="none"/>
        </c:marker>
      </c:pivotFmt>
      <c:pivotFmt>
        <c:idx val="2177"/>
        <c:marker>
          <c:symbol val="none"/>
        </c:marker>
      </c:pivotFmt>
      <c:pivotFmt>
        <c:idx val="2178"/>
        <c:marker>
          <c:symbol val="none"/>
        </c:marker>
      </c:pivotFmt>
      <c:pivotFmt>
        <c:idx val="2179"/>
        <c:marker>
          <c:symbol val="none"/>
        </c:marker>
      </c:pivotFmt>
      <c:pivotFmt>
        <c:idx val="2180"/>
        <c:marker>
          <c:symbol val="none"/>
        </c:marker>
      </c:pivotFmt>
      <c:pivotFmt>
        <c:idx val="2181"/>
        <c:marker>
          <c:symbol val="none"/>
        </c:marker>
      </c:pivotFmt>
      <c:pivotFmt>
        <c:idx val="2182"/>
        <c:marker>
          <c:symbol val="none"/>
        </c:marker>
      </c:pivotFmt>
      <c:pivotFmt>
        <c:idx val="2183"/>
        <c:marker>
          <c:symbol val="none"/>
        </c:marker>
      </c:pivotFmt>
      <c:pivotFmt>
        <c:idx val="2184"/>
        <c:marker>
          <c:symbol val="none"/>
        </c:marker>
      </c:pivotFmt>
      <c:pivotFmt>
        <c:idx val="2185"/>
        <c:marker>
          <c:symbol val="none"/>
        </c:marker>
      </c:pivotFmt>
      <c:pivotFmt>
        <c:idx val="2186"/>
        <c:marker>
          <c:symbol val="none"/>
        </c:marker>
      </c:pivotFmt>
      <c:pivotFmt>
        <c:idx val="2187"/>
        <c:marker>
          <c:symbol val="none"/>
        </c:marker>
      </c:pivotFmt>
      <c:pivotFmt>
        <c:idx val="2188"/>
        <c:marker>
          <c:symbol val="none"/>
        </c:marker>
      </c:pivotFmt>
      <c:pivotFmt>
        <c:idx val="2189"/>
        <c:marker>
          <c:symbol val="none"/>
        </c:marker>
      </c:pivotFmt>
      <c:pivotFmt>
        <c:idx val="2190"/>
        <c:marker>
          <c:symbol val="none"/>
        </c:marker>
      </c:pivotFmt>
      <c:pivotFmt>
        <c:idx val="2191"/>
        <c:marker>
          <c:symbol val="none"/>
        </c:marker>
      </c:pivotFmt>
      <c:pivotFmt>
        <c:idx val="2192"/>
        <c:marker>
          <c:symbol val="none"/>
        </c:marker>
      </c:pivotFmt>
      <c:pivotFmt>
        <c:idx val="2193"/>
        <c:marker>
          <c:symbol val="none"/>
        </c:marker>
      </c:pivotFmt>
      <c:pivotFmt>
        <c:idx val="2194"/>
        <c:marker>
          <c:symbol val="none"/>
        </c:marker>
      </c:pivotFmt>
      <c:pivotFmt>
        <c:idx val="2195"/>
        <c:marker>
          <c:symbol val="none"/>
        </c:marker>
      </c:pivotFmt>
      <c:pivotFmt>
        <c:idx val="2196"/>
        <c:marker>
          <c:symbol val="none"/>
        </c:marker>
      </c:pivotFmt>
      <c:pivotFmt>
        <c:idx val="2197"/>
        <c:marker>
          <c:symbol val="none"/>
        </c:marker>
      </c:pivotFmt>
      <c:pivotFmt>
        <c:idx val="2198"/>
        <c:marker>
          <c:symbol val="none"/>
        </c:marker>
      </c:pivotFmt>
      <c:pivotFmt>
        <c:idx val="2199"/>
        <c:marker>
          <c:symbol val="none"/>
        </c:marker>
      </c:pivotFmt>
      <c:pivotFmt>
        <c:idx val="2200"/>
        <c:marker>
          <c:symbol val="none"/>
        </c:marker>
      </c:pivotFmt>
      <c:pivotFmt>
        <c:idx val="2201"/>
        <c:marker>
          <c:symbol val="none"/>
        </c:marker>
      </c:pivotFmt>
      <c:pivotFmt>
        <c:idx val="2202"/>
        <c:marker>
          <c:symbol val="none"/>
        </c:marker>
      </c:pivotFmt>
      <c:pivotFmt>
        <c:idx val="2203"/>
        <c:marker>
          <c:symbol val="none"/>
        </c:marker>
      </c:pivotFmt>
      <c:pivotFmt>
        <c:idx val="2204"/>
        <c:marker>
          <c:symbol val="none"/>
        </c:marker>
      </c:pivotFmt>
      <c:pivotFmt>
        <c:idx val="2205"/>
        <c:marker>
          <c:symbol val="none"/>
        </c:marker>
      </c:pivotFmt>
      <c:pivotFmt>
        <c:idx val="2206"/>
        <c:marker>
          <c:symbol val="none"/>
        </c:marker>
      </c:pivotFmt>
      <c:pivotFmt>
        <c:idx val="2207"/>
        <c:marker>
          <c:symbol val="none"/>
        </c:marker>
      </c:pivotFmt>
      <c:pivotFmt>
        <c:idx val="2208"/>
        <c:marker>
          <c:symbol val="none"/>
        </c:marker>
      </c:pivotFmt>
      <c:pivotFmt>
        <c:idx val="2209"/>
        <c:marker>
          <c:symbol val="none"/>
        </c:marker>
      </c:pivotFmt>
      <c:pivotFmt>
        <c:idx val="2210"/>
        <c:marker>
          <c:symbol val="none"/>
        </c:marker>
      </c:pivotFmt>
      <c:pivotFmt>
        <c:idx val="2211"/>
        <c:marker>
          <c:symbol val="none"/>
        </c:marker>
      </c:pivotFmt>
      <c:pivotFmt>
        <c:idx val="2212"/>
        <c:marker>
          <c:symbol val="none"/>
        </c:marker>
      </c:pivotFmt>
      <c:pivotFmt>
        <c:idx val="2213"/>
        <c:marker>
          <c:symbol val="none"/>
        </c:marker>
      </c:pivotFmt>
      <c:pivotFmt>
        <c:idx val="2214"/>
        <c:marker>
          <c:symbol val="none"/>
        </c:marker>
      </c:pivotFmt>
      <c:pivotFmt>
        <c:idx val="2215"/>
        <c:marker>
          <c:symbol val="none"/>
        </c:marker>
      </c:pivotFmt>
      <c:pivotFmt>
        <c:idx val="2216"/>
        <c:marker>
          <c:symbol val="none"/>
        </c:marker>
      </c:pivotFmt>
      <c:pivotFmt>
        <c:idx val="2217"/>
        <c:marker>
          <c:symbol val="none"/>
        </c:marker>
      </c:pivotFmt>
      <c:pivotFmt>
        <c:idx val="2218"/>
        <c:marker>
          <c:symbol val="none"/>
        </c:marker>
      </c:pivotFmt>
      <c:pivotFmt>
        <c:idx val="2219"/>
        <c:marker>
          <c:symbol val="none"/>
        </c:marker>
      </c:pivotFmt>
      <c:pivotFmt>
        <c:idx val="2220"/>
        <c:marker>
          <c:symbol val="none"/>
        </c:marker>
      </c:pivotFmt>
      <c:pivotFmt>
        <c:idx val="2221"/>
        <c:marker>
          <c:symbol val="none"/>
        </c:marker>
      </c:pivotFmt>
      <c:pivotFmt>
        <c:idx val="2222"/>
        <c:marker>
          <c:symbol val="none"/>
        </c:marker>
      </c:pivotFmt>
      <c:pivotFmt>
        <c:idx val="2223"/>
        <c:marker>
          <c:symbol val="none"/>
        </c:marker>
      </c:pivotFmt>
      <c:pivotFmt>
        <c:idx val="2224"/>
        <c:marker>
          <c:symbol val="none"/>
        </c:marker>
      </c:pivotFmt>
      <c:pivotFmt>
        <c:idx val="2225"/>
        <c:marker>
          <c:symbol val="none"/>
        </c:marker>
      </c:pivotFmt>
      <c:pivotFmt>
        <c:idx val="2226"/>
        <c:marker>
          <c:symbol val="none"/>
        </c:marker>
      </c:pivotFmt>
      <c:pivotFmt>
        <c:idx val="2227"/>
        <c:marker>
          <c:symbol val="none"/>
        </c:marker>
      </c:pivotFmt>
      <c:pivotFmt>
        <c:idx val="2228"/>
        <c:marker>
          <c:symbol val="none"/>
        </c:marker>
      </c:pivotFmt>
      <c:pivotFmt>
        <c:idx val="2229"/>
        <c:marker>
          <c:symbol val="none"/>
        </c:marker>
      </c:pivotFmt>
      <c:pivotFmt>
        <c:idx val="2230"/>
        <c:marker>
          <c:symbol val="none"/>
        </c:marker>
      </c:pivotFmt>
      <c:pivotFmt>
        <c:idx val="2231"/>
        <c:marker>
          <c:symbol val="none"/>
        </c:marker>
      </c:pivotFmt>
      <c:pivotFmt>
        <c:idx val="2232"/>
        <c:marker>
          <c:symbol val="none"/>
        </c:marker>
      </c:pivotFmt>
      <c:pivotFmt>
        <c:idx val="2233"/>
        <c:marker>
          <c:symbol val="none"/>
        </c:marker>
      </c:pivotFmt>
      <c:pivotFmt>
        <c:idx val="2234"/>
        <c:marker>
          <c:symbol val="none"/>
        </c:marker>
      </c:pivotFmt>
      <c:pivotFmt>
        <c:idx val="2235"/>
        <c:marker>
          <c:symbol val="none"/>
        </c:marker>
      </c:pivotFmt>
      <c:pivotFmt>
        <c:idx val="2236"/>
        <c:marker>
          <c:symbol val="none"/>
        </c:marker>
      </c:pivotFmt>
      <c:pivotFmt>
        <c:idx val="2237"/>
        <c:marker>
          <c:symbol val="none"/>
        </c:marker>
      </c:pivotFmt>
      <c:pivotFmt>
        <c:idx val="2238"/>
        <c:marker>
          <c:symbol val="none"/>
        </c:marker>
      </c:pivotFmt>
      <c:pivotFmt>
        <c:idx val="2239"/>
        <c:marker>
          <c:symbol val="none"/>
        </c:marker>
      </c:pivotFmt>
      <c:pivotFmt>
        <c:idx val="2240"/>
        <c:marker>
          <c:symbol val="none"/>
        </c:marker>
      </c:pivotFmt>
      <c:pivotFmt>
        <c:idx val="2241"/>
        <c:marker>
          <c:symbol val="none"/>
        </c:marker>
      </c:pivotFmt>
      <c:pivotFmt>
        <c:idx val="2242"/>
        <c:marker>
          <c:symbol val="none"/>
        </c:marker>
      </c:pivotFmt>
      <c:pivotFmt>
        <c:idx val="2243"/>
        <c:marker>
          <c:symbol val="none"/>
        </c:marker>
      </c:pivotFmt>
      <c:pivotFmt>
        <c:idx val="2244"/>
        <c:marker>
          <c:symbol val="none"/>
        </c:marker>
      </c:pivotFmt>
      <c:pivotFmt>
        <c:idx val="2245"/>
        <c:marker>
          <c:symbol val="none"/>
        </c:marker>
      </c:pivotFmt>
      <c:pivotFmt>
        <c:idx val="2246"/>
        <c:marker>
          <c:symbol val="none"/>
        </c:marker>
      </c:pivotFmt>
      <c:pivotFmt>
        <c:idx val="2247"/>
        <c:marker>
          <c:symbol val="none"/>
        </c:marker>
      </c:pivotFmt>
      <c:pivotFmt>
        <c:idx val="2248"/>
        <c:marker>
          <c:symbol val="none"/>
        </c:marker>
      </c:pivotFmt>
      <c:pivotFmt>
        <c:idx val="2249"/>
        <c:marker>
          <c:symbol val="none"/>
        </c:marker>
      </c:pivotFmt>
      <c:pivotFmt>
        <c:idx val="2250"/>
        <c:marker>
          <c:symbol val="none"/>
        </c:marker>
      </c:pivotFmt>
      <c:pivotFmt>
        <c:idx val="2251"/>
        <c:marker>
          <c:symbol val="none"/>
        </c:marker>
      </c:pivotFmt>
      <c:pivotFmt>
        <c:idx val="2252"/>
        <c:marker>
          <c:symbol val="none"/>
        </c:marker>
      </c:pivotFmt>
      <c:pivotFmt>
        <c:idx val="2253"/>
        <c:marker>
          <c:symbol val="none"/>
        </c:marker>
      </c:pivotFmt>
      <c:pivotFmt>
        <c:idx val="2254"/>
        <c:marker>
          <c:symbol val="none"/>
        </c:marker>
      </c:pivotFmt>
      <c:pivotFmt>
        <c:idx val="2255"/>
        <c:marker>
          <c:symbol val="none"/>
        </c:marker>
      </c:pivotFmt>
      <c:pivotFmt>
        <c:idx val="2256"/>
        <c:marker>
          <c:symbol val="none"/>
        </c:marker>
      </c:pivotFmt>
      <c:pivotFmt>
        <c:idx val="2257"/>
        <c:marker>
          <c:symbol val="none"/>
        </c:marker>
      </c:pivotFmt>
      <c:pivotFmt>
        <c:idx val="2258"/>
        <c:marker>
          <c:symbol val="none"/>
        </c:marker>
      </c:pivotFmt>
      <c:pivotFmt>
        <c:idx val="2259"/>
        <c:marker>
          <c:symbol val="none"/>
        </c:marker>
      </c:pivotFmt>
      <c:pivotFmt>
        <c:idx val="2260"/>
        <c:marker>
          <c:symbol val="none"/>
        </c:marker>
      </c:pivotFmt>
      <c:pivotFmt>
        <c:idx val="2261"/>
        <c:marker>
          <c:symbol val="none"/>
        </c:marker>
      </c:pivotFmt>
      <c:pivotFmt>
        <c:idx val="2262"/>
        <c:marker>
          <c:symbol val="none"/>
        </c:marker>
      </c:pivotFmt>
      <c:pivotFmt>
        <c:idx val="2263"/>
        <c:marker>
          <c:symbol val="none"/>
        </c:marker>
      </c:pivotFmt>
      <c:pivotFmt>
        <c:idx val="2264"/>
        <c:marker>
          <c:symbol val="none"/>
        </c:marker>
      </c:pivotFmt>
      <c:pivotFmt>
        <c:idx val="2265"/>
        <c:marker>
          <c:symbol val="none"/>
        </c:marker>
      </c:pivotFmt>
      <c:pivotFmt>
        <c:idx val="2266"/>
        <c:marker>
          <c:symbol val="none"/>
        </c:marker>
      </c:pivotFmt>
      <c:pivotFmt>
        <c:idx val="2267"/>
        <c:marker>
          <c:symbol val="none"/>
        </c:marker>
      </c:pivotFmt>
      <c:pivotFmt>
        <c:idx val="2268"/>
        <c:marker>
          <c:symbol val="none"/>
        </c:marker>
      </c:pivotFmt>
      <c:pivotFmt>
        <c:idx val="2269"/>
        <c:marker>
          <c:symbol val="none"/>
        </c:marker>
      </c:pivotFmt>
      <c:pivotFmt>
        <c:idx val="2270"/>
        <c:marker>
          <c:symbol val="none"/>
        </c:marker>
      </c:pivotFmt>
      <c:pivotFmt>
        <c:idx val="2271"/>
        <c:marker>
          <c:symbol val="none"/>
        </c:marker>
      </c:pivotFmt>
      <c:pivotFmt>
        <c:idx val="2272"/>
        <c:marker>
          <c:symbol val="none"/>
        </c:marker>
      </c:pivotFmt>
      <c:pivotFmt>
        <c:idx val="2273"/>
        <c:marker>
          <c:symbol val="none"/>
        </c:marker>
      </c:pivotFmt>
      <c:pivotFmt>
        <c:idx val="2274"/>
        <c:marker>
          <c:symbol val="none"/>
        </c:marker>
      </c:pivotFmt>
      <c:pivotFmt>
        <c:idx val="2275"/>
        <c:marker>
          <c:symbol val="none"/>
        </c:marker>
      </c:pivotFmt>
      <c:pivotFmt>
        <c:idx val="2276"/>
        <c:marker>
          <c:symbol val="none"/>
        </c:marker>
      </c:pivotFmt>
      <c:pivotFmt>
        <c:idx val="2277"/>
        <c:marker>
          <c:symbol val="none"/>
        </c:marker>
      </c:pivotFmt>
      <c:pivotFmt>
        <c:idx val="2278"/>
        <c:marker>
          <c:symbol val="none"/>
        </c:marker>
      </c:pivotFmt>
      <c:pivotFmt>
        <c:idx val="2279"/>
        <c:marker>
          <c:symbol val="none"/>
        </c:marker>
      </c:pivotFmt>
      <c:pivotFmt>
        <c:idx val="2280"/>
        <c:marker>
          <c:symbol val="none"/>
        </c:marker>
      </c:pivotFmt>
      <c:pivotFmt>
        <c:idx val="2281"/>
        <c:marker>
          <c:symbol val="none"/>
        </c:marker>
      </c:pivotFmt>
      <c:pivotFmt>
        <c:idx val="2282"/>
        <c:marker>
          <c:symbol val="none"/>
        </c:marker>
      </c:pivotFmt>
      <c:pivotFmt>
        <c:idx val="2283"/>
        <c:marker>
          <c:symbol val="none"/>
        </c:marker>
      </c:pivotFmt>
      <c:pivotFmt>
        <c:idx val="2284"/>
        <c:marker>
          <c:symbol val="none"/>
        </c:marker>
      </c:pivotFmt>
      <c:pivotFmt>
        <c:idx val="2285"/>
        <c:marker>
          <c:symbol val="none"/>
        </c:marker>
      </c:pivotFmt>
      <c:pivotFmt>
        <c:idx val="2286"/>
        <c:marker>
          <c:symbol val="none"/>
        </c:marker>
        <c:dLbl>
          <c:idx val="0"/>
          <c:delete val="1"/>
        </c:dLbl>
      </c:pivotFmt>
      <c:pivotFmt>
        <c:idx val="2287"/>
        <c:marker>
          <c:symbol val="none"/>
        </c:marker>
      </c:pivotFmt>
      <c:pivotFmt>
        <c:idx val="2288"/>
        <c:marker>
          <c:symbol val="none"/>
        </c:marker>
      </c:pivotFmt>
      <c:pivotFmt>
        <c:idx val="2289"/>
        <c:marker>
          <c:symbol val="none"/>
        </c:marker>
      </c:pivotFmt>
      <c:pivotFmt>
        <c:idx val="2290"/>
        <c:marker>
          <c:symbol val="none"/>
        </c:marker>
      </c:pivotFmt>
      <c:pivotFmt>
        <c:idx val="2291"/>
        <c:marker>
          <c:symbol val="none"/>
        </c:marker>
      </c:pivotFmt>
      <c:pivotFmt>
        <c:idx val="2292"/>
        <c:marker>
          <c:symbol val="none"/>
        </c:marker>
      </c:pivotFmt>
      <c:pivotFmt>
        <c:idx val="2293"/>
        <c:marker>
          <c:symbol val="none"/>
        </c:marker>
      </c:pivotFmt>
      <c:pivotFmt>
        <c:idx val="2294"/>
        <c:marker>
          <c:symbol val="none"/>
        </c:marker>
        <c:dLbl>
          <c:idx val="0"/>
          <c:delete val="1"/>
        </c:dLbl>
      </c:pivotFmt>
      <c:pivotFmt>
        <c:idx val="2295"/>
        <c:marker>
          <c:symbol val="none"/>
        </c:marker>
        <c:dLbl>
          <c:idx val="0"/>
          <c:delete val="1"/>
        </c:dLbl>
      </c:pivotFmt>
      <c:pivotFmt>
        <c:idx val="2296"/>
        <c:marker>
          <c:symbol val="none"/>
        </c:marker>
        <c:dLbl>
          <c:idx val="0"/>
          <c:delete val="1"/>
        </c:dLbl>
      </c:pivotFmt>
      <c:pivotFmt>
        <c:idx val="2297"/>
        <c:marker>
          <c:symbol val="none"/>
        </c:marker>
        <c:dLbl>
          <c:idx val="0"/>
          <c:delete val="1"/>
        </c:dLbl>
      </c:pivotFmt>
      <c:pivotFmt>
        <c:idx val="2298"/>
        <c:marker>
          <c:symbol val="none"/>
        </c:marker>
      </c:pivotFmt>
      <c:pivotFmt>
        <c:idx val="2299"/>
        <c:marker>
          <c:symbol val="none"/>
        </c:marker>
      </c:pivotFmt>
      <c:pivotFmt>
        <c:idx val="2300"/>
        <c:marker>
          <c:symbol val="none"/>
        </c:marker>
      </c:pivotFmt>
      <c:pivotFmt>
        <c:idx val="2301"/>
        <c:marker>
          <c:symbol val="none"/>
        </c:marker>
      </c:pivotFmt>
      <c:pivotFmt>
        <c:idx val="2302"/>
        <c:marker>
          <c:symbol val="none"/>
        </c:marker>
      </c:pivotFmt>
      <c:pivotFmt>
        <c:idx val="2303"/>
        <c:marker>
          <c:symbol val="none"/>
        </c:marker>
      </c:pivotFmt>
      <c:pivotFmt>
        <c:idx val="2304"/>
        <c:marker>
          <c:symbol val="none"/>
        </c:marker>
      </c:pivotFmt>
      <c:pivotFmt>
        <c:idx val="2305"/>
        <c:marker>
          <c:symbol val="none"/>
        </c:marker>
      </c:pivotFmt>
      <c:pivotFmt>
        <c:idx val="2306"/>
        <c:marker>
          <c:symbol val="none"/>
        </c:marker>
      </c:pivotFmt>
      <c:pivotFmt>
        <c:idx val="2307"/>
        <c:marker>
          <c:symbol val="none"/>
        </c:marker>
      </c:pivotFmt>
      <c:pivotFmt>
        <c:idx val="2308"/>
        <c:marker>
          <c:symbol val="none"/>
        </c:marker>
      </c:pivotFmt>
      <c:pivotFmt>
        <c:idx val="2309"/>
        <c:marker>
          <c:symbol val="none"/>
        </c:marker>
      </c:pivotFmt>
      <c:pivotFmt>
        <c:idx val="2310"/>
        <c:marker>
          <c:symbol val="none"/>
        </c:marker>
      </c:pivotFmt>
      <c:pivotFmt>
        <c:idx val="2311"/>
        <c:marker>
          <c:symbol val="none"/>
        </c:marker>
      </c:pivotFmt>
      <c:pivotFmt>
        <c:idx val="2312"/>
        <c:marker>
          <c:symbol val="none"/>
        </c:marker>
      </c:pivotFmt>
      <c:pivotFmt>
        <c:idx val="2313"/>
        <c:marker>
          <c:symbol val="none"/>
        </c:marker>
      </c:pivotFmt>
      <c:pivotFmt>
        <c:idx val="2314"/>
        <c:marker>
          <c:symbol val="none"/>
        </c:marker>
      </c:pivotFmt>
      <c:pivotFmt>
        <c:idx val="2315"/>
        <c:marker>
          <c:symbol val="none"/>
        </c:marker>
      </c:pivotFmt>
      <c:pivotFmt>
        <c:idx val="2316"/>
        <c:marker>
          <c:symbol val="none"/>
        </c:marker>
      </c:pivotFmt>
      <c:pivotFmt>
        <c:idx val="2317"/>
        <c:marker>
          <c:symbol val="none"/>
        </c:marker>
      </c:pivotFmt>
      <c:pivotFmt>
        <c:idx val="2318"/>
        <c:marker>
          <c:symbol val="none"/>
        </c:marker>
      </c:pivotFmt>
      <c:pivotFmt>
        <c:idx val="2319"/>
        <c:marker>
          <c:symbol val="none"/>
        </c:marker>
      </c:pivotFmt>
      <c:pivotFmt>
        <c:idx val="2320"/>
        <c:marker>
          <c:symbol val="none"/>
        </c:marker>
      </c:pivotFmt>
      <c:pivotFmt>
        <c:idx val="2321"/>
        <c:marker>
          <c:symbol val="none"/>
        </c:marker>
      </c:pivotFmt>
      <c:pivotFmt>
        <c:idx val="2322"/>
        <c:marker>
          <c:symbol val="none"/>
        </c:marker>
      </c:pivotFmt>
      <c:pivotFmt>
        <c:idx val="2323"/>
        <c:marker>
          <c:symbol val="none"/>
        </c:marker>
      </c:pivotFmt>
      <c:pivotFmt>
        <c:idx val="2324"/>
        <c:marker>
          <c:symbol val="none"/>
        </c:marker>
      </c:pivotFmt>
      <c:pivotFmt>
        <c:idx val="2325"/>
        <c:marker>
          <c:symbol val="none"/>
        </c:marker>
      </c:pivotFmt>
      <c:pivotFmt>
        <c:idx val="2326"/>
        <c:marker>
          <c:symbol val="none"/>
        </c:marker>
      </c:pivotFmt>
      <c:pivotFmt>
        <c:idx val="2327"/>
        <c:marker>
          <c:symbol val="none"/>
        </c:marker>
      </c:pivotFmt>
      <c:pivotFmt>
        <c:idx val="2328"/>
        <c:marker>
          <c:symbol val="none"/>
        </c:marker>
      </c:pivotFmt>
      <c:pivotFmt>
        <c:idx val="2329"/>
        <c:marker>
          <c:symbol val="none"/>
        </c:marker>
      </c:pivotFmt>
      <c:pivotFmt>
        <c:idx val="2330"/>
        <c:marker>
          <c:symbol val="none"/>
        </c:marker>
      </c:pivotFmt>
      <c:pivotFmt>
        <c:idx val="2331"/>
        <c:marker>
          <c:symbol val="none"/>
        </c:marker>
      </c:pivotFmt>
      <c:pivotFmt>
        <c:idx val="2332"/>
        <c:marker>
          <c:symbol val="none"/>
        </c:marker>
      </c:pivotFmt>
      <c:pivotFmt>
        <c:idx val="2333"/>
        <c:marker>
          <c:symbol val="none"/>
        </c:marker>
      </c:pivotFmt>
      <c:pivotFmt>
        <c:idx val="2334"/>
        <c:marker>
          <c:symbol val="none"/>
        </c:marker>
      </c:pivotFmt>
      <c:pivotFmt>
        <c:idx val="2335"/>
        <c:marker>
          <c:symbol val="none"/>
        </c:marker>
      </c:pivotFmt>
      <c:pivotFmt>
        <c:idx val="2336"/>
        <c:marker>
          <c:symbol val="none"/>
        </c:marker>
      </c:pivotFmt>
      <c:pivotFmt>
        <c:idx val="2337"/>
        <c:marker>
          <c:symbol val="none"/>
        </c:marker>
      </c:pivotFmt>
      <c:pivotFmt>
        <c:idx val="2338"/>
        <c:marker>
          <c:symbol val="none"/>
        </c:marker>
      </c:pivotFmt>
      <c:pivotFmt>
        <c:idx val="2339"/>
        <c:marker>
          <c:symbol val="none"/>
        </c:marker>
      </c:pivotFmt>
      <c:pivotFmt>
        <c:idx val="2340"/>
        <c:marker>
          <c:symbol val="none"/>
        </c:marker>
      </c:pivotFmt>
      <c:pivotFmt>
        <c:idx val="2341"/>
        <c:marker>
          <c:symbol val="none"/>
        </c:marker>
      </c:pivotFmt>
      <c:pivotFmt>
        <c:idx val="2342"/>
        <c:marker>
          <c:symbol val="none"/>
        </c:marker>
      </c:pivotFmt>
      <c:pivotFmt>
        <c:idx val="2343"/>
        <c:marker>
          <c:symbol val="none"/>
        </c:marker>
      </c:pivotFmt>
      <c:pivotFmt>
        <c:idx val="2344"/>
        <c:marker>
          <c:symbol val="none"/>
        </c:marker>
      </c:pivotFmt>
      <c:pivotFmt>
        <c:idx val="2345"/>
        <c:marker>
          <c:symbol val="none"/>
        </c:marker>
      </c:pivotFmt>
      <c:pivotFmt>
        <c:idx val="2346"/>
        <c:marker>
          <c:symbol val="none"/>
        </c:marker>
      </c:pivotFmt>
      <c:pivotFmt>
        <c:idx val="2347"/>
        <c:marker>
          <c:symbol val="none"/>
        </c:marker>
      </c:pivotFmt>
      <c:pivotFmt>
        <c:idx val="2348"/>
        <c:marker>
          <c:symbol val="none"/>
        </c:marker>
      </c:pivotFmt>
      <c:pivotFmt>
        <c:idx val="2349"/>
        <c:marker>
          <c:symbol val="none"/>
        </c:marker>
      </c:pivotFmt>
      <c:pivotFmt>
        <c:idx val="2350"/>
        <c:marker>
          <c:symbol val="none"/>
        </c:marker>
      </c:pivotFmt>
      <c:pivotFmt>
        <c:idx val="2351"/>
        <c:marker>
          <c:symbol val="none"/>
        </c:marker>
      </c:pivotFmt>
      <c:pivotFmt>
        <c:idx val="2352"/>
        <c:marker>
          <c:symbol val="none"/>
        </c:marker>
      </c:pivotFmt>
      <c:pivotFmt>
        <c:idx val="2353"/>
        <c:marker>
          <c:symbol val="none"/>
        </c:marker>
      </c:pivotFmt>
      <c:pivotFmt>
        <c:idx val="2354"/>
        <c:marker>
          <c:symbol val="none"/>
        </c:marker>
      </c:pivotFmt>
      <c:pivotFmt>
        <c:idx val="2355"/>
        <c:marker>
          <c:symbol val="none"/>
        </c:marker>
      </c:pivotFmt>
      <c:pivotFmt>
        <c:idx val="2356"/>
        <c:marker>
          <c:symbol val="none"/>
        </c:marker>
      </c:pivotFmt>
      <c:pivotFmt>
        <c:idx val="2357"/>
        <c:marker>
          <c:symbol val="none"/>
        </c:marker>
      </c:pivotFmt>
      <c:pivotFmt>
        <c:idx val="2358"/>
        <c:marker>
          <c:symbol val="none"/>
        </c:marker>
      </c:pivotFmt>
      <c:pivotFmt>
        <c:idx val="2359"/>
        <c:marker>
          <c:symbol val="none"/>
        </c:marker>
      </c:pivotFmt>
      <c:pivotFmt>
        <c:idx val="2360"/>
        <c:marker>
          <c:symbol val="none"/>
        </c:marker>
      </c:pivotFmt>
      <c:pivotFmt>
        <c:idx val="2361"/>
        <c:marker>
          <c:symbol val="none"/>
        </c:marker>
      </c:pivotFmt>
      <c:pivotFmt>
        <c:idx val="2362"/>
        <c:marker>
          <c:symbol val="none"/>
        </c:marker>
      </c:pivotFmt>
      <c:pivotFmt>
        <c:idx val="2363"/>
        <c:marker>
          <c:symbol val="none"/>
        </c:marker>
      </c:pivotFmt>
      <c:pivotFmt>
        <c:idx val="2364"/>
        <c:marker>
          <c:symbol val="none"/>
        </c:marker>
      </c:pivotFmt>
      <c:pivotFmt>
        <c:idx val="2365"/>
        <c:marker>
          <c:symbol val="none"/>
        </c:marker>
      </c:pivotFmt>
      <c:pivotFmt>
        <c:idx val="2366"/>
        <c:marker>
          <c:symbol val="none"/>
        </c:marker>
      </c:pivotFmt>
      <c:pivotFmt>
        <c:idx val="2367"/>
        <c:marker>
          <c:symbol val="none"/>
        </c:marker>
      </c:pivotFmt>
      <c:pivotFmt>
        <c:idx val="2368"/>
        <c:marker>
          <c:symbol val="none"/>
        </c:marker>
      </c:pivotFmt>
      <c:pivotFmt>
        <c:idx val="2369"/>
        <c:marker>
          <c:symbol val="none"/>
        </c:marker>
      </c:pivotFmt>
      <c:pivotFmt>
        <c:idx val="2370"/>
        <c:marker>
          <c:symbol val="none"/>
        </c:marker>
      </c:pivotFmt>
      <c:pivotFmt>
        <c:idx val="2371"/>
        <c:marker>
          <c:symbol val="none"/>
        </c:marker>
      </c:pivotFmt>
      <c:pivotFmt>
        <c:idx val="2372"/>
        <c:marker>
          <c:symbol val="none"/>
        </c:marker>
      </c:pivotFmt>
      <c:pivotFmt>
        <c:idx val="2373"/>
        <c:marker>
          <c:symbol val="none"/>
        </c:marker>
      </c:pivotFmt>
      <c:pivotFmt>
        <c:idx val="2374"/>
        <c:marker>
          <c:symbol val="none"/>
        </c:marker>
      </c:pivotFmt>
      <c:pivotFmt>
        <c:idx val="2375"/>
        <c:marker>
          <c:symbol val="none"/>
        </c:marker>
      </c:pivotFmt>
      <c:pivotFmt>
        <c:idx val="2376"/>
        <c:marker>
          <c:symbol val="none"/>
        </c:marker>
      </c:pivotFmt>
      <c:pivotFmt>
        <c:idx val="2377"/>
        <c:marker>
          <c:symbol val="none"/>
        </c:marker>
      </c:pivotFmt>
      <c:pivotFmt>
        <c:idx val="2378"/>
        <c:marker>
          <c:symbol val="none"/>
        </c:marker>
      </c:pivotFmt>
      <c:pivotFmt>
        <c:idx val="2379"/>
        <c:marker>
          <c:symbol val="none"/>
        </c:marker>
      </c:pivotFmt>
      <c:pivotFmt>
        <c:idx val="2380"/>
        <c:marker>
          <c:symbol val="none"/>
        </c:marker>
      </c:pivotFmt>
      <c:pivotFmt>
        <c:idx val="2381"/>
        <c:marker>
          <c:symbol val="none"/>
        </c:marker>
      </c:pivotFmt>
      <c:pivotFmt>
        <c:idx val="2382"/>
        <c:marker>
          <c:symbol val="none"/>
        </c:marker>
      </c:pivotFmt>
      <c:pivotFmt>
        <c:idx val="2383"/>
        <c:marker>
          <c:symbol val="none"/>
        </c:marker>
      </c:pivotFmt>
      <c:pivotFmt>
        <c:idx val="2384"/>
        <c:marker>
          <c:symbol val="none"/>
        </c:marker>
      </c:pivotFmt>
      <c:pivotFmt>
        <c:idx val="2385"/>
        <c:marker>
          <c:symbol val="none"/>
        </c:marker>
      </c:pivotFmt>
      <c:pivotFmt>
        <c:idx val="2386"/>
        <c:marker>
          <c:symbol val="none"/>
        </c:marker>
      </c:pivotFmt>
      <c:pivotFmt>
        <c:idx val="2387"/>
        <c:marker>
          <c:symbol val="none"/>
        </c:marker>
      </c:pivotFmt>
      <c:pivotFmt>
        <c:idx val="2388"/>
        <c:marker>
          <c:symbol val="none"/>
        </c:marker>
      </c:pivotFmt>
      <c:pivotFmt>
        <c:idx val="2389"/>
        <c:marker>
          <c:symbol val="none"/>
        </c:marker>
      </c:pivotFmt>
      <c:pivotFmt>
        <c:idx val="2390"/>
        <c:marker>
          <c:symbol val="none"/>
        </c:marker>
      </c:pivotFmt>
      <c:pivotFmt>
        <c:idx val="2391"/>
        <c:marker>
          <c:symbol val="none"/>
        </c:marker>
      </c:pivotFmt>
      <c:pivotFmt>
        <c:idx val="2392"/>
        <c:marker>
          <c:symbol val="none"/>
        </c:marker>
      </c:pivotFmt>
      <c:pivotFmt>
        <c:idx val="2393"/>
        <c:marker>
          <c:symbol val="none"/>
        </c:marker>
      </c:pivotFmt>
      <c:pivotFmt>
        <c:idx val="2394"/>
        <c:marker>
          <c:symbol val="none"/>
        </c:marker>
      </c:pivotFmt>
      <c:pivotFmt>
        <c:idx val="2395"/>
        <c:marker>
          <c:symbol val="none"/>
        </c:marker>
      </c:pivotFmt>
      <c:pivotFmt>
        <c:idx val="2396"/>
        <c:marker>
          <c:symbol val="none"/>
        </c:marker>
      </c:pivotFmt>
      <c:pivotFmt>
        <c:idx val="2397"/>
        <c:marker>
          <c:symbol val="none"/>
        </c:marker>
      </c:pivotFmt>
      <c:pivotFmt>
        <c:idx val="2398"/>
        <c:marker>
          <c:symbol val="none"/>
        </c:marker>
      </c:pivotFmt>
      <c:pivotFmt>
        <c:idx val="2399"/>
        <c:marker>
          <c:symbol val="none"/>
        </c:marker>
      </c:pivotFmt>
      <c:pivotFmt>
        <c:idx val="2400"/>
        <c:marker>
          <c:symbol val="none"/>
        </c:marker>
      </c:pivotFmt>
      <c:pivotFmt>
        <c:idx val="2401"/>
        <c:marker>
          <c:symbol val="none"/>
        </c:marker>
      </c:pivotFmt>
      <c:pivotFmt>
        <c:idx val="2402"/>
        <c:marker>
          <c:symbol val="none"/>
        </c:marker>
      </c:pivotFmt>
      <c:pivotFmt>
        <c:idx val="2403"/>
        <c:marker>
          <c:symbol val="none"/>
        </c:marker>
      </c:pivotFmt>
      <c:pivotFmt>
        <c:idx val="2404"/>
        <c:marker>
          <c:symbol val="none"/>
        </c:marker>
      </c:pivotFmt>
      <c:pivotFmt>
        <c:idx val="2405"/>
        <c:marker>
          <c:symbol val="none"/>
        </c:marker>
      </c:pivotFmt>
      <c:pivotFmt>
        <c:idx val="2406"/>
        <c:marker>
          <c:symbol val="none"/>
        </c:marker>
      </c:pivotFmt>
      <c:pivotFmt>
        <c:idx val="2407"/>
        <c:marker>
          <c:symbol val="none"/>
        </c:marker>
      </c:pivotFmt>
      <c:pivotFmt>
        <c:idx val="2408"/>
        <c:marker>
          <c:symbol val="none"/>
        </c:marker>
      </c:pivotFmt>
      <c:pivotFmt>
        <c:idx val="2409"/>
        <c:marker>
          <c:symbol val="none"/>
        </c:marker>
      </c:pivotFmt>
      <c:pivotFmt>
        <c:idx val="2410"/>
        <c:marker>
          <c:symbol val="none"/>
        </c:marker>
      </c:pivotFmt>
      <c:pivotFmt>
        <c:idx val="2411"/>
        <c:marker>
          <c:symbol val="none"/>
        </c:marker>
      </c:pivotFmt>
      <c:pivotFmt>
        <c:idx val="2412"/>
        <c:marker>
          <c:symbol val="none"/>
        </c:marker>
      </c:pivotFmt>
      <c:pivotFmt>
        <c:idx val="2413"/>
        <c:marker>
          <c:symbol val="none"/>
        </c:marker>
      </c:pivotFmt>
      <c:pivotFmt>
        <c:idx val="2414"/>
        <c:marker>
          <c:symbol val="none"/>
        </c:marker>
      </c:pivotFmt>
      <c:pivotFmt>
        <c:idx val="2415"/>
        <c:marker>
          <c:symbol val="none"/>
        </c:marker>
      </c:pivotFmt>
      <c:pivotFmt>
        <c:idx val="2416"/>
        <c:marker>
          <c:symbol val="none"/>
        </c:marker>
      </c:pivotFmt>
      <c:pivotFmt>
        <c:idx val="2417"/>
        <c:marker>
          <c:symbol val="none"/>
        </c:marker>
      </c:pivotFmt>
      <c:pivotFmt>
        <c:idx val="2418"/>
        <c:marker>
          <c:symbol val="none"/>
        </c:marker>
      </c:pivotFmt>
      <c:pivotFmt>
        <c:idx val="2419"/>
        <c:marker>
          <c:symbol val="none"/>
        </c:marker>
      </c:pivotFmt>
      <c:pivotFmt>
        <c:idx val="2420"/>
        <c:marker>
          <c:symbol val="none"/>
        </c:marker>
      </c:pivotFmt>
      <c:pivotFmt>
        <c:idx val="2421"/>
        <c:marker>
          <c:symbol val="none"/>
        </c:marker>
      </c:pivotFmt>
      <c:pivotFmt>
        <c:idx val="2422"/>
        <c:marker>
          <c:symbol val="none"/>
        </c:marker>
      </c:pivotFmt>
      <c:pivotFmt>
        <c:idx val="2423"/>
        <c:marker>
          <c:symbol val="none"/>
        </c:marker>
      </c:pivotFmt>
      <c:pivotFmt>
        <c:idx val="2424"/>
        <c:marker>
          <c:symbol val="none"/>
        </c:marker>
      </c:pivotFmt>
      <c:pivotFmt>
        <c:idx val="2425"/>
        <c:marker>
          <c:symbol val="none"/>
        </c:marker>
      </c:pivotFmt>
      <c:pivotFmt>
        <c:idx val="2426"/>
        <c:marker>
          <c:symbol val="none"/>
        </c:marker>
      </c:pivotFmt>
      <c:pivotFmt>
        <c:idx val="2427"/>
        <c:marker>
          <c:symbol val="none"/>
        </c:marker>
      </c:pivotFmt>
      <c:pivotFmt>
        <c:idx val="2428"/>
        <c:marker>
          <c:symbol val="none"/>
        </c:marker>
      </c:pivotFmt>
      <c:pivotFmt>
        <c:idx val="2429"/>
        <c:marker>
          <c:symbol val="none"/>
        </c:marker>
      </c:pivotFmt>
      <c:pivotFmt>
        <c:idx val="2430"/>
        <c:marker>
          <c:symbol val="none"/>
        </c:marker>
      </c:pivotFmt>
      <c:pivotFmt>
        <c:idx val="2431"/>
        <c:marker>
          <c:symbol val="none"/>
        </c:marker>
      </c:pivotFmt>
      <c:pivotFmt>
        <c:idx val="2432"/>
        <c:marker>
          <c:symbol val="none"/>
        </c:marker>
      </c:pivotFmt>
      <c:pivotFmt>
        <c:idx val="2433"/>
        <c:marker>
          <c:symbol val="none"/>
        </c:marker>
      </c:pivotFmt>
      <c:pivotFmt>
        <c:idx val="2434"/>
        <c:marker>
          <c:symbol val="none"/>
        </c:marker>
      </c:pivotFmt>
      <c:pivotFmt>
        <c:idx val="2435"/>
        <c:marker>
          <c:symbol val="none"/>
        </c:marker>
      </c:pivotFmt>
      <c:pivotFmt>
        <c:idx val="2436"/>
        <c:marker>
          <c:symbol val="none"/>
        </c:marker>
      </c:pivotFmt>
      <c:pivotFmt>
        <c:idx val="2437"/>
        <c:marker>
          <c:symbol val="none"/>
        </c:marker>
      </c:pivotFmt>
      <c:pivotFmt>
        <c:idx val="2438"/>
        <c:marker>
          <c:symbol val="none"/>
        </c:marker>
      </c:pivotFmt>
      <c:pivotFmt>
        <c:idx val="2439"/>
        <c:marker>
          <c:symbol val="none"/>
        </c:marker>
      </c:pivotFmt>
      <c:pivotFmt>
        <c:idx val="2440"/>
        <c:marker>
          <c:symbol val="none"/>
        </c:marker>
      </c:pivotFmt>
      <c:pivotFmt>
        <c:idx val="2441"/>
        <c:marker>
          <c:symbol val="none"/>
        </c:marker>
      </c:pivotFmt>
      <c:pivotFmt>
        <c:idx val="2442"/>
        <c:marker>
          <c:symbol val="none"/>
        </c:marker>
      </c:pivotFmt>
      <c:pivotFmt>
        <c:idx val="2443"/>
        <c:marker>
          <c:symbol val="none"/>
        </c:marker>
      </c:pivotFmt>
      <c:pivotFmt>
        <c:idx val="2444"/>
        <c:marker>
          <c:symbol val="none"/>
        </c:marker>
      </c:pivotFmt>
      <c:pivotFmt>
        <c:idx val="2445"/>
        <c:marker>
          <c:symbol val="none"/>
        </c:marker>
      </c:pivotFmt>
      <c:pivotFmt>
        <c:idx val="2446"/>
        <c:marker>
          <c:symbol val="none"/>
        </c:marker>
      </c:pivotFmt>
      <c:pivotFmt>
        <c:idx val="2447"/>
        <c:marker>
          <c:symbol val="none"/>
        </c:marker>
      </c:pivotFmt>
      <c:pivotFmt>
        <c:idx val="2448"/>
        <c:marker>
          <c:symbol val="none"/>
        </c:marker>
      </c:pivotFmt>
      <c:pivotFmt>
        <c:idx val="2449"/>
        <c:marker>
          <c:symbol val="none"/>
        </c:marker>
      </c:pivotFmt>
      <c:pivotFmt>
        <c:idx val="2450"/>
        <c:marker>
          <c:symbol val="none"/>
        </c:marker>
      </c:pivotFmt>
      <c:pivotFmt>
        <c:idx val="2451"/>
        <c:marker>
          <c:symbol val="none"/>
        </c:marker>
      </c:pivotFmt>
      <c:pivotFmt>
        <c:idx val="2452"/>
        <c:marker>
          <c:symbol val="none"/>
        </c:marker>
      </c:pivotFmt>
      <c:pivotFmt>
        <c:idx val="2453"/>
        <c:marker>
          <c:symbol val="none"/>
        </c:marker>
      </c:pivotFmt>
      <c:pivotFmt>
        <c:idx val="2454"/>
        <c:marker>
          <c:symbol val="none"/>
        </c:marker>
      </c:pivotFmt>
      <c:pivotFmt>
        <c:idx val="2455"/>
        <c:marker>
          <c:symbol val="none"/>
        </c:marker>
      </c:pivotFmt>
      <c:pivotFmt>
        <c:idx val="2456"/>
        <c:marker>
          <c:symbol val="none"/>
        </c:marker>
      </c:pivotFmt>
      <c:pivotFmt>
        <c:idx val="2457"/>
        <c:marker>
          <c:symbol val="none"/>
        </c:marker>
      </c:pivotFmt>
      <c:pivotFmt>
        <c:idx val="2458"/>
        <c:marker>
          <c:symbol val="none"/>
        </c:marker>
      </c:pivotFmt>
      <c:pivotFmt>
        <c:idx val="2459"/>
        <c:marker>
          <c:symbol val="none"/>
        </c:marker>
      </c:pivotFmt>
      <c:pivotFmt>
        <c:idx val="2460"/>
        <c:marker>
          <c:symbol val="none"/>
        </c:marker>
      </c:pivotFmt>
      <c:pivotFmt>
        <c:idx val="2461"/>
        <c:marker>
          <c:symbol val="none"/>
        </c:marker>
      </c:pivotFmt>
      <c:pivotFmt>
        <c:idx val="2462"/>
        <c:marker>
          <c:symbol val="none"/>
        </c:marker>
      </c:pivotFmt>
      <c:pivotFmt>
        <c:idx val="2463"/>
        <c:marker>
          <c:symbol val="none"/>
        </c:marker>
      </c:pivotFmt>
      <c:pivotFmt>
        <c:idx val="2464"/>
        <c:marker>
          <c:symbol val="none"/>
        </c:marker>
      </c:pivotFmt>
      <c:pivotFmt>
        <c:idx val="2465"/>
        <c:marker>
          <c:symbol val="none"/>
        </c:marker>
      </c:pivotFmt>
      <c:pivotFmt>
        <c:idx val="2466"/>
        <c:marker>
          <c:symbol val="none"/>
        </c:marker>
      </c:pivotFmt>
      <c:pivotFmt>
        <c:idx val="2467"/>
        <c:marker>
          <c:symbol val="none"/>
        </c:marker>
      </c:pivotFmt>
      <c:pivotFmt>
        <c:idx val="2468"/>
        <c:marker>
          <c:symbol val="none"/>
        </c:marker>
      </c:pivotFmt>
      <c:pivotFmt>
        <c:idx val="2469"/>
        <c:marker>
          <c:symbol val="none"/>
        </c:marker>
      </c:pivotFmt>
      <c:pivotFmt>
        <c:idx val="2470"/>
        <c:marker>
          <c:symbol val="none"/>
        </c:marker>
      </c:pivotFmt>
      <c:pivotFmt>
        <c:idx val="2471"/>
        <c:marker>
          <c:symbol val="none"/>
        </c:marker>
      </c:pivotFmt>
      <c:pivotFmt>
        <c:idx val="2472"/>
        <c:marker>
          <c:symbol val="none"/>
        </c:marker>
      </c:pivotFmt>
      <c:pivotFmt>
        <c:idx val="2473"/>
        <c:marker>
          <c:symbol val="none"/>
        </c:marker>
      </c:pivotFmt>
      <c:pivotFmt>
        <c:idx val="2474"/>
        <c:marker>
          <c:symbol val="none"/>
        </c:marker>
      </c:pivotFmt>
      <c:pivotFmt>
        <c:idx val="2475"/>
        <c:marker>
          <c:symbol val="none"/>
        </c:marker>
      </c:pivotFmt>
      <c:pivotFmt>
        <c:idx val="2476"/>
        <c:marker>
          <c:symbol val="none"/>
        </c:marker>
      </c:pivotFmt>
      <c:pivotFmt>
        <c:idx val="2477"/>
        <c:marker>
          <c:symbol val="none"/>
        </c:marker>
      </c:pivotFmt>
      <c:pivotFmt>
        <c:idx val="2478"/>
        <c:marker>
          <c:symbol val="none"/>
        </c:marker>
      </c:pivotFmt>
      <c:pivotFmt>
        <c:idx val="2479"/>
        <c:marker>
          <c:symbol val="none"/>
        </c:marker>
      </c:pivotFmt>
      <c:pivotFmt>
        <c:idx val="2480"/>
        <c:marker>
          <c:symbol val="none"/>
        </c:marker>
      </c:pivotFmt>
      <c:pivotFmt>
        <c:idx val="2481"/>
        <c:marker>
          <c:symbol val="none"/>
        </c:marker>
      </c:pivotFmt>
      <c:pivotFmt>
        <c:idx val="2482"/>
        <c:marker>
          <c:symbol val="none"/>
        </c:marker>
      </c:pivotFmt>
      <c:pivotFmt>
        <c:idx val="2483"/>
        <c:marker>
          <c:symbol val="none"/>
        </c:marker>
      </c:pivotFmt>
      <c:pivotFmt>
        <c:idx val="2484"/>
        <c:marker>
          <c:symbol val="none"/>
        </c:marker>
      </c:pivotFmt>
      <c:pivotFmt>
        <c:idx val="2485"/>
        <c:marker>
          <c:symbol val="none"/>
        </c:marker>
      </c:pivotFmt>
      <c:pivotFmt>
        <c:idx val="2486"/>
        <c:marker>
          <c:symbol val="none"/>
        </c:marker>
      </c:pivotFmt>
      <c:pivotFmt>
        <c:idx val="2487"/>
        <c:marker>
          <c:symbol val="none"/>
        </c:marker>
      </c:pivotFmt>
      <c:pivotFmt>
        <c:idx val="2488"/>
        <c:marker>
          <c:symbol val="none"/>
        </c:marker>
      </c:pivotFmt>
      <c:pivotFmt>
        <c:idx val="2489"/>
        <c:marker>
          <c:symbol val="none"/>
        </c:marker>
      </c:pivotFmt>
      <c:pivotFmt>
        <c:idx val="2490"/>
        <c:marker>
          <c:symbol val="none"/>
        </c:marker>
      </c:pivotFmt>
      <c:pivotFmt>
        <c:idx val="2491"/>
        <c:marker>
          <c:symbol val="none"/>
        </c:marker>
      </c:pivotFmt>
      <c:pivotFmt>
        <c:idx val="2492"/>
        <c:marker>
          <c:symbol val="none"/>
        </c:marker>
      </c:pivotFmt>
      <c:pivotFmt>
        <c:idx val="2493"/>
        <c:marker>
          <c:symbol val="none"/>
        </c:marker>
      </c:pivotFmt>
      <c:pivotFmt>
        <c:idx val="2494"/>
        <c:marker>
          <c:symbol val="none"/>
        </c:marker>
      </c:pivotFmt>
      <c:pivotFmt>
        <c:idx val="2495"/>
        <c:marker>
          <c:symbol val="none"/>
        </c:marker>
      </c:pivotFmt>
      <c:pivotFmt>
        <c:idx val="2496"/>
        <c:marker>
          <c:symbol val="none"/>
        </c:marker>
      </c:pivotFmt>
      <c:pivotFmt>
        <c:idx val="2497"/>
        <c:marker>
          <c:symbol val="none"/>
        </c:marker>
      </c:pivotFmt>
      <c:pivotFmt>
        <c:idx val="2498"/>
        <c:marker>
          <c:symbol val="none"/>
        </c:marker>
      </c:pivotFmt>
      <c:pivotFmt>
        <c:idx val="2499"/>
        <c:marker>
          <c:symbol val="none"/>
        </c:marker>
      </c:pivotFmt>
      <c:pivotFmt>
        <c:idx val="2500"/>
        <c:marker>
          <c:symbol val="none"/>
        </c:marker>
      </c:pivotFmt>
      <c:pivotFmt>
        <c:idx val="2501"/>
        <c:marker>
          <c:symbol val="none"/>
        </c:marker>
      </c:pivotFmt>
      <c:pivotFmt>
        <c:idx val="2502"/>
        <c:marker>
          <c:symbol val="none"/>
        </c:marker>
      </c:pivotFmt>
      <c:pivotFmt>
        <c:idx val="2503"/>
        <c:marker>
          <c:symbol val="none"/>
        </c:marker>
      </c:pivotFmt>
      <c:pivotFmt>
        <c:idx val="2504"/>
        <c:marker>
          <c:symbol val="none"/>
        </c:marker>
      </c:pivotFmt>
      <c:pivotFmt>
        <c:idx val="2505"/>
        <c:marker>
          <c:symbol val="none"/>
        </c:marker>
      </c:pivotFmt>
      <c:pivotFmt>
        <c:idx val="2506"/>
        <c:marker>
          <c:symbol val="none"/>
        </c:marker>
      </c:pivotFmt>
      <c:pivotFmt>
        <c:idx val="2507"/>
        <c:marker>
          <c:symbol val="none"/>
        </c:marker>
      </c:pivotFmt>
      <c:pivotFmt>
        <c:idx val="2508"/>
        <c:marker>
          <c:symbol val="none"/>
        </c:marker>
      </c:pivotFmt>
      <c:pivotFmt>
        <c:idx val="2509"/>
        <c:marker>
          <c:symbol val="none"/>
        </c:marker>
      </c:pivotFmt>
      <c:pivotFmt>
        <c:idx val="2510"/>
        <c:marker>
          <c:symbol val="none"/>
        </c:marker>
      </c:pivotFmt>
      <c:pivotFmt>
        <c:idx val="2511"/>
        <c:marker>
          <c:symbol val="none"/>
        </c:marker>
      </c:pivotFmt>
      <c:pivotFmt>
        <c:idx val="2512"/>
        <c:marker>
          <c:symbol val="none"/>
        </c:marker>
      </c:pivotFmt>
      <c:pivotFmt>
        <c:idx val="2513"/>
        <c:marker>
          <c:symbol val="none"/>
        </c:marker>
      </c:pivotFmt>
      <c:pivotFmt>
        <c:idx val="2514"/>
        <c:marker>
          <c:symbol val="none"/>
        </c:marker>
      </c:pivotFmt>
      <c:pivotFmt>
        <c:idx val="2515"/>
        <c:marker>
          <c:symbol val="none"/>
        </c:marker>
      </c:pivotFmt>
      <c:pivotFmt>
        <c:idx val="2516"/>
        <c:marker>
          <c:symbol val="none"/>
        </c:marker>
      </c:pivotFmt>
      <c:pivotFmt>
        <c:idx val="2517"/>
        <c:marker>
          <c:symbol val="none"/>
        </c:marker>
      </c:pivotFmt>
      <c:pivotFmt>
        <c:idx val="2518"/>
        <c:marker>
          <c:symbol val="none"/>
        </c:marker>
      </c:pivotFmt>
      <c:pivotFmt>
        <c:idx val="2519"/>
        <c:marker>
          <c:symbol val="none"/>
        </c:marker>
      </c:pivotFmt>
      <c:pivotFmt>
        <c:idx val="2520"/>
        <c:marker>
          <c:symbol val="none"/>
        </c:marker>
      </c:pivotFmt>
      <c:pivotFmt>
        <c:idx val="2521"/>
        <c:marker>
          <c:symbol val="none"/>
        </c:marker>
      </c:pivotFmt>
      <c:pivotFmt>
        <c:idx val="2522"/>
        <c:marker>
          <c:symbol val="none"/>
        </c:marker>
      </c:pivotFmt>
      <c:pivotFmt>
        <c:idx val="2523"/>
        <c:marker>
          <c:symbol val="none"/>
        </c:marker>
      </c:pivotFmt>
      <c:pivotFmt>
        <c:idx val="2524"/>
        <c:marker>
          <c:symbol val="none"/>
        </c:marker>
      </c:pivotFmt>
      <c:pivotFmt>
        <c:idx val="2525"/>
        <c:marker>
          <c:symbol val="none"/>
        </c:marker>
      </c:pivotFmt>
      <c:pivotFmt>
        <c:idx val="2526"/>
        <c:marker>
          <c:symbol val="none"/>
        </c:marker>
      </c:pivotFmt>
      <c:pivotFmt>
        <c:idx val="2527"/>
        <c:marker>
          <c:symbol val="none"/>
        </c:marker>
      </c:pivotFmt>
      <c:pivotFmt>
        <c:idx val="2528"/>
        <c:marker>
          <c:symbol val="none"/>
        </c:marker>
      </c:pivotFmt>
      <c:pivotFmt>
        <c:idx val="2529"/>
        <c:marker>
          <c:symbol val="none"/>
        </c:marker>
      </c:pivotFmt>
      <c:pivotFmt>
        <c:idx val="2530"/>
        <c:marker>
          <c:symbol val="none"/>
        </c:marker>
      </c:pivotFmt>
      <c:pivotFmt>
        <c:idx val="2531"/>
        <c:marker>
          <c:symbol val="none"/>
        </c:marker>
      </c:pivotFmt>
      <c:pivotFmt>
        <c:idx val="2532"/>
        <c:marker>
          <c:symbol val="none"/>
        </c:marker>
      </c:pivotFmt>
      <c:pivotFmt>
        <c:idx val="2533"/>
        <c:marker>
          <c:symbol val="none"/>
        </c:marker>
      </c:pivotFmt>
      <c:pivotFmt>
        <c:idx val="2534"/>
        <c:marker>
          <c:symbol val="none"/>
        </c:marker>
      </c:pivotFmt>
      <c:pivotFmt>
        <c:idx val="2535"/>
        <c:marker>
          <c:symbol val="none"/>
        </c:marker>
      </c:pivotFmt>
      <c:pivotFmt>
        <c:idx val="2536"/>
        <c:marker>
          <c:symbol val="none"/>
        </c:marker>
      </c:pivotFmt>
      <c:pivotFmt>
        <c:idx val="2537"/>
        <c:marker>
          <c:symbol val="none"/>
        </c:marker>
      </c:pivotFmt>
      <c:pivotFmt>
        <c:idx val="2538"/>
        <c:marker>
          <c:symbol val="none"/>
        </c:marker>
      </c:pivotFmt>
      <c:pivotFmt>
        <c:idx val="2539"/>
        <c:marker>
          <c:symbol val="none"/>
        </c:marker>
      </c:pivotFmt>
      <c:pivotFmt>
        <c:idx val="2540"/>
        <c:marker>
          <c:symbol val="none"/>
        </c:marker>
      </c:pivotFmt>
      <c:pivotFmt>
        <c:idx val="2541"/>
        <c:marker>
          <c:symbol val="none"/>
        </c:marker>
      </c:pivotFmt>
      <c:pivotFmt>
        <c:idx val="2542"/>
        <c:marker>
          <c:symbol val="none"/>
        </c:marker>
      </c:pivotFmt>
      <c:pivotFmt>
        <c:idx val="2543"/>
        <c:marker>
          <c:symbol val="none"/>
        </c:marker>
      </c:pivotFmt>
      <c:pivotFmt>
        <c:idx val="2544"/>
        <c:marker>
          <c:symbol val="none"/>
        </c:marker>
      </c:pivotFmt>
      <c:pivotFmt>
        <c:idx val="2545"/>
        <c:marker>
          <c:symbol val="none"/>
        </c:marker>
      </c:pivotFmt>
      <c:pivotFmt>
        <c:idx val="2546"/>
        <c:marker>
          <c:symbol val="none"/>
        </c:marker>
      </c:pivotFmt>
    </c:pivotFmts>
    <c:plotArea>
      <c:layout/>
      <c:lineChart>
        <c:grouping val="standard"/>
        <c:varyColors val="0"/>
        <c:ser>
          <c:idx val="0"/>
          <c:order val="0"/>
          <c:tx>
            <c:strRef>
              <c:f>'Sheet1 (32)'!$B$4:$B$5</c:f>
              <c:strCache>
                <c:ptCount val="1"/>
                <c:pt idx="0">
                  <c:v>Total</c:v>
                </c:pt>
              </c:strCache>
            </c:strRef>
          </c:tx>
          <c:marker>
            <c:symbol val="none"/>
          </c:marker>
          <c:cat>
            <c:strRef>
              <c:f>'Sheet1 (32)'!$A$6:$A$211</c:f>
              <c:strCache>
                <c:ptCount val="205"/>
                <c:pt idx="0">
                  <c:v>31/08/2012</c:v>
                </c:pt>
                <c:pt idx="1">
                  <c:v>7/09/2012</c:v>
                </c:pt>
                <c:pt idx="2">
                  <c:v>14/09/2012</c:v>
                </c:pt>
                <c:pt idx="3">
                  <c:v>21/09/2012</c:v>
                </c:pt>
                <c:pt idx="4">
                  <c:v>28/09/2012</c:v>
                </c:pt>
                <c:pt idx="5">
                  <c:v>5/10/2012</c:v>
                </c:pt>
                <c:pt idx="6">
                  <c:v>12/10/2012</c:v>
                </c:pt>
                <c:pt idx="7">
                  <c:v>19/10/2012</c:v>
                </c:pt>
                <c:pt idx="8">
                  <c:v>26/10/2012</c:v>
                </c:pt>
                <c:pt idx="9">
                  <c:v>2/11/2012</c:v>
                </c:pt>
                <c:pt idx="10">
                  <c:v>9/11/2012</c:v>
                </c:pt>
                <c:pt idx="11">
                  <c:v>16/11/2012</c:v>
                </c:pt>
                <c:pt idx="12">
                  <c:v>23/11/2012</c:v>
                </c:pt>
                <c:pt idx="13">
                  <c:v>30/11/2012</c:v>
                </c:pt>
                <c:pt idx="14">
                  <c:v>7/12/2012</c:v>
                </c:pt>
                <c:pt idx="15">
                  <c:v>14/12/2012</c:v>
                </c:pt>
                <c:pt idx="16">
                  <c:v>21/12/2012</c:v>
                </c:pt>
                <c:pt idx="17">
                  <c:v>28/12/2012</c:v>
                </c:pt>
                <c:pt idx="18">
                  <c:v>4/01/2013</c:v>
                </c:pt>
                <c:pt idx="19">
                  <c:v>11/01/2013</c:v>
                </c:pt>
                <c:pt idx="20">
                  <c:v>18/01/2013</c:v>
                </c:pt>
                <c:pt idx="21">
                  <c:v>25/01/2013</c:v>
                </c:pt>
                <c:pt idx="22">
                  <c:v>1/02/2013</c:v>
                </c:pt>
                <c:pt idx="23">
                  <c:v>8/02/2013</c:v>
                </c:pt>
                <c:pt idx="24">
                  <c:v>15/02/2013</c:v>
                </c:pt>
                <c:pt idx="25">
                  <c:v>22/02/2013</c:v>
                </c:pt>
                <c:pt idx="26">
                  <c:v>1/03/2013</c:v>
                </c:pt>
                <c:pt idx="27">
                  <c:v>8/03/2013</c:v>
                </c:pt>
                <c:pt idx="28">
                  <c:v>15/03/2013</c:v>
                </c:pt>
                <c:pt idx="29">
                  <c:v>22/03/2013</c:v>
                </c:pt>
                <c:pt idx="30">
                  <c:v>29/03/2013</c:v>
                </c:pt>
                <c:pt idx="31">
                  <c:v>5/04/2013</c:v>
                </c:pt>
                <c:pt idx="32">
                  <c:v>12/04/2013</c:v>
                </c:pt>
                <c:pt idx="33">
                  <c:v>19/04/2013</c:v>
                </c:pt>
                <c:pt idx="34">
                  <c:v>26/04/2013</c:v>
                </c:pt>
                <c:pt idx="35">
                  <c:v>3/05/2013</c:v>
                </c:pt>
                <c:pt idx="36">
                  <c:v>10/05/2013</c:v>
                </c:pt>
                <c:pt idx="37">
                  <c:v>17/05/2013</c:v>
                </c:pt>
                <c:pt idx="38">
                  <c:v>24/05/2013</c:v>
                </c:pt>
                <c:pt idx="39">
                  <c:v>31/05/2013</c:v>
                </c:pt>
                <c:pt idx="40">
                  <c:v>7/06/2013</c:v>
                </c:pt>
                <c:pt idx="41">
                  <c:v>14/06/2013</c:v>
                </c:pt>
                <c:pt idx="42">
                  <c:v>21/06/2013</c:v>
                </c:pt>
                <c:pt idx="43">
                  <c:v>28/06/2013</c:v>
                </c:pt>
                <c:pt idx="44">
                  <c:v>5/07/2013</c:v>
                </c:pt>
                <c:pt idx="45">
                  <c:v>12/07/2013</c:v>
                </c:pt>
                <c:pt idx="46">
                  <c:v>19/07/2013</c:v>
                </c:pt>
                <c:pt idx="47">
                  <c:v>26/07/2013</c:v>
                </c:pt>
                <c:pt idx="48">
                  <c:v>2/08/2013</c:v>
                </c:pt>
                <c:pt idx="49">
                  <c:v>9/08/2013</c:v>
                </c:pt>
                <c:pt idx="50">
                  <c:v>16/08/2013</c:v>
                </c:pt>
                <c:pt idx="51">
                  <c:v>23/08/2013</c:v>
                </c:pt>
                <c:pt idx="52">
                  <c:v>30/08/2013</c:v>
                </c:pt>
                <c:pt idx="53">
                  <c:v>6/09/2013</c:v>
                </c:pt>
                <c:pt idx="54">
                  <c:v>13/09/2013</c:v>
                </c:pt>
                <c:pt idx="55">
                  <c:v>20/09/2013</c:v>
                </c:pt>
                <c:pt idx="56">
                  <c:v>27/09/2013</c:v>
                </c:pt>
                <c:pt idx="57">
                  <c:v>4/10/2013</c:v>
                </c:pt>
                <c:pt idx="58">
                  <c:v>11/10/2013</c:v>
                </c:pt>
                <c:pt idx="59">
                  <c:v>18/10/2013</c:v>
                </c:pt>
                <c:pt idx="60">
                  <c:v>25/10/2013</c:v>
                </c:pt>
                <c:pt idx="61">
                  <c:v>1/11/2013</c:v>
                </c:pt>
                <c:pt idx="62">
                  <c:v>8/11/2013</c:v>
                </c:pt>
                <c:pt idx="63">
                  <c:v>15/11/2013</c:v>
                </c:pt>
                <c:pt idx="64">
                  <c:v>22/11/2013</c:v>
                </c:pt>
                <c:pt idx="65">
                  <c:v>29/11/2013</c:v>
                </c:pt>
                <c:pt idx="66">
                  <c:v>6/12/2013</c:v>
                </c:pt>
                <c:pt idx="67">
                  <c:v>13/12/2013</c:v>
                </c:pt>
                <c:pt idx="68">
                  <c:v>20/12/2013</c:v>
                </c:pt>
                <c:pt idx="69">
                  <c:v>27/12/2013</c:v>
                </c:pt>
                <c:pt idx="70">
                  <c:v>3/01/2014</c:v>
                </c:pt>
                <c:pt idx="71">
                  <c:v>10/01/2014</c:v>
                </c:pt>
                <c:pt idx="72">
                  <c:v>17/01/2014</c:v>
                </c:pt>
                <c:pt idx="73">
                  <c:v>24/01/2014</c:v>
                </c:pt>
                <c:pt idx="74">
                  <c:v>31/01/2014</c:v>
                </c:pt>
                <c:pt idx="75">
                  <c:v>7/02/2014</c:v>
                </c:pt>
                <c:pt idx="76">
                  <c:v>14/02/2014</c:v>
                </c:pt>
                <c:pt idx="77">
                  <c:v>21/02/2014</c:v>
                </c:pt>
                <c:pt idx="78">
                  <c:v>28/02/2014</c:v>
                </c:pt>
                <c:pt idx="79">
                  <c:v>7/03/2014</c:v>
                </c:pt>
                <c:pt idx="80">
                  <c:v>14/03/2014</c:v>
                </c:pt>
                <c:pt idx="81">
                  <c:v>21/03/2014</c:v>
                </c:pt>
                <c:pt idx="82">
                  <c:v>28/03/2014</c:v>
                </c:pt>
                <c:pt idx="83">
                  <c:v>4/04/2014</c:v>
                </c:pt>
                <c:pt idx="84">
                  <c:v>11/04/2014</c:v>
                </c:pt>
                <c:pt idx="85">
                  <c:v>18/04/2014</c:v>
                </c:pt>
                <c:pt idx="86">
                  <c:v>25/04/2014</c:v>
                </c:pt>
                <c:pt idx="87">
                  <c:v>2/05/2014</c:v>
                </c:pt>
                <c:pt idx="88">
                  <c:v>9/05/2014</c:v>
                </c:pt>
                <c:pt idx="89">
                  <c:v>16/05/2014</c:v>
                </c:pt>
                <c:pt idx="90">
                  <c:v>23/05/2014</c:v>
                </c:pt>
                <c:pt idx="91">
                  <c:v>30/05/2014</c:v>
                </c:pt>
                <c:pt idx="92">
                  <c:v>6/06/2014</c:v>
                </c:pt>
                <c:pt idx="93">
                  <c:v>13/06/2014</c:v>
                </c:pt>
                <c:pt idx="94">
                  <c:v>20/06/2014</c:v>
                </c:pt>
                <c:pt idx="95">
                  <c:v>27/06/2014</c:v>
                </c:pt>
                <c:pt idx="96">
                  <c:v>4/07/2014</c:v>
                </c:pt>
                <c:pt idx="97">
                  <c:v>11/07/2014</c:v>
                </c:pt>
                <c:pt idx="98">
                  <c:v>18/07/2014</c:v>
                </c:pt>
                <c:pt idx="99">
                  <c:v>25/07/2014</c:v>
                </c:pt>
                <c:pt idx="100">
                  <c:v>1/08/2014</c:v>
                </c:pt>
                <c:pt idx="101">
                  <c:v>8/08/2014</c:v>
                </c:pt>
                <c:pt idx="102">
                  <c:v>15/08/2014</c:v>
                </c:pt>
                <c:pt idx="103">
                  <c:v>22/08/2014</c:v>
                </c:pt>
                <c:pt idx="104">
                  <c:v>29/08/2014</c:v>
                </c:pt>
                <c:pt idx="105">
                  <c:v>5/09/2014</c:v>
                </c:pt>
                <c:pt idx="106">
                  <c:v>12/09/2014</c:v>
                </c:pt>
                <c:pt idx="107">
                  <c:v>19/09/2014</c:v>
                </c:pt>
                <c:pt idx="108">
                  <c:v>26/09/2014</c:v>
                </c:pt>
                <c:pt idx="109">
                  <c:v>3/10/2014</c:v>
                </c:pt>
                <c:pt idx="110">
                  <c:v>10/10/2014</c:v>
                </c:pt>
                <c:pt idx="111">
                  <c:v>17/10/2014</c:v>
                </c:pt>
                <c:pt idx="112">
                  <c:v>24/10/2014</c:v>
                </c:pt>
                <c:pt idx="113">
                  <c:v>31/10/2014</c:v>
                </c:pt>
                <c:pt idx="114">
                  <c:v>7/11/2014</c:v>
                </c:pt>
                <c:pt idx="115">
                  <c:v>14/11/2014</c:v>
                </c:pt>
                <c:pt idx="116">
                  <c:v>21/11/2014</c:v>
                </c:pt>
                <c:pt idx="117">
                  <c:v>28/11/2014</c:v>
                </c:pt>
                <c:pt idx="118">
                  <c:v>5/12/2014</c:v>
                </c:pt>
                <c:pt idx="119">
                  <c:v>12/12/2014</c:v>
                </c:pt>
                <c:pt idx="120">
                  <c:v>19/12/2014</c:v>
                </c:pt>
                <c:pt idx="121">
                  <c:v>26/12/2014</c:v>
                </c:pt>
                <c:pt idx="122">
                  <c:v>2/01/2015</c:v>
                </c:pt>
                <c:pt idx="123">
                  <c:v>9/01/2015</c:v>
                </c:pt>
                <c:pt idx="124">
                  <c:v>16/01/2015</c:v>
                </c:pt>
                <c:pt idx="125">
                  <c:v>23/01/2015</c:v>
                </c:pt>
                <c:pt idx="126">
                  <c:v>30/01/2015</c:v>
                </c:pt>
                <c:pt idx="127">
                  <c:v>6/02/2015</c:v>
                </c:pt>
                <c:pt idx="128">
                  <c:v>13/02/2015</c:v>
                </c:pt>
                <c:pt idx="129">
                  <c:v>20/02/2015</c:v>
                </c:pt>
                <c:pt idx="130">
                  <c:v>27/02/2015</c:v>
                </c:pt>
                <c:pt idx="131">
                  <c:v>6/03/2015</c:v>
                </c:pt>
                <c:pt idx="132">
                  <c:v>13/03/2015</c:v>
                </c:pt>
                <c:pt idx="133">
                  <c:v>20/03/2015</c:v>
                </c:pt>
                <c:pt idx="134">
                  <c:v>27/03/2015</c:v>
                </c:pt>
                <c:pt idx="135">
                  <c:v>3/04/2015</c:v>
                </c:pt>
                <c:pt idx="136">
                  <c:v>10/04/2015</c:v>
                </c:pt>
                <c:pt idx="137">
                  <c:v>17/04/2015</c:v>
                </c:pt>
                <c:pt idx="138">
                  <c:v>24/04/2015</c:v>
                </c:pt>
                <c:pt idx="139">
                  <c:v>1/05/2015</c:v>
                </c:pt>
                <c:pt idx="140">
                  <c:v>8/05/2015</c:v>
                </c:pt>
                <c:pt idx="141">
                  <c:v>15/05/2015</c:v>
                </c:pt>
                <c:pt idx="142">
                  <c:v>22/05/2015</c:v>
                </c:pt>
                <c:pt idx="143">
                  <c:v>29/05/2015</c:v>
                </c:pt>
                <c:pt idx="144">
                  <c:v>5/06/2015</c:v>
                </c:pt>
                <c:pt idx="145">
                  <c:v>12/06/2015</c:v>
                </c:pt>
                <c:pt idx="146">
                  <c:v>19/06/2015</c:v>
                </c:pt>
                <c:pt idx="147">
                  <c:v>26/06/2015</c:v>
                </c:pt>
                <c:pt idx="148">
                  <c:v>3/07/2015</c:v>
                </c:pt>
                <c:pt idx="149">
                  <c:v>10/07/2015</c:v>
                </c:pt>
                <c:pt idx="150">
                  <c:v>17/07/2015</c:v>
                </c:pt>
                <c:pt idx="151">
                  <c:v>24/07/2015</c:v>
                </c:pt>
                <c:pt idx="152">
                  <c:v>31/07/2015</c:v>
                </c:pt>
                <c:pt idx="153">
                  <c:v>7/08/2015</c:v>
                </c:pt>
                <c:pt idx="154">
                  <c:v>14/08/2015</c:v>
                </c:pt>
                <c:pt idx="155">
                  <c:v>21/08/2015</c:v>
                </c:pt>
                <c:pt idx="156">
                  <c:v>28/08/2015</c:v>
                </c:pt>
                <c:pt idx="157">
                  <c:v>4/09/2015</c:v>
                </c:pt>
                <c:pt idx="158">
                  <c:v>11/09/2015</c:v>
                </c:pt>
                <c:pt idx="159">
                  <c:v>18/09/2015</c:v>
                </c:pt>
                <c:pt idx="160">
                  <c:v>25/09/2015</c:v>
                </c:pt>
                <c:pt idx="161">
                  <c:v>2/10/2015</c:v>
                </c:pt>
                <c:pt idx="162">
                  <c:v>9/10/2015</c:v>
                </c:pt>
                <c:pt idx="163">
                  <c:v>16/10/2015</c:v>
                </c:pt>
                <c:pt idx="164">
                  <c:v>23/10/2015</c:v>
                </c:pt>
                <c:pt idx="165">
                  <c:v>30/10/2015</c:v>
                </c:pt>
                <c:pt idx="166">
                  <c:v>6/11/2015</c:v>
                </c:pt>
                <c:pt idx="167">
                  <c:v>13/11/2015</c:v>
                </c:pt>
                <c:pt idx="168">
                  <c:v>20/11/2015</c:v>
                </c:pt>
                <c:pt idx="169">
                  <c:v>27/11/2015</c:v>
                </c:pt>
                <c:pt idx="170">
                  <c:v>4/12/2015</c:v>
                </c:pt>
                <c:pt idx="171">
                  <c:v>11/12/2015</c:v>
                </c:pt>
                <c:pt idx="172">
                  <c:v>18/12/2015</c:v>
                </c:pt>
                <c:pt idx="173">
                  <c:v>25/12/2015</c:v>
                </c:pt>
                <c:pt idx="174">
                  <c:v>1/01/2016</c:v>
                </c:pt>
                <c:pt idx="175">
                  <c:v>8/01/2016</c:v>
                </c:pt>
                <c:pt idx="176">
                  <c:v>15/01/2016</c:v>
                </c:pt>
                <c:pt idx="177">
                  <c:v>22/01/2016</c:v>
                </c:pt>
                <c:pt idx="178">
                  <c:v>29/01/2016</c:v>
                </c:pt>
                <c:pt idx="179">
                  <c:v>5/02/2016</c:v>
                </c:pt>
                <c:pt idx="180">
                  <c:v>12/02/2016</c:v>
                </c:pt>
                <c:pt idx="181">
                  <c:v>19/02/2016</c:v>
                </c:pt>
                <c:pt idx="182">
                  <c:v>26/02/2016</c:v>
                </c:pt>
                <c:pt idx="183">
                  <c:v>4/03/2016</c:v>
                </c:pt>
                <c:pt idx="184">
                  <c:v>11/03/2016</c:v>
                </c:pt>
                <c:pt idx="185">
                  <c:v>18/03/2016</c:v>
                </c:pt>
                <c:pt idx="186">
                  <c:v>25/03/2016</c:v>
                </c:pt>
                <c:pt idx="187">
                  <c:v>1/04/2016</c:v>
                </c:pt>
                <c:pt idx="188">
                  <c:v>8/04/2016</c:v>
                </c:pt>
                <c:pt idx="189">
                  <c:v>15/04/2016</c:v>
                </c:pt>
                <c:pt idx="190">
                  <c:v>22/04/2016</c:v>
                </c:pt>
                <c:pt idx="191">
                  <c:v>29/04/2016</c:v>
                </c:pt>
                <c:pt idx="192">
                  <c:v>6/05/2016</c:v>
                </c:pt>
                <c:pt idx="193">
                  <c:v>13/05/2016</c:v>
                </c:pt>
                <c:pt idx="194">
                  <c:v>20/05/2016</c:v>
                </c:pt>
                <c:pt idx="195">
                  <c:v>27/05/2016</c:v>
                </c:pt>
                <c:pt idx="196">
                  <c:v>3/06/2016</c:v>
                </c:pt>
                <c:pt idx="197">
                  <c:v>10/06/2016</c:v>
                </c:pt>
                <c:pt idx="198">
                  <c:v>17/06/2016</c:v>
                </c:pt>
                <c:pt idx="199">
                  <c:v>24/06/2016</c:v>
                </c:pt>
                <c:pt idx="200">
                  <c:v>1/07/2016</c:v>
                </c:pt>
                <c:pt idx="201">
                  <c:v>8/07/2016</c:v>
                </c:pt>
                <c:pt idx="202">
                  <c:v>15/07/2016</c:v>
                </c:pt>
                <c:pt idx="203">
                  <c:v>22/07/2016</c:v>
                </c:pt>
                <c:pt idx="204">
                  <c:v>29/07/2016</c:v>
                </c:pt>
              </c:strCache>
            </c:strRef>
          </c:cat>
          <c:val>
            <c:numRef>
              <c:f>'Sheet1 (32)'!$B$6:$B$211</c:f>
              <c:numCache>
                <c:formatCode>General</c:formatCode>
                <c:ptCount val="205"/>
                <c:pt idx="0">
                  <c:v>9951</c:v>
                </c:pt>
                <c:pt idx="1">
                  <c:v>10067</c:v>
                </c:pt>
                <c:pt idx="2">
                  <c:v>10144</c:v>
                </c:pt>
                <c:pt idx="3">
                  <c:v>10232</c:v>
                </c:pt>
                <c:pt idx="4">
                  <c:v>10301</c:v>
                </c:pt>
                <c:pt idx="5">
                  <c:v>10397</c:v>
                </c:pt>
                <c:pt idx="6">
                  <c:v>10480</c:v>
                </c:pt>
                <c:pt idx="7">
                  <c:v>10567</c:v>
                </c:pt>
                <c:pt idx="8">
                  <c:v>10681</c:v>
                </c:pt>
                <c:pt idx="9">
                  <c:v>10790</c:v>
                </c:pt>
                <c:pt idx="10">
                  <c:v>10914</c:v>
                </c:pt>
                <c:pt idx="11">
                  <c:v>11039</c:v>
                </c:pt>
                <c:pt idx="12">
                  <c:v>11166</c:v>
                </c:pt>
                <c:pt idx="13">
                  <c:v>11292</c:v>
                </c:pt>
                <c:pt idx="14">
                  <c:v>11437</c:v>
                </c:pt>
                <c:pt idx="15">
                  <c:v>11583</c:v>
                </c:pt>
                <c:pt idx="16">
                  <c:v>11586</c:v>
                </c:pt>
                <c:pt idx="17">
                  <c:v>11568</c:v>
                </c:pt>
                <c:pt idx="18">
                  <c:v>11599</c:v>
                </c:pt>
                <c:pt idx="19">
                  <c:v>11643</c:v>
                </c:pt>
                <c:pt idx="20">
                  <c:v>11639</c:v>
                </c:pt>
                <c:pt idx="21">
                  <c:v>11591</c:v>
                </c:pt>
                <c:pt idx="22">
                  <c:v>11622</c:v>
                </c:pt>
                <c:pt idx="23">
                  <c:v>11657</c:v>
                </c:pt>
                <c:pt idx="24">
                  <c:v>11712</c:v>
                </c:pt>
                <c:pt idx="25">
                  <c:v>11765</c:v>
                </c:pt>
                <c:pt idx="26">
                  <c:v>11844</c:v>
                </c:pt>
                <c:pt idx="27">
                  <c:v>11909</c:v>
                </c:pt>
                <c:pt idx="28">
                  <c:v>11992</c:v>
                </c:pt>
                <c:pt idx="29">
                  <c:v>12058</c:v>
                </c:pt>
                <c:pt idx="30">
                  <c:v>12069</c:v>
                </c:pt>
                <c:pt idx="31">
                  <c:v>12145</c:v>
                </c:pt>
                <c:pt idx="32">
                  <c:v>12208</c:v>
                </c:pt>
                <c:pt idx="33">
                  <c:v>12237</c:v>
                </c:pt>
                <c:pt idx="34">
                  <c:v>12314</c:v>
                </c:pt>
                <c:pt idx="35">
                  <c:v>12417</c:v>
                </c:pt>
                <c:pt idx="36">
                  <c:v>12473</c:v>
                </c:pt>
                <c:pt idx="37">
                  <c:v>12579</c:v>
                </c:pt>
                <c:pt idx="38">
                  <c:v>12668</c:v>
                </c:pt>
                <c:pt idx="39">
                  <c:v>12768</c:v>
                </c:pt>
                <c:pt idx="40">
                  <c:v>12834</c:v>
                </c:pt>
                <c:pt idx="41">
                  <c:v>12948</c:v>
                </c:pt>
                <c:pt idx="42">
                  <c:v>13022</c:v>
                </c:pt>
                <c:pt idx="43">
                  <c:v>13103</c:v>
                </c:pt>
                <c:pt idx="44">
                  <c:v>13188</c:v>
                </c:pt>
                <c:pt idx="45">
                  <c:v>13260</c:v>
                </c:pt>
                <c:pt idx="46">
                  <c:v>13383</c:v>
                </c:pt>
                <c:pt idx="47">
                  <c:v>13471</c:v>
                </c:pt>
                <c:pt idx="48">
                  <c:v>13591</c:v>
                </c:pt>
                <c:pt idx="49">
                  <c:v>13711</c:v>
                </c:pt>
                <c:pt idx="50">
                  <c:v>13817</c:v>
                </c:pt>
                <c:pt idx="51">
                  <c:v>13926</c:v>
                </c:pt>
                <c:pt idx="52">
                  <c:v>14055</c:v>
                </c:pt>
                <c:pt idx="53">
                  <c:v>14208</c:v>
                </c:pt>
                <c:pt idx="54">
                  <c:v>14345</c:v>
                </c:pt>
                <c:pt idx="55">
                  <c:v>14471</c:v>
                </c:pt>
                <c:pt idx="56">
                  <c:v>14597</c:v>
                </c:pt>
                <c:pt idx="57">
                  <c:v>14699</c:v>
                </c:pt>
                <c:pt idx="58">
                  <c:v>14791</c:v>
                </c:pt>
                <c:pt idx="59">
                  <c:v>14876</c:v>
                </c:pt>
                <c:pt idx="60">
                  <c:v>15009</c:v>
                </c:pt>
                <c:pt idx="61">
                  <c:v>15129</c:v>
                </c:pt>
                <c:pt idx="62">
                  <c:v>15259</c:v>
                </c:pt>
                <c:pt idx="63">
                  <c:v>15415</c:v>
                </c:pt>
                <c:pt idx="64">
                  <c:v>15573</c:v>
                </c:pt>
                <c:pt idx="65">
                  <c:v>15672</c:v>
                </c:pt>
                <c:pt idx="66">
                  <c:v>15774</c:v>
                </c:pt>
                <c:pt idx="67">
                  <c:v>15904</c:v>
                </c:pt>
                <c:pt idx="68">
                  <c:v>15926</c:v>
                </c:pt>
                <c:pt idx="69">
                  <c:v>15889</c:v>
                </c:pt>
                <c:pt idx="70">
                  <c:v>15848</c:v>
                </c:pt>
                <c:pt idx="71">
                  <c:v>15921</c:v>
                </c:pt>
                <c:pt idx="72">
                  <c:v>15924</c:v>
                </c:pt>
                <c:pt idx="73">
                  <c:v>15862</c:v>
                </c:pt>
                <c:pt idx="74">
                  <c:v>15817</c:v>
                </c:pt>
                <c:pt idx="75">
                  <c:v>15866</c:v>
                </c:pt>
                <c:pt idx="76">
                  <c:v>15883</c:v>
                </c:pt>
                <c:pt idx="77">
                  <c:v>15884</c:v>
                </c:pt>
                <c:pt idx="78">
                  <c:v>15937</c:v>
                </c:pt>
                <c:pt idx="79">
                  <c:v>15971</c:v>
                </c:pt>
                <c:pt idx="80">
                  <c:v>16029</c:v>
                </c:pt>
                <c:pt idx="81">
                  <c:v>16077</c:v>
                </c:pt>
                <c:pt idx="82">
                  <c:v>16138</c:v>
                </c:pt>
                <c:pt idx="83">
                  <c:v>16190</c:v>
                </c:pt>
                <c:pt idx="84">
                  <c:v>16265</c:v>
                </c:pt>
                <c:pt idx="85">
                  <c:v>16239</c:v>
                </c:pt>
                <c:pt idx="86">
                  <c:v>16255</c:v>
                </c:pt>
                <c:pt idx="87">
                  <c:v>16322</c:v>
                </c:pt>
                <c:pt idx="88">
                  <c:v>16352</c:v>
                </c:pt>
                <c:pt idx="89">
                  <c:v>16441</c:v>
                </c:pt>
                <c:pt idx="90">
                  <c:v>16517</c:v>
                </c:pt>
                <c:pt idx="91">
                  <c:v>16582</c:v>
                </c:pt>
                <c:pt idx="92">
                  <c:v>16586</c:v>
                </c:pt>
                <c:pt idx="93">
                  <c:v>16666</c:v>
                </c:pt>
                <c:pt idx="94">
                  <c:v>16732</c:v>
                </c:pt>
                <c:pt idx="95">
                  <c:v>16788</c:v>
                </c:pt>
                <c:pt idx="96">
                  <c:v>16816</c:v>
                </c:pt>
                <c:pt idx="97">
                  <c:v>16867</c:v>
                </c:pt>
                <c:pt idx="98">
                  <c:v>16934</c:v>
                </c:pt>
                <c:pt idx="99">
                  <c:v>17044</c:v>
                </c:pt>
                <c:pt idx="100">
                  <c:v>17119</c:v>
                </c:pt>
                <c:pt idx="101">
                  <c:v>17211</c:v>
                </c:pt>
                <c:pt idx="102">
                  <c:v>17282</c:v>
                </c:pt>
                <c:pt idx="103">
                  <c:v>17322</c:v>
                </c:pt>
                <c:pt idx="104">
                  <c:v>17386</c:v>
                </c:pt>
                <c:pt idx="105">
                  <c:v>17453</c:v>
                </c:pt>
                <c:pt idx="106">
                  <c:v>17526</c:v>
                </c:pt>
                <c:pt idx="107">
                  <c:v>17601</c:v>
                </c:pt>
                <c:pt idx="108">
                  <c:v>17709</c:v>
                </c:pt>
                <c:pt idx="109">
                  <c:v>17766</c:v>
                </c:pt>
                <c:pt idx="110">
                  <c:v>17834</c:v>
                </c:pt>
                <c:pt idx="111">
                  <c:v>17908</c:v>
                </c:pt>
                <c:pt idx="112">
                  <c:v>17958</c:v>
                </c:pt>
                <c:pt idx="113">
                  <c:v>17972</c:v>
                </c:pt>
                <c:pt idx="114">
                  <c:v>18039</c:v>
                </c:pt>
                <c:pt idx="115">
                  <c:v>18124</c:v>
                </c:pt>
                <c:pt idx="116">
                  <c:v>18219</c:v>
                </c:pt>
                <c:pt idx="117">
                  <c:v>18293</c:v>
                </c:pt>
                <c:pt idx="118">
                  <c:v>18406</c:v>
                </c:pt>
                <c:pt idx="119">
                  <c:v>18490</c:v>
                </c:pt>
                <c:pt idx="120">
                  <c:v>18515</c:v>
                </c:pt>
                <c:pt idx="121">
                  <c:v>18500</c:v>
                </c:pt>
                <c:pt idx="122">
                  <c:v>18465</c:v>
                </c:pt>
                <c:pt idx="123">
                  <c:v>18440</c:v>
                </c:pt>
                <c:pt idx="124">
                  <c:v>18374</c:v>
                </c:pt>
                <c:pt idx="125">
                  <c:v>18309</c:v>
                </c:pt>
                <c:pt idx="126">
                  <c:v>18289</c:v>
                </c:pt>
                <c:pt idx="127">
                  <c:v>18191</c:v>
                </c:pt>
                <c:pt idx="128">
                  <c:v>18177</c:v>
                </c:pt>
                <c:pt idx="129">
                  <c:v>18179</c:v>
                </c:pt>
                <c:pt idx="130">
                  <c:v>18152</c:v>
                </c:pt>
                <c:pt idx="131">
                  <c:v>18187</c:v>
                </c:pt>
                <c:pt idx="132">
                  <c:v>18216</c:v>
                </c:pt>
                <c:pt idx="133">
                  <c:v>18254</c:v>
                </c:pt>
                <c:pt idx="134">
                  <c:v>18276</c:v>
                </c:pt>
                <c:pt idx="135">
                  <c:v>18189</c:v>
                </c:pt>
                <c:pt idx="136">
                  <c:v>18201</c:v>
                </c:pt>
                <c:pt idx="137">
                  <c:v>18198</c:v>
                </c:pt>
                <c:pt idx="138">
                  <c:v>18219</c:v>
                </c:pt>
                <c:pt idx="139">
                  <c:v>18200</c:v>
                </c:pt>
                <c:pt idx="140">
                  <c:v>18209</c:v>
                </c:pt>
                <c:pt idx="141">
                  <c:v>18261</c:v>
                </c:pt>
                <c:pt idx="142">
                  <c:v>18293</c:v>
                </c:pt>
                <c:pt idx="143">
                  <c:v>18340</c:v>
                </c:pt>
                <c:pt idx="144">
                  <c:v>18369</c:v>
                </c:pt>
                <c:pt idx="145">
                  <c:v>18437</c:v>
                </c:pt>
                <c:pt idx="146">
                  <c:v>18453</c:v>
                </c:pt>
                <c:pt idx="147">
                  <c:v>18470</c:v>
                </c:pt>
                <c:pt idx="148">
                  <c:v>18480</c:v>
                </c:pt>
                <c:pt idx="149">
                  <c:v>18490</c:v>
                </c:pt>
                <c:pt idx="150">
                  <c:v>18522</c:v>
                </c:pt>
                <c:pt idx="151">
                  <c:v>18522</c:v>
                </c:pt>
                <c:pt idx="152">
                  <c:v>18566</c:v>
                </c:pt>
                <c:pt idx="153">
                  <c:v>18612</c:v>
                </c:pt>
                <c:pt idx="154">
                  <c:v>18696</c:v>
                </c:pt>
                <c:pt idx="155">
                  <c:v>18723</c:v>
                </c:pt>
                <c:pt idx="156">
                  <c:v>18774</c:v>
                </c:pt>
                <c:pt idx="157">
                  <c:v>18809</c:v>
                </c:pt>
                <c:pt idx="158">
                  <c:v>18860</c:v>
                </c:pt>
                <c:pt idx="159">
                  <c:v>18915</c:v>
                </c:pt>
                <c:pt idx="160">
                  <c:v>18953</c:v>
                </c:pt>
                <c:pt idx="161">
                  <c:v>19076</c:v>
                </c:pt>
                <c:pt idx="162">
                  <c:v>19311</c:v>
                </c:pt>
                <c:pt idx="163">
                  <c:v>19504</c:v>
                </c:pt>
                <c:pt idx="164">
                  <c:v>19717</c:v>
                </c:pt>
                <c:pt idx="165">
                  <c:v>19966</c:v>
                </c:pt>
                <c:pt idx="166">
                  <c:v>20231</c:v>
                </c:pt>
                <c:pt idx="167">
                  <c:v>20430</c:v>
                </c:pt>
                <c:pt idx="168">
                  <c:v>20685</c:v>
                </c:pt>
                <c:pt idx="169">
                  <c:v>20937</c:v>
                </c:pt>
                <c:pt idx="170">
                  <c:v>21122</c:v>
                </c:pt>
                <c:pt idx="171">
                  <c:v>21309</c:v>
                </c:pt>
                <c:pt idx="172">
                  <c:v>21416</c:v>
                </c:pt>
                <c:pt idx="173">
                  <c:v>21391</c:v>
                </c:pt>
                <c:pt idx="174">
                  <c:v>21352</c:v>
                </c:pt>
                <c:pt idx="175">
                  <c:v>21375</c:v>
                </c:pt>
                <c:pt idx="176">
                  <c:v>21428</c:v>
                </c:pt>
                <c:pt idx="177">
                  <c:v>21397</c:v>
                </c:pt>
                <c:pt idx="178">
                  <c:v>21421</c:v>
                </c:pt>
                <c:pt idx="179">
                  <c:v>21411</c:v>
                </c:pt>
                <c:pt idx="180">
                  <c:v>21548</c:v>
                </c:pt>
                <c:pt idx="181">
                  <c:v>21641</c:v>
                </c:pt>
                <c:pt idx="182">
                  <c:v>21769</c:v>
                </c:pt>
                <c:pt idx="183">
                  <c:v>21904</c:v>
                </c:pt>
                <c:pt idx="184">
                  <c:v>22072</c:v>
                </c:pt>
                <c:pt idx="185">
                  <c:v>22249</c:v>
                </c:pt>
                <c:pt idx="186">
                  <c:v>22242</c:v>
                </c:pt>
                <c:pt idx="187">
                  <c:v>22390</c:v>
                </c:pt>
                <c:pt idx="188">
                  <c:v>22545</c:v>
                </c:pt>
                <c:pt idx="189">
                  <c:v>22752</c:v>
                </c:pt>
                <c:pt idx="190">
                  <c:v>22840</c:v>
                </c:pt>
                <c:pt idx="191">
                  <c:v>22975</c:v>
                </c:pt>
                <c:pt idx="192">
                  <c:v>23079</c:v>
                </c:pt>
                <c:pt idx="193">
                  <c:v>23164</c:v>
                </c:pt>
                <c:pt idx="194">
                  <c:v>23254</c:v>
                </c:pt>
                <c:pt idx="195">
                  <c:v>23332</c:v>
                </c:pt>
                <c:pt idx="196">
                  <c:v>23438</c:v>
                </c:pt>
                <c:pt idx="197">
                  <c:v>23457</c:v>
                </c:pt>
                <c:pt idx="198">
                  <c:v>23550</c:v>
                </c:pt>
                <c:pt idx="199">
                  <c:v>23595</c:v>
                </c:pt>
                <c:pt idx="200">
                  <c:v>23602</c:v>
                </c:pt>
                <c:pt idx="201">
                  <c:v>23639</c:v>
                </c:pt>
                <c:pt idx="202">
                  <c:v>23729</c:v>
                </c:pt>
                <c:pt idx="203">
                  <c:v>23800</c:v>
                </c:pt>
                <c:pt idx="204">
                  <c:v>23857</c:v>
                </c:pt>
              </c:numCache>
            </c:numRef>
          </c:val>
          <c:smooth val="0"/>
        </c:ser>
        <c:dLbls>
          <c:showLegendKey val="0"/>
          <c:showVal val="0"/>
          <c:showCatName val="0"/>
          <c:showSerName val="0"/>
          <c:showPercent val="0"/>
          <c:showBubbleSize val="0"/>
        </c:dLbls>
        <c:marker val="1"/>
        <c:smooth val="0"/>
        <c:axId val="123809152"/>
        <c:axId val="126588032"/>
      </c:lineChart>
      <c:catAx>
        <c:axId val="123809152"/>
        <c:scaling>
          <c:orientation val="minMax"/>
        </c:scaling>
        <c:delete val="0"/>
        <c:axPos val="b"/>
        <c:majorTickMark val="none"/>
        <c:minorTickMark val="none"/>
        <c:tickLblPos val="nextTo"/>
        <c:txPr>
          <a:bodyPr/>
          <a:lstStyle/>
          <a:p>
            <a:pPr>
              <a:defRPr sz="900"/>
            </a:pPr>
            <a:endParaRPr lang="en-US"/>
          </a:p>
        </c:txPr>
        <c:crossAx val="126588032"/>
        <c:crosses val="autoZero"/>
        <c:auto val="1"/>
        <c:lblAlgn val="ctr"/>
        <c:lblOffset val="100"/>
        <c:noMultiLvlLbl val="0"/>
      </c:catAx>
      <c:valAx>
        <c:axId val="126588032"/>
        <c:scaling>
          <c:orientation val="minMax"/>
          <c:min val="0"/>
        </c:scaling>
        <c:delete val="0"/>
        <c:axPos val="l"/>
        <c:majorGridlines>
          <c:spPr>
            <a:ln>
              <a:noFill/>
            </a:ln>
          </c:spPr>
        </c:majorGridlines>
        <c:title>
          <c:tx>
            <c:rich>
              <a:bodyPr/>
              <a:lstStyle/>
              <a:p>
                <a:pPr>
                  <a:defRPr b="0"/>
                </a:pPr>
                <a:r>
                  <a:rPr lang="en-AU" b="0"/>
                  <a:t>Patients</a:t>
                </a:r>
              </a:p>
            </c:rich>
          </c:tx>
          <c:layout/>
          <c:overlay val="0"/>
        </c:title>
        <c:numFmt formatCode="#,##0" sourceLinked="0"/>
        <c:majorTickMark val="none"/>
        <c:minorTickMark val="none"/>
        <c:tickLblPos val="nextTo"/>
        <c:crossAx val="123809152"/>
        <c:crosses val="autoZero"/>
        <c:crossBetween val="between"/>
      </c:valAx>
    </c:plotArea>
    <c:plotVisOnly val="1"/>
    <c:dispBlanksAs val="gap"/>
    <c:showDLblsOverMax val="0"/>
  </c:chart>
  <c:spPr>
    <a:ln>
      <a:solidFill>
        <a:schemeClr val="tx1"/>
      </a:solidFill>
    </a:ln>
  </c:spPr>
  <c:txPr>
    <a:bodyPr/>
    <a:lstStyle/>
    <a:p>
      <a:pPr>
        <a:defRPr sz="900"/>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[D957 - SCRPT_SUM.xlsx]Sheet2 (2)!PivotTable1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s>
    <c:plotArea>
      <c:layout/>
      <c:lineChart>
        <c:grouping val="standard"/>
        <c:varyColors val="0"/>
        <c:ser>
          <c:idx val="0"/>
          <c:order val="0"/>
          <c:tx>
            <c:strRef>
              <c:f>'Sheet2 (2)'!$B$1:$B$2</c:f>
              <c:strCache>
                <c:ptCount val="1"/>
                <c:pt idx="0">
                  <c:v>Metformin</c:v>
                </c:pt>
              </c:strCache>
            </c:strRef>
          </c:tx>
          <c:marker>
            <c:symbol val="none"/>
          </c:marker>
          <c:cat>
            <c:strRef>
              <c:f>'Sheet2 (2)'!$A$3:$A$50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(2)'!$B$3:$B$50</c:f>
              <c:numCache>
                <c:formatCode>General</c:formatCode>
                <c:ptCount val="47"/>
                <c:pt idx="0">
                  <c:v>394405</c:v>
                </c:pt>
                <c:pt idx="1">
                  <c:v>435088</c:v>
                </c:pt>
                <c:pt idx="2">
                  <c:v>444435</c:v>
                </c:pt>
                <c:pt idx="3">
                  <c:v>527499</c:v>
                </c:pt>
                <c:pt idx="4">
                  <c:v>329871</c:v>
                </c:pt>
                <c:pt idx="5">
                  <c:v>344243</c:v>
                </c:pt>
                <c:pt idx="6">
                  <c:v>384550</c:v>
                </c:pt>
                <c:pt idx="7">
                  <c:v>396503</c:v>
                </c:pt>
                <c:pt idx="8">
                  <c:v>420374</c:v>
                </c:pt>
                <c:pt idx="9">
                  <c:v>390014</c:v>
                </c:pt>
                <c:pt idx="10">
                  <c:v>428545</c:v>
                </c:pt>
                <c:pt idx="11">
                  <c:v>429605</c:v>
                </c:pt>
                <c:pt idx="12">
                  <c:v>412880</c:v>
                </c:pt>
                <c:pt idx="13">
                  <c:v>452279</c:v>
                </c:pt>
                <c:pt idx="14">
                  <c:v>452201</c:v>
                </c:pt>
                <c:pt idx="15">
                  <c:v>549634</c:v>
                </c:pt>
                <c:pt idx="16">
                  <c:v>343444</c:v>
                </c:pt>
                <c:pt idx="17">
                  <c:v>355895</c:v>
                </c:pt>
                <c:pt idx="18">
                  <c:v>402622</c:v>
                </c:pt>
                <c:pt idx="19">
                  <c:v>398744</c:v>
                </c:pt>
                <c:pt idx="20">
                  <c:v>431744</c:v>
                </c:pt>
                <c:pt idx="21">
                  <c:v>404015</c:v>
                </c:pt>
                <c:pt idx="22">
                  <c:v>433929</c:v>
                </c:pt>
                <c:pt idx="23">
                  <c:v>423364</c:v>
                </c:pt>
                <c:pt idx="24">
                  <c:v>427823</c:v>
                </c:pt>
                <c:pt idx="25">
                  <c:v>451410</c:v>
                </c:pt>
                <c:pt idx="26">
                  <c:v>442079</c:v>
                </c:pt>
                <c:pt idx="27">
                  <c:v>561004</c:v>
                </c:pt>
                <c:pt idx="28">
                  <c:v>340692</c:v>
                </c:pt>
                <c:pt idx="29">
                  <c:v>353584</c:v>
                </c:pt>
                <c:pt idx="30">
                  <c:v>409302</c:v>
                </c:pt>
                <c:pt idx="31">
                  <c:v>396754</c:v>
                </c:pt>
                <c:pt idx="32">
                  <c:v>417047</c:v>
                </c:pt>
                <c:pt idx="33">
                  <c:v>419728</c:v>
                </c:pt>
                <c:pt idx="34">
                  <c:v>439799</c:v>
                </c:pt>
                <c:pt idx="35">
                  <c:v>429625</c:v>
                </c:pt>
                <c:pt idx="36">
                  <c:v>432062</c:v>
                </c:pt>
                <c:pt idx="37">
                  <c:v>452090</c:v>
                </c:pt>
                <c:pt idx="38">
                  <c:v>456822</c:v>
                </c:pt>
                <c:pt idx="39">
                  <c:v>572338</c:v>
                </c:pt>
                <c:pt idx="40">
                  <c:v>336227</c:v>
                </c:pt>
                <c:pt idx="41">
                  <c:v>374515</c:v>
                </c:pt>
                <c:pt idx="42">
                  <c:v>408763</c:v>
                </c:pt>
                <c:pt idx="43">
                  <c:v>399857</c:v>
                </c:pt>
                <c:pt idx="44">
                  <c:v>398066</c:v>
                </c:pt>
                <c:pt idx="45">
                  <c:v>409107</c:v>
                </c:pt>
                <c:pt idx="46">
                  <c:v>404890</c:v>
                </c:pt>
              </c:numCache>
            </c:numRef>
          </c:val>
          <c:smooth val="0"/>
        </c:ser>
        <c:ser>
          <c:idx val="1"/>
          <c:order val="1"/>
          <c:tx>
            <c:strRef>
              <c:f>'Sheet2 (2)'!$C$1:$C$2</c:f>
              <c:strCache>
                <c:ptCount val="1"/>
                <c:pt idx="0">
                  <c:v>Sulfonylurea</c:v>
                </c:pt>
              </c:strCache>
            </c:strRef>
          </c:tx>
          <c:marker>
            <c:symbol val="none"/>
          </c:marker>
          <c:cat>
            <c:strRef>
              <c:f>'Sheet2 (2)'!$A$3:$A$50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(2)'!$C$3:$C$50</c:f>
              <c:numCache>
                <c:formatCode>General</c:formatCode>
                <c:ptCount val="47"/>
                <c:pt idx="0">
                  <c:v>190480</c:v>
                </c:pt>
                <c:pt idx="1">
                  <c:v>208898</c:v>
                </c:pt>
                <c:pt idx="2">
                  <c:v>212494</c:v>
                </c:pt>
                <c:pt idx="3">
                  <c:v>255388</c:v>
                </c:pt>
                <c:pt idx="4">
                  <c:v>154282</c:v>
                </c:pt>
                <c:pt idx="5">
                  <c:v>162097</c:v>
                </c:pt>
                <c:pt idx="6">
                  <c:v>179878</c:v>
                </c:pt>
                <c:pt idx="7">
                  <c:v>185615</c:v>
                </c:pt>
                <c:pt idx="8">
                  <c:v>196013</c:v>
                </c:pt>
                <c:pt idx="9">
                  <c:v>180599</c:v>
                </c:pt>
                <c:pt idx="10">
                  <c:v>197673</c:v>
                </c:pt>
                <c:pt idx="11">
                  <c:v>198588</c:v>
                </c:pt>
                <c:pt idx="12">
                  <c:v>189931</c:v>
                </c:pt>
                <c:pt idx="13">
                  <c:v>208041</c:v>
                </c:pt>
                <c:pt idx="14">
                  <c:v>207238</c:v>
                </c:pt>
                <c:pt idx="15">
                  <c:v>255966</c:v>
                </c:pt>
                <c:pt idx="16">
                  <c:v>152359</c:v>
                </c:pt>
                <c:pt idx="17">
                  <c:v>159159</c:v>
                </c:pt>
                <c:pt idx="18">
                  <c:v>179214</c:v>
                </c:pt>
                <c:pt idx="19">
                  <c:v>178219</c:v>
                </c:pt>
                <c:pt idx="20">
                  <c:v>192110</c:v>
                </c:pt>
                <c:pt idx="21">
                  <c:v>179632</c:v>
                </c:pt>
                <c:pt idx="22">
                  <c:v>191870</c:v>
                </c:pt>
                <c:pt idx="23">
                  <c:v>185956</c:v>
                </c:pt>
                <c:pt idx="24">
                  <c:v>189947</c:v>
                </c:pt>
                <c:pt idx="25">
                  <c:v>197731</c:v>
                </c:pt>
                <c:pt idx="26">
                  <c:v>194210</c:v>
                </c:pt>
                <c:pt idx="27">
                  <c:v>250051</c:v>
                </c:pt>
                <c:pt idx="28">
                  <c:v>144083</c:v>
                </c:pt>
                <c:pt idx="29">
                  <c:v>151447</c:v>
                </c:pt>
                <c:pt idx="30">
                  <c:v>175171</c:v>
                </c:pt>
                <c:pt idx="31">
                  <c:v>171091</c:v>
                </c:pt>
                <c:pt idx="32">
                  <c:v>177642</c:v>
                </c:pt>
                <c:pt idx="33">
                  <c:v>177886</c:v>
                </c:pt>
                <c:pt idx="34">
                  <c:v>186825</c:v>
                </c:pt>
                <c:pt idx="35">
                  <c:v>181088</c:v>
                </c:pt>
                <c:pt idx="36">
                  <c:v>182677</c:v>
                </c:pt>
                <c:pt idx="37">
                  <c:v>190808</c:v>
                </c:pt>
                <c:pt idx="38">
                  <c:v>191140</c:v>
                </c:pt>
                <c:pt idx="39">
                  <c:v>247567</c:v>
                </c:pt>
                <c:pt idx="40">
                  <c:v>136746</c:v>
                </c:pt>
                <c:pt idx="41">
                  <c:v>155430</c:v>
                </c:pt>
                <c:pt idx="42">
                  <c:v>171217</c:v>
                </c:pt>
                <c:pt idx="43">
                  <c:v>168556</c:v>
                </c:pt>
                <c:pt idx="44">
                  <c:v>174164</c:v>
                </c:pt>
                <c:pt idx="45">
                  <c:v>169762</c:v>
                </c:pt>
                <c:pt idx="46">
                  <c:v>169042</c:v>
                </c:pt>
              </c:numCache>
            </c:numRef>
          </c:val>
          <c:smooth val="0"/>
        </c:ser>
        <c:ser>
          <c:idx val="2"/>
          <c:order val="2"/>
          <c:tx>
            <c:strRef>
              <c:f>'Sheet2 (2)'!$D$1:$D$2</c:f>
              <c:strCache>
                <c:ptCount val="1"/>
                <c:pt idx="0">
                  <c:v>Gliptin&amp;Met FDC</c:v>
                </c:pt>
              </c:strCache>
            </c:strRef>
          </c:tx>
          <c:marker>
            <c:symbol val="none"/>
          </c:marker>
          <c:cat>
            <c:strRef>
              <c:f>'Sheet2 (2)'!$A$3:$A$50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(2)'!$D$3:$D$50</c:f>
              <c:numCache>
                <c:formatCode>General</c:formatCode>
                <c:ptCount val="47"/>
                <c:pt idx="0">
                  <c:v>50055</c:v>
                </c:pt>
                <c:pt idx="1">
                  <c:v>55604</c:v>
                </c:pt>
                <c:pt idx="2">
                  <c:v>57775</c:v>
                </c:pt>
                <c:pt idx="3">
                  <c:v>66360</c:v>
                </c:pt>
                <c:pt idx="4">
                  <c:v>49106</c:v>
                </c:pt>
                <c:pt idx="5">
                  <c:v>52056</c:v>
                </c:pt>
                <c:pt idx="6">
                  <c:v>58384</c:v>
                </c:pt>
                <c:pt idx="7">
                  <c:v>60723</c:v>
                </c:pt>
                <c:pt idx="8">
                  <c:v>65525</c:v>
                </c:pt>
                <c:pt idx="9">
                  <c:v>61317</c:v>
                </c:pt>
                <c:pt idx="10">
                  <c:v>67970</c:v>
                </c:pt>
                <c:pt idx="11">
                  <c:v>69516</c:v>
                </c:pt>
                <c:pt idx="12">
                  <c:v>67256</c:v>
                </c:pt>
                <c:pt idx="13">
                  <c:v>73901</c:v>
                </c:pt>
                <c:pt idx="14">
                  <c:v>74244</c:v>
                </c:pt>
                <c:pt idx="15">
                  <c:v>87039</c:v>
                </c:pt>
                <c:pt idx="16">
                  <c:v>63707</c:v>
                </c:pt>
                <c:pt idx="17">
                  <c:v>66790</c:v>
                </c:pt>
                <c:pt idx="18">
                  <c:v>76918</c:v>
                </c:pt>
                <c:pt idx="19">
                  <c:v>78235</c:v>
                </c:pt>
                <c:pt idx="20">
                  <c:v>86801</c:v>
                </c:pt>
                <c:pt idx="21">
                  <c:v>84051</c:v>
                </c:pt>
                <c:pt idx="22">
                  <c:v>92612</c:v>
                </c:pt>
                <c:pt idx="23">
                  <c:v>92584</c:v>
                </c:pt>
                <c:pt idx="24">
                  <c:v>96168</c:v>
                </c:pt>
                <c:pt idx="25">
                  <c:v>102451</c:v>
                </c:pt>
                <c:pt idx="26">
                  <c:v>100902</c:v>
                </c:pt>
                <c:pt idx="27">
                  <c:v>125007</c:v>
                </c:pt>
                <c:pt idx="28">
                  <c:v>88236</c:v>
                </c:pt>
                <c:pt idx="29">
                  <c:v>92638</c:v>
                </c:pt>
                <c:pt idx="30">
                  <c:v>108166</c:v>
                </c:pt>
                <c:pt idx="31">
                  <c:v>106535</c:v>
                </c:pt>
                <c:pt idx="32">
                  <c:v>112383</c:v>
                </c:pt>
                <c:pt idx="33">
                  <c:v>113874</c:v>
                </c:pt>
                <c:pt idx="34">
                  <c:v>120753</c:v>
                </c:pt>
                <c:pt idx="35">
                  <c:v>119237</c:v>
                </c:pt>
                <c:pt idx="36">
                  <c:v>120203</c:v>
                </c:pt>
                <c:pt idx="37">
                  <c:v>126726</c:v>
                </c:pt>
                <c:pt idx="38">
                  <c:v>127335</c:v>
                </c:pt>
                <c:pt idx="39">
                  <c:v>153621</c:v>
                </c:pt>
                <c:pt idx="40">
                  <c:v>106312</c:v>
                </c:pt>
                <c:pt idx="41">
                  <c:v>119039</c:v>
                </c:pt>
                <c:pt idx="42">
                  <c:v>131352</c:v>
                </c:pt>
                <c:pt idx="43">
                  <c:v>130271</c:v>
                </c:pt>
                <c:pt idx="44">
                  <c:v>134517</c:v>
                </c:pt>
                <c:pt idx="45">
                  <c:v>133032</c:v>
                </c:pt>
                <c:pt idx="46">
                  <c:v>134224</c:v>
                </c:pt>
              </c:numCache>
            </c:numRef>
          </c:val>
          <c:smooth val="0"/>
        </c:ser>
        <c:ser>
          <c:idx val="3"/>
          <c:order val="3"/>
          <c:tx>
            <c:strRef>
              <c:f>'Sheet2 (2)'!$E$1:$E$2</c:f>
              <c:strCache>
                <c:ptCount val="1"/>
                <c:pt idx="0">
                  <c:v>Insulin</c:v>
                </c:pt>
              </c:strCache>
            </c:strRef>
          </c:tx>
          <c:marker>
            <c:symbol val="none"/>
          </c:marker>
          <c:cat>
            <c:strRef>
              <c:f>'Sheet2 (2)'!$A$3:$A$50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(2)'!$E$3:$E$50</c:f>
              <c:numCache>
                <c:formatCode>General</c:formatCode>
                <c:ptCount val="47"/>
                <c:pt idx="0">
                  <c:v>74610</c:v>
                </c:pt>
                <c:pt idx="1">
                  <c:v>81539</c:v>
                </c:pt>
                <c:pt idx="2">
                  <c:v>85488</c:v>
                </c:pt>
                <c:pt idx="3">
                  <c:v>111290</c:v>
                </c:pt>
                <c:pt idx="4">
                  <c:v>61835</c:v>
                </c:pt>
                <c:pt idx="5">
                  <c:v>64774</c:v>
                </c:pt>
                <c:pt idx="6">
                  <c:v>72259</c:v>
                </c:pt>
                <c:pt idx="7">
                  <c:v>74860</c:v>
                </c:pt>
                <c:pt idx="8">
                  <c:v>80168</c:v>
                </c:pt>
                <c:pt idx="9">
                  <c:v>74508</c:v>
                </c:pt>
                <c:pt idx="10">
                  <c:v>82705</c:v>
                </c:pt>
                <c:pt idx="11">
                  <c:v>83381</c:v>
                </c:pt>
                <c:pt idx="12">
                  <c:v>79759</c:v>
                </c:pt>
                <c:pt idx="13">
                  <c:v>86691</c:v>
                </c:pt>
                <c:pt idx="14">
                  <c:v>88701</c:v>
                </c:pt>
                <c:pt idx="15">
                  <c:v>118083</c:v>
                </c:pt>
                <c:pt idx="16">
                  <c:v>65180</c:v>
                </c:pt>
                <c:pt idx="17">
                  <c:v>67620</c:v>
                </c:pt>
                <c:pt idx="18">
                  <c:v>76985</c:v>
                </c:pt>
                <c:pt idx="19">
                  <c:v>77369</c:v>
                </c:pt>
                <c:pt idx="20">
                  <c:v>84382</c:v>
                </c:pt>
                <c:pt idx="21">
                  <c:v>79948</c:v>
                </c:pt>
                <c:pt idx="22">
                  <c:v>85629</c:v>
                </c:pt>
                <c:pt idx="23">
                  <c:v>84794</c:v>
                </c:pt>
                <c:pt idx="24">
                  <c:v>85397</c:v>
                </c:pt>
                <c:pt idx="25">
                  <c:v>90622</c:v>
                </c:pt>
                <c:pt idx="26">
                  <c:v>89649</c:v>
                </c:pt>
                <c:pt idx="27">
                  <c:v>126903</c:v>
                </c:pt>
                <c:pt idx="28">
                  <c:v>66393</c:v>
                </c:pt>
                <c:pt idx="29">
                  <c:v>70513</c:v>
                </c:pt>
                <c:pt idx="30">
                  <c:v>81968</c:v>
                </c:pt>
                <c:pt idx="31">
                  <c:v>80087</c:v>
                </c:pt>
                <c:pt idx="32">
                  <c:v>83738</c:v>
                </c:pt>
                <c:pt idx="33">
                  <c:v>85660</c:v>
                </c:pt>
                <c:pt idx="34">
                  <c:v>89996</c:v>
                </c:pt>
                <c:pt idx="35">
                  <c:v>87450</c:v>
                </c:pt>
                <c:pt idx="36">
                  <c:v>88462</c:v>
                </c:pt>
                <c:pt idx="37">
                  <c:v>92661</c:v>
                </c:pt>
                <c:pt idx="38">
                  <c:v>94468</c:v>
                </c:pt>
                <c:pt idx="39">
                  <c:v>131865</c:v>
                </c:pt>
                <c:pt idx="40">
                  <c:v>66566</c:v>
                </c:pt>
                <c:pt idx="41">
                  <c:v>75242</c:v>
                </c:pt>
                <c:pt idx="42">
                  <c:v>84917</c:v>
                </c:pt>
                <c:pt idx="43">
                  <c:v>82192</c:v>
                </c:pt>
                <c:pt idx="44">
                  <c:v>84715</c:v>
                </c:pt>
                <c:pt idx="45">
                  <c:v>84557</c:v>
                </c:pt>
                <c:pt idx="46">
                  <c:v>83437</c:v>
                </c:pt>
              </c:numCache>
            </c:numRef>
          </c:val>
          <c:smooth val="0"/>
        </c:ser>
        <c:ser>
          <c:idx val="4"/>
          <c:order val="4"/>
          <c:tx>
            <c:strRef>
              <c:f>'Sheet2 (2)'!$F$1:$F$2</c:f>
              <c:strCache>
                <c:ptCount val="1"/>
                <c:pt idx="0">
                  <c:v>Gliptin</c:v>
                </c:pt>
              </c:strCache>
            </c:strRef>
          </c:tx>
          <c:marker>
            <c:symbol val="none"/>
          </c:marker>
          <c:cat>
            <c:strRef>
              <c:f>'Sheet2 (2)'!$A$3:$A$50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(2)'!$F$3:$F$50</c:f>
              <c:numCache>
                <c:formatCode>General</c:formatCode>
                <c:ptCount val="47"/>
                <c:pt idx="0">
                  <c:v>47755</c:v>
                </c:pt>
                <c:pt idx="1">
                  <c:v>52664</c:v>
                </c:pt>
                <c:pt idx="2">
                  <c:v>54198</c:v>
                </c:pt>
                <c:pt idx="3">
                  <c:v>62763</c:v>
                </c:pt>
                <c:pt idx="4">
                  <c:v>45135</c:v>
                </c:pt>
                <c:pt idx="5">
                  <c:v>48258</c:v>
                </c:pt>
                <c:pt idx="6">
                  <c:v>53456</c:v>
                </c:pt>
                <c:pt idx="7">
                  <c:v>55332</c:v>
                </c:pt>
                <c:pt idx="8">
                  <c:v>58996</c:v>
                </c:pt>
                <c:pt idx="9">
                  <c:v>55083</c:v>
                </c:pt>
                <c:pt idx="10">
                  <c:v>60846</c:v>
                </c:pt>
                <c:pt idx="11">
                  <c:v>61304</c:v>
                </c:pt>
                <c:pt idx="12">
                  <c:v>59201</c:v>
                </c:pt>
                <c:pt idx="13">
                  <c:v>65013</c:v>
                </c:pt>
                <c:pt idx="14">
                  <c:v>64286</c:v>
                </c:pt>
                <c:pt idx="15">
                  <c:v>76035</c:v>
                </c:pt>
                <c:pt idx="16">
                  <c:v>53139</c:v>
                </c:pt>
                <c:pt idx="17">
                  <c:v>56448</c:v>
                </c:pt>
                <c:pt idx="18">
                  <c:v>63794</c:v>
                </c:pt>
                <c:pt idx="19">
                  <c:v>62941</c:v>
                </c:pt>
                <c:pt idx="20">
                  <c:v>66758</c:v>
                </c:pt>
                <c:pt idx="21">
                  <c:v>63101</c:v>
                </c:pt>
                <c:pt idx="22">
                  <c:v>66704</c:v>
                </c:pt>
                <c:pt idx="23">
                  <c:v>64483</c:v>
                </c:pt>
                <c:pt idx="24">
                  <c:v>65387</c:v>
                </c:pt>
                <c:pt idx="25">
                  <c:v>67817</c:v>
                </c:pt>
                <c:pt idx="26">
                  <c:v>65017</c:v>
                </c:pt>
                <c:pt idx="27">
                  <c:v>80879</c:v>
                </c:pt>
                <c:pt idx="28">
                  <c:v>53481</c:v>
                </c:pt>
                <c:pt idx="29">
                  <c:v>57062</c:v>
                </c:pt>
                <c:pt idx="30">
                  <c:v>64979</c:v>
                </c:pt>
                <c:pt idx="31">
                  <c:v>63386</c:v>
                </c:pt>
                <c:pt idx="32">
                  <c:v>64943</c:v>
                </c:pt>
                <c:pt idx="33">
                  <c:v>65343</c:v>
                </c:pt>
                <c:pt idx="34">
                  <c:v>68115</c:v>
                </c:pt>
                <c:pt idx="35">
                  <c:v>65852</c:v>
                </c:pt>
                <c:pt idx="36">
                  <c:v>65884</c:v>
                </c:pt>
                <c:pt idx="37">
                  <c:v>68640</c:v>
                </c:pt>
                <c:pt idx="38">
                  <c:v>67893</c:v>
                </c:pt>
                <c:pt idx="39">
                  <c:v>82949</c:v>
                </c:pt>
                <c:pt idx="40">
                  <c:v>53007</c:v>
                </c:pt>
                <c:pt idx="41">
                  <c:v>61052</c:v>
                </c:pt>
                <c:pt idx="42">
                  <c:v>67017</c:v>
                </c:pt>
                <c:pt idx="43">
                  <c:v>65643</c:v>
                </c:pt>
                <c:pt idx="44">
                  <c:v>67786</c:v>
                </c:pt>
                <c:pt idx="45">
                  <c:v>65970</c:v>
                </c:pt>
                <c:pt idx="46">
                  <c:v>65222</c:v>
                </c:pt>
              </c:numCache>
            </c:numRef>
          </c:val>
          <c:smooth val="0"/>
        </c:ser>
        <c:ser>
          <c:idx val="5"/>
          <c:order val="5"/>
          <c:tx>
            <c:strRef>
              <c:f>'Sheet2 (2)'!$G$1:$G$2</c:f>
              <c:strCache>
                <c:ptCount val="1"/>
                <c:pt idx="0">
                  <c:v>Pioglitazone</c:v>
                </c:pt>
              </c:strCache>
            </c:strRef>
          </c:tx>
          <c:marker>
            <c:symbol val="none"/>
          </c:marker>
          <c:cat>
            <c:strRef>
              <c:f>'Sheet2 (2)'!$A$3:$A$50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(2)'!$G$3:$G$50</c:f>
              <c:numCache>
                <c:formatCode>General</c:formatCode>
                <c:ptCount val="47"/>
                <c:pt idx="0">
                  <c:v>27317</c:v>
                </c:pt>
                <c:pt idx="1">
                  <c:v>29412</c:v>
                </c:pt>
                <c:pt idx="2">
                  <c:v>29113</c:v>
                </c:pt>
                <c:pt idx="3">
                  <c:v>33189</c:v>
                </c:pt>
                <c:pt idx="4">
                  <c:v>21143</c:v>
                </c:pt>
                <c:pt idx="5">
                  <c:v>22633</c:v>
                </c:pt>
                <c:pt idx="6">
                  <c:v>24571</c:v>
                </c:pt>
                <c:pt idx="7">
                  <c:v>24626</c:v>
                </c:pt>
                <c:pt idx="8">
                  <c:v>24930</c:v>
                </c:pt>
                <c:pt idx="9">
                  <c:v>21711</c:v>
                </c:pt>
                <c:pt idx="10">
                  <c:v>22461</c:v>
                </c:pt>
                <c:pt idx="11">
                  <c:v>22118</c:v>
                </c:pt>
                <c:pt idx="12">
                  <c:v>20432</c:v>
                </c:pt>
                <c:pt idx="13">
                  <c:v>21753</c:v>
                </c:pt>
                <c:pt idx="14">
                  <c:v>21045</c:v>
                </c:pt>
                <c:pt idx="15">
                  <c:v>24799</c:v>
                </c:pt>
                <c:pt idx="16">
                  <c:v>15454</c:v>
                </c:pt>
                <c:pt idx="17">
                  <c:v>16563</c:v>
                </c:pt>
                <c:pt idx="18">
                  <c:v>18618</c:v>
                </c:pt>
                <c:pt idx="19">
                  <c:v>17528</c:v>
                </c:pt>
                <c:pt idx="20">
                  <c:v>18389</c:v>
                </c:pt>
                <c:pt idx="21">
                  <c:v>16780</c:v>
                </c:pt>
                <c:pt idx="22">
                  <c:v>17724</c:v>
                </c:pt>
                <c:pt idx="23">
                  <c:v>16777</c:v>
                </c:pt>
                <c:pt idx="24">
                  <c:v>16933</c:v>
                </c:pt>
                <c:pt idx="25">
                  <c:v>17105</c:v>
                </c:pt>
                <c:pt idx="26">
                  <c:v>16330</c:v>
                </c:pt>
                <c:pt idx="27">
                  <c:v>20364</c:v>
                </c:pt>
                <c:pt idx="28">
                  <c:v>12303</c:v>
                </c:pt>
                <c:pt idx="29">
                  <c:v>13246</c:v>
                </c:pt>
                <c:pt idx="30">
                  <c:v>15037</c:v>
                </c:pt>
                <c:pt idx="31">
                  <c:v>14344</c:v>
                </c:pt>
                <c:pt idx="32">
                  <c:v>14482</c:v>
                </c:pt>
                <c:pt idx="33">
                  <c:v>14367</c:v>
                </c:pt>
                <c:pt idx="34">
                  <c:v>14800</c:v>
                </c:pt>
                <c:pt idx="35">
                  <c:v>13954</c:v>
                </c:pt>
                <c:pt idx="36">
                  <c:v>13840</c:v>
                </c:pt>
                <c:pt idx="37">
                  <c:v>14099</c:v>
                </c:pt>
                <c:pt idx="38">
                  <c:v>13591</c:v>
                </c:pt>
                <c:pt idx="39">
                  <c:v>16591</c:v>
                </c:pt>
                <c:pt idx="40">
                  <c:v>9766</c:v>
                </c:pt>
                <c:pt idx="41">
                  <c:v>11328</c:v>
                </c:pt>
                <c:pt idx="42">
                  <c:v>12183</c:v>
                </c:pt>
                <c:pt idx="43">
                  <c:v>11739</c:v>
                </c:pt>
                <c:pt idx="44">
                  <c:v>11701</c:v>
                </c:pt>
                <c:pt idx="45">
                  <c:v>11059</c:v>
                </c:pt>
                <c:pt idx="46">
                  <c:v>10670</c:v>
                </c:pt>
              </c:numCache>
            </c:numRef>
          </c:val>
          <c:smooth val="0"/>
        </c:ser>
        <c:ser>
          <c:idx val="6"/>
          <c:order val="6"/>
          <c:tx>
            <c:strRef>
              <c:f>'Sheet2 (2)'!$H$1:$H$2</c:f>
              <c:strCache>
                <c:ptCount val="1"/>
                <c:pt idx="0">
                  <c:v>Flozin</c:v>
                </c:pt>
              </c:strCache>
            </c:strRef>
          </c:tx>
          <c:marker>
            <c:symbol val="none"/>
          </c:marker>
          <c:cat>
            <c:strRef>
              <c:f>'Sheet2 (2)'!$A$3:$A$50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(2)'!$H$3:$H$50</c:f>
              <c:numCache>
                <c:formatCode>General</c:formatCode>
                <c:ptCount val="47"/>
                <c:pt idx="15">
                  <c:v>1114</c:v>
                </c:pt>
                <c:pt idx="16">
                  <c:v>1513</c:v>
                </c:pt>
                <c:pt idx="17">
                  <c:v>2191</c:v>
                </c:pt>
                <c:pt idx="18">
                  <c:v>3297</c:v>
                </c:pt>
                <c:pt idx="19">
                  <c:v>3935</c:v>
                </c:pt>
                <c:pt idx="20">
                  <c:v>4906</c:v>
                </c:pt>
                <c:pt idx="21">
                  <c:v>5370</c:v>
                </c:pt>
                <c:pt idx="22">
                  <c:v>6634</c:v>
                </c:pt>
                <c:pt idx="23">
                  <c:v>7276</c:v>
                </c:pt>
                <c:pt idx="24">
                  <c:v>8229</c:v>
                </c:pt>
                <c:pt idx="25">
                  <c:v>9685</c:v>
                </c:pt>
                <c:pt idx="26">
                  <c:v>10334</c:v>
                </c:pt>
                <c:pt idx="27">
                  <c:v>14149</c:v>
                </c:pt>
                <c:pt idx="28">
                  <c:v>11158</c:v>
                </c:pt>
                <c:pt idx="29">
                  <c:v>12704</c:v>
                </c:pt>
                <c:pt idx="30">
                  <c:v>16007</c:v>
                </c:pt>
                <c:pt idx="31">
                  <c:v>17986</c:v>
                </c:pt>
                <c:pt idx="32">
                  <c:v>21966</c:v>
                </c:pt>
                <c:pt idx="33">
                  <c:v>24891</c:v>
                </c:pt>
                <c:pt idx="34">
                  <c:v>29349</c:v>
                </c:pt>
                <c:pt idx="35">
                  <c:v>30606</c:v>
                </c:pt>
                <c:pt idx="36">
                  <c:v>32358</c:v>
                </c:pt>
                <c:pt idx="37">
                  <c:v>37336</c:v>
                </c:pt>
                <c:pt idx="38">
                  <c:v>40575</c:v>
                </c:pt>
                <c:pt idx="39">
                  <c:v>52404</c:v>
                </c:pt>
                <c:pt idx="40">
                  <c:v>36060</c:v>
                </c:pt>
                <c:pt idx="41">
                  <c:v>42926</c:v>
                </c:pt>
                <c:pt idx="42">
                  <c:v>48847</c:v>
                </c:pt>
                <c:pt idx="43">
                  <c:v>49157</c:v>
                </c:pt>
                <c:pt idx="44">
                  <c:v>52313</c:v>
                </c:pt>
                <c:pt idx="45">
                  <c:v>51947</c:v>
                </c:pt>
                <c:pt idx="46">
                  <c:v>53133</c:v>
                </c:pt>
              </c:numCache>
            </c:numRef>
          </c:val>
          <c:smooth val="0"/>
        </c:ser>
        <c:ser>
          <c:idx val="7"/>
          <c:order val="7"/>
          <c:tx>
            <c:strRef>
              <c:f>'Sheet2 (2)'!$I$1:$I$2</c:f>
              <c:strCache>
                <c:ptCount val="1"/>
                <c:pt idx="0">
                  <c:v>Exenatide</c:v>
                </c:pt>
              </c:strCache>
            </c:strRef>
          </c:tx>
          <c:marker>
            <c:symbol val="none"/>
          </c:marker>
          <c:cat>
            <c:strRef>
              <c:f>'Sheet2 (2)'!$A$3:$A$50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(2)'!$I$3:$I$50</c:f>
              <c:numCache>
                <c:formatCode>General</c:formatCode>
                <c:ptCount val="47"/>
                <c:pt idx="0">
                  <c:v>8948</c:v>
                </c:pt>
                <c:pt idx="1">
                  <c:v>9977</c:v>
                </c:pt>
                <c:pt idx="2">
                  <c:v>10402</c:v>
                </c:pt>
                <c:pt idx="3">
                  <c:v>13040</c:v>
                </c:pt>
                <c:pt idx="4">
                  <c:v>8333</c:v>
                </c:pt>
                <c:pt idx="5">
                  <c:v>9144</c:v>
                </c:pt>
                <c:pt idx="6">
                  <c:v>10526</c:v>
                </c:pt>
                <c:pt idx="7">
                  <c:v>10736</c:v>
                </c:pt>
                <c:pt idx="8">
                  <c:v>11633</c:v>
                </c:pt>
                <c:pt idx="9">
                  <c:v>11226</c:v>
                </c:pt>
                <c:pt idx="10">
                  <c:v>12325</c:v>
                </c:pt>
                <c:pt idx="11">
                  <c:v>12931</c:v>
                </c:pt>
                <c:pt idx="12">
                  <c:v>12703</c:v>
                </c:pt>
                <c:pt idx="13">
                  <c:v>14087</c:v>
                </c:pt>
                <c:pt idx="14">
                  <c:v>14576</c:v>
                </c:pt>
                <c:pt idx="15">
                  <c:v>18088</c:v>
                </c:pt>
                <c:pt idx="16">
                  <c:v>11178</c:v>
                </c:pt>
                <c:pt idx="17">
                  <c:v>12267</c:v>
                </c:pt>
                <c:pt idx="18">
                  <c:v>14009</c:v>
                </c:pt>
                <c:pt idx="19">
                  <c:v>14038</c:v>
                </c:pt>
                <c:pt idx="20">
                  <c:v>15048</c:v>
                </c:pt>
                <c:pt idx="21">
                  <c:v>14591</c:v>
                </c:pt>
                <c:pt idx="22">
                  <c:v>15954</c:v>
                </c:pt>
                <c:pt idx="23">
                  <c:v>15321</c:v>
                </c:pt>
                <c:pt idx="24">
                  <c:v>15572</c:v>
                </c:pt>
                <c:pt idx="25">
                  <c:v>16772</c:v>
                </c:pt>
                <c:pt idx="26">
                  <c:v>16463</c:v>
                </c:pt>
                <c:pt idx="27">
                  <c:v>21402</c:v>
                </c:pt>
                <c:pt idx="28">
                  <c:v>12585</c:v>
                </c:pt>
                <c:pt idx="29">
                  <c:v>13961</c:v>
                </c:pt>
                <c:pt idx="30">
                  <c:v>16236</c:v>
                </c:pt>
                <c:pt idx="31">
                  <c:v>15249</c:v>
                </c:pt>
                <c:pt idx="32">
                  <c:v>15976</c:v>
                </c:pt>
                <c:pt idx="33">
                  <c:v>16278</c:v>
                </c:pt>
                <c:pt idx="34">
                  <c:v>16918</c:v>
                </c:pt>
                <c:pt idx="35">
                  <c:v>16389</c:v>
                </c:pt>
                <c:pt idx="36">
                  <c:v>16602</c:v>
                </c:pt>
                <c:pt idx="37">
                  <c:v>18245</c:v>
                </c:pt>
                <c:pt idx="38">
                  <c:v>19029</c:v>
                </c:pt>
                <c:pt idx="39">
                  <c:v>24823</c:v>
                </c:pt>
                <c:pt idx="40">
                  <c:v>14519</c:v>
                </c:pt>
                <c:pt idx="41">
                  <c:v>17601</c:v>
                </c:pt>
                <c:pt idx="42">
                  <c:v>19997</c:v>
                </c:pt>
                <c:pt idx="43">
                  <c:v>19731</c:v>
                </c:pt>
                <c:pt idx="44">
                  <c:v>20690</c:v>
                </c:pt>
                <c:pt idx="45">
                  <c:v>20603</c:v>
                </c:pt>
                <c:pt idx="46">
                  <c:v>20769</c:v>
                </c:pt>
              </c:numCache>
            </c:numRef>
          </c:val>
          <c:smooth val="0"/>
        </c:ser>
        <c:ser>
          <c:idx val="8"/>
          <c:order val="8"/>
          <c:tx>
            <c:strRef>
              <c:f>'Sheet2 (2)'!$J$1:$J$2</c:f>
              <c:strCache>
                <c:ptCount val="1"/>
                <c:pt idx="0">
                  <c:v>Met&amp;Sulf FDC</c:v>
                </c:pt>
              </c:strCache>
            </c:strRef>
          </c:tx>
          <c:marker>
            <c:symbol val="none"/>
          </c:marker>
          <c:cat>
            <c:strRef>
              <c:f>'Sheet2 (2)'!$A$3:$A$50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(2)'!$J$3:$J$50</c:f>
              <c:numCache>
                <c:formatCode>General</c:formatCode>
                <c:ptCount val="47"/>
                <c:pt idx="0">
                  <c:v>8744</c:v>
                </c:pt>
                <c:pt idx="1">
                  <c:v>9604</c:v>
                </c:pt>
                <c:pt idx="2">
                  <c:v>9597</c:v>
                </c:pt>
                <c:pt idx="3">
                  <c:v>11215</c:v>
                </c:pt>
                <c:pt idx="4">
                  <c:v>7053</c:v>
                </c:pt>
                <c:pt idx="5">
                  <c:v>7593</c:v>
                </c:pt>
                <c:pt idx="6">
                  <c:v>8294</c:v>
                </c:pt>
                <c:pt idx="7">
                  <c:v>8525</c:v>
                </c:pt>
                <c:pt idx="8">
                  <c:v>8911</c:v>
                </c:pt>
                <c:pt idx="9">
                  <c:v>8080</c:v>
                </c:pt>
                <c:pt idx="10">
                  <c:v>8849</c:v>
                </c:pt>
                <c:pt idx="11">
                  <c:v>8739</c:v>
                </c:pt>
                <c:pt idx="12">
                  <c:v>8430</c:v>
                </c:pt>
                <c:pt idx="13">
                  <c:v>8893</c:v>
                </c:pt>
                <c:pt idx="14">
                  <c:v>8794</c:v>
                </c:pt>
                <c:pt idx="15">
                  <c:v>10714</c:v>
                </c:pt>
                <c:pt idx="16">
                  <c:v>6727</c:v>
                </c:pt>
                <c:pt idx="17">
                  <c:v>6873</c:v>
                </c:pt>
                <c:pt idx="18">
                  <c:v>7716</c:v>
                </c:pt>
                <c:pt idx="19">
                  <c:v>7593</c:v>
                </c:pt>
                <c:pt idx="20">
                  <c:v>8237</c:v>
                </c:pt>
                <c:pt idx="21">
                  <c:v>7440</c:v>
                </c:pt>
                <c:pt idx="22">
                  <c:v>7954</c:v>
                </c:pt>
                <c:pt idx="23">
                  <c:v>7701</c:v>
                </c:pt>
                <c:pt idx="24">
                  <c:v>7748</c:v>
                </c:pt>
                <c:pt idx="25">
                  <c:v>7998</c:v>
                </c:pt>
                <c:pt idx="26">
                  <c:v>7887</c:v>
                </c:pt>
                <c:pt idx="27">
                  <c:v>9717</c:v>
                </c:pt>
                <c:pt idx="28">
                  <c:v>5812</c:v>
                </c:pt>
                <c:pt idx="29">
                  <c:v>6259</c:v>
                </c:pt>
                <c:pt idx="30">
                  <c:v>6991</c:v>
                </c:pt>
                <c:pt idx="31">
                  <c:v>6976</c:v>
                </c:pt>
                <c:pt idx="32">
                  <c:v>7117</c:v>
                </c:pt>
                <c:pt idx="33">
                  <c:v>6992</c:v>
                </c:pt>
                <c:pt idx="34">
                  <c:v>7389</c:v>
                </c:pt>
                <c:pt idx="35">
                  <c:v>6995</c:v>
                </c:pt>
                <c:pt idx="36">
                  <c:v>6931</c:v>
                </c:pt>
                <c:pt idx="37">
                  <c:v>7228</c:v>
                </c:pt>
                <c:pt idx="38">
                  <c:v>7108</c:v>
                </c:pt>
                <c:pt idx="39">
                  <c:v>8899</c:v>
                </c:pt>
                <c:pt idx="40">
                  <c:v>5195</c:v>
                </c:pt>
                <c:pt idx="41">
                  <c:v>5748</c:v>
                </c:pt>
                <c:pt idx="42">
                  <c:v>6313</c:v>
                </c:pt>
                <c:pt idx="43">
                  <c:v>6222</c:v>
                </c:pt>
                <c:pt idx="44">
                  <c:v>6437</c:v>
                </c:pt>
                <c:pt idx="45">
                  <c:v>6042</c:v>
                </c:pt>
                <c:pt idx="46">
                  <c:v>5889</c:v>
                </c:pt>
              </c:numCache>
            </c:numRef>
          </c:val>
          <c:smooth val="0"/>
        </c:ser>
        <c:ser>
          <c:idx val="9"/>
          <c:order val="9"/>
          <c:tx>
            <c:strRef>
              <c:f>'Sheet2 (2)'!$K$1:$K$2</c:f>
              <c:strCache>
                <c:ptCount val="1"/>
                <c:pt idx="0">
                  <c:v>Acarbose</c:v>
                </c:pt>
              </c:strCache>
            </c:strRef>
          </c:tx>
          <c:marker>
            <c:symbol val="none"/>
          </c:marker>
          <c:cat>
            <c:strRef>
              <c:f>'Sheet2 (2)'!$A$3:$A$50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(2)'!$K$3:$K$50</c:f>
              <c:numCache>
                <c:formatCode>General</c:formatCode>
                <c:ptCount val="47"/>
                <c:pt idx="0">
                  <c:v>4402</c:v>
                </c:pt>
                <c:pt idx="1">
                  <c:v>5009</c:v>
                </c:pt>
                <c:pt idx="2">
                  <c:v>4903</c:v>
                </c:pt>
                <c:pt idx="3">
                  <c:v>6460</c:v>
                </c:pt>
                <c:pt idx="4">
                  <c:v>3274</c:v>
                </c:pt>
                <c:pt idx="5">
                  <c:v>3568</c:v>
                </c:pt>
                <c:pt idx="6">
                  <c:v>4070</c:v>
                </c:pt>
                <c:pt idx="7">
                  <c:v>4199</c:v>
                </c:pt>
                <c:pt idx="8">
                  <c:v>4622</c:v>
                </c:pt>
                <c:pt idx="9">
                  <c:v>4176</c:v>
                </c:pt>
                <c:pt idx="10">
                  <c:v>4650</c:v>
                </c:pt>
                <c:pt idx="11">
                  <c:v>4779</c:v>
                </c:pt>
                <c:pt idx="12">
                  <c:v>4539</c:v>
                </c:pt>
                <c:pt idx="13">
                  <c:v>5091</c:v>
                </c:pt>
                <c:pt idx="14">
                  <c:v>5017</c:v>
                </c:pt>
                <c:pt idx="15">
                  <c:v>6456</c:v>
                </c:pt>
                <c:pt idx="16">
                  <c:v>3213</c:v>
                </c:pt>
                <c:pt idx="17">
                  <c:v>3575</c:v>
                </c:pt>
                <c:pt idx="18">
                  <c:v>4259</c:v>
                </c:pt>
                <c:pt idx="19">
                  <c:v>4115</c:v>
                </c:pt>
                <c:pt idx="20">
                  <c:v>4529</c:v>
                </c:pt>
                <c:pt idx="21">
                  <c:v>4309</c:v>
                </c:pt>
                <c:pt idx="22">
                  <c:v>4676</c:v>
                </c:pt>
                <c:pt idx="23">
                  <c:v>4626</c:v>
                </c:pt>
                <c:pt idx="24">
                  <c:v>4616</c:v>
                </c:pt>
                <c:pt idx="25">
                  <c:v>4897</c:v>
                </c:pt>
                <c:pt idx="26">
                  <c:v>4979</c:v>
                </c:pt>
                <c:pt idx="27">
                  <c:v>6501</c:v>
                </c:pt>
                <c:pt idx="28">
                  <c:v>3229</c:v>
                </c:pt>
                <c:pt idx="29">
                  <c:v>3541</c:v>
                </c:pt>
                <c:pt idx="30">
                  <c:v>4233</c:v>
                </c:pt>
                <c:pt idx="31">
                  <c:v>4165</c:v>
                </c:pt>
                <c:pt idx="32">
                  <c:v>4432</c:v>
                </c:pt>
                <c:pt idx="33">
                  <c:v>4372</c:v>
                </c:pt>
                <c:pt idx="34">
                  <c:v>4580</c:v>
                </c:pt>
                <c:pt idx="35">
                  <c:v>4433</c:v>
                </c:pt>
                <c:pt idx="36">
                  <c:v>4602</c:v>
                </c:pt>
                <c:pt idx="37">
                  <c:v>4818</c:v>
                </c:pt>
                <c:pt idx="38">
                  <c:v>4849</c:v>
                </c:pt>
                <c:pt idx="39">
                  <c:v>6380</c:v>
                </c:pt>
                <c:pt idx="40">
                  <c:v>2919</c:v>
                </c:pt>
                <c:pt idx="41">
                  <c:v>3607</c:v>
                </c:pt>
                <c:pt idx="42">
                  <c:v>3919</c:v>
                </c:pt>
                <c:pt idx="43">
                  <c:v>3788</c:v>
                </c:pt>
                <c:pt idx="44">
                  <c:v>4047</c:v>
                </c:pt>
                <c:pt idx="45">
                  <c:v>3834</c:v>
                </c:pt>
                <c:pt idx="46">
                  <c:v>3995</c:v>
                </c:pt>
              </c:numCache>
            </c:numRef>
          </c:val>
          <c:smooth val="0"/>
        </c:ser>
        <c:ser>
          <c:idx val="10"/>
          <c:order val="10"/>
          <c:tx>
            <c:strRef>
              <c:f>'Sheet2 (2)'!$L$1:$L$2</c:f>
              <c:strCache>
                <c:ptCount val="1"/>
                <c:pt idx="0">
                  <c:v>Flozin&amp;Met FDC</c:v>
                </c:pt>
              </c:strCache>
            </c:strRef>
          </c:tx>
          <c:marker>
            <c:symbol val="none"/>
          </c:marker>
          <c:cat>
            <c:strRef>
              <c:f>'Sheet2 (2)'!$A$3:$A$50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(2)'!$L$3:$L$50</c:f>
              <c:numCache>
                <c:formatCode>General</c:formatCode>
                <c:ptCount val="47"/>
                <c:pt idx="37">
                  <c:v>311</c:v>
                </c:pt>
                <c:pt idx="38">
                  <c:v>975</c:v>
                </c:pt>
                <c:pt idx="39">
                  <c:v>1990</c:v>
                </c:pt>
                <c:pt idx="40">
                  <c:v>1881</c:v>
                </c:pt>
                <c:pt idx="41">
                  <c:v>3107</c:v>
                </c:pt>
                <c:pt idx="42">
                  <c:v>4778</c:v>
                </c:pt>
                <c:pt idx="43">
                  <c:v>6160</c:v>
                </c:pt>
                <c:pt idx="44">
                  <c:v>8230</c:v>
                </c:pt>
                <c:pt idx="45">
                  <c:v>9682</c:v>
                </c:pt>
                <c:pt idx="46">
                  <c:v>11314</c:v>
                </c:pt>
              </c:numCache>
            </c:numRef>
          </c:val>
          <c:smooth val="0"/>
        </c:ser>
        <c:ser>
          <c:idx val="11"/>
          <c:order val="11"/>
          <c:tx>
            <c:strRef>
              <c:f>'Sheet2 (2)'!$M$1:$M$2</c:f>
              <c:strCache>
                <c:ptCount val="1"/>
                <c:pt idx="0">
                  <c:v>Rosi&amp;Met FDC</c:v>
                </c:pt>
              </c:strCache>
            </c:strRef>
          </c:tx>
          <c:marker>
            <c:symbol val="none"/>
          </c:marker>
          <c:cat>
            <c:strRef>
              <c:f>'Sheet2 (2)'!$A$3:$A$50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(2)'!$M$3:$M$50</c:f>
              <c:numCache>
                <c:formatCode>General</c:formatCode>
                <c:ptCount val="47"/>
                <c:pt idx="0">
                  <c:v>1787</c:v>
                </c:pt>
                <c:pt idx="1">
                  <c:v>1909</c:v>
                </c:pt>
                <c:pt idx="2">
                  <c:v>1824</c:v>
                </c:pt>
                <c:pt idx="3">
                  <c:v>2023</c:v>
                </c:pt>
                <c:pt idx="4">
                  <c:v>1488</c:v>
                </c:pt>
                <c:pt idx="5">
                  <c:v>1451</c:v>
                </c:pt>
                <c:pt idx="6">
                  <c:v>1564</c:v>
                </c:pt>
                <c:pt idx="7">
                  <c:v>1552</c:v>
                </c:pt>
                <c:pt idx="8">
                  <c:v>1573</c:v>
                </c:pt>
                <c:pt idx="9">
                  <c:v>1382</c:v>
                </c:pt>
                <c:pt idx="10">
                  <c:v>1531</c:v>
                </c:pt>
                <c:pt idx="11">
                  <c:v>1415</c:v>
                </c:pt>
                <c:pt idx="12">
                  <c:v>1341</c:v>
                </c:pt>
                <c:pt idx="13">
                  <c:v>1420</c:v>
                </c:pt>
                <c:pt idx="14">
                  <c:v>1328</c:v>
                </c:pt>
                <c:pt idx="15">
                  <c:v>1427</c:v>
                </c:pt>
                <c:pt idx="16">
                  <c:v>1072</c:v>
                </c:pt>
                <c:pt idx="17">
                  <c:v>1079</c:v>
                </c:pt>
                <c:pt idx="18">
                  <c:v>1137</c:v>
                </c:pt>
                <c:pt idx="19">
                  <c:v>1101</c:v>
                </c:pt>
                <c:pt idx="20">
                  <c:v>1132</c:v>
                </c:pt>
                <c:pt idx="21">
                  <c:v>1069</c:v>
                </c:pt>
                <c:pt idx="22">
                  <c:v>1110</c:v>
                </c:pt>
                <c:pt idx="23">
                  <c:v>1084</c:v>
                </c:pt>
                <c:pt idx="24">
                  <c:v>998</c:v>
                </c:pt>
                <c:pt idx="25">
                  <c:v>1051</c:v>
                </c:pt>
                <c:pt idx="26">
                  <c:v>981</c:v>
                </c:pt>
                <c:pt idx="27">
                  <c:v>1136</c:v>
                </c:pt>
                <c:pt idx="28">
                  <c:v>783</c:v>
                </c:pt>
                <c:pt idx="29">
                  <c:v>829</c:v>
                </c:pt>
                <c:pt idx="30">
                  <c:v>934</c:v>
                </c:pt>
                <c:pt idx="31">
                  <c:v>818</c:v>
                </c:pt>
                <c:pt idx="32">
                  <c:v>750</c:v>
                </c:pt>
                <c:pt idx="33">
                  <c:v>632</c:v>
                </c:pt>
                <c:pt idx="34">
                  <c:v>618</c:v>
                </c:pt>
                <c:pt idx="35">
                  <c:v>543</c:v>
                </c:pt>
                <c:pt idx="36">
                  <c:v>541</c:v>
                </c:pt>
                <c:pt idx="37">
                  <c:v>427</c:v>
                </c:pt>
                <c:pt idx="38">
                  <c:v>363</c:v>
                </c:pt>
                <c:pt idx="39">
                  <c:v>415</c:v>
                </c:pt>
                <c:pt idx="40">
                  <c:v>256</c:v>
                </c:pt>
                <c:pt idx="41">
                  <c:v>302</c:v>
                </c:pt>
                <c:pt idx="42">
                  <c:v>302</c:v>
                </c:pt>
                <c:pt idx="43">
                  <c:v>329</c:v>
                </c:pt>
                <c:pt idx="44">
                  <c:v>334</c:v>
                </c:pt>
                <c:pt idx="45">
                  <c:v>303</c:v>
                </c:pt>
                <c:pt idx="46">
                  <c:v>281</c:v>
                </c:pt>
              </c:numCache>
            </c:numRef>
          </c:val>
          <c:smooth val="0"/>
        </c:ser>
        <c:ser>
          <c:idx val="12"/>
          <c:order val="12"/>
          <c:tx>
            <c:strRef>
              <c:f>'Sheet2 (2)'!$N$1:$N$2</c:f>
              <c:strCache>
                <c:ptCount val="1"/>
                <c:pt idx="0">
                  <c:v>Rosiglitazone</c:v>
                </c:pt>
              </c:strCache>
            </c:strRef>
          </c:tx>
          <c:marker>
            <c:symbol val="none"/>
          </c:marker>
          <c:cat>
            <c:strRef>
              <c:f>'Sheet2 (2)'!$A$3:$A$50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(2)'!$N$3:$N$50</c:f>
              <c:numCache>
                <c:formatCode>General</c:formatCode>
                <c:ptCount val="47"/>
                <c:pt idx="0">
                  <c:v>1613</c:v>
                </c:pt>
                <c:pt idx="1">
                  <c:v>1681</c:v>
                </c:pt>
                <c:pt idx="2">
                  <c:v>1632</c:v>
                </c:pt>
                <c:pt idx="3">
                  <c:v>1746</c:v>
                </c:pt>
                <c:pt idx="4">
                  <c:v>1256</c:v>
                </c:pt>
                <c:pt idx="5">
                  <c:v>1287</c:v>
                </c:pt>
                <c:pt idx="6">
                  <c:v>1347</c:v>
                </c:pt>
                <c:pt idx="7">
                  <c:v>1342</c:v>
                </c:pt>
                <c:pt idx="8">
                  <c:v>1341</c:v>
                </c:pt>
                <c:pt idx="9">
                  <c:v>1250</c:v>
                </c:pt>
                <c:pt idx="10">
                  <c:v>1289</c:v>
                </c:pt>
                <c:pt idx="11">
                  <c:v>1284</c:v>
                </c:pt>
                <c:pt idx="12">
                  <c:v>1147</c:v>
                </c:pt>
                <c:pt idx="13">
                  <c:v>1254</c:v>
                </c:pt>
                <c:pt idx="14">
                  <c:v>1166</c:v>
                </c:pt>
                <c:pt idx="15">
                  <c:v>1319</c:v>
                </c:pt>
                <c:pt idx="16">
                  <c:v>889</c:v>
                </c:pt>
                <c:pt idx="17">
                  <c:v>908</c:v>
                </c:pt>
                <c:pt idx="18">
                  <c:v>979</c:v>
                </c:pt>
                <c:pt idx="19">
                  <c:v>984</c:v>
                </c:pt>
                <c:pt idx="20">
                  <c:v>1010</c:v>
                </c:pt>
                <c:pt idx="21">
                  <c:v>900</c:v>
                </c:pt>
                <c:pt idx="22">
                  <c:v>924</c:v>
                </c:pt>
                <c:pt idx="23">
                  <c:v>870</c:v>
                </c:pt>
                <c:pt idx="24">
                  <c:v>823</c:v>
                </c:pt>
                <c:pt idx="25">
                  <c:v>823</c:v>
                </c:pt>
                <c:pt idx="26">
                  <c:v>782</c:v>
                </c:pt>
                <c:pt idx="27">
                  <c:v>952</c:v>
                </c:pt>
                <c:pt idx="28">
                  <c:v>629</c:v>
                </c:pt>
                <c:pt idx="29">
                  <c:v>698</c:v>
                </c:pt>
                <c:pt idx="30">
                  <c:v>770</c:v>
                </c:pt>
                <c:pt idx="31">
                  <c:v>738</c:v>
                </c:pt>
                <c:pt idx="32">
                  <c:v>815</c:v>
                </c:pt>
                <c:pt idx="33">
                  <c:v>802</c:v>
                </c:pt>
                <c:pt idx="34">
                  <c:v>808</c:v>
                </c:pt>
                <c:pt idx="35">
                  <c:v>785</c:v>
                </c:pt>
                <c:pt idx="36">
                  <c:v>774</c:v>
                </c:pt>
                <c:pt idx="37">
                  <c:v>822</c:v>
                </c:pt>
                <c:pt idx="38">
                  <c:v>801</c:v>
                </c:pt>
                <c:pt idx="39">
                  <c:v>953</c:v>
                </c:pt>
                <c:pt idx="40">
                  <c:v>612</c:v>
                </c:pt>
                <c:pt idx="41">
                  <c:v>662</c:v>
                </c:pt>
                <c:pt idx="42">
                  <c:v>679</c:v>
                </c:pt>
                <c:pt idx="43">
                  <c:v>639</c:v>
                </c:pt>
                <c:pt idx="44">
                  <c:v>601</c:v>
                </c:pt>
                <c:pt idx="45">
                  <c:v>577</c:v>
                </c:pt>
                <c:pt idx="46">
                  <c:v>564</c:v>
                </c:pt>
              </c:numCache>
            </c:numRef>
          </c:val>
          <c:smooth val="0"/>
        </c:ser>
        <c:dLbls>
          <c:showLegendKey val="0"/>
          <c:showVal val="0"/>
          <c:showCatName val="0"/>
          <c:showSerName val="0"/>
          <c:showPercent val="0"/>
          <c:showBubbleSize val="0"/>
        </c:dLbls>
        <c:marker val="1"/>
        <c:smooth val="0"/>
        <c:axId val="123485184"/>
        <c:axId val="123495168"/>
      </c:lineChart>
      <c:catAx>
        <c:axId val="123485184"/>
        <c:scaling>
          <c:orientation val="minMax"/>
        </c:scaling>
        <c:delete val="0"/>
        <c:axPos val="b"/>
        <c:majorTickMark val="none"/>
        <c:minorTickMark val="none"/>
        <c:tickLblPos val="nextTo"/>
        <c:crossAx val="123495168"/>
        <c:crosses val="autoZero"/>
        <c:auto val="1"/>
        <c:lblAlgn val="ctr"/>
        <c:lblOffset val="100"/>
        <c:noMultiLvlLbl val="0"/>
      </c:catAx>
      <c:valAx>
        <c:axId val="123495168"/>
        <c:scaling>
          <c:orientation val="minMax"/>
          <c:max val="600000"/>
        </c:scaling>
        <c:delete val="0"/>
        <c:axPos val="l"/>
        <c:majorGridlines>
          <c:spPr>
            <a:ln>
              <a:noFill/>
            </a:ln>
          </c:spPr>
        </c:majorGridlines>
        <c:title>
          <c:tx>
            <c:rich>
              <a:bodyPr/>
              <a:lstStyle/>
              <a:p>
                <a:pPr>
                  <a:defRPr b="0"/>
                </a:pPr>
                <a:r>
                  <a:rPr lang="en-AU" b="0"/>
                  <a:t>Prescriptions</a:t>
                </a:r>
              </a:p>
            </c:rich>
          </c:tx>
          <c:layout/>
          <c:overlay val="0"/>
        </c:title>
        <c:numFmt formatCode="#,##0" sourceLinked="0"/>
        <c:majorTickMark val="none"/>
        <c:minorTickMark val="none"/>
        <c:tickLblPos val="nextTo"/>
        <c:crossAx val="123485184"/>
        <c:crosses val="autoZero"/>
        <c:crossBetween val="between"/>
      </c:valAx>
    </c:plotArea>
    <c:legend>
      <c:legendPos val="r"/>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[D957 - SCRPT_SUM.xlsx]Sheet2 (5)!PivotTable1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marker>
          <c:symbol val="none"/>
        </c:marker>
      </c:pivotFmt>
      <c:pivotFmt>
        <c:idx val="82"/>
        <c:marker>
          <c:symbol val="none"/>
        </c:marker>
      </c:pivotFmt>
      <c:pivotFmt>
        <c:idx val="83"/>
        <c:marker>
          <c:symbol val="none"/>
        </c:marker>
      </c:pivotFmt>
      <c:pivotFmt>
        <c:idx val="84"/>
        <c:marker>
          <c:symbol val="none"/>
        </c:marker>
      </c:pivotFmt>
      <c:pivotFmt>
        <c:idx val="85"/>
        <c:marker>
          <c:symbol val="none"/>
        </c:marker>
      </c:pivotFmt>
      <c:pivotFmt>
        <c:idx val="86"/>
        <c:marker>
          <c:symbol val="none"/>
        </c:marker>
      </c:pivotFmt>
      <c:pivotFmt>
        <c:idx val="87"/>
        <c:marker>
          <c:symbol val="none"/>
        </c:marker>
      </c:pivotFmt>
      <c:pivotFmt>
        <c:idx val="88"/>
        <c:marker>
          <c:symbol val="none"/>
        </c:marker>
      </c:pivotFmt>
      <c:pivotFmt>
        <c:idx val="89"/>
        <c:marker>
          <c:symbol val="none"/>
        </c:marker>
      </c:pivotFmt>
      <c:pivotFmt>
        <c:idx val="90"/>
        <c:marker>
          <c:symbol val="none"/>
        </c:marker>
      </c:pivotFmt>
      <c:pivotFmt>
        <c:idx val="91"/>
        <c:marker>
          <c:symbol val="none"/>
        </c:marker>
      </c:pivotFmt>
      <c:pivotFmt>
        <c:idx val="92"/>
        <c:marker>
          <c:symbol val="none"/>
        </c:marker>
      </c:pivotFmt>
      <c:pivotFmt>
        <c:idx val="93"/>
        <c:marker>
          <c:symbol val="none"/>
        </c:marker>
      </c:pivotFmt>
      <c:pivotFmt>
        <c:idx val="94"/>
        <c:marker>
          <c:symbol val="none"/>
        </c:marker>
      </c:pivotFmt>
      <c:pivotFmt>
        <c:idx val="95"/>
        <c:marker>
          <c:symbol val="none"/>
        </c:marker>
      </c:pivotFmt>
      <c:pivotFmt>
        <c:idx val="96"/>
        <c:marker>
          <c:symbol val="none"/>
        </c:marker>
      </c:pivotFmt>
      <c:pivotFmt>
        <c:idx val="97"/>
        <c:marker>
          <c:symbol val="none"/>
        </c:marker>
      </c:pivotFmt>
      <c:pivotFmt>
        <c:idx val="98"/>
        <c:marker>
          <c:symbol val="none"/>
        </c:marker>
      </c:pivotFmt>
      <c:pivotFmt>
        <c:idx val="99"/>
        <c:marker>
          <c:symbol val="none"/>
        </c:marker>
      </c:pivotFmt>
      <c:pivotFmt>
        <c:idx val="100"/>
        <c:marker>
          <c:symbol val="none"/>
        </c:marker>
      </c:pivotFmt>
      <c:pivotFmt>
        <c:idx val="101"/>
        <c:marker>
          <c:symbol val="none"/>
        </c:marker>
      </c:pivotFmt>
      <c:pivotFmt>
        <c:idx val="102"/>
        <c:marker>
          <c:symbol val="none"/>
        </c:marker>
      </c:pivotFmt>
      <c:pivotFmt>
        <c:idx val="103"/>
        <c:marker>
          <c:symbol val="none"/>
        </c:marker>
      </c:pivotFmt>
      <c:pivotFmt>
        <c:idx val="104"/>
        <c:marker>
          <c:symbol val="none"/>
        </c:marker>
      </c:pivotFmt>
      <c:pivotFmt>
        <c:idx val="105"/>
        <c:marker>
          <c:symbol val="none"/>
        </c:marker>
      </c:pivotFmt>
      <c:pivotFmt>
        <c:idx val="106"/>
        <c:marker>
          <c:symbol val="none"/>
        </c:marker>
      </c:pivotFmt>
    </c:pivotFmts>
    <c:plotArea>
      <c:layout/>
      <c:lineChart>
        <c:grouping val="standard"/>
        <c:varyColors val="0"/>
        <c:ser>
          <c:idx val="0"/>
          <c:order val="0"/>
          <c:tx>
            <c:strRef>
              <c:f>'Sheet2 (5)'!$B$1:$B$2</c:f>
              <c:strCache>
                <c:ptCount val="1"/>
                <c:pt idx="0">
                  <c:v>Metformin</c:v>
                </c:pt>
              </c:strCache>
            </c:strRef>
          </c:tx>
          <c:marker>
            <c:symbol val="none"/>
          </c:marker>
          <c:cat>
            <c:strRef>
              <c:f>'Sheet2 (5)'!$A$3:$A$50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(5)'!$B$3:$B$50</c:f>
              <c:numCache>
                <c:formatCode>General</c:formatCode>
                <c:ptCount val="47"/>
                <c:pt idx="0">
                  <c:v>3019652.159999406</c:v>
                </c:pt>
                <c:pt idx="1">
                  <c:v>3560962.2300000768</c:v>
                </c:pt>
                <c:pt idx="2">
                  <c:v>3840189.8000007952</c:v>
                </c:pt>
                <c:pt idx="3">
                  <c:v>4990546.4700023308</c:v>
                </c:pt>
                <c:pt idx="4">
                  <c:v>1757293.9200001492</c:v>
                </c:pt>
                <c:pt idx="5">
                  <c:v>1880587.6300002874</c:v>
                </c:pt>
                <c:pt idx="6">
                  <c:v>2109077.4600005322</c:v>
                </c:pt>
                <c:pt idx="7">
                  <c:v>2222302.9200005946</c:v>
                </c:pt>
                <c:pt idx="8">
                  <c:v>2456877.8600006471</c:v>
                </c:pt>
                <c:pt idx="9">
                  <c:v>2385376.9900003076</c:v>
                </c:pt>
                <c:pt idx="10">
                  <c:v>2874753.7200002335</c:v>
                </c:pt>
                <c:pt idx="11">
                  <c:v>2733155.7899991618</c:v>
                </c:pt>
                <c:pt idx="12">
                  <c:v>2810058.3599996706</c:v>
                </c:pt>
                <c:pt idx="13">
                  <c:v>3300598.4000002267</c:v>
                </c:pt>
                <c:pt idx="14">
                  <c:v>3489146.4600007124</c:v>
                </c:pt>
                <c:pt idx="15">
                  <c:v>4721857.6700011026</c:v>
                </c:pt>
                <c:pt idx="16">
                  <c:v>1569863.9600005797</c:v>
                </c:pt>
                <c:pt idx="17">
                  <c:v>1667873.2300007511</c:v>
                </c:pt>
                <c:pt idx="18">
                  <c:v>1901881.6200011475</c:v>
                </c:pt>
                <c:pt idx="19">
                  <c:v>1717854.4500012973</c:v>
                </c:pt>
                <c:pt idx="20">
                  <c:v>1956624.2500013344</c:v>
                </c:pt>
                <c:pt idx="21">
                  <c:v>1958578.3100011735</c:v>
                </c:pt>
                <c:pt idx="22">
                  <c:v>2349070.5900008003</c:v>
                </c:pt>
                <c:pt idx="23">
                  <c:v>2461554.3100004359</c:v>
                </c:pt>
                <c:pt idx="24">
                  <c:v>2711916.9400004335</c:v>
                </c:pt>
                <c:pt idx="25">
                  <c:v>3046197.7200005427</c:v>
                </c:pt>
                <c:pt idx="26">
                  <c:v>3153588.8000003253</c:v>
                </c:pt>
                <c:pt idx="27">
                  <c:v>4495655.8000001777</c:v>
                </c:pt>
                <c:pt idx="28">
                  <c:v>1381836.7899999449</c:v>
                </c:pt>
                <c:pt idx="29">
                  <c:v>1482651.7299997355</c:v>
                </c:pt>
                <c:pt idx="30">
                  <c:v>1739575.1699992616</c:v>
                </c:pt>
                <c:pt idx="31">
                  <c:v>1547385.0399999253</c:v>
                </c:pt>
                <c:pt idx="32">
                  <c:v>1699360.3399999368</c:v>
                </c:pt>
                <c:pt idx="33">
                  <c:v>1855112.6300000141</c:v>
                </c:pt>
                <c:pt idx="34">
                  <c:v>3052980.8100005076</c:v>
                </c:pt>
                <c:pt idx="35">
                  <c:v>3144267.760000458</c:v>
                </c:pt>
                <c:pt idx="36">
                  <c:v>3397445.1700002276</c:v>
                </c:pt>
                <c:pt idx="37">
                  <c:v>3748362.2600000035</c:v>
                </c:pt>
                <c:pt idx="38">
                  <c:v>4005027.5299997726</c:v>
                </c:pt>
                <c:pt idx="39">
                  <c:v>5612593.3700001379</c:v>
                </c:pt>
                <c:pt idx="40">
                  <c:v>1807414.570001425</c:v>
                </c:pt>
                <c:pt idx="41">
                  <c:v>2094411.4700018091</c:v>
                </c:pt>
                <c:pt idx="42">
                  <c:v>2329490.1000020718</c:v>
                </c:pt>
                <c:pt idx="43">
                  <c:v>2289954.5600019279</c:v>
                </c:pt>
                <c:pt idx="44">
                  <c:v>2343131.7500012373</c:v>
                </c:pt>
                <c:pt idx="45">
                  <c:v>2516366.6300012567</c:v>
                </c:pt>
                <c:pt idx="46">
                  <c:v>2659580.8299996634</c:v>
                </c:pt>
              </c:numCache>
            </c:numRef>
          </c:val>
          <c:smooth val="0"/>
        </c:ser>
        <c:ser>
          <c:idx val="1"/>
          <c:order val="1"/>
          <c:tx>
            <c:strRef>
              <c:f>'Sheet2 (5)'!$C$1:$C$2</c:f>
              <c:strCache>
                <c:ptCount val="1"/>
                <c:pt idx="0">
                  <c:v>Sulfonylurea</c:v>
                </c:pt>
              </c:strCache>
            </c:strRef>
          </c:tx>
          <c:marker>
            <c:symbol val="none"/>
          </c:marker>
          <c:cat>
            <c:strRef>
              <c:f>'Sheet2 (5)'!$A$3:$A$50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(5)'!$C$3:$C$50</c:f>
              <c:numCache>
                <c:formatCode>General</c:formatCode>
                <c:ptCount val="47"/>
                <c:pt idx="0">
                  <c:v>1594763.3199993293</c:v>
                </c:pt>
                <c:pt idx="1">
                  <c:v>1866360.6299990886</c:v>
                </c:pt>
                <c:pt idx="2">
                  <c:v>1995352.9499990011</c:v>
                </c:pt>
                <c:pt idx="3">
                  <c:v>2592546.6499996204</c:v>
                </c:pt>
                <c:pt idx="4">
                  <c:v>887153.44000031822</c:v>
                </c:pt>
                <c:pt idx="5">
                  <c:v>946638.4500001081</c:v>
                </c:pt>
                <c:pt idx="6">
                  <c:v>1056070.7899997702</c:v>
                </c:pt>
                <c:pt idx="7">
                  <c:v>1101136.969999687</c:v>
                </c:pt>
                <c:pt idx="8">
                  <c:v>1220414.5299996731</c:v>
                </c:pt>
                <c:pt idx="9">
                  <c:v>1190998.0700002832</c:v>
                </c:pt>
                <c:pt idx="10">
                  <c:v>1435117.9500002593</c:v>
                </c:pt>
                <c:pt idx="11">
                  <c:v>1556000.9200001692</c:v>
                </c:pt>
                <c:pt idx="12">
                  <c:v>1591227.1100000662</c:v>
                </c:pt>
                <c:pt idx="13">
                  <c:v>1848769.4499996277</c:v>
                </c:pt>
                <c:pt idx="14">
                  <c:v>1938687.3099993658</c:v>
                </c:pt>
                <c:pt idx="15">
                  <c:v>2613555.6899982961</c:v>
                </c:pt>
                <c:pt idx="16">
                  <c:v>870505.35000026028</c:v>
                </c:pt>
                <c:pt idx="17">
                  <c:v>923922.36000010092</c:v>
                </c:pt>
                <c:pt idx="18">
                  <c:v>1046215.6599997688</c:v>
                </c:pt>
                <c:pt idx="19">
                  <c:v>1068038.3199998157</c:v>
                </c:pt>
                <c:pt idx="20">
                  <c:v>1204850.6999997739</c:v>
                </c:pt>
                <c:pt idx="21">
                  <c:v>1202340.4500001594</c:v>
                </c:pt>
                <c:pt idx="22">
                  <c:v>1419018.3000005812</c:v>
                </c:pt>
                <c:pt idx="23">
                  <c:v>1471803.7200008698</c:v>
                </c:pt>
                <c:pt idx="24">
                  <c:v>1620157.1700005413</c:v>
                </c:pt>
                <c:pt idx="25">
                  <c:v>1770766.640000094</c:v>
                </c:pt>
                <c:pt idx="26">
                  <c:v>1826652.9599996835</c:v>
                </c:pt>
                <c:pt idx="27">
                  <c:v>2565985.5900007742</c:v>
                </c:pt>
                <c:pt idx="28">
                  <c:v>817096.67999956163</c:v>
                </c:pt>
                <c:pt idx="29">
                  <c:v>884089.80999950878</c:v>
                </c:pt>
                <c:pt idx="30">
                  <c:v>1031325.5299993965</c:v>
                </c:pt>
                <c:pt idx="31">
                  <c:v>1032801.6899994345</c:v>
                </c:pt>
                <c:pt idx="32">
                  <c:v>1116307.9499994358</c:v>
                </c:pt>
                <c:pt idx="33">
                  <c:v>1197918.2499994689</c:v>
                </c:pt>
                <c:pt idx="34">
                  <c:v>1749896.8500007633</c:v>
                </c:pt>
                <c:pt idx="35">
                  <c:v>1786424.6700001147</c:v>
                </c:pt>
                <c:pt idx="36">
                  <c:v>1924517.0000000286</c:v>
                </c:pt>
                <c:pt idx="37">
                  <c:v>2095964.5100002319</c:v>
                </c:pt>
                <c:pt idx="38">
                  <c:v>2207735.830000509</c:v>
                </c:pt>
                <c:pt idx="39">
                  <c:v>3115656.7199979601</c:v>
                </c:pt>
                <c:pt idx="40">
                  <c:v>1019924.6299998224</c:v>
                </c:pt>
                <c:pt idx="41">
                  <c:v>1200110.8299994126</c:v>
                </c:pt>
                <c:pt idx="42">
                  <c:v>1336105.269999116</c:v>
                </c:pt>
                <c:pt idx="43">
                  <c:v>1323858.889999215</c:v>
                </c:pt>
                <c:pt idx="44">
                  <c:v>1409550.1999992621</c:v>
                </c:pt>
                <c:pt idx="45">
                  <c:v>1446077.7099995373</c:v>
                </c:pt>
                <c:pt idx="46">
                  <c:v>1524224.1399990476</c:v>
                </c:pt>
              </c:numCache>
            </c:numRef>
          </c:val>
          <c:smooth val="0"/>
        </c:ser>
        <c:ser>
          <c:idx val="2"/>
          <c:order val="2"/>
          <c:tx>
            <c:strRef>
              <c:f>'Sheet2 (5)'!$D$1:$D$2</c:f>
              <c:strCache>
                <c:ptCount val="1"/>
                <c:pt idx="0">
                  <c:v>Gliptin&amp;Met FDC</c:v>
                </c:pt>
              </c:strCache>
            </c:strRef>
          </c:tx>
          <c:marker>
            <c:symbol val="none"/>
          </c:marker>
          <c:cat>
            <c:strRef>
              <c:f>'Sheet2 (5)'!$A$3:$A$50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(5)'!$D$3:$D$50</c:f>
              <c:numCache>
                <c:formatCode>General</c:formatCode>
                <c:ptCount val="47"/>
                <c:pt idx="0">
                  <c:v>4101787.9799998803</c:v>
                </c:pt>
                <c:pt idx="1">
                  <c:v>4609017.5299999481</c:v>
                </c:pt>
                <c:pt idx="2">
                  <c:v>4840468.880000012</c:v>
                </c:pt>
                <c:pt idx="3">
                  <c:v>5662027.5999998432</c:v>
                </c:pt>
                <c:pt idx="4">
                  <c:v>3872656.1199999996</c:v>
                </c:pt>
                <c:pt idx="5">
                  <c:v>4114626.8200000217</c:v>
                </c:pt>
                <c:pt idx="6">
                  <c:v>4617119.7400000514</c:v>
                </c:pt>
                <c:pt idx="7">
                  <c:v>4816225.0400000485</c:v>
                </c:pt>
                <c:pt idx="8">
                  <c:v>5217701.5700000627</c:v>
                </c:pt>
                <c:pt idx="9">
                  <c:v>4888167.8800000679</c:v>
                </c:pt>
                <c:pt idx="10">
                  <c:v>5482848.2600003546</c:v>
                </c:pt>
                <c:pt idx="11">
                  <c:v>5601389.2400001511</c:v>
                </c:pt>
                <c:pt idx="12">
                  <c:v>5463236.8800000614</c:v>
                </c:pt>
                <c:pt idx="13">
                  <c:v>6079514.9999999283</c:v>
                </c:pt>
                <c:pt idx="14">
                  <c:v>6162788.2799998298</c:v>
                </c:pt>
                <c:pt idx="15">
                  <c:v>7381195.3099994473</c:v>
                </c:pt>
                <c:pt idx="16">
                  <c:v>4963777.8899993272</c:v>
                </c:pt>
                <c:pt idx="17">
                  <c:v>5224951.1099992599</c:v>
                </c:pt>
                <c:pt idx="18">
                  <c:v>5981385.0199991073</c:v>
                </c:pt>
                <c:pt idx="19">
                  <c:v>3574625.449999575</c:v>
                </c:pt>
                <c:pt idx="20">
                  <c:v>3996929.9899994317</c:v>
                </c:pt>
                <c:pt idx="21">
                  <c:v>3879857.6399998092</c:v>
                </c:pt>
                <c:pt idx="22">
                  <c:v>4357674.1000000807</c:v>
                </c:pt>
                <c:pt idx="23">
                  <c:v>4402159.9600000679</c:v>
                </c:pt>
                <c:pt idx="24">
                  <c:v>4664523.6600000579</c:v>
                </c:pt>
                <c:pt idx="25">
                  <c:v>5045787.2100000596</c:v>
                </c:pt>
                <c:pt idx="26">
                  <c:v>5026950.3000000631</c:v>
                </c:pt>
                <c:pt idx="27">
                  <c:v>6475573.5900002094</c:v>
                </c:pt>
                <c:pt idx="28">
                  <c:v>3969935.1299999603</c:v>
                </c:pt>
                <c:pt idx="29">
                  <c:v>4218611.359999856</c:v>
                </c:pt>
                <c:pt idx="30">
                  <c:v>4942728.7699995739</c:v>
                </c:pt>
                <c:pt idx="31">
                  <c:v>4835072.8299999805</c:v>
                </c:pt>
                <c:pt idx="32">
                  <c:v>5116191.6499999948</c:v>
                </c:pt>
                <c:pt idx="33">
                  <c:v>5235230.9800001159</c:v>
                </c:pt>
                <c:pt idx="34">
                  <c:v>5462877.0500000818</c:v>
                </c:pt>
                <c:pt idx="35">
                  <c:v>5437449.7800001157</c:v>
                </c:pt>
                <c:pt idx="36">
                  <c:v>5591497.4000000861</c:v>
                </c:pt>
                <c:pt idx="37">
                  <c:v>5985440.1500000022</c:v>
                </c:pt>
                <c:pt idx="38">
                  <c:v>6104141.8699999303</c:v>
                </c:pt>
                <c:pt idx="39">
                  <c:v>7652495.8300000969</c:v>
                </c:pt>
                <c:pt idx="40">
                  <c:v>4556358.4100002032</c:v>
                </c:pt>
                <c:pt idx="41">
                  <c:v>5180091.179999915</c:v>
                </c:pt>
                <c:pt idx="42">
                  <c:v>5749637.9799996875</c:v>
                </c:pt>
                <c:pt idx="43">
                  <c:v>5437609.1499999296</c:v>
                </c:pt>
                <c:pt idx="44">
                  <c:v>5641520.2099999087</c:v>
                </c:pt>
                <c:pt idx="45">
                  <c:v>5624717.6999998679</c:v>
                </c:pt>
                <c:pt idx="46">
                  <c:v>5720989.1400003843</c:v>
                </c:pt>
              </c:numCache>
            </c:numRef>
          </c:val>
          <c:smooth val="0"/>
        </c:ser>
        <c:ser>
          <c:idx val="3"/>
          <c:order val="3"/>
          <c:tx>
            <c:strRef>
              <c:f>'Sheet2 (5)'!$E$1:$E$2</c:f>
              <c:strCache>
                <c:ptCount val="1"/>
                <c:pt idx="0">
                  <c:v>Insulin</c:v>
                </c:pt>
              </c:strCache>
            </c:strRef>
          </c:tx>
          <c:marker>
            <c:symbol val="none"/>
          </c:marker>
          <c:cat>
            <c:strRef>
              <c:f>'Sheet2 (5)'!$A$3:$A$50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(5)'!$E$3:$E$50</c:f>
              <c:numCache>
                <c:formatCode>General</c:formatCode>
                <c:ptCount val="47"/>
                <c:pt idx="0">
                  <c:v>22034874.779999759</c:v>
                </c:pt>
                <c:pt idx="1">
                  <c:v>24173043.99999949</c:v>
                </c:pt>
                <c:pt idx="2">
                  <c:v>25538678.139999744</c:v>
                </c:pt>
                <c:pt idx="3">
                  <c:v>33833472.870001383</c:v>
                </c:pt>
                <c:pt idx="4">
                  <c:v>17934604.879998997</c:v>
                </c:pt>
                <c:pt idx="5">
                  <c:v>18932518.709998924</c:v>
                </c:pt>
                <c:pt idx="6">
                  <c:v>21047131.079998784</c:v>
                </c:pt>
                <c:pt idx="7">
                  <c:v>21910752.739998743</c:v>
                </c:pt>
                <c:pt idx="8">
                  <c:v>23569595.069998842</c:v>
                </c:pt>
                <c:pt idx="9">
                  <c:v>21892308.389999092</c:v>
                </c:pt>
                <c:pt idx="10">
                  <c:v>24463498.750000454</c:v>
                </c:pt>
                <c:pt idx="11">
                  <c:v>24794176.010000411</c:v>
                </c:pt>
                <c:pt idx="12">
                  <c:v>23727048.890000392</c:v>
                </c:pt>
                <c:pt idx="13">
                  <c:v>25891460.730000637</c:v>
                </c:pt>
                <c:pt idx="14">
                  <c:v>26686327.990000259</c:v>
                </c:pt>
                <c:pt idx="15">
                  <c:v>36160462.929998979</c:v>
                </c:pt>
                <c:pt idx="16">
                  <c:v>19007841.339999605</c:v>
                </c:pt>
                <c:pt idx="17">
                  <c:v>19874657.749999382</c:v>
                </c:pt>
                <c:pt idx="18">
                  <c:v>22639370.959999196</c:v>
                </c:pt>
                <c:pt idx="19">
                  <c:v>22786126.709999245</c:v>
                </c:pt>
                <c:pt idx="20">
                  <c:v>24965186.919999022</c:v>
                </c:pt>
                <c:pt idx="21">
                  <c:v>23720022.279999278</c:v>
                </c:pt>
                <c:pt idx="22">
                  <c:v>25540620.48000038</c:v>
                </c:pt>
                <c:pt idx="23">
                  <c:v>25341199.520001102</c:v>
                </c:pt>
                <c:pt idx="24">
                  <c:v>25546004.120001648</c:v>
                </c:pt>
                <c:pt idx="25">
                  <c:v>27232530.430001229</c:v>
                </c:pt>
                <c:pt idx="26">
                  <c:v>27115788.320000593</c:v>
                </c:pt>
                <c:pt idx="27">
                  <c:v>39071639.129999958</c:v>
                </c:pt>
                <c:pt idx="28">
                  <c:v>19538235.859999139</c:v>
                </c:pt>
                <c:pt idx="29">
                  <c:v>20858126.769999038</c:v>
                </c:pt>
                <c:pt idx="30">
                  <c:v>24277978.649998829</c:v>
                </c:pt>
                <c:pt idx="31">
                  <c:v>23748487.9699989</c:v>
                </c:pt>
                <c:pt idx="32">
                  <c:v>24942721.829998925</c:v>
                </c:pt>
                <c:pt idx="33">
                  <c:v>25559158.919999111</c:v>
                </c:pt>
                <c:pt idx="34">
                  <c:v>25704479.889997363</c:v>
                </c:pt>
                <c:pt idx="35">
                  <c:v>25048650.309997905</c:v>
                </c:pt>
                <c:pt idx="36">
                  <c:v>25794794.949998204</c:v>
                </c:pt>
                <c:pt idx="37">
                  <c:v>27196992.399999272</c:v>
                </c:pt>
                <c:pt idx="38">
                  <c:v>27918284.990000639</c:v>
                </c:pt>
                <c:pt idx="39">
                  <c:v>39602279.150005586</c:v>
                </c:pt>
                <c:pt idx="40">
                  <c:v>19050706.629999682</c:v>
                </c:pt>
                <c:pt idx="41">
                  <c:v>21572002.790000107</c:v>
                </c:pt>
                <c:pt idx="42">
                  <c:v>24488431.560000569</c:v>
                </c:pt>
                <c:pt idx="43">
                  <c:v>22430384.969997298</c:v>
                </c:pt>
                <c:pt idx="44">
                  <c:v>23205642.029997263</c:v>
                </c:pt>
                <c:pt idx="45">
                  <c:v>23273703.98999745</c:v>
                </c:pt>
                <c:pt idx="46">
                  <c:v>23041436.869999029</c:v>
                </c:pt>
              </c:numCache>
            </c:numRef>
          </c:val>
          <c:smooth val="0"/>
        </c:ser>
        <c:ser>
          <c:idx val="4"/>
          <c:order val="4"/>
          <c:tx>
            <c:strRef>
              <c:f>'Sheet2 (5)'!$F$1:$F$2</c:f>
              <c:strCache>
                <c:ptCount val="1"/>
                <c:pt idx="0">
                  <c:v>Gliptin</c:v>
                </c:pt>
              </c:strCache>
            </c:strRef>
          </c:tx>
          <c:marker>
            <c:symbol val="none"/>
          </c:marker>
          <c:cat>
            <c:strRef>
              <c:f>'Sheet2 (5)'!$A$3:$A$50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(5)'!$F$3:$F$50</c:f>
              <c:numCache>
                <c:formatCode>General</c:formatCode>
                <c:ptCount val="47"/>
                <c:pt idx="0">
                  <c:v>3898971.8200000408</c:v>
                </c:pt>
                <c:pt idx="1">
                  <c:v>4357822.5399999293</c:v>
                </c:pt>
                <c:pt idx="2">
                  <c:v>4526587.5499998704</c:v>
                </c:pt>
                <c:pt idx="3">
                  <c:v>5327282.3499997985</c:v>
                </c:pt>
                <c:pt idx="4">
                  <c:v>3509868.9800001862</c:v>
                </c:pt>
                <c:pt idx="5">
                  <c:v>3768418.5200002352</c:v>
                </c:pt>
                <c:pt idx="6">
                  <c:v>4176346.3600003184</c:v>
                </c:pt>
                <c:pt idx="7">
                  <c:v>4336517.3600003319</c:v>
                </c:pt>
                <c:pt idx="8">
                  <c:v>4658716.920000338</c:v>
                </c:pt>
                <c:pt idx="9">
                  <c:v>4367189.7700002026</c:v>
                </c:pt>
                <c:pt idx="10">
                  <c:v>4896639.1300001657</c:v>
                </c:pt>
                <c:pt idx="11">
                  <c:v>4984985.9500001147</c:v>
                </c:pt>
                <c:pt idx="12">
                  <c:v>4876685.3100001179</c:v>
                </c:pt>
                <c:pt idx="13">
                  <c:v>5412320.6400001645</c:v>
                </c:pt>
                <c:pt idx="14">
                  <c:v>5406041.590000134</c:v>
                </c:pt>
                <c:pt idx="15">
                  <c:v>6496154.2200002037</c:v>
                </c:pt>
                <c:pt idx="16">
                  <c:v>4149381.4900002242</c:v>
                </c:pt>
                <c:pt idx="17">
                  <c:v>4422157.290000217</c:v>
                </c:pt>
                <c:pt idx="18">
                  <c:v>4999761.5900002625</c:v>
                </c:pt>
                <c:pt idx="19">
                  <c:v>2916765.2299997937</c:v>
                </c:pt>
                <c:pt idx="20">
                  <c:v>3120911.0799997994</c:v>
                </c:pt>
                <c:pt idx="21">
                  <c:v>2985341.5099999914</c:v>
                </c:pt>
                <c:pt idx="22">
                  <c:v>3236058.9800001369</c:v>
                </c:pt>
                <c:pt idx="23">
                  <c:v>3169421.6200002246</c:v>
                </c:pt>
                <c:pt idx="24">
                  <c:v>3293616.6700002351</c:v>
                </c:pt>
                <c:pt idx="25">
                  <c:v>3467408.1100001936</c:v>
                </c:pt>
                <c:pt idx="26">
                  <c:v>3373190.3300001039</c:v>
                </c:pt>
                <c:pt idx="27">
                  <c:v>4316529.3499997556</c:v>
                </c:pt>
                <c:pt idx="28">
                  <c:v>2459961.3599997563</c:v>
                </c:pt>
                <c:pt idx="29">
                  <c:v>2654775.5399997123</c:v>
                </c:pt>
                <c:pt idx="30">
                  <c:v>3034584.2999996082</c:v>
                </c:pt>
                <c:pt idx="31">
                  <c:v>2976612.1699996502</c:v>
                </c:pt>
                <c:pt idx="32">
                  <c:v>3070520.3399996795</c:v>
                </c:pt>
                <c:pt idx="33">
                  <c:v>3129957.4999997471</c:v>
                </c:pt>
                <c:pt idx="34">
                  <c:v>3241587.3699999992</c:v>
                </c:pt>
                <c:pt idx="35">
                  <c:v>3180281.0200000261</c:v>
                </c:pt>
                <c:pt idx="36">
                  <c:v>3256839.8200000506</c:v>
                </c:pt>
                <c:pt idx="37">
                  <c:v>3448317.0900000487</c:v>
                </c:pt>
                <c:pt idx="38">
                  <c:v>3462611.719999996</c:v>
                </c:pt>
                <c:pt idx="39">
                  <c:v>4355389.5699998811</c:v>
                </c:pt>
                <c:pt idx="40">
                  <c:v>2388870.8400002029</c:v>
                </c:pt>
                <c:pt idx="41">
                  <c:v>2785214.7400003523</c:v>
                </c:pt>
                <c:pt idx="42">
                  <c:v>3069844.6000004383</c:v>
                </c:pt>
                <c:pt idx="43">
                  <c:v>2924081.6300003417</c:v>
                </c:pt>
                <c:pt idx="44">
                  <c:v>3047959.0600003242</c:v>
                </c:pt>
                <c:pt idx="45">
                  <c:v>3008856.0400002412</c:v>
                </c:pt>
                <c:pt idx="46">
                  <c:v>3012074.8000000617</c:v>
                </c:pt>
              </c:numCache>
            </c:numRef>
          </c:val>
          <c:smooth val="0"/>
        </c:ser>
        <c:ser>
          <c:idx val="5"/>
          <c:order val="5"/>
          <c:tx>
            <c:strRef>
              <c:f>'Sheet2 (5)'!$G$1:$G$2</c:f>
              <c:strCache>
                <c:ptCount val="1"/>
                <c:pt idx="0">
                  <c:v>Pioglitazone</c:v>
                </c:pt>
              </c:strCache>
            </c:strRef>
          </c:tx>
          <c:marker>
            <c:symbol val="none"/>
          </c:marker>
          <c:cat>
            <c:strRef>
              <c:f>'Sheet2 (5)'!$A$3:$A$50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(5)'!$G$3:$G$50</c:f>
              <c:numCache>
                <c:formatCode>General</c:formatCode>
                <c:ptCount val="47"/>
                <c:pt idx="0">
                  <c:v>1944393.7399999518</c:v>
                </c:pt>
                <c:pt idx="1">
                  <c:v>2128060.8799999119</c:v>
                </c:pt>
                <c:pt idx="2">
                  <c:v>2135837.2999998783</c:v>
                </c:pt>
                <c:pt idx="3">
                  <c:v>1769524.9300000144</c:v>
                </c:pt>
                <c:pt idx="4">
                  <c:v>962732.91000001307</c:v>
                </c:pt>
                <c:pt idx="5">
                  <c:v>1031308.7200000201</c:v>
                </c:pt>
                <c:pt idx="6">
                  <c:v>1122120.5600000296</c:v>
                </c:pt>
                <c:pt idx="7">
                  <c:v>1132335.630000029</c:v>
                </c:pt>
                <c:pt idx="8">
                  <c:v>1160377.0700000182</c:v>
                </c:pt>
                <c:pt idx="9">
                  <c:v>1024674.6299999891</c:v>
                </c:pt>
                <c:pt idx="10">
                  <c:v>1087582.2600000494</c:v>
                </c:pt>
                <c:pt idx="11">
                  <c:v>1090632.530000041</c:v>
                </c:pt>
                <c:pt idx="12">
                  <c:v>1029114.7200000266</c:v>
                </c:pt>
                <c:pt idx="13">
                  <c:v>1119867.6200000157</c:v>
                </c:pt>
                <c:pt idx="14">
                  <c:v>1099402.2699999991</c:v>
                </c:pt>
                <c:pt idx="15">
                  <c:v>1330361.939999952</c:v>
                </c:pt>
                <c:pt idx="16">
                  <c:v>707989.95000001346</c:v>
                </c:pt>
                <c:pt idx="17">
                  <c:v>764012.39</c:v>
                </c:pt>
                <c:pt idx="18">
                  <c:v>860892.80999998399</c:v>
                </c:pt>
                <c:pt idx="19">
                  <c:v>584260.48999999731</c:v>
                </c:pt>
                <c:pt idx="20">
                  <c:v>622190.97999999742</c:v>
                </c:pt>
                <c:pt idx="21">
                  <c:v>576989.10999999184</c:v>
                </c:pt>
                <c:pt idx="22">
                  <c:v>631470.80000001506</c:v>
                </c:pt>
                <c:pt idx="23">
                  <c:v>609966.53000000841</c:v>
                </c:pt>
                <c:pt idx="24">
                  <c:v>636877.91000000713</c:v>
                </c:pt>
                <c:pt idx="25">
                  <c:v>575190.74999999872</c:v>
                </c:pt>
                <c:pt idx="26">
                  <c:v>563822.93000000203</c:v>
                </c:pt>
                <c:pt idx="27">
                  <c:v>730119.39000002469</c:v>
                </c:pt>
                <c:pt idx="28">
                  <c:v>349121.37000000157</c:v>
                </c:pt>
                <c:pt idx="29">
                  <c:v>378911.90000000369</c:v>
                </c:pt>
                <c:pt idx="30">
                  <c:v>431993.34000000375</c:v>
                </c:pt>
                <c:pt idx="31">
                  <c:v>336890.04999999731</c:v>
                </c:pt>
                <c:pt idx="32">
                  <c:v>342407.32999999699</c:v>
                </c:pt>
                <c:pt idx="33">
                  <c:v>349656.17999999668</c:v>
                </c:pt>
                <c:pt idx="34">
                  <c:v>371446.28000000137</c:v>
                </c:pt>
                <c:pt idx="35">
                  <c:v>362274.20000000112</c:v>
                </c:pt>
                <c:pt idx="36">
                  <c:v>374926.17000000103</c:v>
                </c:pt>
                <c:pt idx="37">
                  <c:v>393039.47000000085</c:v>
                </c:pt>
                <c:pt idx="38">
                  <c:v>387564.49000000168</c:v>
                </c:pt>
                <c:pt idx="39">
                  <c:v>498590.54000000429</c:v>
                </c:pt>
                <c:pt idx="40">
                  <c:v>219052.73999998855</c:v>
                </c:pt>
                <c:pt idx="41">
                  <c:v>257824.81999998313</c:v>
                </c:pt>
                <c:pt idx="42">
                  <c:v>283084.03999997873</c:v>
                </c:pt>
                <c:pt idx="43">
                  <c:v>226929.17999999083</c:v>
                </c:pt>
                <c:pt idx="44">
                  <c:v>232615.92999999216</c:v>
                </c:pt>
                <c:pt idx="45">
                  <c:v>223928.0899999961</c:v>
                </c:pt>
                <c:pt idx="46">
                  <c:v>223407.49999999916</c:v>
                </c:pt>
              </c:numCache>
            </c:numRef>
          </c:val>
          <c:smooth val="0"/>
        </c:ser>
        <c:ser>
          <c:idx val="6"/>
          <c:order val="6"/>
          <c:tx>
            <c:strRef>
              <c:f>'Sheet2 (5)'!$H$1:$H$2</c:f>
              <c:strCache>
                <c:ptCount val="1"/>
                <c:pt idx="0">
                  <c:v>Flozin</c:v>
                </c:pt>
              </c:strCache>
            </c:strRef>
          </c:tx>
          <c:marker>
            <c:symbol val="none"/>
          </c:marker>
          <c:cat>
            <c:strRef>
              <c:f>'Sheet2 (5)'!$A$3:$A$50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(5)'!$H$3:$H$50</c:f>
              <c:numCache>
                <c:formatCode>General</c:formatCode>
                <c:ptCount val="47"/>
                <c:pt idx="15">
                  <c:v>89137.700000000099</c:v>
                </c:pt>
                <c:pt idx="16">
                  <c:v>109180.3099999988</c:v>
                </c:pt>
                <c:pt idx="17">
                  <c:v>158603.46000000049</c:v>
                </c:pt>
                <c:pt idx="18">
                  <c:v>240437.27000000206</c:v>
                </c:pt>
                <c:pt idx="19">
                  <c:v>286255.56999999937</c:v>
                </c:pt>
                <c:pt idx="20">
                  <c:v>357915.47999999515</c:v>
                </c:pt>
                <c:pt idx="21">
                  <c:v>394357.85999999533</c:v>
                </c:pt>
                <c:pt idx="22">
                  <c:v>492494.5899999924</c:v>
                </c:pt>
                <c:pt idx="23">
                  <c:v>543211.03999999096</c:v>
                </c:pt>
                <c:pt idx="24">
                  <c:v>626135.2999999891</c:v>
                </c:pt>
                <c:pt idx="25">
                  <c:v>747337.41999998665</c:v>
                </c:pt>
                <c:pt idx="26">
                  <c:v>805229.97999998555</c:v>
                </c:pt>
                <c:pt idx="27">
                  <c:v>771587.47000002116</c:v>
                </c:pt>
                <c:pt idx="28">
                  <c:v>517030.71999999403</c:v>
                </c:pt>
                <c:pt idx="29">
                  <c:v>587503.28999999445</c:v>
                </c:pt>
                <c:pt idx="30">
                  <c:v>733629.55999999784</c:v>
                </c:pt>
                <c:pt idx="31">
                  <c:v>788115.60999999719</c:v>
                </c:pt>
                <c:pt idx="32">
                  <c:v>951623.14999999362</c:v>
                </c:pt>
                <c:pt idx="33">
                  <c:v>1073813.7200000174</c:v>
                </c:pt>
                <c:pt idx="34">
                  <c:v>1246054.6799999794</c:v>
                </c:pt>
                <c:pt idx="35">
                  <c:v>1257202.2299999474</c:v>
                </c:pt>
                <c:pt idx="36">
                  <c:v>1366837.0499999071</c:v>
                </c:pt>
                <c:pt idx="37">
                  <c:v>1621261.0199998505</c:v>
                </c:pt>
                <c:pt idx="38">
                  <c:v>1805642.7299997932</c:v>
                </c:pt>
                <c:pt idx="39">
                  <c:v>2439525.2099997797</c:v>
                </c:pt>
                <c:pt idx="40">
                  <c:v>1372667.960000196</c:v>
                </c:pt>
                <c:pt idx="41">
                  <c:v>1663260.8100001572</c:v>
                </c:pt>
                <c:pt idx="42">
                  <c:v>1911125.3299999028</c:v>
                </c:pt>
                <c:pt idx="43">
                  <c:v>1923717.1899999613</c:v>
                </c:pt>
                <c:pt idx="44">
                  <c:v>2073023.3599999459</c:v>
                </c:pt>
                <c:pt idx="45">
                  <c:v>2084548.4600001634</c:v>
                </c:pt>
                <c:pt idx="46">
                  <c:v>2165236.5900002569</c:v>
                </c:pt>
              </c:numCache>
            </c:numRef>
          </c:val>
          <c:smooth val="0"/>
        </c:ser>
        <c:ser>
          <c:idx val="7"/>
          <c:order val="7"/>
          <c:tx>
            <c:strRef>
              <c:f>'Sheet2 (5)'!$I$1:$I$2</c:f>
              <c:strCache>
                <c:ptCount val="1"/>
                <c:pt idx="0">
                  <c:v>Exenatide</c:v>
                </c:pt>
              </c:strCache>
            </c:strRef>
          </c:tx>
          <c:marker>
            <c:symbol val="none"/>
          </c:marker>
          <c:cat>
            <c:strRef>
              <c:f>'Sheet2 (5)'!$A$3:$A$50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(5)'!$I$3:$I$50</c:f>
              <c:numCache>
                <c:formatCode>General</c:formatCode>
                <c:ptCount val="47"/>
                <c:pt idx="0">
                  <c:v>1453821.7300000028</c:v>
                </c:pt>
                <c:pt idx="1">
                  <c:v>1635355.5599999982</c:v>
                </c:pt>
                <c:pt idx="2">
                  <c:v>1717100.1099999899</c:v>
                </c:pt>
                <c:pt idx="3">
                  <c:v>2179401.9999999781</c:v>
                </c:pt>
                <c:pt idx="4">
                  <c:v>1311290.950000053</c:v>
                </c:pt>
                <c:pt idx="5">
                  <c:v>1442349.3200000459</c:v>
                </c:pt>
                <c:pt idx="6">
                  <c:v>1658618.3500000408</c:v>
                </c:pt>
                <c:pt idx="7">
                  <c:v>1691253.120000042</c:v>
                </c:pt>
                <c:pt idx="8">
                  <c:v>1841658.570000042</c:v>
                </c:pt>
                <c:pt idx="9">
                  <c:v>1784719.6400000558</c:v>
                </c:pt>
                <c:pt idx="10">
                  <c:v>1973934.7300000242</c:v>
                </c:pt>
                <c:pt idx="11">
                  <c:v>2086755.21000002</c:v>
                </c:pt>
                <c:pt idx="12">
                  <c:v>2064113.9100000006</c:v>
                </c:pt>
                <c:pt idx="13">
                  <c:v>2307654.1899999883</c:v>
                </c:pt>
                <c:pt idx="14">
                  <c:v>2407570.2399999737</c:v>
                </c:pt>
                <c:pt idx="15">
                  <c:v>2171471.7200000635</c:v>
                </c:pt>
                <c:pt idx="16">
                  <c:v>1230878.4500000235</c:v>
                </c:pt>
                <c:pt idx="17">
                  <c:v>1354892.320000032</c:v>
                </c:pt>
                <c:pt idx="18">
                  <c:v>1547443.8400000422</c:v>
                </c:pt>
                <c:pt idx="19">
                  <c:v>1555519.8400000422</c:v>
                </c:pt>
                <c:pt idx="20">
                  <c:v>1674940.5900000404</c:v>
                </c:pt>
                <c:pt idx="21">
                  <c:v>1632133.6600000255</c:v>
                </c:pt>
                <c:pt idx="22">
                  <c:v>1813762.5100000426</c:v>
                </c:pt>
                <c:pt idx="23">
                  <c:v>1749094.7200000316</c:v>
                </c:pt>
                <c:pt idx="24">
                  <c:v>1798575.6800000358</c:v>
                </c:pt>
                <c:pt idx="25">
                  <c:v>1957823.0300000492</c:v>
                </c:pt>
                <c:pt idx="26">
                  <c:v>1937084.9600000468</c:v>
                </c:pt>
                <c:pt idx="27">
                  <c:v>2571993.55000012</c:v>
                </c:pt>
                <c:pt idx="28">
                  <c:v>1388959.9600000465</c:v>
                </c:pt>
                <c:pt idx="29">
                  <c:v>1549682.5000000854</c:v>
                </c:pt>
                <c:pt idx="30">
                  <c:v>1803352.4300001366</c:v>
                </c:pt>
                <c:pt idx="31">
                  <c:v>1112029.6399999997</c:v>
                </c:pt>
                <c:pt idx="32">
                  <c:v>1171637.0300000021</c:v>
                </c:pt>
                <c:pt idx="33">
                  <c:v>1207378.3100000045</c:v>
                </c:pt>
                <c:pt idx="34">
                  <c:v>1205013.6300000094</c:v>
                </c:pt>
                <c:pt idx="35">
                  <c:v>1176536.439999993</c:v>
                </c:pt>
                <c:pt idx="36">
                  <c:v>1217823.4599999848</c:v>
                </c:pt>
                <c:pt idx="37">
                  <c:v>1351894.3699999729</c:v>
                </c:pt>
                <c:pt idx="38">
                  <c:v>1428037.9699999755</c:v>
                </c:pt>
                <c:pt idx="39">
                  <c:v>1931044.0699999707</c:v>
                </c:pt>
                <c:pt idx="40">
                  <c:v>986848.37999997684</c:v>
                </c:pt>
                <c:pt idx="41">
                  <c:v>1205025.4200000504</c:v>
                </c:pt>
                <c:pt idx="42">
                  <c:v>1382323.2800001053</c:v>
                </c:pt>
                <c:pt idx="43">
                  <c:v>1285748.6300000951</c:v>
                </c:pt>
                <c:pt idx="44">
                  <c:v>1360414.7400000929</c:v>
                </c:pt>
                <c:pt idx="45">
                  <c:v>1374638.1900000595</c:v>
                </c:pt>
                <c:pt idx="46">
                  <c:v>1397107.1200000206</c:v>
                </c:pt>
              </c:numCache>
            </c:numRef>
          </c:val>
          <c:smooth val="0"/>
        </c:ser>
        <c:ser>
          <c:idx val="8"/>
          <c:order val="8"/>
          <c:tx>
            <c:strRef>
              <c:f>'Sheet2 (5)'!$J$1:$J$2</c:f>
              <c:strCache>
                <c:ptCount val="1"/>
                <c:pt idx="0">
                  <c:v>Met&amp;Sulf FDC</c:v>
                </c:pt>
              </c:strCache>
            </c:strRef>
          </c:tx>
          <c:marker>
            <c:symbol val="none"/>
          </c:marker>
          <c:cat>
            <c:strRef>
              <c:f>'Sheet2 (5)'!$A$3:$A$50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(5)'!$J$3:$J$50</c:f>
              <c:numCache>
                <c:formatCode>General</c:formatCode>
                <c:ptCount val="47"/>
                <c:pt idx="0">
                  <c:v>83417.770000001881</c:v>
                </c:pt>
                <c:pt idx="1">
                  <c:v>97046.730000000796</c:v>
                </c:pt>
                <c:pt idx="2">
                  <c:v>101314.47999999937</c:v>
                </c:pt>
                <c:pt idx="3">
                  <c:v>129131.60999999648</c:v>
                </c:pt>
                <c:pt idx="4">
                  <c:v>51243.609999999499</c:v>
                </c:pt>
                <c:pt idx="5">
                  <c:v>56046.600000000501</c:v>
                </c:pt>
                <c:pt idx="6">
                  <c:v>61589.380000001402</c:v>
                </c:pt>
                <c:pt idx="7">
                  <c:v>64410.260000001603</c:v>
                </c:pt>
                <c:pt idx="8">
                  <c:v>68756.750000001586</c:v>
                </c:pt>
                <c:pt idx="9">
                  <c:v>65849.99999999984</c:v>
                </c:pt>
                <c:pt idx="10">
                  <c:v>76049.710000001185</c:v>
                </c:pt>
                <c:pt idx="11">
                  <c:v>74846.350000000573</c:v>
                </c:pt>
                <c:pt idx="12">
                  <c:v>75300.149999999921</c:v>
                </c:pt>
                <c:pt idx="13">
                  <c:v>85446.209999999424</c:v>
                </c:pt>
                <c:pt idx="14">
                  <c:v>88512.989999999874</c:v>
                </c:pt>
                <c:pt idx="15">
                  <c:v>117584.38000000158</c:v>
                </c:pt>
                <c:pt idx="16">
                  <c:v>45316.649999997899</c:v>
                </c:pt>
                <c:pt idx="17">
                  <c:v>46806.959999997802</c:v>
                </c:pt>
                <c:pt idx="18">
                  <c:v>53711.439999998605</c:v>
                </c:pt>
                <c:pt idx="19">
                  <c:v>50574.630000001911</c:v>
                </c:pt>
                <c:pt idx="20">
                  <c:v>56704.400000001995</c:v>
                </c:pt>
                <c:pt idx="21">
                  <c:v>53579.850000001432</c:v>
                </c:pt>
                <c:pt idx="22">
                  <c:v>62430.979999998402</c:v>
                </c:pt>
                <c:pt idx="23">
                  <c:v>62709.429999998923</c:v>
                </c:pt>
                <c:pt idx="24">
                  <c:v>68822.119999998788</c:v>
                </c:pt>
                <c:pt idx="25">
                  <c:v>74759.179999998567</c:v>
                </c:pt>
                <c:pt idx="26">
                  <c:v>76566.919999998601</c:v>
                </c:pt>
                <c:pt idx="27">
                  <c:v>103827.88999999702</c:v>
                </c:pt>
                <c:pt idx="28">
                  <c:v>36878.04000000003</c:v>
                </c:pt>
                <c:pt idx="29">
                  <c:v>41412.809999999954</c:v>
                </c:pt>
                <c:pt idx="30">
                  <c:v>46584.599999999897</c:v>
                </c:pt>
                <c:pt idx="31">
                  <c:v>53263.419999997102</c:v>
                </c:pt>
                <c:pt idx="32">
                  <c:v>55166.819999997308</c:v>
                </c:pt>
                <c:pt idx="33">
                  <c:v>57950.859999997607</c:v>
                </c:pt>
                <c:pt idx="34">
                  <c:v>78092.070000001331</c:v>
                </c:pt>
                <c:pt idx="35">
                  <c:v>77049.950000001612</c:v>
                </c:pt>
                <c:pt idx="36">
                  <c:v>82607.130000001227</c:v>
                </c:pt>
                <c:pt idx="37">
                  <c:v>87953.980000000156</c:v>
                </c:pt>
                <c:pt idx="38">
                  <c:v>90946.679999998974</c:v>
                </c:pt>
                <c:pt idx="39">
                  <c:v>123733.52999999523</c:v>
                </c:pt>
                <c:pt idx="40">
                  <c:v>45520.9599999989</c:v>
                </c:pt>
                <c:pt idx="41">
                  <c:v>52441.789999998793</c:v>
                </c:pt>
                <c:pt idx="42">
                  <c:v>59413.359999998596</c:v>
                </c:pt>
                <c:pt idx="43">
                  <c:v>57693.759999998794</c:v>
                </c:pt>
                <c:pt idx="44">
                  <c:v>60487.099999998798</c:v>
                </c:pt>
                <c:pt idx="45">
                  <c:v>59542.299999998926</c:v>
                </c:pt>
                <c:pt idx="46">
                  <c:v>61194.7799999989</c:v>
                </c:pt>
              </c:numCache>
            </c:numRef>
          </c:val>
          <c:smooth val="0"/>
        </c:ser>
        <c:ser>
          <c:idx val="9"/>
          <c:order val="9"/>
          <c:tx>
            <c:strRef>
              <c:f>'Sheet2 (5)'!$K$1:$K$2</c:f>
              <c:strCache>
                <c:ptCount val="1"/>
                <c:pt idx="0">
                  <c:v>Acarbose</c:v>
                </c:pt>
              </c:strCache>
            </c:strRef>
          </c:tx>
          <c:marker>
            <c:symbol val="none"/>
          </c:marker>
          <c:cat>
            <c:strRef>
              <c:f>'Sheet2 (5)'!$A$3:$A$50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(5)'!$K$3:$K$50</c:f>
              <c:numCache>
                <c:formatCode>General</c:formatCode>
                <c:ptCount val="47"/>
                <c:pt idx="0">
                  <c:v>146004.22999999975</c:v>
                </c:pt>
                <c:pt idx="1">
                  <c:v>168289.87999999805</c:v>
                </c:pt>
                <c:pt idx="2">
                  <c:v>169146.80999999726</c:v>
                </c:pt>
                <c:pt idx="3">
                  <c:v>231463.73000000071</c:v>
                </c:pt>
                <c:pt idx="4">
                  <c:v>91062.430000001026</c:v>
                </c:pt>
                <c:pt idx="5">
                  <c:v>99436.020000001692</c:v>
                </c:pt>
                <c:pt idx="6">
                  <c:v>115029.35000000284</c:v>
                </c:pt>
                <c:pt idx="7">
                  <c:v>118313.53000000273</c:v>
                </c:pt>
                <c:pt idx="8">
                  <c:v>133926.31000000253</c:v>
                </c:pt>
                <c:pt idx="9">
                  <c:v>124360.93000000053</c:v>
                </c:pt>
                <c:pt idx="10">
                  <c:v>141647.27000000011</c:v>
                </c:pt>
                <c:pt idx="11">
                  <c:v>151664.8600000008</c:v>
                </c:pt>
                <c:pt idx="12">
                  <c:v>147063.70000000027</c:v>
                </c:pt>
                <c:pt idx="13">
                  <c:v>171092.93999999907</c:v>
                </c:pt>
                <c:pt idx="14">
                  <c:v>172234.5499999988</c:v>
                </c:pt>
                <c:pt idx="15">
                  <c:v>229233.53000000239</c:v>
                </c:pt>
                <c:pt idx="16">
                  <c:v>89352.280000000304</c:v>
                </c:pt>
                <c:pt idx="17">
                  <c:v>99289.369999999719</c:v>
                </c:pt>
                <c:pt idx="18">
                  <c:v>118315.70999999893</c:v>
                </c:pt>
                <c:pt idx="19">
                  <c:v>117636.10999999911</c:v>
                </c:pt>
                <c:pt idx="20">
                  <c:v>129354.48999999929</c:v>
                </c:pt>
                <c:pt idx="21">
                  <c:v>126828.9200000003</c:v>
                </c:pt>
                <c:pt idx="22">
                  <c:v>143489.47999999998</c:v>
                </c:pt>
                <c:pt idx="23">
                  <c:v>144485.74999999936</c:v>
                </c:pt>
                <c:pt idx="24">
                  <c:v>149809.46000000066</c:v>
                </c:pt>
                <c:pt idx="25">
                  <c:v>160851.64000000208</c:v>
                </c:pt>
                <c:pt idx="26">
                  <c:v>169120.63000000292</c:v>
                </c:pt>
                <c:pt idx="27">
                  <c:v>230229.92999999973</c:v>
                </c:pt>
                <c:pt idx="28">
                  <c:v>88889.029999999009</c:v>
                </c:pt>
                <c:pt idx="29">
                  <c:v>96938.969999998415</c:v>
                </c:pt>
                <c:pt idx="30">
                  <c:v>119225.59999999651</c:v>
                </c:pt>
                <c:pt idx="31">
                  <c:v>116206.5299999976</c:v>
                </c:pt>
                <c:pt idx="32">
                  <c:v>125425.99999999783</c:v>
                </c:pt>
                <c:pt idx="33">
                  <c:v>128026.67999999911</c:v>
                </c:pt>
                <c:pt idx="34">
                  <c:v>136746.29999999987</c:v>
                </c:pt>
                <c:pt idx="35">
                  <c:v>134647.52999999947</c:v>
                </c:pt>
                <c:pt idx="36">
                  <c:v>144657.14999999947</c:v>
                </c:pt>
                <c:pt idx="37">
                  <c:v>156963.20999999967</c:v>
                </c:pt>
                <c:pt idx="38">
                  <c:v>160478.62999999986</c:v>
                </c:pt>
                <c:pt idx="39">
                  <c:v>222385.0499999997</c:v>
                </c:pt>
                <c:pt idx="40">
                  <c:v>75760.510000000999</c:v>
                </c:pt>
                <c:pt idx="41">
                  <c:v>95860.550000002404</c:v>
                </c:pt>
                <c:pt idx="42">
                  <c:v>106584.45000000301</c:v>
                </c:pt>
                <c:pt idx="43">
                  <c:v>98325.389999999417</c:v>
                </c:pt>
                <c:pt idx="44">
                  <c:v>104667.52999999952</c:v>
                </c:pt>
                <c:pt idx="45">
                  <c:v>88349.820000000618</c:v>
                </c:pt>
                <c:pt idx="46">
                  <c:v>96822.94000000009</c:v>
                </c:pt>
              </c:numCache>
            </c:numRef>
          </c:val>
          <c:smooth val="0"/>
        </c:ser>
        <c:ser>
          <c:idx val="10"/>
          <c:order val="10"/>
          <c:tx>
            <c:strRef>
              <c:f>'Sheet2 (5)'!$L$1:$L$2</c:f>
              <c:strCache>
                <c:ptCount val="1"/>
                <c:pt idx="0">
                  <c:v>Flozin&amp;Met FDC</c:v>
                </c:pt>
              </c:strCache>
            </c:strRef>
          </c:tx>
          <c:marker>
            <c:symbol val="none"/>
          </c:marker>
          <c:cat>
            <c:strRef>
              <c:f>'Sheet2 (5)'!$A$3:$A$50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(5)'!$L$3:$L$50</c:f>
              <c:numCache>
                <c:formatCode>General</c:formatCode>
                <c:ptCount val="47"/>
                <c:pt idx="37">
                  <c:v>13616.240000000003</c:v>
                </c:pt>
                <c:pt idx="38">
                  <c:v>43150.529999999984</c:v>
                </c:pt>
                <c:pt idx="39">
                  <c:v>91623.5999999997</c:v>
                </c:pt>
                <c:pt idx="40">
                  <c:v>73975.980000000287</c:v>
                </c:pt>
                <c:pt idx="41">
                  <c:v>123533.85000000079</c:v>
                </c:pt>
                <c:pt idx="42">
                  <c:v>191462.6999999992</c:v>
                </c:pt>
                <c:pt idx="43">
                  <c:v>250719.1699999978</c:v>
                </c:pt>
                <c:pt idx="44">
                  <c:v>336759.22999999759</c:v>
                </c:pt>
                <c:pt idx="45">
                  <c:v>400257.3499999973</c:v>
                </c:pt>
                <c:pt idx="46">
                  <c:v>471530.49999999558</c:v>
                </c:pt>
              </c:numCache>
            </c:numRef>
          </c:val>
          <c:smooth val="0"/>
        </c:ser>
        <c:ser>
          <c:idx val="11"/>
          <c:order val="11"/>
          <c:tx>
            <c:strRef>
              <c:f>'Sheet2 (5)'!$M$1:$M$2</c:f>
              <c:strCache>
                <c:ptCount val="1"/>
                <c:pt idx="0">
                  <c:v>Rosi&amp;Met FDC</c:v>
                </c:pt>
              </c:strCache>
            </c:strRef>
          </c:tx>
          <c:marker>
            <c:symbol val="none"/>
          </c:marker>
          <c:cat>
            <c:strRef>
              <c:f>'Sheet2 (5)'!$A$3:$A$50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(5)'!$M$3:$M$50</c:f>
              <c:numCache>
                <c:formatCode>General</c:formatCode>
                <c:ptCount val="47"/>
                <c:pt idx="0">
                  <c:v>131679.15999999968</c:v>
                </c:pt>
                <c:pt idx="1">
                  <c:v>141525.08999999991</c:v>
                </c:pt>
                <c:pt idx="2">
                  <c:v>137549.20000000016</c:v>
                </c:pt>
                <c:pt idx="3">
                  <c:v>153993.38000000024</c:v>
                </c:pt>
                <c:pt idx="4">
                  <c:v>104103.32999999999</c:v>
                </c:pt>
                <c:pt idx="5">
                  <c:v>101574.2</c:v>
                </c:pt>
                <c:pt idx="6">
                  <c:v>109796.41</c:v>
                </c:pt>
                <c:pt idx="7">
                  <c:v>108640.71999999999</c:v>
                </c:pt>
                <c:pt idx="8">
                  <c:v>110439.43000000001</c:v>
                </c:pt>
                <c:pt idx="9">
                  <c:v>97672.56</c:v>
                </c:pt>
                <c:pt idx="10">
                  <c:v>110973.44000000015</c:v>
                </c:pt>
                <c:pt idx="11">
                  <c:v>101414.98000000021</c:v>
                </c:pt>
                <c:pt idx="12">
                  <c:v>97213.710000000196</c:v>
                </c:pt>
                <c:pt idx="13">
                  <c:v>104582.76000000014</c:v>
                </c:pt>
                <c:pt idx="14">
                  <c:v>98660.160000000091</c:v>
                </c:pt>
                <c:pt idx="15">
                  <c:v>108545.10999999988</c:v>
                </c:pt>
                <c:pt idx="16">
                  <c:v>75008.849999999686</c:v>
                </c:pt>
                <c:pt idx="17">
                  <c:v>75063.899999999703</c:v>
                </c:pt>
                <c:pt idx="18">
                  <c:v>79856.509999999776</c:v>
                </c:pt>
                <c:pt idx="19">
                  <c:v>75949.309999999881</c:v>
                </c:pt>
                <c:pt idx="20">
                  <c:v>79022.529999999882</c:v>
                </c:pt>
                <c:pt idx="21">
                  <c:v>74858.3299999999</c:v>
                </c:pt>
                <c:pt idx="22">
                  <c:v>78656.280000000013</c:v>
                </c:pt>
                <c:pt idx="23">
                  <c:v>77394.63</c:v>
                </c:pt>
                <c:pt idx="24">
                  <c:v>71820.700000000026</c:v>
                </c:pt>
                <c:pt idx="25">
                  <c:v>77780.920000000013</c:v>
                </c:pt>
                <c:pt idx="26">
                  <c:v>71791.670000000013</c:v>
                </c:pt>
                <c:pt idx="27">
                  <c:v>86115.12000000001</c:v>
                </c:pt>
                <c:pt idx="28">
                  <c:v>53191.810000000012</c:v>
                </c:pt>
                <c:pt idx="29">
                  <c:v>56987.890000000109</c:v>
                </c:pt>
                <c:pt idx="30">
                  <c:v>63900.080000000111</c:v>
                </c:pt>
                <c:pt idx="31">
                  <c:v>56773.689999999886</c:v>
                </c:pt>
                <c:pt idx="32">
                  <c:v>50790.279999999992</c:v>
                </c:pt>
                <c:pt idx="33">
                  <c:v>42437.989999999983</c:v>
                </c:pt>
                <c:pt idx="34">
                  <c:v>39998.999999999978</c:v>
                </c:pt>
                <c:pt idx="35">
                  <c:v>35702.249999999985</c:v>
                </c:pt>
                <c:pt idx="36">
                  <c:v>35247.169999999991</c:v>
                </c:pt>
                <c:pt idx="37">
                  <c:v>27273.42</c:v>
                </c:pt>
                <c:pt idx="38">
                  <c:v>22446.650000000005</c:v>
                </c:pt>
                <c:pt idx="39">
                  <c:v>25857.590000000011</c:v>
                </c:pt>
                <c:pt idx="40">
                  <c:v>14729.61000000001</c:v>
                </c:pt>
                <c:pt idx="41">
                  <c:v>18122.830000000009</c:v>
                </c:pt>
                <c:pt idx="42">
                  <c:v>17396.5</c:v>
                </c:pt>
                <c:pt idx="43">
                  <c:v>18123.18999999997</c:v>
                </c:pt>
                <c:pt idx="44">
                  <c:v>18778.279999999966</c:v>
                </c:pt>
                <c:pt idx="45">
                  <c:v>17545.479999999967</c:v>
                </c:pt>
                <c:pt idx="46">
                  <c:v>15958.70999999999</c:v>
                </c:pt>
              </c:numCache>
            </c:numRef>
          </c:val>
          <c:smooth val="0"/>
        </c:ser>
        <c:ser>
          <c:idx val="12"/>
          <c:order val="12"/>
          <c:tx>
            <c:strRef>
              <c:f>'Sheet2 (5)'!$N$1:$N$2</c:f>
              <c:strCache>
                <c:ptCount val="1"/>
                <c:pt idx="0">
                  <c:v>Rosiglitazone</c:v>
                </c:pt>
              </c:strCache>
            </c:strRef>
          </c:tx>
          <c:marker>
            <c:symbol val="none"/>
          </c:marker>
          <c:cat>
            <c:strRef>
              <c:f>'Sheet2 (5)'!$A$3:$A$50</c:f>
              <c:strCache>
                <c:ptCount val="47"/>
                <c:pt idx="0">
                  <c:v>201209</c:v>
                </c:pt>
                <c:pt idx="1">
                  <c:v>201210</c:v>
                </c:pt>
                <c:pt idx="2">
                  <c:v>201211</c:v>
                </c:pt>
                <c:pt idx="3">
                  <c:v>201212</c:v>
                </c:pt>
                <c:pt idx="4">
                  <c:v>201301</c:v>
                </c:pt>
                <c:pt idx="5">
                  <c:v>201302</c:v>
                </c:pt>
                <c:pt idx="6">
                  <c:v>201303</c:v>
                </c:pt>
                <c:pt idx="7">
                  <c:v>201304</c:v>
                </c:pt>
                <c:pt idx="8">
                  <c:v>201305</c:v>
                </c:pt>
                <c:pt idx="9">
                  <c:v>201306</c:v>
                </c:pt>
                <c:pt idx="10">
                  <c:v>201307</c:v>
                </c:pt>
                <c:pt idx="11">
                  <c:v>201308</c:v>
                </c:pt>
                <c:pt idx="12">
                  <c:v>201309</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pt idx="28">
                  <c:v>201501</c:v>
                </c:pt>
                <c:pt idx="29">
                  <c:v>201502</c:v>
                </c:pt>
                <c:pt idx="30">
                  <c:v>201503</c:v>
                </c:pt>
                <c:pt idx="31">
                  <c:v>201504</c:v>
                </c:pt>
                <c:pt idx="32">
                  <c:v>201505</c:v>
                </c:pt>
                <c:pt idx="33">
                  <c:v>201506</c:v>
                </c:pt>
                <c:pt idx="34">
                  <c:v>201507</c:v>
                </c:pt>
                <c:pt idx="35">
                  <c:v>201508</c:v>
                </c:pt>
                <c:pt idx="36">
                  <c:v>201509</c:v>
                </c:pt>
                <c:pt idx="37">
                  <c:v>201510</c:v>
                </c:pt>
                <c:pt idx="38">
                  <c:v>201511</c:v>
                </c:pt>
                <c:pt idx="39">
                  <c:v>201512</c:v>
                </c:pt>
                <c:pt idx="40">
                  <c:v>201601</c:v>
                </c:pt>
                <c:pt idx="41">
                  <c:v>201602</c:v>
                </c:pt>
                <c:pt idx="42">
                  <c:v>201603</c:v>
                </c:pt>
                <c:pt idx="43">
                  <c:v>201604</c:v>
                </c:pt>
                <c:pt idx="44">
                  <c:v>201605</c:v>
                </c:pt>
                <c:pt idx="45">
                  <c:v>201606</c:v>
                </c:pt>
                <c:pt idx="46">
                  <c:v>201607</c:v>
                </c:pt>
              </c:strCache>
            </c:strRef>
          </c:cat>
          <c:val>
            <c:numRef>
              <c:f>'Sheet2 (5)'!$N$3:$N$50</c:f>
              <c:numCache>
                <c:formatCode>General</c:formatCode>
                <c:ptCount val="47"/>
                <c:pt idx="0">
                  <c:v>113748.09000000029</c:v>
                </c:pt>
                <c:pt idx="1">
                  <c:v>119503.94000000026</c:v>
                </c:pt>
                <c:pt idx="2">
                  <c:v>117057.1700000001</c:v>
                </c:pt>
                <c:pt idx="3">
                  <c:v>128367.27999999981</c:v>
                </c:pt>
                <c:pt idx="4">
                  <c:v>83462.500000000044</c:v>
                </c:pt>
                <c:pt idx="5">
                  <c:v>85698.909999999945</c:v>
                </c:pt>
                <c:pt idx="6">
                  <c:v>89470.399999999921</c:v>
                </c:pt>
                <c:pt idx="7">
                  <c:v>89515.589999999909</c:v>
                </c:pt>
                <c:pt idx="8">
                  <c:v>89048.19999999991</c:v>
                </c:pt>
                <c:pt idx="9">
                  <c:v>84928.879999999815</c:v>
                </c:pt>
                <c:pt idx="10">
                  <c:v>89060.769999999902</c:v>
                </c:pt>
                <c:pt idx="11">
                  <c:v>89469.759999999893</c:v>
                </c:pt>
                <c:pt idx="12">
                  <c:v>81252.870000000024</c:v>
                </c:pt>
                <c:pt idx="13">
                  <c:v>90332.600000000195</c:v>
                </c:pt>
                <c:pt idx="14">
                  <c:v>85784.120000000185</c:v>
                </c:pt>
                <c:pt idx="15">
                  <c:v>96737.280000000377</c:v>
                </c:pt>
                <c:pt idx="16">
                  <c:v>59474.490000000194</c:v>
                </c:pt>
                <c:pt idx="17">
                  <c:v>61210.85000000029</c:v>
                </c:pt>
                <c:pt idx="18">
                  <c:v>65991.570000000283</c:v>
                </c:pt>
                <c:pt idx="19">
                  <c:v>65285.400000000285</c:v>
                </c:pt>
                <c:pt idx="20">
                  <c:v>67856.550000000279</c:v>
                </c:pt>
                <c:pt idx="21">
                  <c:v>61427.760000000089</c:v>
                </c:pt>
                <c:pt idx="22">
                  <c:v>63690.26999999996</c:v>
                </c:pt>
                <c:pt idx="23">
                  <c:v>61292.12999999999</c:v>
                </c:pt>
                <c:pt idx="24">
                  <c:v>57781.14999999998</c:v>
                </c:pt>
                <c:pt idx="25">
                  <c:v>59076.05999999999</c:v>
                </c:pt>
                <c:pt idx="26">
                  <c:v>57453.689999999981</c:v>
                </c:pt>
                <c:pt idx="27">
                  <c:v>70841.629999999874</c:v>
                </c:pt>
                <c:pt idx="28">
                  <c:v>41969.409999999989</c:v>
                </c:pt>
                <c:pt idx="29">
                  <c:v>47449.619999999988</c:v>
                </c:pt>
                <c:pt idx="30">
                  <c:v>51557.969999999885</c:v>
                </c:pt>
                <c:pt idx="31">
                  <c:v>50287.829999999994</c:v>
                </c:pt>
                <c:pt idx="32">
                  <c:v>56179.979999999989</c:v>
                </c:pt>
                <c:pt idx="33">
                  <c:v>55902.069999999978</c:v>
                </c:pt>
                <c:pt idx="34">
                  <c:v>55097.719999999994</c:v>
                </c:pt>
                <c:pt idx="35">
                  <c:v>54281.33</c:v>
                </c:pt>
                <c:pt idx="36">
                  <c:v>53569.979999999974</c:v>
                </c:pt>
                <c:pt idx="37">
                  <c:v>59161.579999999987</c:v>
                </c:pt>
                <c:pt idx="38">
                  <c:v>58364.810000000114</c:v>
                </c:pt>
                <c:pt idx="39">
                  <c:v>70352.430000000008</c:v>
                </c:pt>
                <c:pt idx="40">
                  <c:v>41323.459999999905</c:v>
                </c:pt>
                <c:pt idx="41">
                  <c:v>44062.479999999901</c:v>
                </c:pt>
                <c:pt idx="42">
                  <c:v>45559.339999999902</c:v>
                </c:pt>
                <c:pt idx="43">
                  <c:v>40526.930000000102</c:v>
                </c:pt>
                <c:pt idx="44">
                  <c:v>38612.74</c:v>
                </c:pt>
                <c:pt idx="45">
                  <c:v>37081.040000000001</c:v>
                </c:pt>
                <c:pt idx="46">
                  <c:v>37021.049999999996</c:v>
                </c:pt>
              </c:numCache>
            </c:numRef>
          </c:val>
          <c:smooth val="0"/>
        </c:ser>
        <c:dLbls>
          <c:showLegendKey val="0"/>
          <c:showVal val="0"/>
          <c:showCatName val="0"/>
          <c:showSerName val="0"/>
          <c:showPercent val="0"/>
          <c:showBubbleSize val="0"/>
        </c:dLbls>
        <c:marker val="1"/>
        <c:smooth val="0"/>
        <c:axId val="127004032"/>
        <c:axId val="126620800"/>
      </c:lineChart>
      <c:catAx>
        <c:axId val="127004032"/>
        <c:scaling>
          <c:orientation val="minMax"/>
        </c:scaling>
        <c:delete val="0"/>
        <c:axPos val="b"/>
        <c:majorTickMark val="out"/>
        <c:minorTickMark val="none"/>
        <c:tickLblPos val="nextTo"/>
        <c:crossAx val="126620800"/>
        <c:crosses val="autoZero"/>
        <c:auto val="1"/>
        <c:lblAlgn val="ctr"/>
        <c:lblOffset val="100"/>
        <c:noMultiLvlLbl val="0"/>
      </c:catAx>
      <c:valAx>
        <c:axId val="126620800"/>
        <c:scaling>
          <c:orientation val="minMax"/>
          <c:max val="40000000"/>
        </c:scaling>
        <c:delete val="0"/>
        <c:axPos val="l"/>
        <c:majorGridlines>
          <c:spPr>
            <a:ln>
              <a:noFill/>
            </a:ln>
          </c:spPr>
        </c:majorGridlines>
        <c:numFmt formatCode="#,##0" sourceLinked="0"/>
        <c:majorTickMark val="out"/>
        <c:minorTickMark val="none"/>
        <c:tickLblPos val="nextTo"/>
        <c:crossAx val="127004032"/>
        <c:crosses val="autoZero"/>
        <c:crossBetween val="between"/>
      </c:valAx>
    </c:plotArea>
    <c:legend>
      <c:legendPos val="r"/>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327BF-091F-49D1-A500-CD1BC29D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12561</Words>
  <Characters>71602</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2017-06-20T01:53:00Z</dcterms:created>
  <dcterms:modified xsi:type="dcterms:W3CDTF">2017-06-25T23:42:00Z</dcterms:modified>
</cp:coreProperties>
</file>