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C130" w14:textId="26760CB0" w:rsidR="00832324" w:rsidRDefault="00CD28EC" w:rsidP="00F73113">
      <w:pPr>
        <w:pStyle w:val="Title"/>
      </w:pPr>
      <w:r>
        <w:t>Everolimus</w:t>
      </w:r>
      <w:r w:rsidR="001C4016">
        <w:t xml:space="preserve">: </w:t>
      </w:r>
      <w:r w:rsidR="009B7E87">
        <w:t xml:space="preserve">24 months </w:t>
      </w:r>
      <w:r w:rsidR="001C4016">
        <w:t>a</w:t>
      </w:r>
      <w:r w:rsidR="00935689">
        <w:t xml:space="preserve">nalysis </w:t>
      </w:r>
      <w:r>
        <w:t xml:space="preserve">of </w:t>
      </w:r>
      <w:r w:rsidRPr="00CD28EC">
        <w:t xml:space="preserve">Tuberous </w:t>
      </w:r>
      <w:r>
        <w:t>S</w:t>
      </w:r>
      <w:r w:rsidRPr="00CD28EC">
        <w:t xml:space="preserve">clerosis </w:t>
      </w:r>
      <w:r>
        <w:t>C</w:t>
      </w:r>
      <w:r w:rsidRPr="00CD28EC">
        <w:t>omplex (TSC)</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08B680BC" w:rsidR="009053D3" w:rsidRPr="00F73113" w:rsidRDefault="00CD28EC" w:rsidP="00F73113">
      <w:pPr>
        <w:pStyle w:val="Meetingdate"/>
      </w:pPr>
      <w:r>
        <w:t>February 2017</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70A05845" w14:textId="404642EA" w:rsidR="005C6661" w:rsidRDefault="00CD28EC" w:rsidP="00CD28EC">
      <w:pPr>
        <w:pStyle w:val="NoSpacing"/>
      </w:pPr>
      <w:r>
        <w:rPr>
          <w:color w:val="000000"/>
        </w:rPr>
        <w:t xml:space="preserve">The </w:t>
      </w:r>
      <w:r w:rsidRPr="00F94B96">
        <w:rPr>
          <w:color w:val="000000"/>
        </w:rPr>
        <w:t xml:space="preserve">PBAC requested a 24 month review of everolimus for </w:t>
      </w:r>
      <w:r w:rsidR="0097563F" w:rsidRPr="0097563F">
        <w:rPr>
          <w:color w:val="000000"/>
        </w:rPr>
        <w:t>tuberous sclerosis complex (TSC)</w:t>
      </w:r>
      <w:r w:rsidR="00924AEF">
        <w:rPr>
          <w:color w:val="000000"/>
        </w:rPr>
        <w:t>,</w:t>
      </w:r>
      <w:r w:rsidR="0097563F">
        <w:rPr>
          <w:color w:val="000000"/>
        </w:rPr>
        <w:t xml:space="preserve"> </w:t>
      </w:r>
      <w:r w:rsidRPr="00F94B96">
        <w:rPr>
          <w:color w:val="000000"/>
        </w:rPr>
        <w:t xml:space="preserve">which </w:t>
      </w:r>
      <w:r w:rsidR="004F4C11" w:rsidRPr="004F4C11">
        <w:rPr>
          <w:color w:val="000000"/>
        </w:rPr>
        <w:t>i</w:t>
      </w:r>
      <w:r w:rsidR="002A09A1">
        <w:rPr>
          <w:color w:val="000000"/>
        </w:rPr>
        <w:t>s a genetic disorder characteris</w:t>
      </w:r>
      <w:r w:rsidR="004F4C11" w:rsidRPr="004F4C11">
        <w:rPr>
          <w:color w:val="000000"/>
        </w:rPr>
        <w:t xml:space="preserve">ed by the growth of numerous noncancerous tumours in many parts of the body. </w:t>
      </w:r>
      <w:r w:rsidR="004F4C11">
        <w:rPr>
          <w:color w:val="000000"/>
        </w:rPr>
        <w:t xml:space="preserve">Everolimus </w:t>
      </w:r>
      <w:r w:rsidRPr="00F94B96">
        <w:rPr>
          <w:color w:val="000000"/>
        </w:rPr>
        <w:t xml:space="preserve">was </w:t>
      </w:r>
      <w:r>
        <w:rPr>
          <w:color w:val="000000"/>
        </w:rPr>
        <w:t xml:space="preserve">first </w:t>
      </w:r>
      <w:r w:rsidR="00924AEF">
        <w:rPr>
          <w:color w:val="000000"/>
        </w:rPr>
        <w:t>PBS-</w:t>
      </w:r>
      <w:r w:rsidR="004F4C11">
        <w:rPr>
          <w:color w:val="000000"/>
        </w:rPr>
        <w:t>listed for this indication on 1 </w:t>
      </w:r>
      <w:r>
        <w:rPr>
          <w:color w:val="000000"/>
        </w:rPr>
        <w:t>December 2013.</w:t>
      </w:r>
    </w:p>
    <w:p w14:paraId="526743BB" w14:textId="77777777" w:rsidR="005C6661" w:rsidRDefault="005C6661" w:rsidP="00CF5E22">
      <w:pPr>
        <w:pStyle w:val="Heading3"/>
      </w:pPr>
      <w:r>
        <w:t>Data Source / methodology</w:t>
      </w:r>
    </w:p>
    <w:p w14:paraId="5E9E2FBA" w14:textId="7FBCE919" w:rsidR="005C6661" w:rsidRDefault="00CD28EC" w:rsidP="005C6661">
      <w:pPr>
        <w:pStyle w:val="NoSpacing"/>
      </w:pPr>
      <w:r>
        <w:t xml:space="preserve">The </w:t>
      </w:r>
      <w:r w:rsidR="000F16DE">
        <w:t>analyses use</w:t>
      </w:r>
      <w:r>
        <w:t xml:space="preserve"> data from </w:t>
      </w:r>
      <w:r w:rsidRPr="00130B7B">
        <w:t>the Department of Human Services (DHS) Medicare Supplied prescriptions database and the DHS Authority a</w:t>
      </w:r>
      <w:r>
        <w:t xml:space="preserve">pprovals database from </w:t>
      </w:r>
      <w:r w:rsidR="00964A29" w:rsidRPr="005E12F1">
        <w:t>December 2013</w:t>
      </w:r>
      <w:r>
        <w:t xml:space="preserve"> to </w:t>
      </w:r>
      <w:r w:rsidR="00FF17F7">
        <w:t>September</w:t>
      </w:r>
      <w:r>
        <w:t xml:space="preserve"> 2016.</w:t>
      </w:r>
    </w:p>
    <w:p w14:paraId="7599E7C1" w14:textId="77777777" w:rsidR="005C6661" w:rsidRDefault="005C6661" w:rsidP="00CF5E22">
      <w:pPr>
        <w:pStyle w:val="Heading3"/>
      </w:pPr>
      <w:r>
        <w:t>Key Findings</w:t>
      </w:r>
    </w:p>
    <w:p w14:paraId="511C8C9A" w14:textId="19AE76B2" w:rsidR="00295457" w:rsidRDefault="00295457" w:rsidP="0091503E">
      <w:pPr>
        <w:pStyle w:val="NoSpacing"/>
        <w:numPr>
          <w:ilvl w:val="0"/>
          <w:numId w:val="5"/>
        </w:numPr>
      </w:pPr>
      <w:r>
        <w:t xml:space="preserve">Since listing on the PBS on 1 December 2013, </w:t>
      </w:r>
      <w:r w:rsidR="00003032">
        <w:t>322</w:t>
      </w:r>
      <w:r>
        <w:t xml:space="preserve"> patients have </w:t>
      </w:r>
      <w:r w:rsidR="00EE2B2E">
        <w:t>been supplied</w:t>
      </w:r>
      <w:r>
        <w:t xml:space="preserve"> everolimus for TSC. </w:t>
      </w:r>
    </w:p>
    <w:p w14:paraId="50C5F406" w14:textId="7E5B810D" w:rsidR="0091503E" w:rsidRDefault="0091503E" w:rsidP="0091503E">
      <w:pPr>
        <w:pStyle w:val="NoSpacing"/>
        <w:numPr>
          <w:ilvl w:val="0"/>
          <w:numId w:val="5"/>
        </w:numPr>
      </w:pPr>
      <w:r>
        <w:t xml:space="preserve">The use of 2.5 mg and 5 mg prescriptions has been higher than </w:t>
      </w:r>
      <w:r w:rsidR="00910792">
        <w:t>estimated</w:t>
      </w:r>
      <w:r>
        <w:t xml:space="preserve">, and the use of 10 mg prescriptions has been lower than </w:t>
      </w:r>
      <w:r w:rsidR="00910792">
        <w:t>estimated</w:t>
      </w:r>
      <w:r>
        <w:t>.</w:t>
      </w:r>
    </w:p>
    <w:p w14:paraId="54FB0DB5" w14:textId="77777777" w:rsidR="0091503E" w:rsidRPr="005E12F1" w:rsidRDefault="0091503E" w:rsidP="005C6661">
      <w:pPr>
        <w:pStyle w:val="NoSpacing"/>
      </w:pPr>
    </w:p>
    <w:p w14:paraId="38B57ECC" w14:textId="77777777" w:rsidR="00BB0D1A" w:rsidRDefault="00BB0D1A">
      <w:pPr>
        <w:spacing w:line="276" w:lineRule="auto"/>
        <w:rPr>
          <w:rFonts w:eastAsiaTheme="majorEastAsia" w:cstheme="majorBidi"/>
          <w:b/>
          <w:bCs/>
          <w:sz w:val="32"/>
          <w:szCs w:val="26"/>
        </w:rPr>
      </w:pPr>
      <w:r>
        <w:br w:type="page"/>
      </w:r>
    </w:p>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15B957F2" w14:textId="6281E0F3" w:rsidR="00990DCF" w:rsidRPr="00CD28EC" w:rsidRDefault="00CD28EC" w:rsidP="00CD28EC">
      <w:pPr>
        <w:rPr>
          <w:highlight w:val="yellow"/>
        </w:rPr>
      </w:pPr>
      <w:r>
        <w:rPr>
          <w:color w:val="000000"/>
        </w:rPr>
        <w:t xml:space="preserve">The </w:t>
      </w:r>
      <w:r w:rsidRPr="00F94B96">
        <w:rPr>
          <w:color w:val="000000"/>
        </w:rPr>
        <w:t xml:space="preserve">PBAC requested a 24 month review of everolimus for </w:t>
      </w:r>
      <w:r w:rsidR="0097563F">
        <w:rPr>
          <w:color w:val="000000"/>
        </w:rPr>
        <w:t>tuberous sclerosis complex (TSC)</w:t>
      </w:r>
      <w:r w:rsidR="00924AEF">
        <w:rPr>
          <w:color w:val="000000"/>
        </w:rPr>
        <w:t>,</w:t>
      </w:r>
      <w:r w:rsidRPr="00F94B96">
        <w:rPr>
          <w:color w:val="000000"/>
        </w:rPr>
        <w:t xml:space="preserve"> which was </w:t>
      </w:r>
      <w:r>
        <w:rPr>
          <w:color w:val="000000"/>
        </w:rPr>
        <w:t xml:space="preserve">first </w:t>
      </w:r>
      <w:r w:rsidR="00924AEF">
        <w:rPr>
          <w:color w:val="000000"/>
        </w:rPr>
        <w:t>PBS-</w:t>
      </w:r>
      <w:r>
        <w:rPr>
          <w:color w:val="000000"/>
        </w:rPr>
        <w:t>listed for this indication on 1 December 2013.</w:t>
      </w:r>
    </w:p>
    <w:p w14:paraId="0A7F0B57" w14:textId="034D22D5" w:rsidR="006537D9" w:rsidRPr="005E22C2" w:rsidRDefault="00736041" w:rsidP="00CF5E22">
      <w:pPr>
        <w:pStyle w:val="Heading1"/>
      </w:pPr>
      <w:r w:rsidRPr="005E22C2">
        <w:t>Background</w:t>
      </w:r>
    </w:p>
    <w:p w14:paraId="68E72AF5" w14:textId="77777777" w:rsidR="004F4C11" w:rsidRPr="007247B9" w:rsidRDefault="004F4C11" w:rsidP="004F4C11">
      <w:pPr>
        <w:pStyle w:val="Heading2"/>
      </w:pPr>
      <w:r w:rsidRPr="007247B9">
        <w:t>Clinical situation</w:t>
      </w:r>
    </w:p>
    <w:p w14:paraId="0767F2C4" w14:textId="7287CA34" w:rsidR="004F4C11" w:rsidRDefault="00924AEF" w:rsidP="004F4C11">
      <w:r>
        <w:t>TSC</w:t>
      </w:r>
      <w:r w:rsidR="004F4C11" w:rsidRPr="00615F41">
        <w:t xml:space="preserve"> i</w:t>
      </w:r>
      <w:r w:rsidR="002A09A1">
        <w:t>s a genetic disorder characteris</w:t>
      </w:r>
      <w:r w:rsidR="004F4C11" w:rsidRPr="00615F41">
        <w:t>ed by the growth of numerous noncancerous (benign) tumo</w:t>
      </w:r>
      <w:r w:rsidR="004F4C11">
        <w:t>u</w:t>
      </w:r>
      <w:r w:rsidR="004F4C11" w:rsidRPr="00615F41">
        <w:t>rs in many parts of the body. These tumo</w:t>
      </w:r>
      <w:r w:rsidR="004F4C11">
        <w:t>u</w:t>
      </w:r>
      <w:r w:rsidR="004F4C11" w:rsidRPr="00615F41">
        <w:t xml:space="preserve">rs can occur in the skin, brain, kidneys, and other organs, in some cases leading to significant health problems. </w:t>
      </w:r>
      <w:r>
        <w:t>TSC</w:t>
      </w:r>
      <w:r w:rsidR="004F4C11" w:rsidRPr="00615F41">
        <w:t xml:space="preserve"> also causes developmental problems and the signs and symptoms of the condition vary from person to person.</w:t>
      </w:r>
      <w:r w:rsidR="004F4C11">
        <w:rPr>
          <w:rStyle w:val="FootnoteReference"/>
        </w:rPr>
        <w:footnoteReference w:id="1"/>
      </w:r>
    </w:p>
    <w:p w14:paraId="39D9030C" w14:textId="59A09C73" w:rsidR="004F4C11" w:rsidRDefault="004F4C11" w:rsidP="004F4C11">
      <w:r>
        <w:t>Everolimus reduces the size of brain tumours</w:t>
      </w:r>
      <w:r w:rsidR="00D17BFE">
        <w:t xml:space="preserve"> known as s</w:t>
      </w:r>
      <w:r w:rsidR="00D17BFE" w:rsidRPr="00D17BFE">
        <w:t>ubependymal giant cell astrocytoma</w:t>
      </w:r>
      <w:r>
        <w:t xml:space="preserve"> (SEGA) that are caused by tuberous sclerosis. This may stop the tumours from causing problems as they grow, such as hydrocephalus (excessive accumulation of fluid within the brain).</w:t>
      </w:r>
      <w:r w:rsidRPr="00DD02D1">
        <w:rPr>
          <w:rStyle w:val="FootnoteReference"/>
        </w:rPr>
        <w:t xml:space="preserve"> </w:t>
      </w:r>
      <w:r>
        <w:rPr>
          <w:rStyle w:val="FootnoteReference"/>
        </w:rPr>
        <w:footnoteReference w:id="2"/>
      </w:r>
    </w:p>
    <w:p w14:paraId="184C1D32" w14:textId="642244A7" w:rsidR="004F4C11" w:rsidRDefault="004F4C11" w:rsidP="004F4C11">
      <w:r>
        <w:t>Everolimus may reduce the size of angiomyolipoma of the kidney that is associated with TSC. This may lower the risk of the tumour(s) causing bleeding complications and may help to preserve kidney function.</w:t>
      </w:r>
    </w:p>
    <w:p w14:paraId="0183A567" w14:textId="3B08C103" w:rsidR="007247B9" w:rsidRDefault="007247B9" w:rsidP="004F4C11">
      <w:pPr>
        <w:pStyle w:val="Heading2"/>
      </w:pPr>
      <w:r>
        <w:t>Pharmacology</w:t>
      </w:r>
    </w:p>
    <w:p w14:paraId="27D1B773" w14:textId="37EB773F" w:rsidR="00ED39FB" w:rsidRDefault="00ED39FB" w:rsidP="00F05707">
      <w:pPr>
        <w:rPr>
          <w:highlight w:val="yellow"/>
        </w:rPr>
      </w:pPr>
      <w:r>
        <w:t xml:space="preserve">Everolimus is a signal transduction inhibitor targeting mTOR (mammalian target of rapamycin), or more specifically, mTORC1 (mammalian 'target of rapamycin' complex 1). mTOR is a key serine-threonine kinase playing a central role in the regulation of cell growth, proliferation and survival. </w:t>
      </w:r>
    </w:p>
    <w:p w14:paraId="6AC18C88" w14:textId="7A398934" w:rsidR="001420B3" w:rsidRPr="005E22C2" w:rsidRDefault="00A52918" w:rsidP="0090618E">
      <w:pPr>
        <w:pStyle w:val="Heading2"/>
        <w:keepNext/>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1609132F" w14:textId="493CC9C9" w:rsidR="00D17BFE" w:rsidRDefault="00D17BFE" w:rsidP="00003032">
      <w:pPr>
        <w:spacing w:after="0"/>
      </w:pPr>
      <w:r>
        <w:t xml:space="preserve">Everolimus is approved for the treatment of </w:t>
      </w:r>
      <w:r w:rsidR="00EA3735" w:rsidRPr="003A48CD">
        <w:t xml:space="preserve">SEGA associated with TSC, </w:t>
      </w:r>
      <w:r w:rsidR="00CC6D1E">
        <w:t xml:space="preserve">in patients </w:t>
      </w:r>
      <w:r w:rsidR="00EA3735" w:rsidRPr="003A48CD">
        <w:t>who require therapeutic intervention but are not candidates for curative surgical resection</w:t>
      </w:r>
      <w:r w:rsidR="00EA3735">
        <w:t xml:space="preserve"> </w:t>
      </w:r>
      <w:r w:rsidR="00AF70C5">
        <w:t xml:space="preserve">and for TSC patients </w:t>
      </w:r>
      <w:r w:rsidR="00EA3735" w:rsidRPr="003A48CD">
        <w:t>who have renal angiomyolipoma not requiring immediate surgery</w:t>
      </w:r>
      <w:r w:rsidR="00AF70C5">
        <w:t>.</w:t>
      </w:r>
    </w:p>
    <w:p w14:paraId="7CFD1E98" w14:textId="77777777" w:rsidR="00AF70C5" w:rsidRDefault="00AF70C5" w:rsidP="00AF70C5">
      <w:pPr>
        <w:spacing w:after="0"/>
      </w:pPr>
    </w:p>
    <w:p w14:paraId="7531B6C8" w14:textId="77777777" w:rsidR="00D17BFE" w:rsidRDefault="00D17BFE" w:rsidP="00D17BFE">
      <w:pPr>
        <w:spacing w:after="0"/>
      </w:pPr>
      <w:r>
        <w:t>Everolimus is also registered for several other indications including for the treatment of:</w:t>
      </w:r>
    </w:p>
    <w:p w14:paraId="3CA5FDB9" w14:textId="37A404AA" w:rsidR="00EA3735" w:rsidRDefault="00924AEF" w:rsidP="00D17BFE">
      <w:pPr>
        <w:pStyle w:val="ListParagraph"/>
        <w:numPr>
          <w:ilvl w:val="0"/>
          <w:numId w:val="4"/>
        </w:numPr>
        <w:spacing w:after="0"/>
      </w:pPr>
      <w:r>
        <w:t>p</w:t>
      </w:r>
      <w:r w:rsidR="00EA3735">
        <w:t>ostmenopausal women with hormone receptor-positive, HER2 negative advanced breast cancer in combination with exemestane after failure of treatmen</w:t>
      </w:r>
      <w:r w:rsidR="00AF70C5">
        <w:t>t with letrozole or anastro</w:t>
      </w:r>
      <w:r>
        <w:t>zole</w:t>
      </w:r>
    </w:p>
    <w:p w14:paraId="0F3E0627" w14:textId="0562BAC7" w:rsidR="00D17BFE" w:rsidRPr="003A48CD" w:rsidRDefault="00924AEF" w:rsidP="00D17BFE">
      <w:pPr>
        <w:pStyle w:val="ListParagraph"/>
        <w:numPr>
          <w:ilvl w:val="0"/>
          <w:numId w:val="4"/>
        </w:numPr>
        <w:spacing w:after="0"/>
      </w:pPr>
      <w:r>
        <w:lastRenderedPageBreak/>
        <w:t>p</w:t>
      </w:r>
      <w:r w:rsidR="00D17BFE" w:rsidRPr="003A48CD">
        <w:t>rophylaxis of organ rejection in adult patients at mild to moderate immunological risk receiving an allogeneic renal or cardiac transplant and in adult patients receiving an allogeneic hepatic transplant</w:t>
      </w:r>
    </w:p>
    <w:p w14:paraId="597EC46F" w14:textId="08822F71" w:rsidR="00D17BFE" w:rsidRPr="003A48CD" w:rsidRDefault="00924AEF" w:rsidP="00D17BFE">
      <w:pPr>
        <w:pStyle w:val="ListParagraph"/>
        <w:numPr>
          <w:ilvl w:val="0"/>
          <w:numId w:val="4"/>
        </w:numPr>
        <w:spacing w:after="0"/>
      </w:pPr>
      <w:r>
        <w:t>p</w:t>
      </w:r>
      <w:r w:rsidR="00D17BFE" w:rsidRPr="003A48CD">
        <w:t>rogressive, unresectable or metastatic, well or moderately differentiated, neuroendocrine tumours (NETs) of pancreatic origin</w:t>
      </w:r>
    </w:p>
    <w:p w14:paraId="6F42ADFD" w14:textId="2A53B338" w:rsidR="00D17BFE" w:rsidRPr="003A48CD" w:rsidRDefault="00924AEF" w:rsidP="00D17BFE">
      <w:pPr>
        <w:pStyle w:val="ListParagraph"/>
        <w:numPr>
          <w:ilvl w:val="0"/>
          <w:numId w:val="4"/>
        </w:numPr>
        <w:spacing w:after="0"/>
      </w:pPr>
      <w:r>
        <w:t>a</w:t>
      </w:r>
      <w:r w:rsidR="00D17BFE" w:rsidRPr="003A48CD">
        <w:t>dvanced renal cell carcinoma after failure of treatment with sorafenib or su</w:t>
      </w:r>
      <w:r w:rsidR="00D17BFE">
        <w:t>nitinib</w:t>
      </w:r>
      <w:r>
        <w:t>.</w:t>
      </w:r>
      <w:r w:rsidR="00D17BFE" w:rsidRPr="003A48CD">
        <w:t xml:space="preserve"> </w:t>
      </w:r>
    </w:p>
    <w:p w14:paraId="15E919C1" w14:textId="1B3BA560" w:rsidR="006B709B" w:rsidRDefault="006B709B" w:rsidP="00CF5E22">
      <w:pPr>
        <w:pStyle w:val="Heading2"/>
      </w:pPr>
      <w:r>
        <w:t>Dosage and administration</w:t>
      </w:r>
    </w:p>
    <w:p w14:paraId="51E22FB7" w14:textId="6876B334" w:rsidR="003370D0" w:rsidRPr="002A518F" w:rsidRDefault="003370D0" w:rsidP="00CF5E22">
      <w:pPr>
        <w:pStyle w:val="Tabletitle"/>
      </w:pPr>
      <w:r w:rsidRPr="002A518F">
        <w:t xml:space="preserve">Table </w:t>
      </w:r>
      <w:r w:rsidR="008C1C64">
        <w:t>1</w:t>
      </w:r>
      <w:r w:rsidRPr="002A518F">
        <w:t xml:space="preserve">: </w:t>
      </w:r>
      <w:r w:rsidR="002A518F">
        <w:t>Dosage and administration of everolimus for TSC with SEGAs</w:t>
      </w:r>
    </w:p>
    <w:tbl>
      <w:tblPr>
        <w:tblStyle w:val="TableGrid"/>
        <w:tblW w:w="9180" w:type="dxa"/>
        <w:tblLook w:val="04A0" w:firstRow="1" w:lastRow="0" w:firstColumn="1" w:lastColumn="0" w:noHBand="0" w:noVBand="1"/>
        <w:tblCaption w:val="Dosage and administration of everolimus for TSC with SEGAs"/>
        <w:tblDescription w:val="Individualised dosing based on the body surface area (BSA, in metres squared) using the Dubois formula, where weight is in kilograms and height is in centimetres:&#10;BSA = (weight to the power of 0.425 multiplied by height to the power of 0.725) mulitiplied by 0.007184&#10;The recommended starting dose of everolimus for treatment of patients with TSC who have SEGA is 4.5 milligrams per metre squared.&#10;"/>
      </w:tblPr>
      <w:tblGrid>
        <w:gridCol w:w="2660"/>
        <w:gridCol w:w="3544"/>
        <w:gridCol w:w="2976"/>
      </w:tblGrid>
      <w:tr w:rsidR="00AB3733" w:rsidRPr="00A35800" w14:paraId="17C962C4" w14:textId="77777777" w:rsidTr="00924AEF">
        <w:trPr>
          <w:tblHeader/>
        </w:trPr>
        <w:tc>
          <w:tcPr>
            <w:tcW w:w="2660" w:type="dxa"/>
            <w:shd w:val="clear" w:color="auto" w:fill="BFBFBF" w:themeFill="background1" w:themeFillShade="BF"/>
          </w:tcPr>
          <w:p w14:paraId="4C67179E" w14:textId="77777777" w:rsidR="00AB3733" w:rsidRPr="00A35800" w:rsidRDefault="00AB3733" w:rsidP="00924AEF">
            <w:pPr>
              <w:pStyle w:val="Tableheading"/>
              <w:rPr>
                <w:sz w:val="20"/>
                <w:szCs w:val="20"/>
              </w:rPr>
            </w:pPr>
            <w:r w:rsidRPr="00A35800">
              <w:rPr>
                <w:sz w:val="20"/>
                <w:szCs w:val="20"/>
              </w:rPr>
              <w:t>Brand name and sponsor</w:t>
            </w:r>
          </w:p>
        </w:tc>
        <w:tc>
          <w:tcPr>
            <w:tcW w:w="3544" w:type="dxa"/>
            <w:shd w:val="clear" w:color="auto" w:fill="BFBFBF" w:themeFill="background1" w:themeFillShade="BF"/>
          </w:tcPr>
          <w:p w14:paraId="2A01F4BF" w14:textId="77777777" w:rsidR="00AB3733" w:rsidRPr="00A35800" w:rsidRDefault="00AB3733" w:rsidP="00924AEF">
            <w:pPr>
              <w:pStyle w:val="Tableheading"/>
              <w:rPr>
                <w:sz w:val="20"/>
                <w:szCs w:val="20"/>
              </w:rPr>
            </w:pPr>
            <w:r w:rsidRPr="00A35800">
              <w:rPr>
                <w:sz w:val="20"/>
                <w:szCs w:val="20"/>
              </w:rPr>
              <w:t>Product</w:t>
            </w:r>
          </w:p>
        </w:tc>
        <w:tc>
          <w:tcPr>
            <w:tcW w:w="2976" w:type="dxa"/>
            <w:shd w:val="clear" w:color="auto" w:fill="BFBFBF" w:themeFill="background1" w:themeFillShade="BF"/>
          </w:tcPr>
          <w:p w14:paraId="28170FE4" w14:textId="29D70319" w:rsidR="00AB3733" w:rsidRPr="00A35800" w:rsidRDefault="00AB3733" w:rsidP="00924AEF">
            <w:pPr>
              <w:pStyle w:val="Tableheading"/>
              <w:rPr>
                <w:sz w:val="20"/>
                <w:szCs w:val="20"/>
              </w:rPr>
            </w:pPr>
            <w:r w:rsidRPr="00A35800">
              <w:rPr>
                <w:sz w:val="20"/>
                <w:szCs w:val="20"/>
              </w:rPr>
              <w:t>Dose and frequency of administration</w:t>
            </w:r>
          </w:p>
        </w:tc>
      </w:tr>
      <w:tr w:rsidR="00AB3733" w:rsidRPr="00A35800" w14:paraId="348A165B" w14:textId="77777777" w:rsidTr="003370D0">
        <w:tc>
          <w:tcPr>
            <w:tcW w:w="2660" w:type="dxa"/>
          </w:tcPr>
          <w:p w14:paraId="5A8616DE" w14:textId="7886795B" w:rsidR="00AB3733" w:rsidRDefault="00ED39FB" w:rsidP="00A35800">
            <w:pPr>
              <w:pStyle w:val="Tablewriting"/>
            </w:pPr>
            <w:r>
              <w:t>Afinitor®</w:t>
            </w:r>
          </w:p>
          <w:p w14:paraId="6528251A" w14:textId="77777777" w:rsidR="00ED39FB" w:rsidRDefault="00ED39FB" w:rsidP="00A35800">
            <w:pPr>
              <w:pStyle w:val="Tablewriting"/>
            </w:pPr>
          </w:p>
          <w:p w14:paraId="23DEB0E0" w14:textId="4DC8B4ED" w:rsidR="00ED39FB" w:rsidRPr="00A35800" w:rsidRDefault="00ED39FB" w:rsidP="00ED39FB">
            <w:pPr>
              <w:pStyle w:val="Tablewriting"/>
            </w:pPr>
            <w:r>
              <w:t>Novartis Pharmaceuticals Australia Pty Limited</w:t>
            </w:r>
          </w:p>
        </w:tc>
        <w:tc>
          <w:tcPr>
            <w:tcW w:w="3544" w:type="dxa"/>
          </w:tcPr>
          <w:p w14:paraId="313459A4" w14:textId="61B71ACF" w:rsidR="00AB3733" w:rsidRPr="00A35800" w:rsidRDefault="002A518F" w:rsidP="00A35800">
            <w:pPr>
              <w:pStyle w:val="Tablewriting"/>
            </w:pPr>
            <w:r w:rsidRPr="002A518F">
              <w:t xml:space="preserve">Everolimus </w:t>
            </w:r>
            <w:r w:rsidR="00E06A79">
              <w:t xml:space="preserve">2.5 mg, </w:t>
            </w:r>
            <w:r w:rsidRPr="002A518F">
              <w:t>5 mg and 10 mg tablets</w:t>
            </w:r>
          </w:p>
        </w:tc>
        <w:tc>
          <w:tcPr>
            <w:tcW w:w="2976" w:type="dxa"/>
          </w:tcPr>
          <w:p w14:paraId="1CF2CE60" w14:textId="430AFD88" w:rsidR="00054295" w:rsidRDefault="00054295" w:rsidP="00054295">
            <w:pPr>
              <w:pStyle w:val="Tablewriting"/>
            </w:pPr>
            <w:r>
              <w:t>Individualise</w:t>
            </w:r>
            <w:r w:rsidR="00C676FB">
              <w:t>d</w:t>
            </w:r>
            <w:r>
              <w:t xml:space="preserve"> dosing based on the body surface area (BSA, in m</w:t>
            </w:r>
            <w:r w:rsidRPr="00E06A79">
              <w:rPr>
                <w:vertAlign w:val="superscript"/>
              </w:rPr>
              <w:t>2</w:t>
            </w:r>
            <w:r>
              <w:t>) using the Dubois formula,</w:t>
            </w:r>
            <w:r w:rsidR="0062078E">
              <w:t xml:space="preserve"> </w:t>
            </w:r>
            <w:r>
              <w:t xml:space="preserve">where weight (W) is in kilograms and height (H) is in </w:t>
            </w:r>
            <w:r w:rsidR="00F05707">
              <w:t>centimetres</w:t>
            </w:r>
            <w:r>
              <w:t>:</w:t>
            </w:r>
          </w:p>
          <w:p w14:paraId="29E3E742" w14:textId="77777777" w:rsidR="00054295" w:rsidRDefault="00054295" w:rsidP="00054295">
            <w:pPr>
              <w:pStyle w:val="Tablewriting"/>
            </w:pPr>
            <w:r>
              <w:t>BSA = (W</w:t>
            </w:r>
            <w:r w:rsidRPr="00E06A79">
              <w:rPr>
                <w:vertAlign w:val="superscript"/>
              </w:rPr>
              <w:t xml:space="preserve">0.425 </w:t>
            </w:r>
            <w:r>
              <w:t>x H</w:t>
            </w:r>
            <w:r w:rsidRPr="00E06A79">
              <w:rPr>
                <w:vertAlign w:val="superscript"/>
              </w:rPr>
              <w:t>0.725</w:t>
            </w:r>
            <w:r>
              <w:t>) x 0.007184</w:t>
            </w:r>
          </w:p>
          <w:p w14:paraId="405FC15E" w14:textId="6A54F1C8" w:rsidR="00AB3733" w:rsidRPr="00A35800" w:rsidRDefault="00054295" w:rsidP="0062078E">
            <w:pPr>
              <w:pStyle w:val="Tablewriting"/>
            </w:pPr>
            <w:r>
              <w:t xml:space="preserve">The recommended starting dose of </w:t>
            </w:r>
            <w:r w:rsidR="00F05707">
              <w:t xml:space="preserve">everolimus </w:t>
            </w:r>
            <w:r>
              <w:t>for treatment of patients with TSC who have</w:t>
            </w:r>
            <w:r w:rsidR="0062078E">
              <w:t xml:space="preserve"> SEGA is 4.5 </w:t>
            </w:r>
            <w:r>
              <w:t>mg/m</w:t>
            </w:r>
            <w:r w:rsidRPr="00E06A79">
              <w:rPr>
                <w:vertAlign w:val="superscript"/>
              </w:rPr>
              <w:t>2</w:t>
            </w:r>
            <w:r w:rsidR="00E06A79">
              <w:t>.</w:t>
            </w:r>
          </w:p>
        </w:tc>
      </w:tr>
    </w:tbl>
    <w:p w14:paraId="08559CD9" w14:textId="04C3AC56" w:rsidR="00A35800" w:rsidRDefault="003370D0" w:rsidP="00A35800">
      <w:pPr>
        <w:pStyle w:val="Notes"/>
      </w:pPr>
      <w:r w:rsidRPr="00E06A79">
        <w:t>Source:</w:t>
      </w:r>
      <w:r w:rsidR="00E06A79">
        <w:t xml:space="preserve"> Product Information for everolimus </w:t>
      </w:r>
    </w:p>
    <w:p w14:paraId="20B79F4F" w14:textId="56491CDF" w:rsidR="005339F6" w:rsidRPr="00C256F6" w:rsidRDefault="00F17D4B" w:rsidP="002A29D8">
      <w:pPr>
        <w:rPr>
          <w:vertAlign w:val="superscript"/>
        </w:rPr>
      </w:pPr>
      <w:r w:rsidRPr="002F61CA">
        <w:t xml:space="preserve">The current Product Information (PI) and Consumer Medicine Information (CMI) are available from </w:t>
      </w:r>
      <w:hyperlink r:id="rId9" w:history="1">
        <w:r>
          <w:rPr>
            <w:rStyle w:val="Hyperlink"/>
          </w:rPr>
          <w:t>the TGA (Product Information)</w:t>
        </w:r>
      </w:hyperlink>
      <w:r>
        <w:t xml:space="preserve"> and </w:t>
      </w:r>
      <w:hyperlink r:id="rId10" w:history="1">
        <w:r>
          <w:rPr>
            <w:rStyle w:val="Hyperlink"/>
          </w:rPr>
          <w:t>the TGA (Consumer Medicines Information)</w:t>
        </w:r>
      </w:hyperlink>
      <w:r>
        <w:t>.</w:t>
      </w:r>
      <w:r w:rsidR="00DD02D1">
        <w:t xml:space="preserve"> </w:t>
      </w:r>
    </w:p>
    <w:p w14:paraId="46E2BB42" w14:textId="71A397B9" w:rsidR="00DF0B13" w:rsidRPr="007247B9" w:rsidRDefault="00DF0B13" w:rsidP="00CF5E22">
      <w:pPr>
        <w:pStyle w:val="Heading2"/>
      </w:pPr>
      <w:r w:rsidRPr="007247B9">
        <w:t>PBS listing details</w:t>
      </w:r>
      <w:r w:rsidR="00671523">
        <w:t xml:space="preserve"> (as at </w:t>
      </w:r>
      <w:r w:rsidR="00E902AB">
        <w:t>December</w:t>
      </w:r>
      <w:r w:rsidR="00671523">
        <w:t xml:space="preserve"> 2016</w:t>
      </w:r>
      <w:r w:rsidR="00D151EB">
        <w:t>)</w:t>
      </w:r>
    </w:p>
    <w:p w14:paraId="1D47784A" w14:textId="39A9F074" w:rsidR="001420B3" w:rsidRPr="001420B3" w:rsidRDefault="001420B3" w:rsidP="00CF5E22">
      <w:pPr>
        <w:pStyle w:val="Tabletitle"/>
      </w:pPr>
      <w:r w:rsidRPr="001420B3">
        <w:t xml:space="preserve">Table </w:t>
      </w:r>
      <w:r w:rsidR="008C1C64">
        <w:t>2</w:t>
      </w:r>
      <w:r w:rsidRPr="001420B3">
        <w:t xml:space="preserve">: </w:t>
      </w:r>
      <w:r w:rsidR="009663B6">
        <w:t>PB</w:t>
      </w:r>
      <w:r w:rsidR="00671523">
        <w:t>S listing of everolimus</w:t>
      </w:r>
    </w:p>
    <w:tbl>
      <w:tblPr>
        <w:tblStyle w:val="TableGrid"/>
        <w:tblW w:w="9064" w:type="dxa"/>
        <w:tblLayout w:type="fixed"/>
        <w:tblLook w:val="04A0" w:firstRow="1" w:lastRow="0" w:firstColumn="1" w:lastColumn="0" w:noHBand="0" w:noVBand="1"/>
        <w:tblCaption w:val="PBS listing of everolimus"/>
        <w:tblDescription w:val="PBS listing of everolimus"/>
      </w:tblPr>
      <w:tblGrid>
        <w:gridCol w:w="969"/>
        <w:gridCol w:w="2541"/>
        <w:gridCol w:w="1560"/>
        <w:gridCol w:w="850"/>
        <w:gridCol w:w="1040"/>
        <w:gridCol w:w="2104"/>
      </w:tblGrid>
      <w:tr w:rsidR="0093111F" w:rsidRPr="00A35800" w14:paraId="6AA19A37" w14:textId="77777777" w:rsidTr="0062078E">
        <w:trPr>
          <w:trHeight w:val="694"/>
          <w:tblHeader/>
        </w:trPr>
        <w:tc>
          <w:tcPr>
            <w:tcW w:w="969" w:type="dxa"/>
            <w:shd w:val="clear" w:color="auto" w:fill="BFBFBF" w:themeFill="background1" w:themeFillShade="BF"/>
          </w:tcPr>
          <w:p w14:paraId="56A3DEA0" w14:textId="77777777" w:rsidR="0093111F" w:rsidRPr="00A35800" w:rsidRDefault="0093111F" w:rsidP="00A35800">
            <w:pPr>
              <w:pStyle w:val="Tableheading"/>
              <w:rPr>
                <w:sz w:val="20"/>
                <w:szCs w:val="20"/>
              </w:rPr>
            </w:pPr>
            <w:r w:rsidRPr="00A35800">
              <w:rPr>
                <w:sz w:val="20"/>
                <w:szCs w:val="20"/>
              </w:rPr>
              <w:t>Item</w:t>
            </w:r>
          </w:p>
        </w:tc>
        <w:tc>
          <w:tcPr>
            <w:tcW w:w="2541" w:type="dxa"/>
            <w:shd w:val="clear" w:color="auto" w:fill="BFBFBF" w:themeFill="background1" w:themeFillShade="BF"/>
          </w:tcPr>
          <w:p w14:paraId="67A07252" w14:textId="77777777" w:rsidR="0093111F" w:rsidRPr="00A35800" w:rsidRDefault="0093111F" w:rsidP="00A35800">
            <w:pPr>
              <w:pStyle w:val="Tableheading"/>
              <w:rPr>
                <w:sz w:val="20"/>
                <w:szCs w:val="20"/>
              </w:rPr>
            </w:pPr>
            <w:r w:rsidRPr="00A35800">
              <w:rPr>
                <w:sz w:val="20"/>
                <w:szCs w:val="20"/>
              </w:rPr>
              <w:t>Name, form &amp; strength, pack size</w:t>
            </w:r>
          </w:p>
        </w:tc>
        <w:tc>
          <w:tcPr>
            <w:tcW w:w="1560" w:type="dxa"/>
            <w:shd w:val="clear" w:color="auto" w:fill="BFBFBF" w:themeFill="background1" w:themeFillShade="BF"/>
          </w:tcPr>
          <w:p w14:paraId="114E9799" w14:textId="2483E0D9" w:rsidR="0093111F" w:rsidRPr="00A35800" w:rsidRDefault="0093111F" w:rsidP="00A35800">
            <w:pPr>
              <w:pStyle w:val="Tableheading"/>
              <w:rPr>
                <w:sz w:val="20"/>
                <w:szCs w:val="20"/>
              </w:rPr>
            </w:pPr>
            <w:r w:rsidRPr="00A35800">
              <w:rPr>
                <w:sz w:val="20"/>
                <w:szCs w:val="20"/>
              </w:rPr>
              <w:t>Max</w:t>
            </w:r>
            <w:r w:rsidR="00A13C60" w:rsidRPr="00A35800">
              <w:rPr>
                <w:sz w:val="20"/>
                <w:szCs w:val="20"/>
              </w:rPr>
              <w:t xml:space="preserve">. </w:t>
            </w:r>
            <w:r w:rsidRPr="00A35800">
              <w:rPr>
                <w:sz w:val="20"/>
                <w:szCs w:val="20"/>
              </w:rPr>
              <w:t xml:space="preserve">quant. </w:t>
            </w:r>
          </w:p>
        </w:tc>
        <w:tc>
          <w:tcPr>
            <w:tcW w:w="850" w:type="dxa"/>
            <w:shd w:val="clear" w:color="auto" w:fill="BFBFBF" w:themeFill="background1" w:themeFillShade="BF"/>
          </w:tcPr>
          <w:p w14:paraId="0F1A79F7" w14:textId="77777777" w:rsidR="0093111F" w:rsidRPr="00A35800" w:rsidRDefault="0093111F" w:rsidP="00A35800">
            <w:pPr>
              <w:pStyle w:val="Tableheading"/>
              <w:rPr>
                <w:sz w:val="20"/>
                <w:szCs w:val="20"/>
              </w:rPr>
            </w:pPr>
            <w:r w:rsidRPr="00A35800">
              <w:rPr>
                <w:sz w:val="20"/>
                <w:szCs w:val="20"/>
              </w:rPr>
              <w:t xml:space="preserve">Rpts </w:t>
            </w:r>
          </w:p>
        </w:tc>
        <w:tc>
          <w:tcPr>
            <w:tcW w:w="1040" w:type="dxa"/>
            <w:shd w:val="clear" w:color="auto" w:fill="BFBFBF" w:themeFill="background1" w:themeFillShade="BF"/>
          </w:tcPr>
          <w:p w14:paraId="05C5A0BF" w14:textId="77777777" w:rsidR="0093111F" w:rsidRPr="00A35800" w:rsidRDefault="0093111F" w:rsidP="00A35800">
            <w:pPr>
              <w:pStyle w:val="Tableheading"/>
              <w:rPr>
                <w:sz w:val="20"/>
                <w:szCs w:val="20"/>
              </w:rPr>
            </w:pPr>
            <w:r w:rsidRPr="00A35800">
              <w:rPr>
                <w:sz w:val="20"/>
                <w:szCs w:val="20"/>
              </w:rPr>
              <w:t>DPMQ</w:t>
            </w:r>
          </w:p>
        </w:tc>
        <w:tc>
          <w:tcPr>
            <w:tcW w:w="2104" w:type="dxa"/>
            <w:shd w:val="clear" w:color="auto" w:fill="BFBFBF" w:themeFill="background1" w:themeFillShade="BF"/>
          </w:tcPr>
          <w:p w14:paraId="09B472B7" w14:textId="77777777" w:rsidR="0093111F" w:rsidRPr="00A35800" w:rsidRDefault="0093111F" w:rsidP="00A35800">
            <w:pPr>
              <w:pStyle w:val="Tableheading"/>
              <w:rPr>
                <w:sz w:val="20"/>
                <w:szCs w:val="20"/>
              </w:rPr>
            </w:pPr>
            <w:r w:rsidRPr="00A35800">
              <w:rPr>
                <w:sz w:val="20"/>
                <w:szCs w:val="20"/>
              </w:rPr>
              <w:t>Brand name and manufacturer</w:t>
            </w:r>
          </w:p>
        </w:tc>
      </w:tr>
      <w:tr w:rsidR="00671523" w:rsidRPr="00A35800" w14:paraId="2AF9D84B" w14:textId="77777777" w:rsidTr="0062078E">
        <w:trPr>
          <w:trHeight w:val="552"/>
          <w:tblHeader/>
        </w:trPr>
        <w:tc>
          <w:tcPr>
            <w:tcW w:w="969" w:type="dxa"/>
            <w:shd w:val="clear" w:color="auto" w:fill="auto"/>
          </w:tcPr>
          <w:p w14:paraId="0A3E3442" w14:textId="7E4621E0" w:rsidR="00671523" w:rsidRPr="00A35800" w:rsidRDefault="00671523" w:rsidP="00A35800">
            <w:pPr>
              <w:pStyle w:val="Tablewriting"/>
            </w:pPr>
            <w:r>
              <w:t>2818H</w:t>
            </w:r>
          </w:p>
        </w:tc>
        <w:tc>
          <w:tcPr>
            <w:tcW w:w="2541" w:type="dxa"/>
            <w:shd w:val="clear" w:color="auto" w:fill="auto"/>
          </w:tcPr>
          <w:p w14:paraId="0F676F51" w14:textId="15F4D7B6" w:rsidR="00671523" w:rsidRPr="00A35800" w:rsidRDefault="00671523" w:rsidP="006B1FBE">
            <w:pPr>
              <w:pStyle w:val="Tablewriting"/>
            </w:pPr>
            <w:r w:rsidRPr="006B1FBE">
              <w:t xml:space="preserve">everolimus 2.5 mg tablet, </w:t>
            </w:r>
            <w:r>
              <w:t>30</w:t>
            </w:r>
          </w:p>
        </w:tc>
        <w:tc>
          <w:tcPr>
            <w:tcW w:w="1560" w:type="dxa"/>
            <w:shd w:val="clear" w:color="auto" w:fill="auto"/>
          </w:tcPr>
          <w:p w14:paraId="0E2637C4" w14:textId="745CAE6C" w:rsidR="00671523" w:rsidRPr="00A35800" w:rsidRDefault="00671523" w:rsidP="00A35800">
            <w:pPr>
              <w:pStyle w:val="Tablewriting"/>
            </w:pPr>
            <w:r>
              <w:t>1</w:t>
            </w:r>
          </w:p>
        </w:tc>
        <w:tc>
          <w:tcPr>
            <w:tcW w:w="850" w:type="dxa"/>
            <w:shd w:val="clear" w:color="auto" w:fill="auto"/>
          </w:tcPr>
          <w:p w14:paraId="6B361CAA" w14:textId="6D041ABC" w:rsidR="00671523" w:rsidRPr="00A35800" w:rsidRDefault="00671523" w:rsidP="00A35800">
            <w:pPr>
              <w:pStyle w:val="Tablewriting"/>
            </w:pPr>
            <w:r>
              <w:t>5</w:t>
            </w:r>
          </w:p>
        </w:tc>
        <w:tc>
          <w:tcPr>
            <w:tcW w:w="1040" w:type="dxa"/>
            <w:shd w:val="clear" w:color="auto" w:fill="auto"/>
          </w:tcPr>
          <w:p w14:paraId="15F68405" w14:textId="4D959371" w:rsidR="00671523" w:rsidRPr="00A35800" w:rsidRDefault="00671523" w:rsidP="00A35800">
            <w:pPr>
              <w:pStyle w:val="Tablewriting"/>
            </w:pPr>
            <w:r w:rsidRPr="006B1FBE">
              <w:t>$1404.04</w:t>
            </w:r>
          </w:p>
        </w:tc>
        <w:tc>
          <w:tcPr>
            <w:tcW w:w="2104" w:type="dxa"/>
            <w:vMerge w:val="restart"/>
            <w:shd w:val="clear" w:color="auto" w:fill="auto"/>
          </w:tcPr>
          <w:p w14:paraId="0C256AD1" w14:textId="77777777" w:rsidR="00671523" w:rsidRDefault="00671523" w:rsidP="00671523">
            <w:pPr>
              <w:pStyle w:val="Tablewriting"/>
            </w:pPr>
            <w:r>
              <w:t>Afinitor®</w:t>
            </w:r>
          </w:p>
          <w:p w14:paraId="127F890E" w14:textId="77777777" w:rsidR="00671523" w:rsidRDefault="00671523" w:rsidP="00671523">
            <w:pPr>
              <w:pStyle w:val="Tablewriting"/>
            </w:pPr>
          </w:p>
          <w:p w14:paraId="2D337AC6" w14:textId="41B9893F" w:rsidR="00671523" w:rsidRPr="00A35800" w:rsidRDefault="00671523" w:rsidP="00671523">
            <w:pPr>
              <w:pStyle w:val="Tablewriting"/>
            </w:pPr>
            <w:r>
              <w:t>Novartis Pharmaceuticals Australia Pty Limited</w:t>
            </w:r>
          </w:p>
        </w:tc>
      </w:tr>
      <w:tr w:rsidR="00671523" w:rsidRPr="00A35800" w14:paraId="5A26F6DA" w14:textId="77777777" w:rsidTr="0062078E">
        <w:trPr>
          <w:trHeight w:val="546"/>
          <w:tblHeader/>
        </w:trPr>
        <w:tc>
          <w:tcPr>
            <w:tcW w:w="969" w:type="dxa"/>
            <w:shd w:val="clear" w:color="auto" w:fill="auto"/>
          </w:tcPr>
          <w:p w14:paraId="76F26606" w14:textId="021426C8" w:rsidR="00671523" w:rsidRPr="00A35800" w:rsidRDefault="00671523" w:rsidP="00A35800">
            <w:pPr>
              <w:pStyle w:val="Tablewriting"/>
            </w:pPr>
            <w:r w:rsidRPr="006B1FBE">
              <w:t>2819J</w:t>
            </w:r>
          </w:p>
        </w:tc>
        <w:tc>
          <w:tcPr>
            <w:tcW w:w="2541" w:type="dxa"/>
            <w:shd w:val="clear" w:color="auto" w:fill="auto"/>
          </w:tcPr>
          <w:p w14:paraId="4C40F7E7" w14:textId="4398F6D8" w:rsidR="00671523" w:rsidRPr="00A35800" w:rsidRDefault="00671523" w:rsidP="00A35800">
            <w:pPr>
              <w:pStyle w:val="Tablewriting"/>
            </w:pPr>
            <w:r w:rsidRPr="006B1FBE">
              <w:t>everolimus 5 mg tablet, 30</w:t>
            </w:r>
          </w:p>
        </w:tc>
        <w:tc>
          <w:tcPr>
            <w:tcW w:w="1560" w:type="dxa"/>
            <w:shd w:val="clear" w:color="auto" w:fill="auto"/>
          </w:tcPr>
          <w:p w14:paraId="73733F58" w14:textId="5E4286DF" w:rsidR="00671523" w:rsidRPr="00A35800" w:rsidRDefault="00671523" w:rsidP="00A35800">
            <w:pPr>
              <w:pStyle w:val="Tablewriting"/>
            </w:pPr>
            <w:r>
              <w:t>1</w:t>
            </w:r>
          </w:p>
        </w:tc>
        <w:tc>
          <w:tcPr>
            <w:tcW w:w="850" w:type="dxa"/>
            <w:shd w:val="clear" w:color="auto" w:fill="auto"/>
          </w:tcPr>
          <w:p w14:paraId="2751F86C" w14:textId="336DB1FC" w:rsidR="00671523" w:rsidRPr="00A35800" w:rsidRDefault="00671523" w:rsidP="00A35800">
            <w:pPr>
              <w:pStyle w:val="Tablewriting"/>
            </w:pPr>
            <w:r>
              <w:t>5</w:t>
            </w:r>
          </w:p>
        </w:tc>
        <w:tc>
          <w:tcPr>
            <w:tcW w:w="1040" w:type="dxa"/>
            <w:shd w:val="clear" w:color="auto" w:fill="auto"/>
          </w:tcPr>
          <w:p w14:paraId="0EB41EFB" w14:textId="58C90911" w:rsidR="00671523" w:rsidRPr="00A35800" w:rsidRDefault="00671523" w:rsidP="00A35800">
            <w:pPr>
              <w:pStyle w:val="Tablewriting"/>
            </w:pPr>
            <w:r w:rsidRPr="006B1FBE">
              <w:t>$2712.88</w:t>
            </w:r>
          </w:p>
        </w:tc>
        <w:tc>
          <w:tcPr>
            <w:tcW w:w="2104" w:type="dxa"/>
            <w:vMerge/>
            <w:shd w:val="clear" w:color="auto" w:fill="auto"/>
          </w:tcPr>
          <w:p w14:paraId="2F152B32" w14:textId="77777777" w:rsidR="00671523" w:rsidRPr="00A35800" w:rsidRDefault="00671523" w:rsidP="00A35800">
            <w:pPr>
              <w:pStyle w:val="Tablewriting"/>
            </w:pPr>
          </w:p>
        </w:tc>
      </w:tr>
      <w:tr w:rsidR="00671523" w:rsidRPr="00A35800" w14:paraId="43A68114" w14:textId="77777777" w:rsidTr="0062078E">
        <w:trPr>
          <w:trHeight w:val="546"/>
          <w:tblHeader/>
        </w:trPr>
        <w:tc>
          <w:tcPr>
            <w:tcW w:w="969" w:type="dxa"/>
            <w:shd w:val="clear" w:color="auto" w:fill="auto"/>
          </w:tcPr>
          <w:p w14:paraId="0920949C" w14:textId="18722D24" w:rsidR="00671523" w:rsidRPr="00A35800" w:rsidRDefault="00671523" w:rsidP="00A35800">
            <w:pPr>
              <w:pStyle w:val="Tablewriting"/>
            </w:pPr>
            <w:r w:rsidRPr="006B1FBE">
              <w:t>2985D</w:t>
            </w:r>
          </w:p>
        </w:tc>
        <w:tc>
          <w:tcPr>
            <w:tcW w:w="2541" w:type="dxa"/>
            <w:shd w:val="clear" w:color="auto" w:fill="auto"/>
          </w:tcPr>
          <w:p w14:paraId="41F1D36D" w14:textId="48EEFEE8" w:rsidR="00671523" w:rsidRPr="00A35800" w:rsidRDefault="00671523" w:rsidP="00A35800">
            <w:pPr>
              <w:pStyle w:val="Tablewriting"/>
            </w:pPr>
            <w:r w:rsidRPr="006B1FBE">
              <w:t>everolimus 10 mg tablet, 30</w:t>
            </w:r>
          </w:p>
        </w:tc>
        <w:tc>
          <w:tcPr>
            <w:tcW w:w="1560" w:type="dxa"/>
            <w:shd w:val="clear" w:color="auto" w:fill="auto"/>
          </w:tcPr>
          <w:p w14:paraId="7548E39F" w14:textId="13B5E2ED" w:rsidR="00671523" w:rsidRPr="00A35800" w:rsidRDefault="00671523" w:rsidP="00A35800">
            <w:pPr>
              <w:pStyle w:val="Tablewriting"/>
            </w:pPr>
            <w:r>
              <w:t>1</w:t>
            </w:r>
          </w:p>
        </w:tc>
        <w:tc>
          <w:tcPr>
            <w:tcW w:w="850" w:type="dxa"/>
            <w:shd w:val="clear" w:color="auto" w:fill="auto"/>
          </w:tcPr>
          <w:p w14:paraId="0851419A" w14:textId="43CF5878" w:rsidR="00671523" w:rsidRPr="00A35800" w:rsidRDefault="00671523" w:rsidP="00A35800">
            <w:pPr>
              <w:pStyle w:val="Tablewriting"/>
            </w:pPr>
            <w:r>
              <w:t>5</w:t>
            </w:r>
          </w:p>
        </w:tc>
        <w:tc>
          <w:tcPr>
            <w:tcW w:w="1040" w:type="dxa"/>
            <w:shd w:val="clear" w:color="auto" w:fill="auto"/>
          </w:tcPr>
          <w:p w14:paraId="304E6792" w14:textId="6E0AFF8D" w:rsidR="00671523" w:rsidRPr="00A35800" w:rsidRDefault="00671523" w:rsidP="00A35800">
            <w:pPr>
              <w:pStyle w:val="Tablewriting"/>
            </w:pPr>
            <w:r w:rsidRPr="006B1FBE">
              <w:t>$5277.88</w:t>
            </w:r>
          </w:p>
        </w:tc>
        <w:tc>
          <w:tcPr>
            <w:tcW w:w="2104" w:type="dxa"/>
            <w:vMerge/>
            <w:shd w:val="clear" w:color="auto" w:fill="auto"/>
          </w:tcPr>
          <w:p w14:paraId="4AE80F79" w14:textId="77777777" w:rsidR="00671523" w:rsidRPr="00A35800" w:rsidRDefault="00671523" w:rsidP="00A35800">
            <w:pPr>
              <w:pStyle w:val="Tablewriting"/>
            </w:pPr>
          </w:p>
        </w:tc>
      </w:tr>
    </w:tbl>
    <w:p w14:paraId="1183F151" w14:textId="5F07EE29" w:rsidR="007247B9" w:rsidRPr="00A35800" w:rsidRDefault="007408C7" w:rsidP="00BB1D3B">
      <w:pPr>
        <w:pStyle w:val="Notes"/>
      </w:pPr>
      <w:r w:rsidRPr="00A35800">
        <w:t xml:space="preserve">Source: </w:t>
      </w:r>
      <w:r w:rsidR="001624D7">
        <w:t xml:space="preserve">the </w:t>
      </w:r>
      <w:hyperlink r:id="rId11" w:history="1">
        <w:r w:rsidR="001624D7" w:rsidRPr="001624D7">
          <w:rPr>
            <w:rStyle w:val="Hyperlink"/>
          </w:rPr>
          <w:t>PBS website</w:t>
        </w:r>
      </w:hyperlink>
      <w:r w:rsidR="001624D7">
        <w:t>.</w:t>
      </w:r>
      <w:r w:rsidR="0080485E">
        <w:t xml:space="preserve">  </w:t>
      </w:r>
      <w:r w:rsidR="00671523">
        <w:t>Note: Special Pricing Arrangements apply</w:t>
      </w:r>
      <w:r w:rsidR="0080485E" w:rsidRPr="0080485E">
        <w:t>.</w:t>
      </w:r>
    </w:p>
    <w:p w14:paraId="1AFA1485" w14:textId="129447A8" w:rsidR="004C3186" w:rsidRDefault="004C3186" w:rsidP="00CF5E22">
      <w:pPr>
        <w:pStyle w:val="Heading3"/>
      </w:pPr>
      <w:r>
        <w:t>Restriction</w:t>
      </w:r>
    </w:p>
    <w:p w14:paraId="465BFF45" w14:textId="58D22080" w:rsidR="00F05707" w:rsidRDefault="008C1B70" w:rsidP="00671523">
      <w:r>
        <w:t xml:space="preserve">Everolimus for TSC is listed as an Authority Required listing. </w:t>
      </w:r>
      <w:r w:rsidR="00671523">
        <w:t>The restriction specifies the condition must be</w:t>
      </w:r>
      <w:r w:rsidR="00F05707">
        <w:t>:</w:t>
      </w:r>
    </w:p>
    <w:p w14:paraId="4C5FF24B" w14:textId="77777777" w:rsidR="00F05707" w:rsidRDefault="00671523" w:rsidP="00F05707">
      <w:pPr>
        <w:pStyle w:val="ListParagraph"/>
        <w:numPr>
          <w:ilvl w:val="0"/>
          <w:numId w:val="1"/>
        </w:numPr>
      </w:pPr>
      <w:r>
        <w:t xml:space="preserve">subependymal giant cell astrocytomas (SEGAs) associated with TSC; or </w:t>
      </w:r>
    </w:p>
    <w:p w14:paraId="22B4D739" w14:textId="1035C27E" w:rsidR="00F05707" w:rsidRDefault="00671523" w:rsidP="00F05707">
      <w:pPr>
        <w:pStyle w:val="ListParagraph"/>
        <w:numPr>
          <w:ilvl w:val="0"/>
          <w:numId w:val="1"/>
        </w:numPr>
      </w:pPr>
      <w:r>
        <w:t>the condition must be visceral tumours associated with TSC</w:t>
      </w:r>
      <w:r w:rsidR="00F05707">
        <w:t>;</w:t>
      </w:r>
      <w:r>
        <w:t xml:space="preserve"> </w:t>
      </w:r>
      <w:r w:rsidR="00F05707">
        <w:t>and</w:t>
      </w:r>
    </w:p>
    <w:p w14:paraId="1CFFACB1" w14:textId="4F255006" w:rsidR="00F05707" w:rsidRDefault="00671523" w:rsidP="00F05707">
      <w:pPr>
        <w:pStyle w:val="ListParagraph"/>
        <w:numPr>
          <w:ilvl w:val="0"/>
          <w:numId w:val="1"/>
        </w:numPr>
      </w:pPr>
      <w:r>
        <w:lastRenderedPageBreak/>
        <w:t>the treatment must be the sole PBS-subsidised therapy for this condition</w:t>
      </w:r>
      <w:r w:rsidR="00F05707">
        <w:t>; and</w:t>
      </w:r>
    </w:p>
    <w:p w14:paraId="51592C6D" w14:textId="657BD410" w:rsidR="00671523" w:rsidRPr="00F05707" w:rsidRDefault="00671523" w:rsidP="00F05707">
      <w:pPr>
        <w:pStyle w:val="ListParagraph"/>
        <w:numPr>
          <w:ilvl w:val="0"/>
          <w:numId w:val="1"/>
        </w:numPr>
      </w:pPr>
      <w:r w:rsidRPr="00F05707">
        <w:t>the patient must not be a candidate for curative surgical resection.</w:t>
      </w:r>
    </w:p>
    <w:p w14:paraId="64C94A85" w14:textId="41553974" w:rsidR="00BF544D" w:rsidRPr="002F61CA" w:rsidRDefault="00BF544D" w:rsidP="00BF544D">
      <w:r w:rsidRPr="002F61CA">
        <w:t xml:space="preserve">Current PBS listing details are available from </w:t>
      </w:r>
      <w:r>
        <w:t xml:space="preserve">the </w:t>
      </w:r>
      <w:hyperlink r:id="rId12" w:history="1">
        <w:r w:rsidRPr="00645D51">
          <w:rPr>
            <w:rStyle w:val="Hyperlink"/>
          </w:rPr>
          <w:t>PBS website</w:t>
        </w:r>
      </w:hyperlink>
      <w:r>
        <w:t>.</w:t>
      </w:r>
    </w:p>
    <w:p w14:paraId="383E312E" w14:textId="724CF700"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14:paraId="4A76CE82" w14:textId="13DF3EBA" w:rsidR="004967E5" w:rsidRDefault="004967E5" w:rsidP="00A35800">
      <w:r w:rsidRPr="004967E5">
        <w:t xml:space="preserve">The submission sought an Authority Required listing for the initial and continuing treatment of SEGA associated with </w:t>
      </w:r>
      <w:r w:rsidR="00011460">
        <w:t>tuberous sclerosis (</w:t>
      </w:r>
      <w:r w:rsidRPr="004967E5">
        <w:t>TS</w:t>
      </w:r>
      <w:r w:rsidR="00011460">
        <w:t>)</w:t>
      </w:r>
      <w:r w:rsidRPr="004967E5">
        <w:t xml:space="preserve"> in a </w:t>
      </w:r>
      <w:r>
        <w:t xml:space="preserve">patient </w:t>
      </w:r>
      <w:r w:rsidRPr="004967E5">
        <w:t>who require</w:t>
      </w:r>
      <w:r>
        <w:t>s</w:t>
      </w:r>
      <w:r w:rsidRPr="004967E5">
        <w:t xml:space="preserve"> therapeutic intervention but are not candidates </w:t>
      </w:r>
      <w:r>
        <w:t>for curative surgical resection</w:t>
      </w:r>
      <w:r w:rsidRPr="004967E5">
        <w:t xml:space="preserve">. </w:t>
      </w:r>
    </w:p>
    <w:p w14:paraId="2C0A572D" w14:textId="0E212213" w:rsidR="004967E5" w:rsidRDefault="004967E5" w:rsidP="00A35800">
      <w:r>
        <w:t>At its November 2012 meeting, th</w:t>
      </w:r>
      <w:r w:rsidRPr="004967E5">
        <w:t>e PBAC considered that the clinical management algorithm in the requested listing was not reflective of how everolimus would be used in clini</w:t>
      </w:r>
      <w:r w:rsidR="0062078E">
        <w:t xml:space="preserve">cal practice in SEGA patients. </w:t>
      </w:r>
      <w:r w:rsidRPr="004967E5">
        <w:t>The PBAC considered it probable that everolimus could be used prior to surgery to reduce tumour volume and vasculature to improve surgical outcomes including reducing the possible adverse events associated with surgery</w:t>
      </w:r>
      <w:r w:rsidR="00E902AB">
        <w:t>,</w:t>
      </w:r>
      <w:r w:rsidRPr="004967E5">
        <w:t xml:space="preserve"> such as hydrocephalus. This was confirmed as a theoretical possibility by the sponsor in their Pre</w:t>
      </w:r>
      <w:r w:rsidR="00595870">
        <w:noBreakHyphen/>
      </w:r>
      <w:r w:rsidRPr="004967E5">
        <w:t>PBAC Response and also by the expert clinician at the hearing during the meeting. In addition</w:t>
      </w:r>
      <w:r w:rsidR="00E902AB">
        <w:t>,</w:t>
      </w:r>
      <w:r w:rsidRPr="004967E5">
        <w:t xml:space="preserve"> the PBAC considered that use of everolimus in other TS associated tumours </w:t>
      </w:r>
      <w:r w:rsidR="00E902AB">
        <w:t>(</w:t>
      </w:r>
      <w:r w:rsidRPr="004967E5">
        <w:t>such as renal angiomyolipomas</w:t>
      </w:r>
      <w:r w:rsidR="00E902AB">
        <w:t>)</w:t>
      </w:r>
      <w:r w:rsidRPr="004967E5">
        <w:t xml:space="preserve"> was probable, which was also confirmed at the hearing. The PB</w:t>
      </w:r>
      <w:r w:rsidR="00E902AB">
        <w:t>AC therefore considered that a ‘</w:t>
      </w:r>
      <w:r w:rsidRPr="004967E5">
        <w:t>whole of disease</w:t>
      </w:r>
      <w:r w:rsidR="00E902AB">
        <w:t>’</w:t>
      </w:r>
      <w:r w:rsidRPr="004967E5">
        <w:t xml:space="preserve"> restriction to address these concerns may be appropriate. The PBAC noted</w:t>
      </w:r>
      <w:r w:rsidR="00E902AB">
        <w:t>,</w:t>
      </w:r>
      <w:r w:rsidRPr="004967E5">
        <w:t xml:space="preserve"> however</w:t>
      </w:r>
      <w:r w:rsidR="00E902AB">
        <w:t>,</w:t>
      </w:r>
      <w:r w:rsidRPr="004967E5">
        <w:t xml:space="preserve"> that no data were presented to assess </w:t>
      </w:r>
      <w:r w:rsidR="00B67ADF">
        <w:t xml:space="preserve">the </w:t>
      </w:r>
      <w:r w:rsidRPr="004967E5">
        <w:t>treatment effect in TS associated tumours aside from SEGAs.</w:t>
      </w:r>
      <w:r w:rsidR="00F91AA2">
        <w:t xml:space="preserve"> T</w:t>
      </w:r>
      <w:r w:rsidR="00F91AA2" w:rsidRPr="00F91AA2">
        <w:t>he PBAC recommended deferral of the submission as a cost-effectiveness ratio could not be determined due to insufficient trial da</w:t>
      </w:r>
      <w:r w:rsidR="00E902AB">
        <w:t xml:space="preserve">ta from small patient numbers. </w:t>
      </w:r>
      <w:r w:rsidR="00F91AA2" w:rsidRPr="00F91AA2">
        <w:t>The PBAC proposed that a substantially lower price should be negotiated with the sponsor and a suitable patient registry arrangement be established, in the context of a high clinical need and uncertain clinical efficacy.</w:t>
      </w:r>
    </w:p>
    <w:p w14:paraId="7668D2B5" w14:textId="524BD626" w:rsidR="004967E5" w:rsidRDefault="004967E5" w:rsidP="00A35800">
      <w:pPr>
        <w:rPr>
          <w:highlight w:val="yellow"/>
        </w:rPr>
      </w:pPr>
      <w:r>
        <w:t>At its April 2013 meeting, t</w:t>
      </w:r>
      <w:r w:rsidRPr="004967E5">
        <w:t>he PBAC considered that the benefit of mTOR inhibitors</w:t>
      </w:r>
      <w:r w:rsidR="00E902AB">
        <w:t>,</w:t>
      </w:r>
      <w:r w:rsidRPr="004967E5">
        <w:t xml:space="preserve"> such as everolimus</w:t>
      </w:r>
      <w:r w:rsidR="00E902AB">
        <w:t>,</w:t>
      </w:r>
      <w:r w:rsidRPr="004967E5">
        <w:t xml:space="preserve"> in patients with </w:t>
      </w:r>
      <w:r w:rsidR="00011460">
        <w:t>TS</w:t>
      </w:r>
      <w:r w:rsidRPr="004967E5">
        <w:t xml:space="preserve"> was to reduce tumour burden. Therefore the clinically appropriate approach was to make everolimus available for all TS pat</w:t>
      </w:r>
      <w:r w:rsidR="00E902AB">
        <w:t xml:space="preserve">ients in whom it is indicated. </w:t>
      </w:r>
      <w:r w:rsidRPr="004967E5">
        <w:t xml:space="preserve">The PBAC noted that there were a number of visceral manifestations of </w:t>
      </w:r>
      <w:r w:rsidR="00E902AB">
        <w:t>TSC</w:t>
      </w:r>
      <w:r w:rsidRPr="004967E5">
        <w:t xml:space="preserve"> that should be considered</w:t>
      </w:r>
      <w:r w:rsidR="00E902AB">
        <w:t>,</w:t>
      </w:r>
      <w:r w:rsidRPr="004967E5">
        <w:t xml:space="preserve"> including SEGA</w:t>
      </w:r>
      <w:r w:rsidR="00E902AB">
        <w:t xml:space="preserve"> and renal angiomyolipomas. </w:t>
      </w:r>
      <w:r w:rsidRPr="004967E5">
        <w:t>The PBAC considered that cutaneous manifestations of TS should be excluded from subsidised treatment with everolimus.</w:t>
      </w:r>
    </w:p>
    <w:p w14:paraId="2E6853A1" w14:textId="79CD256A" w:rsidR="004967E5" w:rsidRDefault="00F91AA2" w:rsidP="00A35800">
      <w:r>
        <w:t>T</w:t>
      </w:r>
      <w:r w:rsidRPr="00F91AA2">
        <w:t>he sponsor provided a revised estimate of the number of patients treated using a clinician survey and global prevalence estimates, and accounting for three manifestations of TS – SEGA, renal angiomyolipomas and</w:t>
      </w:r>
      <w:r w:rsidR="00E902AB">
        <w:t xml:space="preserve"> skin lesions (angiofibromas). </w:t>
      </w:r>
      <w:r w:rsidRPr="00F91AA2">
        <w:t>The PBAC was not convinced by the sponsor’s epidemiological approach for estimating the number of patients treated, which it considered was likely to considerably overestimate the number of patients who have visceral disease manifestations that require treatment with everolimus.</w:t>
      </w:r>
      <w:r>
        <w:t xml:space="preserve"> </w:t>
      </w:r>
    </w:p>
    <w:p w14:paraId="1893C274" w14:textId="70D89A0D" w:rsidR="00F91AA2" w:rsidRDefault="00F91AA2" w:rsidP="00A35800">
      <w:pPr>
        <w:rPr>
          <w:highlight w:val="yellow"/>
        </w:rPr>
      </w:pPr>
      <w:r w:rsidRPr="00F91AA2">
        <w:lastRenderedPageBreak/>
        <w:t>The PBAC considered that the sponsor’s estimate of patient numbers was uncertain and that a suitable risk sharing arrangement should be negotiated using a conservative estimate of patient numbers and an expenditure cap.</w:t>
      </w:r>
    </w:p>
    <w:p w14:paraId="70539E18" w14:textId="0EE33363" w:rsidR="00D94863" w:rsidRPr="00F65F0D" w:rsidRDefault="00D94863" w:rsidP="00D94863">
      <w:r>
        <w:t xml:space="preserve">For further details refer to </w:t>
      </w:r>
      <w:r w:rsidRPr="00F65F0D">
        <w:t xml:space="preserve">the </w:t>
      </w:r>
      <w:hyperlink r:id="rId13" w:history="1">
        <w:r w:rsidRPr="004967E5">
          <w:rPr>
            <w:rStyle w:val="Hyperlink"/>
          </w:rPr>
          <w:t>Public Summary Document</w:t>
        </w:r>
      </w:hyperlink>
      <w:r>
        <w:t xml:space="preserve"> </w:t>
      </w:r>
      <w:r w:rsidRPr="00F65F0D">
        <w:t xml:space="preserve">from the </w:t>
      </w:r>
      <w:r w:rsidR="004967E5">
        <w:t xml:space="preserve">April 2013 </w:t>
      </w:r>
      <w:r>
        <w:t>PBAC meeting.</w:t>
      </w:r>
    </w:p>
    <w:p w14:paraId="72C2CA24" w14:textId="4A28B89A" w:rsidR="000F2F51" w:rsidRDefault="00ED633B" w:rsidP="00CF5E22">
      <w:pPr>
        <w:pStyle w:val="Heading2"/>
      </w:pPr>
      <w:r>
        <w:t>A</w:t>
      </w:r>
      <w:r w:rsidR="000F2F51">
        <w:t xml:space="preserve">pproach </w:t>
      </w:r>
      <w:r>
        <w:t xml:space="preserve">taken to </w:t>
      </w:r>
      <w:r w:rsidR="000F2F51">
        <w:t>estimat</w:t>
      </w:r>
      <w:r>
        <w:t>e</w:t>
      </w:r>
      <w:r w:rsidR="000F2F51">
        <w:t xml:space="preserve"> utilisation</w:t>
      </w:r>
    </w:p>
    <w:p w14:paraId="566C1C91" w14:textId="151E1583" w:rsidR="00687596" w:rsidRDefault="005548F3" w:rsidP="005548F3">
      <w:r w:rsidRPr="005548F3">
        <w:t xml:space="preserve">The </w:t>
      </w:r>
      <w:r>
        <w:t xml:space="preserve">submission used an epidemiological approach. Key assumptions of prevalence of TSC and prevalence of SEGAs in TSC were taken from published literature. </w:t>
      </w:r>
      <w:r w:rsidR="002C586E">
        <w:t>The search undertaken by the submission did not identify any Australian prevalence data and so used international prevalence data as reported in published literature</w:t>
      </w:r>
      <w:r w:rsidR="00E902AB">
        <w:t>,</w:t>
      </w:r>
      <w:r w:rsidR="002C586E">
        <w:t xml:space="preserve"> which reported the prevalence of TSC for the total population, rather than by age. </w:t>
      </w:r>
      <w:r w:rsidR="009D697B">
        <w:t>Hong et al. (2009)</w:t>
      </w:r>
      <w:r w:rsidR="00722820">
        <w:rPr>
          <w:rStyle w:val="FootnoteReference"/>
        </w:rPr>
        <w:footnoteReference w:id="3"/>
      </w:r>
      <w:r w:rsidR="002C586E">
        <w:t xml:space="preserve"> reported the lowest rate</w:t>
      </w:r>
      <w:r w:rsidR="0006156C">
        <w:t>,</w:t>
      </w:r>
      <w:r w:rsidR="002C586E">
        <w:t xml:space="preserve"> </w:t>
      </w:r>
      <w:r w:rsidR="009D697B">
        <w:t xml:space="preserve">which </w:t>
      </w:r>
      <w:r w:rsidR="002C586E">
        <w:t>was so much lower than the remaining studies that it was considered to be an outlier. The prevalence reported in Devlin et al (2006)</w:t>
      </w:r>
      <w:r w:rsidR="00955CD1">
        <w:rPr>
          <w:rStyle w:val="FootnoteReference"/>
        </w:rPr>
        <w:footnoteReference w:id="4"/>
      </w:r>
      <w:r w:rsidR="002C586E">
        <w:t xml:space="preserve"> was considered to be an approximate midpoint between the remaining studies and this rate was chosen for the base case. </w:t>
      </w:r>
    </w:p>
    <w:p w14:paraId="40E43EF5" w14:textId="214DCABA" w:rsidR="002C586E" w:rsidRDefault="00687596" w:rsidP="005548F3">
      <w:r>
        <w:t xml:space="preserve">The submission identified </w:t>
      </w:r>
      <w:r w:rsidR="009D697B">
        <w:t xml:space="preserve">literature </w:t>
      </w:r>
      <w:r>
        <w:t xml:space="preserve">which reported the </w:t>
      </w:r>
      <w:r w:rsidR="00A40F88">
        <w:t xml:space="preserve">rate of SEGAs in patients with TSC using </w:t>
      </w:r>
      <w:r w:rsidR="00A40F88" w:rsidRPr="00AE6270">
        <w:t xml:space="preserve">histopathological </w:t>
      </w:r>
      <w:r w:rsidR="00A40F88">
        <w:t>and radiological methods. The submission stated that in Australia SEGAs are more typically confirmed by MRI scan</w:t>
      </w:r>
      <w:r w:rsidR="0006156C">
        <w:t>,</w:t>
      </w:r>
      <w:r w:rsidR="00955CD1">
        <w:t xml:space="preserve"> and </w:t>
      </w:r>
      <w:r w:rsidR="0006156C">
        <w:t xml:space="preserve">therefore </w:t>
      </w:r>
      <w:r w:rsidR="00955CD1">
        <w:t>used t</w:t>
      </w:r>
      <w:r w:rsidR="002C586E">
        <w:t xml:space="preserve">he rate of SEGAs in patients with TSC </w:t>
      </w:r>
      <w:r w:rsidR="00955CD1">
        <w:t>reported in</w:t>
      </w:r>
      <w:r w:rsidR="00AE6270">
        <w:t xml:space="preserve"> </w:t>
      </w:r>
      <w:r w:rsidR="00AE6270" w:rsidRPr="00AE6270">
        <w:t>Adriensen et al (2009)</w:t>
      </w:r>
      <w:r w:rsidR="0062078E">
        <w:t>,</w:t>
      </w:r>
      <w:r w:rsidR="00955CD1">
        <w:rPr>
          <w:rStyle w:val="FootnoteReference"/>
        </w:rPr>
        <w:footnoteReference w:id="5"/>
      </w:r>
      <w:r w:rsidR="00AE6270">
        <w:t xml:space="preserve"> which was a meta-analysis of studies that confirmed SEGAs in TSC using radiological methods.</w:t>
      </w:r>
    </w:p>
    <w:p w14:paraId="3BCEA735" w14:textId="0F50236F" w:rsidR="002C586E" w:rsidRDefault="002C586E" w:rsidP="005548F3">
      <w:r>
        <w:t>The search did not identify any data regarding the proportion of patients with TSC who would not be candidates for surgery, and therefore expert opinion was used to inform the eligibility estimates.</w:t>
      </w:r>
    </w:p>
    <w:p w14:paraId="5DE737C6" w14:textId="01F15F52" w:rsidR="005548F3" w:rsidRPr="005548F3" w:rsidRDefault="00373BB0" w:rsidP="005548F3">
      <w:r>
        <w:t>Following the positive recommendation from the</w:t>
      </w:r>
      <w:r w:rsidR="005548F3">
        <w:t xml:space="preserve"> PBAC, the </w:t>
      </w:r>
      <w:r>
        <w:t xml:space="preserve">estimates for everolimus in TSC were adjusted to include patients expected to be treated for renal </w:t>
      </w:r>
      <w:r w:rsidR="005548F3" w:rsidRPr="00F91AA2">
        <w:t>angiomyolipomas</w:t>
      </w:r>
      <w:r w:rsidR="005548F3">
        <w:t>.</w:t>
      </w:r>
    </w:p>
    <w:p w14:paraId="0DEBD50F" w14:textId="69B931E7" w:rsidR="00094DCF" w:rsidRDefault="00ED633B" w:rsidP="00CF5E22">
      <w:pPr>
        <w:pStyle w:val="Heading2"/>
      </w:pPr>
      <w:r>
        <w:t xml:space="preserve">Previous reviews by </w:t>
      </w:r>
      <w:r w:rsidR="00177B86">
        <w:t xml:space="preserve">the </w:t>
      </w:r>
      <w:r>
        <w:t>DUSC</w:t>
      </w:r>
    </w:p>
    <w:p w14:paraId="038969D5" w14:textId="2477BA80" w:rsidR="00373BB0" w:rsidRDefault="00373BB0" w:rsidP="00373BB0">
      <w:r>
        <w:t xml:space="preserve">Everolimus has not previously been reviewed by DUSC. </w:t>
      </w:r>
      <w:r w:rsidR="0097563F">
        <w:t>A</w:t>
      </w:r>
      <w:r>
        <w:t xml:space="preserve"> separate review of everolimus in breast cancer is being considered at the February 2017 DUSC meeting.</w:t>
      </w:r>
    </w:p>
    <w:p w14:paraId="0312FFEC" w14:textId="5C6A9662" w:rsidR="00E677DD" w:rsidRPr="005E22C2" w:rsidRDefault="00E677DD" w:rsidP="0062078E">
      <w:pPr>
        <w:pStyle w:val="Heading1"/>
      </w:pPr>
      <w:r w:rsidRPr="005E22C2">
        <w:lastRenderedPageBreak/>
        <w:t>Method</w:t>
      </w:r>
      <w:r w:rsidR="001B5D37" w:rsidRPr="005E22C2">
        <w:t>s</w:t>
      </w:r>
    </w:p>
    <w:p w14:paraId="116E5961" w14:textId="77777777" w:rsidR="00E70E95" w:rsidRDefault="00E70E95" w:rsidP="0062078E">
      <w:pPr>
        <w:keepNext/>
        <w:rPr>
          <w:u w:val="single"/>
        </w:rPr>
      </w:pPr>
      <w:r>
        <w:rPr>
          <w:u w:val="single"/>
        </w:rPr>
        <w:t>Data sources</w:t>
      </w:r>
    </w:p>
    <w:p w14:paraId="51678C05" w14:textId="389BEA4E" w:rsidR="00E70E95" w:rsidRDefault="00E70E95" w:rsidP="00E70E95">
      <w:pPr>
        <w:pStyle w:val="NoSpacing"/>
      </w:pPr>
      <w:r>
        <w:t xml:space="preserve">The analyses use data from </w:t>
      </w:r>
      <w:r w:rsidRPr="00130B7B">
        <w:t xml:space="preserve">the Department of Human Services (DHS) </w:t>
      </w:r>
      <w:r>
        <w:t xml:space="preserve">Authority approvals database and the DHS </w:t>
      </w:r>
      <w:r w:rsidRPr="00130B7B">
        <w:t>Medicare Supplied prescriptions database</w:t>
      </w:r>
      <w:r>
        <w:t>. Authorities data w</w:t>
      </w:r>
      <w:r w:rsidR="0023629F">
        <w:t>ere</w:t>
      </w:r>
      <w:r>
        <w:t xml:space="preserve"> extracted from </w:t>
      </w:r>
      <w:r w:rsidR="0090618E">
        <w:t>1 December 2013 (</w:t>
      </w:r>
      <w:r>
        <w:t xml:space="preserve">date of first </w:t>
      </w:r>
      <w:r w:rsidR="008863ED">
        <w:t>PBS-</w:t>
      </w:r>
      <w:r>
        <w:t>listing) to July 2016. Prescription data for everolimus w</w:t>
      </w:r>
      <w:r w:rsidR="0023629F">
        <w:t>ere</w:t>
      </w:r>
      <w:r>
        <w:t xml:space="preserve"> extracted from December 2013 to July 2016. </w:t>
      </w:r>
    </w:p>
    <w:p w14:paraId="138B9B83" w14:textId="77777777" w:rsidR="0037276D" w:rsidRDefault="0037276D" w:rsidP="00E70E95">
      <w:pPr>
        <w:pStyle w:val="NoSpacing"/>
      </w:pPr>
    </w:p>
    <w:p w14:paraId="2B0A8F63" w14:textId="5E8E2767" w:rsidR="0037276D" w:rsidRDefault="0037276D" w:rsidP="0037276D">
      <w:r>
        <w:t xml:space="preserve">As this analysis uses date of supply prescription data, there may be small differences compared with publicly available </w:t>
      </w:r>
      <w:r w:rsidR="00211B4F">
        <w:t>DHS</w:t>
      </w:r>
      <w:r>
        <w:t xml:space="preserve"> Medicare date of processing data.</w:t>
      </w:r>
      <w:r>
        <w:rPr>
          <w:rStyle w:val="FootnoteReference"/>
        </w:rPr>
        <w:footnoteReference w:id="6"/>
      </w:r>
      <w:r>
        <w:t xml:space="preserve">  </w:t>
      </w:r>
    </w:p>
    <w:p w14:paraId="4614DD0E" w14:textId="679D7F61" w:rsidR="00E70E95" w:rsidRPr="00541276" w:rsidRDefault="00E70E95" w:rsidP="00E70E95">
      <w:pPr>
        <w:rPr>
          <w:u w:val="single"/>
        </w:rPr>
      </w:pPr>
      <w:r>
        <w:rPr>
          <w:u w:val="single"/>
        </w:rPr>
        <w:t>Extraction of data for the use of everolimus to treat TSC</w:t>
      </w:r>
    </w:p>
    <w:p w14:paraId="29712AEB" w14:textId="3AEB946D" w:rsidR="00E70E95" w:rsidRDefault="00E70E95" w:rsidP="00E70E95">
      <w:r>
        <w:t>Two of the PBS listings of everolimus for TSC share the same PBS item codes (2819J and 2985D) as metastatic (Stage IV) breast cancer. TSC has an additional PBS item code for the 2.5 mg strength</w:t>
      </w:r>
      <w:r w:rsidR="0037276D">
        <w:t xml:space="preserve"> (</w:t>
      </w:r>
      <w:r w:rsidR="0037276D" w:rsidRPr="0037276D">
        <w:t>2818H</w:t>
      </w:r>
      <w:r w:rsidR="0037276D">
        <w:t>)</w:t>
      </w:r>
      <w:r>
        <w:t xml:space="preserve">, which is not listed for breast cancer. These are general schedule </w:t>
      </w:r>
      <w:r w:rsidR="0037276D">
        <w:t xml:space="preserve">Authority Required </w:t>
      </w:r>
      <w:r>
        <w:t>listings with no identifier in the claims data to directly identify use for a specific indication. To separate use for TSC, patients receiving an Authority for this indication were matched to claims records for PBS items 2819J and 2985D. Prescriptions were matched to an approval if the de-identified patient identification number (PIN) and item codes matched for both the appro</w:t>
      </w:r>
      <w:r w:rsidR="008863ED">
        <w:t xml:space="preserve">val and supplied prescription. </w:t>
      </w:r>
      <w:r w:rsidRPr="00E32057">
        <w:t xml:space="preserve">The date of authority approval </w:t>
      </w:r>
      <w:r>
        <w:t>had to be</w:t>
      </w:r>
      <w:r w:rsidRPr="00E32057">
        <w:t xml:space="preserve"> </w:t>
      </w:r>
      <w:r>
        <w:t>earlier than</w:t>
      </w:r>
      <w:r w:rsidRPr="00E32057">
        <w:t xml:space="preserve"> the supply date for it to be assigned as the corresponding approval.</w:t>
      </w:r>
      <w:r>
        <w:t xml:space="preserve"> An approval was matched to a supply in 99.3% of cases.</w:t>
      </w:r>
    </w:p>
    <w:p w14:paraId="75884220" w14:textId="77777777" w:rsidR="00E70E95" w:rsidRDefault="00E70E95" w:rsidP="00E70E95">
      <w:pPr>
        <w:rPr>
          <w:u w:val="single"/>
        </w:rPr>
      </w:pPr>
      <w:r>
        <w:rPr>
          <w:u w:val="single"/>
        </w:rPr>
        <w:t>Patient level analyses</w:t>
      </w:r>
    </w:p>
    <w:p w14:paraId="075DADC7" w14:textId="64C1C34C" w:rsidR="00E70E95" w:rsidRDefault="00E70E95" w:rsidP="00E70E95">
      <w:pPr>
        <w:rPr>
          <w:rFonts w:eastAsia="Calibri" w:cs="Times New Roman"/>
        </w:rPr>
      </w:pPr>
      <w:r>
        <w:rPr>
          <w:rFonts w:eastAsia="Calibri" w:cs="Times New Roman"/>
        </w:rPr>
        <w:t xml:space="preserve">The matched dataset described above was used to derive patient counts for the first two full listing years (December 2013 to November 2014 and December 2014 to November 2015) and the third listing year (December 2015 to </w:t>
      </w:r>
      <w:r w:rsidR="00EE02EC" w:rsidRPr="00EE02EC">
        <w:rPr>
          <w:rFonts w:eastAsia="Calibri" w:cs="Times New Roman"/>
        </w:rPr>
        <w:t>September</w:t>
      </w:r>
      <w:r w:rsidRPr="00EE02EC">
        <w:rPr>
          <w:rFonts w:eastAsia="Calibri" w:cs="Times New Roman"/>
        </w:rPr>
        <w:t xml:space="preserve"> 2016) which is incomplete</w:t>
      </w:r>
      <w:r w:rsidR="008863ED">
        <w:rPr>
          <w:rFonts w:eastAsia="Calibri" w:cs="Times New Roman"/>
        </w:rPr>
        <w:t>;</w:t>
      </w:r>
      <w:r>
        <w:rPr>
          <w:rFonts w:eastAsia="Calibri" w:cs="Times New Roman"/>
        </w:rPr>
        <w:t xml:space="preserve"> and by </w:t>
      </w:r>
      <w:r w:rsidR="00902372">
        <w:rPr>
          <w:rFonts w:eastAsia="Calibri" w:cs="Times New Roman"/>
        </w:rPr>
        <w:t>quarter</w:t>
      </w:r>
      <w:r>
        <w:rPr>
          <w:rFonts w:eastAsia="Calibri" w:cs="Times New Roman"/>
        </w:rPr>
        <w:t>.</w:t>
      </w:r>
    </w:p>
    <w:p w14:paraId="2FE07134" w14:textId="6529E6E4" w:rsidR="00E70E95" w:rsidRDefault="00E70E95" w:rsidP="00E70E95">
      <w:pPr>
        <w:rPr>
          <w:rFonts w:eastAsia="Calibri" w:cs="Times New Roman"/>
        </w:rPr>
      </w:pPr>
      <w:r>
        <w:rPr>
          <w:rFonts w:eastAsia="Calibri" w:cs="Times New Roman"/>
        </w:rPr>
        <w:t xml:space="preserve">The number of prevalent patients was determined by counting the number of people supplied at least one PBS or RPBS prescription using </w:t>
      </w:r>
      <w:r w:rsidR="0037276D">
        <w:rPr>
          <w:rFonts w:eastAsia="Calibri" w:cs="Times New Roman"/>
        </w:rPr>
        <w:t>non-identifying person specific numbers</w:t>
      </w:r>
      <w:r>
        <w:rPr>
          <w:rFonts w:eastAsia="Calibri" w:cs="Times New Roman"/>
        </w:rPr>
        <w:t xml:space="preserve"> in the data for the specified time periods. </w:t>
      </w:r>
    </w:p>
    <w:p w14:paraId="50639D6C" w14:textId="77777777" w:rsidR="00E70E95" w:rsidRDefault="00E70E95" w:rsidP="00E70E95">
      <w:pPr>
        <w:rPr>
          <w:rFonts w:eastAsia="Calibri" w:cs="Times New Roman"/>
        </w:rPr>
      </w:pPr>
      <w:r>
        <w:rPr>
          <w:rFonts w:eastAsia="Calibri" w:cs="Times New Roman"/>
        </w:rPr>
        <w:t>Patient initiation to everolimus was defined as the date of supply of the first PBS or RPBS prescription.</w:t>
      </w:r>
    </w:p>
    <w:p w14:paraId="4F91A98A" w14:textId="00180E30" w:rsidR="00C714D0" w:rsidRPr="005E22C2" w:rsidRDefault="00C714D0" w:rsidP="00902372">
      <w:pPr>
        <w:pStyle w:val="Heading1"/>
      </w:pPr>
      <w:r w:rsidRPr="005E22C2">
        <w:lastRenderedPageBreak/>
        <w:t>Results</w:t>
      </w:r>
    </w:p>
    <w:p w14:paraId="2221FF19" w14:textId="336CE8B2" w:rsidR="00736041" w:rsidRPr="005E22C2" w:rsidRDefault="001B5D37" w:rsidP="00902372">
      <w:pPr>
        <w:pStyle w:val="Heading2"/>
        <w:keepNext/>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9F8A9BC" w14:textId="35E50016" w:rsidR="006A44F5" w:rsidRPr="005E22C2" w:rsidRDefault="00736041" w:rsidP="00902372">
      <w:pPr>
        <w:pStyle w:val="Heading3"/>
        <w:keepNext/>
      </w:pPr>
      <w:r w:rsidRPr="005E22C2">
        <w:t>Overall utilisation</w:t>
      </w:r>
    </w:p>
    <w:p w14:paraId="249A7086" w14:textId="56DFE87D" w:rsidR="0090618E" w:rsidRDefault="00823C97" w:rsidP="00953DA4">
      <w:r w:rsidRPr="00823C97">
        <w:t xml:space="preserve">The </w:t>
      </w:r>
      <w:r>
        <w:t xml:space="preserve">analysis identified </w:t>
      </w:r>
      <w:r w:rsidR="00003032">
        <w:t>322</w:t>
      </w:r>
      <w:r w:rsidR="00953DA4">
        <w:t xml:space="preserve"> unique</w:t>
      </w:r>
      <w:r>
        <w:t xml:space="preserve"> patients who had </w:t>
      </w:r>
      <w:r w:rsidR="00953DA4">
        <w:t>been supplied</w:t>
      </w:r>
      <w:r>
        <w:t xml:space="preserve"> ever</w:t>
      </w:r>
      <w:r w:rsidR="008863ED">
        <w:t>olimus for TSC since it was PBS-</w:t>
      </w:r>
      <w:r>
        <w:t>listed</w:t>
      </w:r>
      <w:r w:rsidR="00953DA4">
        <w:t xml:space="preserve"> on 1 December 2013</w:t>
      </w:r>
      <w:r>
        <w:t>.</w:t>
      </w:r>
    </w:p>
    <w:p w14:paraId="53DB9D78" w14:textId="1346E7CF" w:rsidR="0090618E" w:rsidRDefault="00FF17F7" w:rsidP="00953DA4">
      <w:r>
        <w:rPr>
          <w:noProof/>
        </w:rPr>
        <w:drawing>
          <wp:inline distT="0" distB="0" distL="0" distR="0" wp14:anchorId="2237A94C" wp14:editId="7A396C85">
            <wp:extent cx="5619750" cy="3733800"/>
            <wp:effectExtent l="0" t="0" r="19050" b="19050"/>
            <wp:docPr id="1" name="Chart 1" descr="Initiating and treated patients for everolimus for TSC over time by quarter" title="Initiating and treated patients for everolimus for TSC over time by quar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B964EC" w14:textId="5A053948" w:rsidR="0090618E" w:rsidRPr="00C31DB6" w:rsidRDefault="00FF17F7" w:rsidP="0090618E">
      <w:pPr>
        <w:pStyle w:val="Figuretitle"/>
      </w:pPr>
      <w:r>
        <w:t>Figure 1</w:t>
      </w:r>
      <w:r w:rsidR="0090618E" w:rsidRPr="00C31DB6">
        <w:t xml:space="preserve">: </w:t>
      </w:r>
      <w:r w:rsidR="0090618E">
        <w:t>Initiating and treated patients for everolimus for TSC over time by quarter</w:t>
      </w:r>
    </w:p>
    <w:p w14:paraId="2811A37B" w14:textId="77777777" w:rsidR="0090618E" w:rsidRDefault="0090618E" w:rsidP="00953DA4"/>
    <w:p w14:paraId="5130608D" w14:textId="2ABC3991" w:rsidR="00953DA4" w:rsidRDefault="00FF17F7" w:rsidP="00953DA4">
      <w:r>
        <w:t>Figure 1</w:t>
      </w:r>
      <w:r w:rsidR="00953DA4">
        <w:t xml:space="preserve"> suggests</w:t>
      </w:r>
      <w:r w:rsidR="00967EC3">
        <w:t xml:space="preserve"> that the use of everolimus for TSC appears to be decreasing after initial take up.</w:t>
      </w:r>
      <w:r w:rsidR="002B3ADF">
        <w:t xml:space="preserve"> </w:t>
      </w:r>
    </w:p>
    <w:p w14:paraId="5F22B4D8" w14:textId="319090EA" w:rsidR="00736041" w:rsidRPr="005E22C2" w:rsidRDefault="00D151EB" w:rsidP="00F73113">
      <w:pPr>
        <w:pStyle w:val="Heading2"/>
      </w:pPr>
      <w:r>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14:paraId="6DB683E5" w14:textId="52C60102" w:rsidR="00C31DB6" w:rsidRDefault="00A66429" w:rsidP="00A35800">
      <w:r w:rsidRPr="00A66429">
        <w:t>C</w:t>
      </w:r>
      <w:r>
        <w:t xml:space="preserve">hanges were made to the </w:t>
      </w:r>
      <w:r w:rsidR="00A25D22">
        <w:t>submission</w:t>
      </w:r>
      <w:r w:rsidR="00EE02EC">
        <w:t>’s</w:t>
      </w:r>
      <w:r w:rsidR="00A25D22">
        <w:t xml:space="preserve"> </w:t>
      </w:r>
      <w:r>
        <w:t>estimates of use</w:t>
      </w:r>
      <w:r w:rsidR="00DC69CF">
        <w:t xml:space="preserve"> because the PBAC recommend</w:t>
      </w:r>
      <w:r w:rsidR="00A25D22">
        <w:t>ed</w:t>
      </w:r>
      <w:r w:rsidR="00B42DE2">
        <w:t xml:space="preserve"> a broader indication than</w:t>
      </w:r>
      <w:r w:rsidR="00DC69CF">
        <w:t xml:space="preserve"> was requested by the sponsor.</w:t>
      </w:r>
    </w:p>
    <w:p w14:paraId="407CE5F1" w14:textId="77777777" w:rsidR="00902372" w:rsidRDefault="00902372">
      <w:pPr>
        <w:spacing w:line="276" w:lineRule="auto"/>
        <w:rPr>
          <w:b/>
        </w:rPr>
      </w:pPr>
      <w:r>
        <w:br w:type="page"/>
      </w:r>
    </w:p>
    <w:p w14:paraId="477A7772" w14:textId="35F2D908" w:rsidR="008C1C64" w:rsidRDefault="008C1C64" w:rsidP="008C1C64">
      <w:pPr>
        <w:pStyle w:val="Tabletitle"/>
      </w:pPr>
      <w:r>
        <w:lastRenderedPageBreak/>
        <w:t xml:space="preserve">Table 3: </w:t>
      </w:r>
      <w:r w:rsidRPr="008C1C64">
        <w:t>Analysis of actual versus predicted utilisation</w:t>
      </w:r>
    </w:p>
    <w:tbl>
      <w:tblPr>
        <w:tblW w:w="9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alysis of actual versus predicted utilisation"/>
        <w:tblDescription w:val="Analysis of actual versus predicted utilisation"/>
      </w:tblPr>
      <w:tblGrid>
        <w:gridCol w:w="3546"/>
        <w:gridCol w:w="1132"/>
        <w:gridCol w:w="1132"/>
        <w:gridCol w:w="1132"/>
        <w:gridCol w:w="1057"/>
        <w:gridCol w:w="1057"/>
      </w:tblGrid>
      <w:tr w:rsidR="00FE1848" w:rsidRPr="00FE1848" w14:paraId="1B374C92" w14:textId="77777777" w:rsidTr="008863ED">
        <w:trPr>
          <w:trHeight w:val="300"/>
          <w:tblHeader/>
        </w:trPr>
        <w:tc>
          <w:tcPr>
            <w:tcW w:w="3546" w:type="dxa"/>
            <w:shd w:val="clear" w:color="auto" w:fill="BFBFBF" w:themeFill="background1" w:themeFillShade="BF"/>
            <w:noWrap/>
            <w:vAlign w:val="bottom"/>
            <w:hideMark/>
          </w:tcPr>
          <w:p w14:paraId="0397DA15" w14:textId="77777777" w:rsidR="00FE1848" w:rsidRPr="00FE1848" w:rsidRDefault="00FE1848" w:rsidP="00FE1848">
            <w:pPr>
              <w:spacing w:after="0"/>
              <w:rPr>
                <w:rFonts w:ascii="Calibri" w:eastAsia="Times New Roman" w:hAnsi="Calibri" w:cs="Times New Roman"/>
                <w:color w:val="000000"/>
                <w:sz w:val="20"/>
                <w:szCs w:val="20"/>
              </w:rPr>
            </w:pPr>
          </w:p>
        </w:tc>
        <w:tc>
          <w:tcPr>
            <w:tcW w:w="1132" w:type="dxa"/>
            <w:shd w:val="clear" w:color="auto" w:fill="BFBFBF" w:themeFill="background1" w:themeFillShade="BF"/>
            <w:noWrap/>
            <w:hideMark/>
          </w:tcPr>
          <w:p w14:paraId="739612D2" w14:textId="77777777" w:rsidR="00FE1848" w:rsidRPr="00FE1848" w:rsidRDefault="00FE1848" w:rsidP="008863ED">
            <w:pPr>
              <w:spacing w:after="0"/>
              <w:jc w:val="center"/>
              <w:rPr>
                <w:rFonts w:ascii="Calibri" w:eastAsia="Times New Roman" w:hAnsi="Calibri" w:cs="Times New Roman"/>
                <w:b/>
                <w:bCs/>
                <w:sz w:val="20"/>
                <w:szCs w:val="20"/>
              </w:rPr>
            </w:pPr>
            <w:r w:rsidRPr="00FE1848">
              <w:rPr>
                <w:rFonts w:ascii="Calibri" w:eastAsia="Times New Roman" w:hAnsi="Calibri" w:cs="Times New Roman"/>
                <w:b/>
                <w:bCs/>
                <w:sz w:val="20"/>
                <w:szCs w:val="20"/>
              </w:rPr>
              <w:t>Year 1</w:t>
            </w:r>
          </w:p>
        </w:tc>
        <w:tc>
          <w:tcPr>
            <w:tcW w:w="1132" w:type="dxa"/>
            <w:shd w:val="clear" w:color="auto" w:fill="BFBFBF" w:themeFill="background1" w:themeFillShade="BF"/>
            <w:noWrap/>
            <w:hideMark/>
          </w:tcPr>
          <w:p w14:paraId="5F5CEF29" w14:textId="77777777" w:rsidR="00FE1848" w:rsidRPr="00FE1848" w:rsidRDefault="00FE1848" w:rsidP="008863ED">
            <w:pPr>
              <w:spacing w:after="0"/>
              <w:jc w:val="center"/>
              <w:rPr>
                <w:rFonts w:ascii="Calibri" w:eastAsia="Times New Roman" w:hAnsi="Calibri" w:cs="Times New Roman"/>
                <w:b/>
                <w:bCs/>
                <w:sz w:val="20"/>
                <w:szCs w:val="20"/>
              </w:rPr>
            </w:pPr>
            <w:r w:rsidRPr="00FE1848">
              <w:rPr>
                <w:rFonts w:ascii="Calibri" w:eastAsia="Times New Roman" w:hAnsi="Calibri" w:cs="Times New Roman"/>
                <w:b/>
                <w:bCs/>
                <w:sz w:val="20"/>
                <w:szCs w:val="20"/>
              </w:rPr>
              <w:t>Year 2</w:t>
            </w:r>
          </w:p>
        </w:tc>
        <w:tc>
          <w:tcPr>
            <w:tcW w:w="1132" w:type="dxa"/>
            <w:shd w:val="clear" w:color="auto" w:fill="BFBFBF" w:themeFill="background1" w:themeFillShade="BF"/>
            <w:noWrap/>
            <w:hideMark/>
          </w:tcPr>
          <w:p w14:paraId="0B4FCEE4" w14:textId="77777777" w:rsidR="00FE1848" w:rsidRPr="00FE1848" w:rsidRDefault="00FE1848" w:rsidP="008863ED">
            <w:pPr>
              <w:spacing w:after="0"/>
              <w:jc w:val="center"/>
              <w:rPr>
                <w:rFonts w:ascii="Calibri" w:eastAsia="Times New Roman" w:hAnsi="Calibri" w:cs="Times New Roman"/>
                <w:b/>
                <w:bCs/>
                <w:sz w:val="20"/>
                <w:szCs w:val="20"/>
              </w:rPr>
            </w:pPr>
            <w:r w:rsidRPr="00FE1848">
              <w:rPr>
                <w:rFonts w:ascii="Calibri" w:eastAsia="Times New Roman" w:hAnsi="Calibri" w:cs="Times New Roman"/>
                <w:b/>
                <w:bCs/>
                <w:sz w:val="20"/>
                <w:szCs w:val="20"/>
              </w:rPr>
              <w:t>Year 3</w:t>
            </w:r>
          </w:p>
        </w:tc>
        <w:tc>
          <w:tcPr>
            <w:tcW w:w="1057" w:type="dxa"/>
            <w:shd w:val="clear" w:color="auto" w:fill="BFBFBF" w:themeFill="background1" w:themeFillShade="BF"/>
            <w:noWrap/>
            <w:hideMark/>
          </w:tcPr>
          <w:p w14:paraId="0FC0AFE3" w14:textId="77777777" w:rsidR="00FE1848" w:rsidRPr="00FE1848" w:rsidRDefault="00FE1848" w:rsidP="008863ED">
            <w:pPr>
              <w:spacing w:after="0"/>
              <w:jc w:val="center"/>
              <w:rPr>
                <w:rFonts w:ascii="Calibri" w:eastAsia="Times New Roman" w:hAnsi="Calibri" w:cs="Times New Roman"/>
                <w:b/>
                <w:bCs/>
                <w:sz w:val="20"/>
                <w:szCs w:val="20"/>
              </w:rPr>
            </w:pPr>
            <w:r w:rsidRPr="00FE1848">
              <w:rPr>
                <w:rFonts w:ascii="Calibri" w:eastAsia="Times New Roman" w:hAnsi="Calibri" w:cs="Times New Roman"/>
                <w:b/>
                <w:bCs/>
                <w:sz w:val="20"/>
                <w:szCs w:val="20"/>
              </w:rPr>
              <w:t>Year 4</w:t>
            </w:r>
          </w:p>
        </w:tc>
        <w:tc>
          <w:tcPr>
            <w:tcW w:w="1057" w:type="dxa"/>
            <w:shd w:val="clear" w:color="auto" w:fill="BFBFBF" w:themeFill="background1" w:themeFillShade="BF"/>
            <w:noWrap/>
            <w:hideMark/>
          </w:tcPr>
          <w:p w14:paraId="6E284DA3" w14:textId="77777777" w:rsidR="00FE1848" w:rsidRPr="00FE1848" w:rsidRDefault="00FE1848" w:rsidP="008863ED">
            <w:pPr>
              <w:spacing w:after="0"/>
              <w:jc w:val="center"/>
              <w:rPr>
                <w:rFonts w:ascii="Calibri" w:eastAsia="Times New Roman" w:hAnsi="Calibri" w:cs="Times New Roman"/>
                <w:b/>
                <w:bCs/>
                <w:sz w:val="20"/>
                <w:szCs w:val="20"/>
              </w:rPr>
            </w:pPr>
            <w:r w:rsidRPr="00FE1848">
              <w:rPr>
                <w:rFonts w:ascii="Calibri" w:eastAsia="Times New Roman" w:hAnsi="Calibri" w:cs="Times New Roman"/>
                <w:b/>
                <w:bCs/>
                <w:sz w:val="20"/>
                <w:szCs w:val="20"/>
              </w:rPr>
              <w:t>Year 5</w:t>
            </w:r>
          </w:p>
        </w:tc>
      </w:tr>
      <w:tr w:rsidR="00FE1848" w:rsidRPr="00FE1848" w14:paraId="7EE1419A" w14:textId="77777777" w:rsidTr="00FE1848">
        <w:trPr>
          <w:trHeight w:val="300"/>
        </w:trPr>
        <w:tc>
          <w:tcPr>
            <w:tcW w:w="9056" w:type="dxa"/>
            <w:gridSpan w:val="6"/>
            <w:shd w:val="clear" w:color="auto" w:fill="BFBFBF" w:themeFill="background1" w:themeFillShade="BF"/>
            <w:noWrap/>
            <w:vAlign w:val="bottom"/>
            <w:hideMark/>
          </w:tcPr>
          <w:p w14:paraId="33813529" w14:textId="0563149B" w:rsidR="00FE1848" w:rsidRPr="00FE1848" w:rsidRDefault="00FE1848" w:rsidP="00FE1848">
            <w:pPr>
              <w:spacing w:after="0"/>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Submission</w:t>
            </w:r>
            <w:r w:rsidR="00EE02EC">
              <w:rPr>
                <w:rFonts w:ascii="Calibri" w:eastAsia="Times New Roman" w:hAnsi="Calibri" w:cs="Times New Roman"/>
                <w:color w:val="000000"/>
                <w:sz w:val="20"/>
                <w:szCs w:val="20"/>
              </w:rPr>
              <w:t>’s</w:t>
            </w:r>
            <w:r w:rsidRPr="00FE1848">
              <w:rPr>
                <w:rFonts w:ascii="Calibri" w:eastAsia="Times New Roman" w:hAnsi="Calibri" w:cs="Times New Roman"/>
                <w:color w:val="000000"/>
                <w:sz w:val="20"/>
                <w:szCs w:val="20"/>
              </w:rPr>
              <w:t xml:space="preserve"> estimates</w:t>
            </w:r>
          </w:p>
        </w:tc>
      </w:tr>
      <w:tr w:rsidR="00FE1848" w:rsidRPr="00FE1848" w14:paraId="4A49FBB4" w14:textId="77777777" w:rsidTr="008863ED">
        <w:trPr>
          <w:trHeight w:val="526"/>
        </w:trPr>
        <w:tc>
          <w:tcPr>
            <w:tcW w:w="3546" w:type="dxa"/>
            <w:shd w:val="clear" w:color="auto" w:fill="auto"/>
            <w:vAlign w:val="bottom"/>
            <w:hideMark/>
          </w:tcPr>
          <w:p w14:paraId="229EBDBD" w14:textId="77777777" w:rsidR="00FE1848" w:rsidRPr="00FE1848" w:rsidRDefault="00FE1848" w:rsidP="00FE1848">
            <w:pPr>
              <w:spacing w:after="0"/>
              <w:rPr>
                <w:rFonts w:ascii="Calibri" w:eastAsia="Times New Roman" w:hAnsi="Calibri" w:cs="Times New Roman"/>
                <w:sz w:val="20"/>
                <w:szCs w:val="20"/>
              </w:rPr>
            </w:pPr>
            <w:r w:rsidRPr="00FE1848">
              <w:rPr>
                <w:rFonts w:ascii="Calibri" w:eastAsia="Times New Roman" w:hAnsi="Calibri" w:cs="Times New Roman"/>
                <w:sz w:val="20"/>
                <w:szCs w:val="20"/>
              </w:rPr>
              <w:t xml:space="preserve">Total number of patients treated per year </w:t>
            </w:r>
          </w:p>
        </w:tc>
        <w:tc>
          <w:tcPr>
            <w:tcW w:w="1132" w:type="dxa"/>
            <w:shd w:val="clear" w:color="auto" w:fill="auto"/>
            <w:noWrap/>
            <w:vAlign w:val="center"/>
            <w:hideMark/>
          </w:tcPr>
          <w:p w14:paraId="3EE1BAD3" w14:textId="77777777" w:rsidR="00FE1848" w:rsidRPr="00FE1848" w:rsidRDefault="00FE1848" w:rsidP="008863ED">
            <w:pPr>
              <w:spacing w:after="0"/>
              <w:jc w:val="right"/>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69</w:t>
            </w:r>
          </w:p>
        </w:tc>
        <w:tc>
          <w:tcPr>
            <w:tcW w:w="1132" w:type="dxa"/>
            <w:shd w:val="clear" w:color="auto" w:fill="auto"/>
            <w:noWrap/>
            <w:vAlign w:val="center"/>
            <w:hideMark/>
          </w:tcPr>
          <w:p w14:paraId="74C90F35" w14:textId="77777777" w:rsidR="00FE1848" w:rsidRPr="00FE1848" w:rsidRDefault="00FE1848" w:rsidP="008863ED">
            <w:pPr>
              <w:spacing w:after="0"/>
              <w:jc w:val="right"/>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84</w:t>
            </w:r>
          </w:p>
        </w:tc>
        <w:tc>
          <w:tcPr>
            <w:tcW w:w="1132" w:type="dxa"/>
            <w:shd w:val="clear" w:color="auto" w:fill="auto"/>
            <w:noWrap/>
            <w:vAlign w:val="center"/>
            <w:hideMark/>
          </w:tcPr>
          <w:p w14:paraId="60596D4C" w14:textId="77777777" w:rsidR="00FE1848" w:rsidRPr="00FE1848" w:rsidRDefault="00FE1848" w:rsidP="008863ED">
            <w:pPr>
              <w:spacing w:after="0"/>
              <w:jc w:val="right"/>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99</w:t>
            </w:r>
          </w:p>
        </w:tc>
        <w:tc>
          <w:tcPr>
            <w:tcW w:w="1057" w:type="dxa"/>
            <w:shd w:val="clear" w:color="auto" w:fill="auto"/>
            <w:noWrap/>
            <w:vAlign w:val="center"/>
            <w:hideMark/>
          </w:tcPr>
          <w:p w14:paraId="61C2DEFD" w14:textId="77777777" w:rsidR="00FE1848" w:rsidRPr="00FE1848" w:rsidRDefault="00FE1848" w:rsidP="008863ED">
            <w:pPr>
              <w:spacing w:after="0"/>
              <w:jc w:val="right"/>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115</w:t>
            </w:r>
          </w:p>
        </w:tc>
        <w:tc>
          <w:tcPr>
            <w:tcW w:w="1057" w:type="dxa"/>
            <w:shd w:val="clear" w:color="auto" w:fill="auto"/>
            <w:noWrap/>
            <w:vAlign w:val="center"/>
            <w:hideMark/>
          </w:tcPr>
          <w:p w14:paraId="0BF17CB6" w14:textId="77777777" w:rsidR="00FE1848" w:rsidRPr="00FE1848" w:rsidRDefault="00FE1848" w:rsidP="008863ED">
            <w:pPr>
              <w:spacing w:after="0"/>
              <w:jc w:val="right"/>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124</w:t>
            </w:r>
          </w:p>
        </w:tc>
      </w:tr>
      <w:tr w:rsidR="00FE1848" w:rsidRPr="00FE1848" w14:paraId="39A76107" w14:textId="77777777" w:rsidTr="008863ED">
        <w:trPr>
          <w:trHeight w:val="300"/>
        </w:trPr>
        <w:tc>
          <w:tcPr>
            <w:tcW w:w="3546" w:type="dxa"/>
            <w:shd w:val="clear" w:color="auto" w:fill="auto"/>
            <w:vAlign w:val="bottom"/>
            <w:hideMark/>
          </w:tcPr>
          <w:p w14:paraId="1349FAF7" w14:textId="7205AAE8" w:rsidR="00FE1848" w:rsidRPr="00FE1848" w:rsidRDefault="00FE1848" w:rsidP="00FE1848">
            <w:pPr>
              <w:spacing w:after="0"/>
              <w:rPr>
                <w:rFonts w:ascii="Calibri" w:eastAsia="Times New Roman" w:hAnsi="Calibri" w:cs="Times New Roman"/>
                <w:sz w:val="20"/>
                <w:szCs w:val="20"/>
              </w:rPr>
            </w:pPr>
            <w:r w:rsidRPr="00FE1848">
              <w:rPr>
                <w:rFonts w:ascii="Calibri" w:eastAsia="Times New Roman" w:hAnsi="Calibri" w:cs="Times New Roman"/>
                <w:sz w:val="20"/>
                <w:szCs w:val="20"/>
              </w:rPr>
              <w:t>2.5 mg</w:t>
            </w:r>
            <w:r w:rsidR="00AF70C5">
              <w:rPr>
                <w:rFonts w:ascii="Calibri" w:eastAsia="Times New Roman" w:hAnsi="Calibri" w:cs="Times New Roman"/>
                <w:sz w:val="20"/>
                <w:szCs w:val="20"/>
              </w:rPr>
              <w:t xml:space="preserve"> prescriptions</w:t>
            </w:r>
          </w:p>
        </w:tc>
        <w:tc>
          <w:tcPr>
            <w:tcW w:w="1132" w:type="dxa"/>
            <w:shd w:val="clear" w:color="auto" w:fill="auto"/>
            <w:noWrap/>
            <w:vAlign w:val="center"/>
            <w:hideMark/>
          </w:tcPr>
          <w:p w14:paraId="182D8FA7"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140</w:t>
            </w:r>
          </w:p>
        </w:tc>
        <w:tc>
          <w:tcPr>
            <w:tcW w:w="1132" w:type="dxa"/>
            <w:shd w:val="clear" w:color="auto" w:fill="auto"/>
            <w:noWrap/>
            <w:vAlign w:val="center"/>
            <w:hideMark/>
          </w:tcPr>
          <w:p w14:paraId="26ECBCCE"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314</w:t>
            </w:r>
          </w:p>
        </w:tc>
        <w:tc>
          <w:tcPr>
            <w:tcW w:w="1132" w:type="dxa"/>
            <w:shd w:val="clear" w:color="auto" w:fill="auto"/>
            <w:noWrap/>
            <w:vAlign w:val="center"/>
            <w:hideMark/>
          </w:tcPr>
          <w:p w14:paraId="6313FB15"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376</w:t>
            </w:r>
          </w:p>
        </w:tc>
        <w:tc>
          <w:tcPr>
            <w:tcW w:w="1057" w:type="dxa"/>
            <w:shd w:val="clear" w:color="auto" w:fill="auto"/>
            <w:noWrap/>
            <w:vAlign w:val="center"/>
            <w:hideMark/>
          </w:tcPr>
          <w:p w14:paraId="10944314"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440</w:t>
            </w:r>
          </w:p>
        </w:tc>
        <w:tc>
          <w:tcPr>
            <w:tcW w:w="1057" w:type="dxa"/>
            <w:shd w:val="clear" w:color="auto" w:fill="auto"/>
            <w:noWrap/>
            <w:vAlign w:val="center"/>
            <w:hideMark/>
          </w:tcPr>
          <w:p w14:paraId="22DDFFB4"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491</w:t>
            </w:r>
          </w:p>
        </w:tc>
      </w:tr>
      <w:tr w:rsidR="00FE1848" w:rsidRPr="00FE1848" w14:paraId="5854EC02" w14:textId="77777777" w:rsidTr="008863ED">
        <w:trPr>
          <w:trHeight w:val="300"/>
        </w:trPr>
        <w:tc>
          <w:tcPr>
            <w:tcW w:w="3546" w:type="dxa"/>
            <w:shd w:val="clear" w:color="auto" w:fill="auto"/>
            <w:vAlign w:val="bottom"/>
            <w:hideMark/>
          </w:tcPr>
          <w:p w14:paraId="65420BB4" w14:textId="5E7A85CF" w:rsidR="00FE1848" w:rsidRPr="00FE1848" w:rsidRDefault="00FE1848" w:rsidP="00FE1848">
            <w:pPr>
              <w:spacing w:after="0"/>
              <w:rPr>
                <w:rFonts w:ascii="Calibri" w:eastAsia="Times New Roman" w:hAnsi="Calibri" w:cs="Times New Roman"/>
                <w:sz w:val="20"/>
                <w:szCs w:val="20"/>
              </w:rPr>
            </w:pPr>
            <w:r w:rsidRPr="00FE1848">
              <w:rPr>
                <w:rFonts w:ascii="Calibri" w:eastAsia="Times New Roman" w:hAnsi="Calibri" w:cs="Times New Roman"/>
                <w:sz w:val="20"/>
                <w:szCs w:val="20"/>
              </w:rPr>
              <w:t>5 mg</w:t>
            </w:r>
            <w:r w:rsidR="00AF70C5">
              <w:rPr>
                <w:rFonts w:ascii="Calibri" w:eastAsia="Times New Roman" w:hAnsi="Calibri" w:cs="Times New Roman"/>
                <w:sz w:val="20"/>
                <w:szCs w:val="20"/>
              </w:rPr>
              <w:t xml:space="preserve"> prescriptions</w:t>
            </w:r>
          </w:p>
        </w:tc>
        <w:tc>
          <w:tcPr>
            <w:tcW w:w="1132" w:type="dxa"/>
            <w:shd w:val="clear" w:color="auto" w:fill="auto"/>
            <w:noWrap/>
            <w:vAlign w:val="center"/>
            <w:hideMark/>
          </w:tcPr>
          <w:p w14:paraId="31C7E124"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332</w:t>
            </w:r>
          </w:p>
        </w:tc>
        <w:tc>
          <w:tcPr>
            <w:tcW w:w="1132" w:type="dxa"/>
            <w:shd w:val="clear" w:color="auto" w:fill="auto"/>
            <w:noWrap/>
            <w:vAlign w:val="center"/>
            <w:hideMark/>
          </w:tcPr>
          <w:p w14:paraId="5C14F95E"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745</w:t>
            </w:r>
          </w:p>
        </w:tc>
        <w:tc>
          <w:tcPr>
            <w:tcW w:w="1132" w:type="dxa"/>
            <w:shd w:val="clear" w:color="auto" w:fill="auto"/>
            <w:noWrap/>
            <w:vAlign w:val="center"/>
            <w:hideMark/>
          </w:tcPr>
          <w:p w14:paraId="2BAF7C71"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894</w:t>
            </w:r>
          </w:p>
        </w:tc>
        <w:tc>
          <w:tcPr>
            <w:tcW w:w="1057" w:type="dxa"/>
            <w:shd w:val="clear" w:color="auto" w:fill="auto"/>
            <w:noWrap/>
            <w:vAlign w:val="center"/>
            <w:hideMark/>
          </w:tcPr>
          <w:p w14:paraId="0645C71B" w14:textId="7FC7A784"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1</w:t>
            </w:r>
            <w:r w:rsidR="00902372">
              <w:rPr>
                <w:rFonts w:ascii="Calibri" w:eastAsia="Times New Roman" w:hAnsi="Calibri" w:cs="Times New Roman"/>
                <w:sz w:val="20"/>
                <w:szCs w:val="20"/>
              </w:rPr>
              <w:t>,</w:t>
            </w:r>
            <w:r w:rsidRPr="00FE1848">
              <w:rPr>
                <w:rFonts w:ascii="Calibri" w:eastAsia="Times New Roman" w:hAnsi="Calibri" w:cs="Times New Roman"/>
                <w:sz w:val="20"/>
                <w:szCs w:val="20"/>
              </w:rPr>
              <w:t>046</w:t>
            </w:r>
          </w:p>
        </w:tc>
        <w:tc>
          <w:tcPr>
            <w:tcW w:w="1057" w:type="dxa"/>
            <w:shd w:val="clear" w:color="auto" w:fill="auto"/>
            <w:noWrap/>
            <w:vAlign w:val="center"/>
            <w:hideMark/>
          </w:tcPr>
          <w:p w14:paraId="3DF4184C" w14:textId="32ABB190"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1</w:t>
            </w:r>
            <w:r w:rsidR="00902372">
              <w:rPr>
                <w:rFonts w:ascii="Calibri" w:eastAsia="Times New Roman" w:hAnsi="Calibri" w:cs="Times New Roman"/>
                <w:sz w:val="20"/>
                <w:szCs w:val="20"/>
              </w:rPr>
              <w:t>,</w:t>
            </w:r>
            <w:r w:rsidRPr="00FE1848">
              <w:rPr>
                <w:rFonts w:ascii="Calibri" w:eastAsia="Times New Roman" w:hAnsi="Calibri" w:cs="Times New Roman"/>
                <w:sz w:val="20"/>
                <w:szCs w:val="20"/>
              </w:rPr>
              <w:t>167</w:t>
            </w:r>
          </w:p>
        </w:tc>
      </w:tr>
      <w:tr w:rsidR="00FE1848" w:rsidRPr="00FE1848" w14:paraId="3AFBBC5E" w14:textId="77777777" w:rsidTr="008863ED">
        <w:trPr>
          <w:trHeight w:val="300"/>
        </w:trPr>
        <w:tc>
          <w:tcPr>
            <w:tcW w:w="3546" w:type="dxa"/>
            <w:shd w:val="clear" w:color="auto" w:fill="auto"/>
            <w:vAlign w:val="bottom"/>
            <w:hideMark/>
          </w:tcPr>
          <w:p w14:paraId="4CEEDEBE" w14:textId="4DC028F7" w:rsidR="00FE1848" w:rsidRPr="00FE1848" w:rsidRDefault="00FE1848" w:rsidP="00FE1848">
            <w:pPr>
              <w:spacing w:after="0"/>
              <w:rPr>
                <w:rFonts w:ascii="Calibri" w:eastAsia="Times New Roman" w:hAnsi="Calibri" w:cs="Times New Roman"/>
                <w:sz w:val="20"/>
                <w:szCs w:val="20"/>
              </w:rPr>
            </w:pPr>
            <w:r w:rsidRPr="00FE1848">
              <w:rPr>
                <w:rFonts w:ascii="Calibri" w:eastAsia="Times New Roman" w:hAnsi="Calibri" w:cs="Times New Roman"/>
                <w:sz w:val="20"/>
                <w:szCs w:val="20"/>
              </w:rPr>
              <w:t>10 mg</w:t>
            </w:r>
            <w:r w:rsidR="00AF70C5">
              <w:rPr>
                <w:rFonts w:ascii="Calibri" w:eastAsia="Times New Roman" w:hAnsi="Calibri" w:cs="Times New Roman"/>
                <w:sz w:val="20"/>
                <w:szCs w:val="20"/>
              </w:rPr>
              <w:t xml:space="preserve"> prescriptions</w:t>
            </w:r>
          </w:p>
        </w:tc>
        <w:tc>
          <w:tcPr>
            <w:tcW w:w="1132" w:type="dxa"/>
            <w:shd w:val="clear" w:color="auto" w:fill="auto"/>
            <w:noWrap/>
            <w:vAlign w:val="center"/>
            <w:hideMark/>
          </w:tcPr>
          <w:p w14:paraId="02E40CF3"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17</w:t>
            </w:r>
          </w:p>
        </w:tc>
        <w:tc>
          <w:tcPr>
            <w:tcW w:w="1132" w:type="dxa"/>
            <w:shd w:val="clear" w:color="auto" w:fill="auto"/>
            <w:noWrap/>
            <w:vAlign w:val="center"/>
            <w:hideMark/>
          </w:tcPr>
          <w:p w14:paraId="01D1654D"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39</w:t>
            </w:r>
          </w:p>
        </w:tc>
        <w:tc>
          <w:tcPr>
            <w:tcW w:w="1132" w:type="dxa"/>
            <w:shd w:val="clear" w:color="auto" w:fill="auto"/>
            <w:noWrap/>
            <w:vAlign w:val="center"/>
            <w:hideMark/>
          </w:tcPr>
          <w:p w14:paraId="5927F618"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47</w:t>
            </w:r>
          </w:p>
        </w:tc>
        <w:tc>
          <w:tcPr>
            <w:tcW w:w="1057" w:type="dxa"/>
            <w:shd w:val="clear" w:color="auto" w:fill="auto"/>
            <w:noWrap/>
            <w:vAlign w:val="center"/>
            <w:hideMark/>
          </w:tcPr>
          <w:p w14:paraId="6D18CD41"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55</w:t>
            </w:r>
          </w:p>
        </w:tc>
        <w:tc>
          <w:tcPr>
            <w:tcW w:w="1057" w:type="dxa"/>
            <w:shd w:val="clear" w:color="auto" w:fill="auto"/>
            <w:noWrap/>
            <w:vAlign w:val="center"/>
            <w:hideMark/>
          </w:tcPr>
          <w:p w14:paraId="6B87274E"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61</w:t>
            </w:r>
          </w:p>
        </w:tc>
      </w:tr>
      <w:tr w:rsidR="00FE1848" w:rsidRPr="00FE1848" w14:paraId="49F4915F" w14:textId="77777777" w:rsidTr="008863ED">
        <w:trPr>
          <w:trHeight w:val="300"/>
        </w:trPr>
        <w:tc>
          <w:tcPr>
            <w:tcW w:w="3546" w:type="dxa"/>
            <w:shd w:val="clear" w:color="auto" w:fill="auto"/>
            <w:vAlign w:val="bottom"/>
            <w:hideMark/>
          </w:tcPr>
          <w:p w14:paraId="667644AD" w14:textId="77777777" w:rsidR="00FE1848" w:rsidRPr="00FE1848" w:rsidRDefault="00FE1848" w:rsidP="00FE1848">
            <w:pPr>
              <w:spacing w:after="0"/>
              <w:rPr>
                <w:rFonts w:ascii="Calibri" w:eastAsia="Times New Roman" w:hAnsi="Calibri" w:cs="Times New Roman"/>
                <w:sz w:val="20"/>
                <w:szCs w:val="20"/>
              </w:rPr>
            </w:pPr>
            <w:r w:rsidRPr="00FE1848">
              <w:rPr>
                <w:rFonts w:ascii="Calibri" w:eastAsia="Times New Roman" w:hAnsi="Calibri" w:cs="Times New Roman"/>
                <w:sz w:val="20"/>
                <w:szCs w:val="20"/>
              </w:rPr>
              <w:t>Total packs per year</w:t>
            </w:r>
          </w:p>
        </w:tc>
        <w:tc>
          <w:tcPr>
            <w:tcW w:w="1132" w:type="dxa"/>
            <w:shd w:val="clear" w:color="auto" w:fill="auto"/>
            <w:noWrap/>
            <w:vAlign w:val="center"/>
            <w:hideMark/>
          </w:tcPr>
          <w:p w14:paraId="62359B94"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489</w:t>
            </w:r>
          </w:p>
        </w:tc>
        <w:tc>
          <w:tcPr>
            <w:tcW w:w="1132" w:type="dxa"/>
            <w:shd w:val="clear" w:color="auto" w:fill="auto"/>
            <w:noWrap/>
            <w:vAlign w:val="center"/>
            <w:hideMark/>
          </w:tcPr>
          <w:p w14:paraId="3D9E6AD6" w14:textId="0BF1D998"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1</w:t>
            </w:r>
            <w:r w:rsidR="00902372">
              <w:rPr>
                <w:rFonts w:ascii="Calibri" w:eastAsia="Times New Roman" w:hAnsi="Calibri" w:cs="Times New Roman"/>
                <w:sz w:val="20"/>
                <w:szCs w:val="20"/>
              </w:rPr>
              <w:t>,</w:t>
            </w:r>
            <w:r w:rsidRPr="00FE1848">
              <w:rPr>
                <w:rFonts w:ascii="Calibri" w:eastAsia="Times New Roman" w:hAnsi="Calibri" w:cs="Times New Roman"/>
                <w:sz w:val="20"/>
                <w:szCs w:val="20"/>
              </w:rPr>
              <w:t>098</w:t>
            </w:r>
          </w:p>
        </w:tc>
        <w:tc>
          <w:tcPr>
            <w:tcW w:w="1132" w:type="dxa"/>
            <w:shd w:val="clear" w:color="auto" w:fill="auto"/>
            <w:noWrap/>
            <w:vAlign w:val="center"/>
            <w:hideMark/>
          </w:tcPr>
          <w:p w14:paraId="01756711" w14:textId="58354C8C"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1</w:t>
            </w:r>
            <w:r w:rsidR="00902372">
              <w:rPr>
                <w:rFonts w:ascii="Calibri" w:eastAsia="Times New Roman" w:hAnsi="Calibri" w:cs="Times New Roman"/>
                <w:sz w:val="20"/>
                <w:szCs w:val="20"/>
              </w:rPr>
              <w:t>,</w:t>
            </w:r>
            <w:r w:rsidRPr="00FE1848">
              <w:rPr>
                <w:rFonts w:ascii="Calibri" w:eastAsia="Times New Roman" w:hAnsi="Calibri" w:cs="Times New Roman"/>
                <w:sz w:val="20"/>
                <w:szCs w:val="20"/>
              </w:rPr>
              <w:t>317</w:t>
            </w:r>
          </w:p>
        </w:tc>
        <w:tc>
          <w:tcPr>
            <w:tcW w:w="1057" w:type="dxa"/>
            <w:shd w:val="clear" w:color="auto" w:fill="auto"/>
            <w:noWrap/>
            <w:vAlign w:val="center"/>
            <w:hideMark/>
          </w:tcPr>
          <w:p w14:paraId="0FFFAA0E" w14:textId="0FC676C5"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1</w:t>
            </w:r>
            <w:r w:rsidR="00902372">
              <w:rPr>
                <w:rFonts w:ascii="Calibri" w:eastAsia="Times New Roman" w:hAnsi="Calibri" w:cs="Times New Roman"/>
                <w:sz w:val="20"/>
                <w:szCs w:val="20"/>
              </w:rPr>
              <w:t>,</w:t>
            </w:r>
            <w:r w:rsidRPr="00FE1848">
              <w:rPr>
                <w:rFonts w:ascii="Calibri" w:eastAsia="Times New Roman" w:hAnsi="Calibri" w:cs="Times New Roman"/>
                <w:sz w:val="20"/>
                <w:szCs w:val="20"/>
              </w:rPr>
              <w:t>541</w:t>
            </w:r>
          </w:p>
        </w:tc>
        <w:tc>
          <w:tcPr>
            <w:tcW w:w="1057" w:type="dxa"/>
            <w:shd w:val="clear" w:color="auto" w:fill="auto"/>
            <w:noWrap/>
            <w:vAlign w:val="center"/>
            <w:hideMark/>
          </w:tcPr>
          <w:p w14:paraId="5E2B9B60" w14:textId="4BC72A39"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1</w:t>
            </w:r>
            <w:r w:rsidR="00902372">
              <w:rPr>
                <w:rFonts w:ascii="Calibri" w:eastAsia="Times New Roman" w:hAnsi="Calibri" w:cs="Times New Roman"/>
                <w:sz w:val="20"/>
                <w:szCs w:val="20"/>
              </w:rPr>
              <w:t>,</w:t>
            </w:r>
            <w:r w:rsidRPr="00FE1848">
              <w:rPr>
                <w:rFonts w:ascii="Calibri" w:eastAsia="Times New Roman" w:hAnsi="Calibri" w:cs="Times New Roman"/>
                <w:sz w:val="20"/>
                <w:szCs w:val="20"/>
              </w:rPr>
              <w:t>720</w:t>
            </w:r>
          </w:p>
        </w:tc>
      </w:tr>
      <w:tr w:rsidR="00FE1848" w:rsidRPr="00FE1848" w14:paraId="577EC1E4" w14:textId="77777777" w:rsidTr="00FE1848">
        <w:trPr>
          <w:trHeight w:val="310"/>
        </w:trPr>
        <w:tc>
          <w:tcPr>
            <w:tcW w:w="9056" w:type="dxa"/>
            <w:gridSpan w:val="6"/>
            <w:shd w:val="clear" w:color="auto" w:fill="BFBFBF" w:themeFill="background1" w:themeFillShade="BF"/>
            <w:vAlign w:val="bottom"/>
            <w:hideMark/>
          </w:tcPr>
          <w:p w14:paraId="367F94DD" w14:textId="5A758B36" w:rsidR="00FE1848" w:rsidRPr="00FE1848" w:rsidRDefault="00FE1848" w:rsidP="00FE1848">
            <w:pPr>
              <w:spacing w:after="0"/>
              <w:rPr>
                <w:rFonts w:ascii="Calibri" w:eastAsia="Times New Roman" w:hAnsi="Calibri" w:cs="Times New Roman"/>
                <w:sz w:val="20"/>
                <w:szCs w:val="20"/>
              </w:rPr>
            </w:pPr>
            <w:r w:rsidRPr="00FE1848">
              <w:rPr>
                <w:rFonts w:ascii="Calibri" w:eastAsia="Times New Roman" w:hAnsi="Calibri" w:cs="Times New Roman"/>
                <w:sz w:val="20"/>
                <w:szCs w:val="20"/>
              </w:rPr>
              <w:t>Estimates of use for SEGA and vi</w:t>
            </w:r>
            <w:r w:rsidR="00E630A1">
              <w:rPr>
                <w:rFonts w:ascii="Calibri" w:eastAsia="Times New Roman" w:hAnsi="Calibri" w:cs="Times New Roman"/>
                <w:sz w:val="20"/>
                <w:szCs w:val="20"/>
              </w:rPr>
              <w:t>s</w:t>
            </w:r>
            <w:r w:rsidRPr="00FE1848">
              <w:rPr>
                <w:rFonts w:ascii="Calibri" w:eastAsia="Times New Roman" w:hAnsi="Calibri" w:cs="Times New Roman"/>
                <w:sz w:val="20"/>
                <w:szCs w:val="20"/>
              </w:rPr>
              <w:t>ceral tumours</w:t>
            </w:r>
          </w:p>
        </w:tc>
      </w:tr>
      <w:tr w:rsidR="00FE1848" w:rsidRPr="00FE1848" w14:paraId="671A7F1C" w14:textId="77777777" w:rsidTr="008863ED">
        <w:trPr>
          <w:trHeight w:val="300"/>
        </w:trPr>
        <w:tc>
          <w:tcPr>
            <w:tcW w:w="3546" w:type="dxa"/>
            <w:shd w:val="clear" w:color="auto" w:fill="auto"/>
            <w:noWrap/>
            <w:vAlign w:val="bottom"/>
            <w:hideMark/>
          </w:tcPr>
          <w:p w14:paraId="34E13F57" w14:textId="77777777" w:rsidR="00FE1848" w:rsidRPr="00FE1848" w:rsidRDefault="00FE1848" w:rsidP="00FE1848">
            <w:pPr>
              <w:spacing w:after="0"/>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 xml:space="preserve">Total number of patients treated per year </w:t>
            </w:r>
          </w:p>
        </w:tc>
        <w:tc>
          <w:tcPr>
            <w:tcW w:w="1132" w:type="dxa"/>
            <w:shd w:val="clear" w:color="auto" w:fill="auto"/>
            <w:noWrap/>
            <w:vAlign w:val="center"/>
            <w:hideMark/>
          </w:tcPr>
          <w:p w14:paraId="4047BB95" w14:textId="77777777" w:rsidR="00FE1848" w:rsidRPr="00FE1848" w:rsidRDefault="00FE1848" w:rsidP="008863ED">
            <w:pPr>
              <w:spacing w:after="0"/>
              <w:jc w:val="right"/>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93</w:t>
            </w:r>
          </w:p>
        </w:tc>
        <w:tc>
          <w:tcPr>
            <w:tcW w:w="1132" w:type="dxa"/>
            <w:shd w:val="clear" w:color="auto" w:fill="auto"/>
            <w:noWrap/>
            <w:vAlign w:val="center"/>
            <w:hideMark/>
          </w:tcPr>
          <w:p w14:paraId="1AF407D7" w14:textId="77777777" w:rsidR="00FE1848" w:rsidRPr="00FE1848" w:rsidRDefault="00FE1848" w:rsidP="008863ED">
            <w:pPr>
              <w:spacing w:after="0"/>
              <w:jc w:val="right"/>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172</w:t>
            </w:r>
          </w:p>
        </w:tc>
        <w:tc>
          <w:tcPr>
            <w:tcW w:w="1132" w:type="dxa"/>
            <w:shd w:val="clear" w:color="auto" w:fill="auto"/>
            <w:noWrap/>
            <w:vAlign w:val="center"/>
            <w:hideMark/>
          </w:tcPr>
          <w:p w14:paraId="1EDD8C3D" w14:textId="77777777" w:rsidR="00FE1848" w:rsidRPr="00FE1848" w:rsidRDefault="00FE1848" w:rsidP="008863ED">
            <w:pPr>
              <w:spacing w:after="0"/>
              <w:jc w:val="right"/>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228</w:t>
            </w:r>
          </w:p>
        </w:tc>
        <w:tc>
          <w:tcPr>
            <w:tcW w:w="1057" w:type="dxa"/>
            <w:shd w:val="clear" w:color="auto" w:fill="auto"/>
            <w:noWrap/>
            <w:vAlign w:val="center"/>
            <w:hideMark/>
          </w:tcPr>
          <w:p w14:paraId="3459BE6D" w14:textId="77777777" w:rsidR="00FE1848" w:rsidRPr="00FE1848" w:rsidRDefault="00FE1848" w:rsidP="008863ED">
            <w:pPr>
              <w:spacing w:after="0"/>
              <w:jc w:val="right"/>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236</w:t>
            </w:r>
          </w:p>
        </w:tc>
        <w:tc>
          <w:tcPr>
            <w:tcW w:w="1057" w:type="dxa"/>
            <w:shd w:val="clear" w:color="auto" w:fill="auto"/>
            <w:noWrap/>
            <w:vAlign w:val="center"/>
            <w:hideMark/>
          </w:tcPr>
          <w:p w14:paraId="71EB3343" w14:textId="77777777" w:rsidR="00FE1848" w:rsidRPr="00FE1848" w:rsidRDefault="00FE1848" w:rsidP="008863ED">
            <w:pPr>
              <w:spacing w:after="0"/>
              <w:jc w:val="right"/>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248</w:t>
            </w:r>
          </w:p>
        </w:tc>
      </w:tr>
      <w:tr w:rsidR="00FE1848" w:rsidRPr="00FE1848" w14:paraId="648C97E1" w14:textId="77777777" w:rsidTr="008863ED">
        <w:trPr>
          <w:trHeight w:val="300"/>
        </w:trPr>
        <w:tc>
          <w:tcPr>
            <w:tcW w:w="3546" w:type="dxa"/>
            <w:shd w:val="clear" w:color="auto" w:fill="auto"/>
            <w:vAlign w:val="bottom"/>
            <w:hideMark/>
          </w:tcPr>
          <w:p w14:paraId="7E8B330E" w14:textId="36103C33" w:rsidR="00FE1848" w:rsidRPr="00FE1848" w:rsidRDefault="00FE1848" w:rsidP="00FE1848">
            <w:pPr>
              <w:spacing w:after="0"/>
              <w:rPr>
                <w:rFonts w:ascii="Calibri" w:eastAsia="Times New Roman" w:hAnsi="Calibri" w:cs="Times New Roman"/>
                <w:sz w:val="20"/>
                <w:szCs w:val="20"/>
              </w:rPr>
            </w:pPr>
            <w:r w:rsidRPr="00FE1848">
              <w:rPr>
                <w:rFonts w:ascii="Calibri" w:eastAsia="Times New Roman" w:hAnsi="Calibri" w:cs="Times New Roman"/>
                <w:sz w:val="20"/>
                <w:szCs w:val="20"/>
              </w:rPr>
              <w:t>2.5 mg</w:t>
            </w:r>
            <w:r w:rsidR="00B30142">
              <w:rPr>
                <w:rFonts w:ascii="Calibri" w:eastAsia="Times New Roman" w:hAnsi="Calibri" w:cs="Times New Roman"/>
                <w:sz w:val="20"/>
                <w:szCs w:val="20"/>
              </w:rPr>
              <w:t xml:space="preserve"> prescriptions</w:t>
            </w:r>
          </w:p>
        </w:tc>
        <w:tc>
          <w:tcPr>
            <w:tcW w:w="1132" w:type="dxa"/>
            <w:shd w:val="clear" w:color="auto" w:fill="auto"/>
            <w:noWrap/>
            <w:vAlign w:val="center"/>
            <w:hideMark/>
          </w:tcPr>
          <w:p w14:paraId="3D3290C7"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94</w:t>
            </w:r>
          </w:p>
        </w:tc>
        <w:tc>
          <w:tcPr>
            <w:tcW w:w="1132" w:type="dxa"/>
            <w:shd w:val="clear" w:color="auto" w:fill="auto"/>
            <w:noWrap/>
            <w:vAlign w:val="center"/>
            <w:hideMark/>
          </w:tcPr>
          <w:p w14:paraId="57E90353"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174</w:t>
            </w:r>
          </w:p>
        </w:tc>
        <w:tc>
          <w:tcPr>
            <w:tcW w:w="1132" w:type="dxa"/>
            <w:shd w:val="clear" w:color="auto" w:fill="auto"/>
            <w:noWrap/>
            <w:vAlign w:val="center"/>
            <w:hideMark/>
          </w:tcPr>
          <w:p w14:paraId="2131699C"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232</w:t>
            </w:r>
          </w:p>
        </w:tc>
        <w:tc>
          <w:tcPr>
            <w:tcW w:w="1057" w:type="dxa"/>
            <w:shd w:val="clear" w:color="auto" w:fill="auto"/>
            <w:noWrap/>
            <w:vAlign w:val="center"/>
            <w:hideMark/>
          </w:tcPr>
          <w:p w14:paraId="7FAD5312"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240</w:t>
            </w:r>
          </w:p>
        </w:tc>
        <w:tc>
          <w:tcPr>
            <w:tcW w:w="1057" w:type="dxa"/>
            <w:shd w:val="clear" w:color="auto" w:fill="auto"/>
            <w:noWrap/>
            <w:vAlign w:val="center"/>
            <w:hideMark/>
          </w:tcPr>
          <w:p w14:paraId="3758CBBB"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252</w:t>
            </w:r>
          </w:p>
        </w:tc>
      </w:tr>
      <w:tr w:rsidR="00FE1848" w:rsidRPr="00FE1848" w14:paraId="167217C0" w14:textId="77777777" w:rsidTr="008863ED">
        <w:trPr>
          <w:trHeight w:val="300"/>
        </w:trPr>
        <w:tc>
          <w:tcPr>
            <w:tcW w:w="3546" w:type="dxa"/>
            <w:shd w:val="clear" w:color="auto" w:fill="auto"/>
            <w:vAlign w:val="bottom"/>
            <w:hideMark/>
          </w:tcPr>
          <w:p w14:paraId="00AB6F81" w14:textId="6FD70D8E" w:rsidR="00FE1848" w:rsidRPr="00FE1848" w:rsidRDefault="00FE1848" w:rsidP="00FE1848">
            <w:pPr>
              <w:spacing w:after="0"/>
              <w:rPr>
                <w:rFonts w:ascii="Calibri" w:eastAsia="Times New Roman" w:hAnsi="Calibri" w:cs="Times New Roman"/>
                <w:sz w:val="20"/>
                <w:szCs w:val="20"/>
              </w:rPr>
            </w:pPr>
            <w:r w:rsidRPr="00FE1848">
              <w:rPr>
                <w:rFonts w:ascii="Calibri" w:eastAsia="Times New Roman" w:hAnsi="Calibri" w:cs="Times New Roman"/>
                <w:sz w:val="20"/>
                <w:szCs w:val="20"/>
              </w:rPr>
              <w:t>5 mg</w:t>
            </w:r>
            <w:r w:rsidR="00B30142">
              <w:rPr>
                <w:rFonts w:ascii="Calibri" w:eastAsia="Times New Roman" w:hAnsi="Calibri" w:cs="Times New Roman"/>
                <w:sz w:val="20"/>
                <w:szCs w:val="20"/>
              </w:rPr>
              <w:t xml:space="preserve"> prescriptions</w:t>
            </w:r>
          </w:p>
        </w:tc>
        <w:tc>
          <w:tcPr>
            <w:tcW w:w="1132" w:type="dxa"/>
            <w:shd w:val="clear" w:color="auto" w:fill="auto"/>
            <w:noWrap/>
            <w:vAlign w:val="center"/>
            <w:hideMark/>
          </w:tcPr>
          <w:p w14:paraId="4BE15665"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165</w:t>
            </w:r>
          </w:p>
        </w:tc>
        <w:tc>
          <w:tcPr>
            <w:tcW w:w="1132" w:type="dxa"/>
            <w:shd w:val="clear" w:color="auto" w:fill="auto"/>
            <w:noWrap/>
            <w:vAlign w:val="center"/>
            <w:hideMark/>
          </w:tcPr>
          <w:p w14:paraId="1EBC32D1"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305</w:t>
            </w:r>
          </w:p>
        </w:tc>
        <w:tc>
          <w:tcPr>
            <w:tcW w:w="1132" w:type="dxa"/>
            <w:shd w:val="clear" w:color="auto" w:fill="auto"/>
            <w:noWrap/>
            <w:vAlign w:val="center"/>
            <w:hideMark/>
          </w:tcPr>
          <w:p w14:paraId="34F63DDD"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406</w:t>
            </w:r>
          </w:p>
        </w:tc>
        <w:tc>
          <w:tcPr>
            <w:tcW w:w="1057" w:type="dxa"/>
            <w:shd w:val="clear" w:color="auto" w:fill="auto"/>
            <w:noWrap/>
            <w:vAlign w:val="center"/>
            <w:hideMark/>
          </w:tcPr>
          <w:p w14:paraId="65B01B21"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420</w:t>
            </w:r>
          </w:p>
        </w:tc>
        <w:tc>
          <w:tcPr>
            <w:tcW w:w="1057" w:type="dxa"/>
            <w:shd w:val="clear" w:color="auto" w:fill="auto"/>
            <w:noWrap/>
            <w:vAlign w:val="center"/>
            <w:hideMark/>
          </w:tcPr>
          <w:p w14:paraId="300DA4A5"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441</w:t>
            </w:r>
          </w:p>
        </w:tc>
      </w:tr>
      <w:tr w:rsidR="00FE1848" w:rsidRPr="00FE1848" w14:paraId="18799B45" w14:textId="77777777" w:rsidTr="008863ED">
        <w:trPr>
          <w:trHeight w:val="300"/>
        </w:trPr>
        <w:tc>
          <w:tcPr>
            <w:tcW w:w="3546" w:type="dxa"/>
            <w:shd w:val="clear" w:color="auto" w:fill="auto"/>
            <w:vAlign w:val="bottom"/>
            <w:hideMark/>
          </w:tcPr>
          <w:p w14:paraId="3205D101" w14:textId="2C88A9A3" w:rsidR="00FE1848" w:rsidRPr="00FE1848" w:rsidRDefault="00FE1848" w:rsidP="00FE1848">
            <w:pPr>
              <w:spacing w:after="0"/>
              <w:rPr>
                <w:rFonts w:ascii="Calibri" w:eastAsia="Times New Roman" w:hAnsi="Calibri" w:cs="Times New Roman"/>
                <w:sz w:val="20"/>
                <w:szCs w:val="20"/>
              </w:rPr>
            </w:pPr>
            <w:r w:rsidRPr="00FE1848">
              <w:rPr>
                <w:rFonts w:ascii="Calibri" w:eastAsia="Times New Roman" w:hAnsi="Calibri" w:cs="Times New Roman"/>
                <w:sz w:val="20"/>
                <w:szCs w:val="20"/>
              </w:rPr>
              <w:t>10 mg</w:t>
            </w:r>
            <w:r w:rsidR="00B30142">
              <w:rPr>
                <w:rFonts w:ascii="Calibri" w:eastAsia="Times New Roman" w:hAnsi="Calibri" w:cs="Times New Roman"/>
                <w:sz w:val="20"/>
                <w:szCs w:val="20"/>
              </w:rPr>
              <w:t xml:space="preserve"> prescriptions</w:t>
            </w:r>
          </w:p>
        </w:tc>
        <w:tc>
          <w:tcPr>
            <w:tcW w:w="1132" w:type="dxa"/>
            <w:shd w:val="clear" w:color="auto" w:fill="auto"/>
            <w:noWrap/>
            <w:vAlign w:val="center"/>
            <w:hideMark/>
          </w:tcPr>
          <w:p w14:paraId="242FEC4E"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283</w:t>
            </w:r>
          </w:p>
        </w:tc>
        <w:tc>
          <w:tcPr>
            <w:tcW w:w="1132" w:type="dxa"/>
            <w:shd w:val="clear" w:color="auto" w:fill="auto"/>
            <w:noWrap/>
            <w:vAlign w:val="center"/>
            <w:hideMark/>
          </w:tcPr>
          <w:p w14:paraId="5D89371D"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522</w:t>
            </w:r>
          </w:p>
        </w:tc>
        <w:tc>
          <w:tcPr>
            <w:tcW w:w="1132" w:type="dxa"/>
            <w:shd w:val="clear" w:color="auto" w:fill="auto"/>
            <w:noWrap/>
            <w:vAlign w:val="center"/>
            <w:hideMark/>
          </w:tcPr>
          <w:p w14:paraId="74143803"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695</w:t>
            </w:r>
          </w:p>
        </w:tc>
        <w:tc>
          <w:tcPr>
            <w:tcW w:w="1057" w:type="dxa"/>
            <w:shd w:val="clear" w:color="auto" w:fill="auto"/>
            <w:noWrap/>
            <w:vAlign w:val="center"/>
            <w:hideMark/>
          </w:tcPr>
          <w:p w14:paraId="46B5BB2F"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720</w:t>
            </w:r>
          </w:p>
        </w:tc>
        <w:tc>
          <w:tcPr>
            <w:tcW w:w="1057" w:type="dxa"/>
            <w:shd w:val="clear" w:color="auto" w:fill="auto"/>
            <w:noWrap/>
            <w:vAlign w:val="center"/>
            <w:hideMark/>
          </w:tcPr>
          <w:p w14:paraId="44DAC9B9"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756</w:t>
            </w:r>
          </w:p>
        </w:tc>
      </w:tr>
      <w:tr w:rsidR="00FE1848" w:rsidRPr="00FE1848" w14:paraId="6F776615" w14:textId="77777777" w:rsidTr="008863ED">
        <w:trPr>
          <w:trHeight w:val="300"/>
        </w:trPr>
        <w:tc>
          <w:tcPr>
            <w:tcW w:w="3546" w:type="dxa"/>
            <w:shd w:val="clear" w:color="auto" w:fill="auto"/>
            <w:vAlign w:val="bottom"/>
            <w:hideMark/>
          </w:tcPr>
          <w:p w14:paraId="0C467079" w14:textId="77777777" w:rsidR="00FE1848" w:rsidRPr="00FE1848" w:rsidRDefault="00FE1848" w:rsidP="00FE1848">
            <w:pPr>
              <w:spacing w:after="0"/>
              <w:rPr>
                <w:rFonts w:ascii="Calibri" w:eastAsia="Times New Roman" w:hAnsi="Calibri" w:cs="Times New Roman"/>
                <w:sz w:val="20"/>
                <w:szCs w:val="20"/>
              </w:rPr>
            </w:pPr>
            <w:r w:rsidRPr="00FE1848">
              <w:rPr>
                <w:rFonts w:ascii="Calibri" w:eastAsia="Times New Roman" w:hAnsi="Calibri" w:cs="Times New Roman"/>
                <w:sz w:val="20"/>
                <w:szCs w:val="20"/>
              </w:rPr>
              <w:t>Total packs per year</w:t>
            </w:r>
          </w:p>
        </w:tc>
        <w:tc>
          <w:tcPr>
            <w:tcW w:w="1132" w:type="dxa"/>
            <w:shd w:val="clear" w:color="auto" w:fill="auto"/>
            <w:noWrap/>
            <w:vAlign w:val="center"/>
            <w:hideMark/>
          </w:tcPr>
          <w:p w14:paraId="05559399" w14:textId="7777777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543</w:t>
            </w:r>
          </w:p>
        </w:tc>
        <w:tc>
          <w:tcPr>
            <w:tcW w:w="1132" w:type="dxa"/>
            <w:shd w:val="clear" w:color="auto" w:fill="auto"/>
            <w:noWrap/>
            <w:vAlign w:val="center"/>
            <w:hideMark/>
          </w:tcPr>
          <w:p w14:paraId="3F0C0C8E" w14:textId="77AB914B"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1</w:t>
            </w:r>
            <w:r w:rsidR="00902372">
              <w:rPr>
                <w:rFonts w:ascii="Calibri" w:eastAsia="Times New Roman" w:hAnsi="Calibri" w:cs="Times New Roman"/>
                <w:sz w:val="20"/>
                <w:szCs w:val="20"/>
              </w:rPr>
              <w:t>,</w:t>
            </w:r>
            <w:r w:rsidRPr="00FE1848">
              <w:rPr>
                <w:rFonts w:ascii="Calibri" w:eastAsia="Times New Roman" w:hAnsi="Calibri" w:cs="Times New Roman"/>
                <w:sz w:val="20"/>
                <w:szCs w:val="20"/>
              </w:rPr>
              <w:t>001</w:t>
            </w:r>
          </w:p>
        </w:tc>
        <w:tc>
          <w:tcPr>
            <w:tcW w:w="1132" w:type="dxa"/>
            <w:shd w:val="clear" w:color="auto" w:fill="auto"/>
            <w:noWrap/>
            <w:vAlign w:val="center"/>
            <w:hideMark/>
          </w:tcPr>
          <w:p w14:paraId="4C4A715C" w14:textId="661967AF"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1</w:t>
            </w:r>
            <w:r w:rsidR="00902372">
              <w:rPr>
                <w:rFonts w:ascii="Calibri" w:eastAsia="Times New Roman" w:hAnsi="Calibri" w:cs="Times New Roman"/>
                <w:sz w:val="20"/>
                <w:szCs w:val="20"/>
              </w:rPr>
              <w:t>,</w:t>
            </w:r>
            <w:r w:rsidRPr="00FE1848">
              <w:rPr>
                <w:rFonts w:ascii="Calibri" w:eastAsia="Times New Roman" w:hAnsi="Calibri" w:cs="Times New Roman"/>
                <w:sz w:val="20"/>
                <w:szCs w:val="20"/>
              </w:rPr>
              <w:t>332</w:t>
            </w:r>
          </w:p>
        </w:tc>
        <w:tc>
          <w:tcPr>
            <w:tcW w:w="1057" w:type="dxa"/>
            <w:shd w:val="clear" w:color="auto" w:fill="auto"/>
            <w:noWrap/>
            <w:vAlign w:val="center"/>
            <w:hideMark/>
          </w:tcPr>
          <w:p w14:paraId="5EEBC517" w14:textId="7273F8B7"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1</w:t>
            </w:r>
            <w:r w:rsidR="00902372">
              <w:rPr>
                <w:rFonts w:ascii="Calibri" w:eastAsia="Times New Roman" w:hAnsi="Calibri" w:cs="Times New Roman"/>
                <w:sz w:val="20"/>
                <w:szCs w:val="20"/>
              </w:rPr>
              <w:t>,</w:t>
            </w:r>
            <w:r w:rsidRPr="00FE1848">
              <w:rPr>
                <w:rFonts w:ascii="Calibri" w:eastAsia="Times New Roman" w:hAnsi="Calibri" w:cs="Times New Roman"/>
                <w:sz w:val="20"/>
                <w:szCs w:val="20"/>
              </w:rPr>
              <w:t>379</w:t>
            </w:r>
          </w:p>
        </w:tc>
        <w:tc>
          <w:tcPr>
            <w:tcW w:w="1057" w:type="dxa"/>
            <w:shd w:val="clear" w:color="auto" w:fill="auto"/>
            <w:noWrap/>
            <w:vAlign w:val="center"/>
            <w:hideMark/>
          </w:tcPr>
          <w:p w14:paraId="15F4E810" w14:textId="128E26D2" w:rsidR="00FE1848" w:rsidRPr="00FE1848" w:rsidRDefault="00FE1848" w:rsidP="008863ED">
            <w:pPr>
              <w:spacing w:after="0"/>
              <w:jc w:val="right"/>
              <w:rPr>
                <w:rFonts w:ascii="Calibri" w:eastAsia="Times New Roman" w:hAnsi="Calibri" w:cs="Times New Roman"/>
                <w:sz w:val="20"/>
                <w:szCs w:val="20"/>
              </w:rPr>
            </w:pPr>
            <w:r w:rsidRPr="00FE1848">
              <w:rPr>
                <w:rFonts w:ascii="Calibri" w:eastAsia="Times New Roman" w:hAnsi="Calibri" w:cs="Times New Roman"/>
                <w:sz w:val="20"/>
                <w:szCs w:val="20"/>
              </w:rPr>
              <w:t>1</w:t>
            </w:r>
            <w:r w:rsidR="00902372">
              <w:rPr>
                <w:rFonts w:ascii="Calibri" w:eastAsia="Times New Roman" w:hAnsi="Calibri" w:cs="Times New Roman"/>
                <w:sz w:val="20"/>
                <w:szCs w:val="20"/>
              </w:rPr>
              <w:t>,</w:t>
            </w:r>
            <w:r w:rsidRPr="00FE1848">
              <w:rPr>
                <w:rFonts w:ascii="Calibri" w:eastAsia="Times New Roman" w:hAnsi="Calibri" w:cs="Times New Roman"/>
                <w:sz w:val="20"/>
                <w:szCs w:val="20"/>
              </w:rPr>
              <w:t>449</w:t>
            </w:r>
          </w:p>
        </w:tc>
      </w:tr>
      <w:tr w:rsidR="00FE1848" w:rsidRPr="00FE1848" w14:paraId="4B4F8A20" w14:textId="77777777" w:rsidTr="00FD094F">
        <w:trPr>
          <w:trHeight w:val="300"/>
        </w:trPr>
        <w:tc>
          <w:tcPr>
            <w:tcW w:w="9056" w:type="dxa"/>
            <w:gridSpan w:val="6"/>
            <w:shd w:val="clear" w:color="auto" w:fill="BFBFBF" w:themeFill="background1" w:themeFillShade="BF"/>
            <w:vAlign w:val="bottom"/>
            <w:hideMark/>
          </w:tcPr>
          <w:p w14:paraId="28EA9B2B" w14:textId="27DAEA25" w:rsidR="00FE1848" w:rsidRPr="00FE1848" w:rsidRDefault="00FE1848" w:rsidP="00FE1848">
            <w:pPr>
              <w:spacing w:after="0"/>
              <w:rPr>
                <w:rFonts w:ascii="Calibri" w:eastAsia="Times New Roman" w:hAnsi="Calibri" w:cs="Times New Roman"/>
                <w:color w:val="000000"/>
                <w:sz w:val="20"/>
                <w:szCs w:val="20"/>
              </w:rPr>
            </w:pPr>
            <w:r w:rsidRPr="00FE1848">
              <w:rPr>
                <w:rFonts w:ascii="Calibri" w:eastAsia="Times New Roman" w:hAnsi="Calibri" w:cs="Times New Roman"/>
                <w:sz w:val="20"/>
                <w:szCs w:val="20"/>
              </w:rPr>
              <w:t>Actual use</w:t>
            </w:r>
            <w:r w:rsidR="00902372">
              <w:rPr>
                <w:rFonts w:ascii="Calibri" w:eastAsia="Times New Roman" w:hAnsi="Calibri" w:cs="Times New Roman"/>
                <w:sz w:val="20"/>
                <w:szCs w:val="20"/>
              </w:rPr>
              <w:t xml:space="preserve"> (percentage comparison to estimates for SEGA and visceral tumours)</w:t>
            </w:r>
          </w:p>
        </w:tc>
      </w:tr>
      <w:tr w:rsidR="00611A64" w:rsidRPr="00FE1848" w14:paraId="4DC901D9" w14:textId="77777777" w:rsidTr="00611A64">
        <w:trPr>
          <w:trHeight w:val="300"/>
        </w:trPr>
        <w:tc>
          <w:tcPr>
            <w:tcW w:w="3546" w:type="dxa"/>
            <w:shd w:val="clear" w:color="auto" w:fill="auto"/>
            <w:vAlign w:val="center"/>
            <w:hideMark/>
          </w:tcPr>
          <w:p w14:paraId="4572CEBB" w14:textId="77777777" w:rsidR="00611A64" w:rsidRPr="00FE1848" w:rsidRDefault="00611A64" w:rsidP="008863ED">
            <w:pPr>
              <w:spacing w:after="0"/>
              <w:rPr>
                <w:rFonts w:ascii="Calibri" w:eastAsia="Times New Roman" w:hAnsi="Calibri" w:cs="Times New Roman"/>
                <w:sz w:val="20"/>
                <w:szCs w:val="20"/>
              </w:rPr>
            </w:pPr>
            <w:r w:rsidRPr="00FE1848">
              <w:rPr>
                <w:rFonts w:ascii="Calibri" w:eastAsia="Times New Roman" w:hAnsi="Calibri" w:cs="Times New Roman"/>
                <w:sz w:val="20"/>
                <w:szCs w:val="20"/>
              </w:rPr>
              <w:t xml:space="preserve">Total number of patients treated per year </w:t>
            </w:r>
          </w:p>
        </w:tc>
        <w:tc>
          <w:tcPr>
            <w:tcW w:w="1132" w:type="dxa"/>
            <w:shd w:val="clear" w:color="auto" w:fill="auto"/>
            <w:noWrap/>
            <w:vAlign w:val="center"/>
            <w:hideMark/>
          </w:tcPr>
          <w:p w14:paraId="0703DD91" w14:textId="1DA05F30" w:rsidR="00611A64" w:rsidRPr="00FE1848" w:rsidRDefault="00611A64" w:rsidP="008863ED">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98</w:t>
            </w:r>
          </w:p>
          <w:p w14:paraId="6071C55B" w14:textId="4FFE21F5" w:rsidR="00611A64" w:rsidRPr="00FE1848" w:rsidRDefault="00611A64" w:rsidP="008863ED">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r w:rsidRPr="00FE1848">
              <w:rPr>
                <w:rFonts w:ascii="Calibri" w:eastAsia="Times New Roman" w:hAnsi="Calibri" w:cs="Times New Roman"/>
                <w:color w:val="000000"/>
                <w:sz w:val="20"/>
                <w:szCs w:val="20"/>
              </w:rPr>
              <w:t>%)</w:t>
            </w:r>
          </w:p>
        </w:tc>
        <w:tc>
          <w:tcPr>
            <w:tcW w:w="1132" w:type="dxa"/>
            <w:shd w:val="clear" w:color="auto" w:fill="auto"/>
            <w:noWrap/>
            <w:vAlign w:val="center"/>
            <w:hideMark/>
          </w:tcPr>
          <w:p w14:paraId="2BC8EC28" w14:textId="26BF98C4" w:rsidR="00611A64" w:rsidRPr="00FE1848" w:rsidRDefault="00611A64" w:rsidP="008863ED">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223</w:t>
            </w:r>
          </w:p>
          <w:p w14:paraId="07AD23B5" w14:textId="50C8DBA8" w:rsidR="00611A64" w:rsidRPr="00FE1848" w:rsidRDefault="00611A64" w:rsidP="008863ED">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(+30</w:t>
            </w:r>
            <w:r w:rsidRPr="00FE1848">
              <w:rPr>
                <w:rFonts w:ascii="Calibri" w:eastAsia="Times New Roman" w:hAnsi="Calibri" w:cs="Times New Roman"/>
                <w:color w:val="000000"/>
                <w:sz w:val="20"/>
                <w:szCs w:val="20"/>
              </w:rPr>
              <w:t>%)</w:t>
            </w:r>
          </w:p>
        </w:tc>
        <w:tc>
          <w:tcPr>
            <w:tcW w:w="1132" w:type="dxa"/>
            <w:shd w:val="clear" w:color="auto" w:fill="auto"/>
            <w:noWrap/>
            <w:vAlign w:val="center"/>
            <w:hideMark/>
          </w:tcPr>
          <w:p w14:paraId="5751E183" w14:textId="1492AA1F" w:rsidR="00611A64" w:rsidRPr="00FE1848" w:rsidRDefault="00611A64" w:rsidP="008863ED">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194</w:t>
            </w:r>
          </w:p>
          <w:p w14:paraId="183F7C98" w14:textId="3AC96C3A" w:rsidR="00611A64" w:rsidRPr="00FE1848" w:rsidRDefault="00611A64" w:rsidP="008863ED">
            <w:pPr>
              <w:spacing w:after="0"/>
              <w:jc w:val="right"/>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w:t>
            </w:r>
            <w:r>
              <w:rPr>
                <w:rFonts w:ascii="Calibri" w:eastAsia="Times New Roman" w:hAnsi="Calibri" w:cs="Times New Roman"/>
                <w:color w:val="000000"/>
                <w:sz w:val="20"/>
                <w:szCs w:val="20"/>
              </w:rPr>
              <w:t>15</w:t>
            </w:r>
            <w:r w:rsidRPr="00FE1848">
              <w:rPr>
                <w:rFonts w:ascii="Calibri" w:eastAsia="Times New Roman" w:hAnsi="Calibri" w:cs="Times New Roman"/>
                <w:color w:val="000000"/>
                <w:sz w:val="20"/>
                <w:szCs w:val="20"/>
              </w:rPr>
              <w:t>%)</w:t>
            </w:r>
          </w:p>
        </w:tc>
        <w:tc>
          <w:tcPr>
            <w:tcW w:w="2114" w:type="dxa"/>
            <w:gridSpan w:val="2"/>
            <w:vMerge w:val="restart"/>
            <w:shd w:val="clear" w:color="auto" w:fill="auto"/>
            <w:noWrap/>
            <w:vAlign w:val="center"/>
            <w:hideMark/>
          </w:tcPr>
          <w:p w14:paraId="2BBB5C19" w14:textId="2AB3BA2F" w:rsidR="00611A64" w:rsidRPr="00FE1848" w:rsidRDefault="007F6865" w:rsidP="00611A64">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N/A</w:t>
            </w:r>
          </w:p>
        </w:tc>
      </w:tr>
      <w:tr w:rsidR="00611A64" w:rsidRPr="00FE1848" w14:paraId="72027102" w14:textId="77777777" w:rsidTr="000E5D52">
        <w:trPr>
          <w:trHeight w:val="300"/>
        </w:trPr>
        <w:tc>
          <w:tcPr>
            <w:tcW w:w="3546" w:type="dxa"/>
            <w:shd w:val="clear" w:color="auto" w:fill="auto"/>
            <w:noWrap/>
            <w:vAlign w:val="center"/>
            <w:hideMark/>
          </w:tcPr>
          <w:p w14:paraId="3358C8B6" w14:textId="5FF073A8" w:rsidR="00611A64" w:rsidRPr="00FE1848" w:rsidRDefault="00611A64" w:rsidP="008863ED">
            <w:pPr>
              <w:spacing w:after="0"/>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2.5 mg</w:t>
            </w:r>
            <w:r>
              <w:rPr>
                <w:rFonts w:ascii="Calibri" w:eastAsia="Times New Roman" w:hAnsi="Calibri" w:cs="Times New Roman"/>
                <w:sz w:val="20"/>
                <w:szCs w:val="20"/>
              </w:rPr>
              <w:t xml:space="preserve"> prescriptions</w:t>
            </w:r>
          </w:p>
        </w:tc>
        <w:tc>
          <w:tcPr>
            <w:tcW w:w="1132" w:type="dxa"/>
            <w:shd w:val="clear" w:color="auto" w:fill="auto"/>
            <w:noWrap/>
            <w:vAlign w:val="center"/>
            <w:hideMark/>
          </w:tcPr>
          <w:p w14:paraId="212E2D5A" w14:textId="77777777" w:rsidR="00611A64" w:rsidRDefault="00611A64" w:rsidP="008863ED">
            <w:pPr>
              <w:spacing w:after="0"/>
              <w:jc w:val="right"/>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 xml:space="preserve">123 </w:t>
            </w:r>
          </w:p>
          <w:p w14:paraId="7018B0A7" w14:textId="6E1BF591" w:rsidR="00611A64" w:rsidRPr="00FE1848" w:rsidRDefault="00611A64" w:rsidP="008863ED">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(+31</w:t>
            </w:r>
            <w:r w:rsidRPr="00FE1848">
              <w:rPr>
                <w:rFonts w:ascii="Calibri" w:eastAsia="Times New Roman" w:hAnsi="Calibri" w:cs="Times New Roman"/>
                <w:color w:val="000000"/>
                <w:sz w:val="20"/>
                <w:szCs w:val="20"/>
              </w:rPr>
              <w:t>%)</w:t>
            </w:r>
          </w:p>
        </w:tc>
        <w:tc>
          <w:tcPr>
            <w:tcW w:w="1132" w:type="dxa"/>
            <w:shd w:val="clear" w:color="auto" w:fill="auto"/>
            <w:noWrap/>
            <w:vAlign w:val="center"/>
            <w:hideMark/>
          </w:tcPr>
          <w:p w14:paraId="20A3E246" w14:textId="77777777" w:rsidR="00611A64" w:rsidRDefault="00611A64" w:rsidP="008863ED">
            <w:pPr>
              <w:spacing w:after="0"/>
              <w:jc w:val="right"/>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 xml:space="preserve">333 </w:t>
            </w:r>
          </w:p>
          <w:p w14:paraId="7E3DDBE5" w14:textId="4A2C510D" w:rsidR="00611A64" w:rsidRPr="00FE1848" w:rsidRDefault="00611A64" w:rsidP="008863ED">
            <w:pPr>
              <w:spacing w:after="0"/>
              <w:jc w:val="right"/>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(+91%)</w:t>
            </w:r>
          </w:p>
        </w:tc>
        <w:tc>
          <w:tcPr>
            <w:tcW w:w="1132" w:type="dxa"/>
            <w:shd w:val="clear" w:color="auto" w:fill="auto"/>
            <w:noWrap/>
            <w:vAlign w:val="center"/>
            <w:hideMark/>
          </w:tcPr>
          <w:p w14:paraId="54A3C79C" w14:textId="13A98BC1" w:rsidR="00611A64" w:rsidRPr="00FE1848" w:rsidRDefault="00611A64" w:rsidP="008863ED">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278</w:t>
            </w:r>
          </w:p>
          <w:p w14:paraId="2629C951" w14:textId="5C1125F3" w:rsidR="00611A64" w:rsidRPr="00FE1848" w:rsidRDefault="00611A64" w:rsidP="008863ED">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(+20</w:t>
            </w:r>
            <w:r w:rsidRPr="00FE1848">
              <w:rPr>
                <w:rFonts w:ascii="Calibri" w:eastAsia="Times New Roman" w:hAnsi="Calibri" w:cs="Times New Roman"/>
                <w:color w:val="000000"/>
                <w:sz w:val="20"/>
                <w:szCs w:val="20"/>
              </w:rPr>
              <w:t>%)</w:t>
            </w:r>
          </w:p>
        </w:tc>
        <w:tc>
          <w:tcPr>
            <w:tcW w:w="2114" w:type="dxa"/>
            <w:gridSpan w:val="2"/>
            <w:vMerge/>
            <w:shd w:val="clear" w:color="auto" w:fill="auto"/>
            <w:noWrap/>
            <w:vAlign w:val="bottom"/>
            <w:hideMark/>
          </w:tcPr>
          <w:p w14:paraId="6F06C6B8" w14:textId="77777777" w:rsidR="00611A64" w:rsidRPr="00FE1848" w:rsidRDefault="00611A64" w:rsidP="00FE1848">
            <w:pPr>
              <w:spacing w:after="0"/>
              <w:rPr>
                <w:rFonts w:ascii="Calibri" w:eastAsia="Times New Roman" w:hAnsi="Calibri" w:cs="Times New Roman"/>
                <w:color w:val="000000"/>
                <w:sz w:val="20"/>
                <w:szCs w:val="20"/>
              </w:rPr>
            </w:pPr>
          </w:p>
        </w:tc>
      </w:tr>
      <w:tr w:rsidR="00611A64" w:rsidRPr="00FE1848" w14:paraId="7057ECE8" w14:textId="77777777" w:rsidTr="000E5D52">
        <w:trPr>
          <w:trHeight w:val="300"/>
        </w:trPr>
        <w:tc>
          <w:tcPr>
            <w:tcW w:w="3546" w:type="dxa"/>
            <w:shd w:val="clear" w:color="auto" w:fill="auto"/>
            <w:noWrap/>
            <w:vAlign w:val="center"/>
            <w:hideMark/>
          </w:tcPr>
          <w:p w14:paraId="62B656C8" w14:textId="2691CB66" w:rsidR="00611A64" w:rsidRPr="00FE1848" w:rsidRDefault="00611A64" w:rsidP="008863ED">
            <w:pPr>
              <w:spacing w:after="0"/>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5 mg</w:t>
            </w:r>
            <w:r>
              <w:rPr>
                <w:rFonts w:ascii="Calibri" w:eastAsia="Times New Roman" w:hAnsi="Calibri" w:cs="Times New Roman"/>
                <w:sz w:val="20"/>
                <w:szCs w:val="20"/>
              </w:rPr>
              <w:t xml:space="preserve"> prescriptions</w:t>
            </w:r>
          </w:p>
        </w:tc>
        <w:tc>
          <w:tcPr>
            <w:tcW w:w="1132" w:type="dxa"/>
            <w:shd w:val="clear" w:color="auto" w:fill="auto"/>
            <w:noWrap/>
            <w:vAlign w:val="center"/>
            <w:hideMark/>
          </w:tcPr>
          <w:p w14:paraId="0FA75554" w14:textId="77777777" w:rsidR="00611A64" w:rsidRDefault="00611A64" w:rsidP="008863ED">
            <w:pPr>
              <w:spacing w:after="0"/>
              <w:jc w:val="right"/>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 xml:space="preserve">357 </w:t>
            </w:r>
          </w:p>
          <w:p w14:paraId="082C16A5" w14:textId="218140A6" w:rsidR="00611A64" w:rsidRPr="00FE1848" w:rsidRDefault="00611A64" w:rsidP="008863ED">
            <w:pPr>
              <w:spacing w:after="0"/>
              <w:jc w:val="right"/>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(+116%)</w:t>
            </w:r>
          </w:p>
        </w:tc>
        <w:tc>
          <w:tcPr>
            <w:tcW w:w="1132" w:type="dxa"/>
            <w:shd w:val="clear" w:color="auto" w:fill="auto"/>
            <w:noWrap/>
            <w:vAlign w:val="center"/>
            <w:hideMark/>
          </w:tcPr>
          <w:p w14:paraId="32C21B6C" w14:textId="77777777" w:rsidR="00611A64" w:rsidRDefault="00611A64" w:rsidP="008863ED">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641 </w:t>
            </w:r>
          </w:p>
          <w:p w14:paraId="1E6D5F35" w14:textId="5BA2CD35" w:rsidR="00611A64" w:rsidRPr="00FE1848" w:rsidRDefault="00611A64" w:rsidP="008863ED">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(+110</w:t>
            </w:r>
            <w:r w:rsidRPr="00FE1848">
              <w:rPr>
                <w:rFonts w:ascii="Calibri" w:eastAsia="Times New Roman" w:hAnsi="Calibri" w:cs="Times New Roman"/>
                <w:color w:val="000000"/>
                <w:sz w:val="20"/>
                <w:szCs w:val="20"/>
              </w:rPr>
              <w:t>%)</w:t>
            </w:r>
          </w:p>
        </w:tc>
        <w:tc>
          <w:tcPr>
            <w:tcW w:w="1132" w:type="dxa"/>
            <w:shd w:val="clear" w:color="auto" w:fill="auto"/>
            <w:noWrap/>
            <w:vAlign w:val="center"/>
            <w:hideMark/>
          </w:tcPr>
          <w:p w14:paraId="59953616" w14:textId="50699801" w:rsidR="00611A64" w:rsidRDefault="00611A64" w:rsidP="008863ED">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557</w:t>
            </w:r>
          </w:p>
          <w:p w14:paraId="64EA2E9F" w14:textId="14C187B1" w:rsidR="00611A64" w:rsidRPr="00FE1848" w:rsidRDefault="00611A64" w:rsidP="008863ED">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(+37</w:t>
            </w:r>
            <w:r w:rsidRPr="00FE1848">
              <w:rPr>
                <w:rFonts w:ascii="Calibri" w:eastAsia="Times New Roman" w:hAnsi="Calibri" w:cs="Times New Roman"/>
                <w:color w:val="000000"/>
                <w:sz w:val="20"/>
                <w:szCs w:val="20"/>
              </w:rPr>
              <w:t>%)</w:t>
            </w:r>
          </w:p>
        </w:tc>
        <w:tc>
          <w:tcPr>
            <w:tcW w:w="2114" w:type="dxa"/>
            <w:gridSpan w:val="2"/>
            <w:vMerge/>
            <w:shd w:val="clear" w:color="auto" w:fill="auto"/>
            <w:noWrap/>
            <w:vAlign w:val="bottom"/>
            <w:hideMark/>
          </w:tcPr>
          <w:p w14:paraId="5DD5DBA3" w14:textId="77777777" w:rsidR="00611A64" w:rsidRPr="00FE1848" w:rsidRDefault="00611A64" w:rsidP="00FE1848">
            <w:pPr>
              <w:spacing w:after="0"/>
              <w:rPr>
                <w:rFonts w:ascii="Calibri" w:eastAsia="Times New Roman" w:hAnsi="Calibri" w:cs="Times New Roman"/>
                <w:color w:val="000000"/>
                <w:sz w:val="20"/>
                <w:szCs w:val="20"/>
              </w:rPr>
            </w:pPr>
          </w:p>
        </w:tc>
      </w:tr>
      <w:tr w:rsidR="00611A64" w:rsidRPr="00FE1848" w14:paraId="2DE72E61" w14:textId="77777777" w:rsidTr="000E5D52">
        <w:trPr>
          <w:trHeight w:val="300"/>
        </w:trPr>
        <w:tc>
          <w:tcPr>
            <w:tcW w:w="3546" w:type="dxa"/>
            <w:shd w:val="clear" w:color="auto" w:fill="auto"/>
            <w:noWrap/>
            <w:vAlign w:val="center"/>
            <w:hideMark/>
          </w:tcPr>
          <w:p w14:paraId="7828614F" w14:textId="4234D9F4" w:rsidR="00611A64" w:rsidRPr="00FE1848" w:rsidRDefault="00611A64" w:rsidP="008863ED">
            <w:pPr>
              <w:spacing w:after="0"/>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10 mg</w:t>
            </w:r>
            <w:r>
              <w:rPr>
                <w:rFonts w:ascii="Calibri" w:eastAsia="Times New Roman" w:hAnsi="Calibri" w:cs="Times New Roman"/>
                <w:sz w:val="20"/>
                <w:szCs w:val="20"/>
              </w:rPr>
              <w:t xml:space="preserve"> prescriptions</w:t>
            </w:r>
          </w:p>
        </w:tc>
        <w:tc>
          <w:tcPr>
            <w:tcW w:w="1132" w:type="dxa"/>
            <w:shd w:val="clear" w:color="auto" w:fill="auto"/>
            <w:noWrap/>
            <w:vAlign w:val="center"/>
            <w:hideMark/>
          </w:tcPr>
          <w:p w14:paraId="6DC9F29F" w14:textId="77777777" w:rsidR="00611A64" w:rsidRPr="00FE1848" w:rsidRDefault="00611A64" w:rsidP="008863ED">
            <w:pPr>
              <w:spacing w:after="0"/>
              <w:jc w:val="right"/>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 xml:space="preserve">174 </w:t>
            </w:r>
          </w:p>
          <w:p w14:paraId="402A1C98" w14:textId="776DB99D" w:rsidR="00611A64" w:rsidRPr="00FE1848" w:rsidRDefault="00611A64" w:rsidP="008863ED">
            <w:pPr>
              <w:spacing w:after="0"/>
              <w:jc w:val="right"/>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(-39%)</w:t>
            </w:r>
          </w:p>
        </w:tc>
        <w:tc>
          <w:tcPr>
            <w:tcW w:w="1132" w:type="dxa"/>
            <w:shd w:val="clear" w:color="auto" w:fill="auto"/>
            <w:noWrap/>
            <w:vAlign w:val="center"/>
            <w:hideMark/>
          </w:tcPr>
          <w:p w14:paraId="4776C5FA" w14:textId="77777777" w:rsidR="00611A64" w:rsidRPr="00FE1848" w:rsidRDefault="00611A64" w:rsidP="008863ED">
            <w:pPr>
              <w:spacing w:after="0"/>
              <w:jc w:val="right"/>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 xml:space="preserve">374 </w:t>
            </w:r>
          </w:p>
          <w:p w14:paraId="2A97C7AA" w14:textId="3295F119" w:rsidR="00611A64" w:rsidRPr="00FE1848" w:rsidRDefault="00611A64" w:rsidP="008863ED">
            <w:pPr>
              <w:spacing w:after="0"/>
              <w:jc w:val="right"/>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(-28%)</w:t>
            </w:r>
          </w:p>
        </w:tc>
        <w:tc>
          <w:tcPr>
            <w:tcW w:w="1132" w:type="dxa"/>
            <w:shd w:val="clear" w:color="auto" w:fill="auto"/>
            <w:noWrap/>
            <w:vAlign w:val="center"/>
            <w:hideMark/>
          </w:tcPr>
          <w:p w14:paraId="3D4F076D" w14:textId="3D5A885D" w:rsidR="00611A64" w:rsidRPr="00FE1848" w:rsidRDefault="00611A64" w:rsidP="008863ED">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331</w:t>
            </w:r>
          </w:p>
          <w:p w14:paraId="1BD3936F" w14:textId="78D68845" w:rsidR="00611A64" w:rsidRPr="00FE1848" w:rsidRDefault="00611A64" w:rsidP="008863ED">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(-52</w:t>
            </w:r>
            <w:r w:rsidRPr="00FE1848">
              <w:rPr>
                <w:rFonts w:ascii="Calibri" w:eastAsia="Times New Roman" w:hAnsi="Calibri" w:cs="Times New Roman"/>
                <w:color w:val="000000"/>
                <w:sz w:val="20"/>
                <w:szCs w:val="20"/>
              </w:rPr>
              <w:t>%)</w:t>
            </w:r>
          </w:p>
        </w:tc>
        <w:tc>
          <w:tcPr>
            <w:tcW w:w="2114" w:type="dxa"/>
            <w:gridSpan w:val="2"/>
            <w:vMerge/>
            <w:shd w:val="clear" w:color="auto" w:fill="auto"/>
            <w:noWrap/>
            <w:vAlign w:val="bottom"/>
            <w:hideMark/>
          </w:tcPr>
          <w:p w14:paraId="0D3E664C" w14:textId="77777777" w:rsidR="00611A64" w:rsidRPr="00FE1848" w:rsidRDefault="00611A64" w:rsidP="00FE1848">
            <w:pPr>
              <w:spacing w:after="0"/>
              <w:rPr>
                <w:rFonts w:ascii="Calibri" w:eastAsia="Times New Roman" w:hAnsi="Calibri" w:cs="Times New Roman"/>
                <w:color w:val="000000"/>
                <w:sz w:val="20"/>
                <w:szCs w:val="20"/>
              </w:rPr>
            </w:pPr>
          </w:p>
        </w:tc>
      </w:tr>
      <w:tr w:rsidR="00611A64" w:rsidRPr="00FE1848" w14:paraId="62623CF8" w14:textId="77777777" w:rsidTr="000E5D52">
        <w:trPr>
          <w:trHeight w:val="600"/>
        </w:trPr>
        <w:tc>
          <w:tcPr>
            <w:tcW w:w="3546" w:type="dxa"/>
            <w:shd w:val="clear" w:color="auto" w:fill="auto"/>
            <w:vAlign w:val="center"/>
            <w:hideMark/>
          </w:tcPr>
          <w:p w14:paraId="18EAFEA1" w14:textId="77777777" w:rsidR="00611A64" w:rsidRPr="00FE1848" w:rsidRDefault="00611A64" w:rsidP="008863ED">
            <w:pPr>
              <w:spacing w:after="0"/>
              <w:rPr>
                <w:rFonts w:ascii="Calibri" w:eastAsia="Times New Roman" w:hAnsi="Calibri" w:cs="Times New Roman"/>
                <w:sz w:val="20"/>
                <w:szCs w:val="20"/>
              </w:rPr>
            </w:pPr>
            <w:r w:rsidRPr="00FE1848">
              <w:rPr>
                <w:rFonts w:ascii="Calibri" w:eastAsia="Times New Roman" w:hAnsi="Calibri" w:cs="Times New Roman"/>
                <w:sz w:val="20"/>
                <w:szCs w:val="20"/>
              </w:rPr>
              <w:t>Total packs per year</w:t>
            </w:r>
          </w:p>
        </w:tc>
        <w:tc>
          <w:tcPr>
            <w:tcW w:w="1132" w:type="dxa"/>
            <w:shd w:val="clear" w:color="auto" w:fill="auto"/>
            <w:noWrap/>
            <w:vAlign w:val="center"/>
            <w:hideMark/>
          </w:tcPr>
          <w:p w14:paraId="41BB582B" w14:textId="77777777" w:rsidR="00611A64" w:rsidRDefault="00611A64" w:rsidP="008863ED">
            <w:pPr>
              <w:spacing w:after="0"/>
              <w:jc w:val="right"/>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 xml:space="preserve">654 </w:t>
            </w:r>
          </w:p>
          <w:p w14:paraId="0A373398" w14:textId="4B323E4A" w:rsidR="00611A64" w:rsidRPr="00FE1848" w:rsidRDefault="00611A64" w:rsidP="008863ED">
            <w:pPr>
              <w:spacing w:after="0"/>
              <w:jc w:val="right"/>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(+20%)</w:t>
            </w:r>
          </w:p>
        </w:tc>
        <w:tc>
          <w:tcPr>
            <w:tcW w:w="1132" w:type="dxa"/>
            <w:shd w:val="clear" w:color="auto" w:fill="auto"/>
            <w:noWrap/>
            <w:vAlign w:val="center"/>
            <w:hideMark/>
          </w:tcPr>
          <w:p w14:paraId="7699DE91" w14:textId="77777777" w:rsidR="00611A64" w:rsidRDefault="00611A64" w:rsidP="008863ED">
            <w:pPr>
              <w:spacing w:after="0"/>
              <w:jc w:val="right"/>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 xml:space="preserve">1,348 </w:t>
            </w:r>
          </w:p>
          <w:p w14:paraId="02C2FE2D" w14:textId="07FC5EB5" w:rsidR="00611A64" w:rsidRPr="00FE1848" w:rsidRDefault="00611A64" w:rsidP="008863ED">
            <w:pPr>
              <w:spacing w:after="0"/>
              <w:jc w:val="right"/>
              <w:rPr>
                <w:rFonts w:ascii="Calibri" w:eastAsia="Times New Roman" w:hAnsi="Calibri" w:cs="Times New Roman"/>
                <w:color w:val="000000"/>
                <w:sz w:val="20"/>
                <w:szCs w:val="20"/>
              </w:rPr>
            </w:pPr>
            <w:r w:rsidRPr="00FE1848">
              <w:rPr>
                <w:rFonts w:ascii="Calibri" w:eastAsia="Times New Roman" w:hAnsi="Calibri" w:cs="Times New Roman"/>
                <w:color w:val="000000"/>
                <w:sz w:val="20"/>
                <w:szCs w:val="20"/>
              </w:rPr>
              <w:t>(+35%)</w:t>
            </w:r>
          </w:p>
        </w:tc>
        <w:tc>
          <w:tcPr>
            <w:tcW w:w="1132" w:type="dxa"/>
            <w:shd w:val="clear" w:color="auto" w:fill="auto"/>
            <w:noWrap/>
            <w:vAlign w:val="center"/>
            <w:hideMark/>
          </w:tcPr>
          <w:p w14:paraId="7D1A35AB" w14:textId="6A6F0FBB" w:rsidR="00611A64" w:rsidRPr="00FE1848" w:rsidRDefault="00611A64" w:rsidP="008863ED">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1,166</w:t>
            </w:r>
          </w:p>
          <w:p w14:paraId="0D9DC16B" w14:textId="2047C115" w:rsidR="00611A64" w:rsidRPr="00FE1848" w:rsidRDefault="00611A64" w:rsidP="008863ED">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r w:rsidRPr="00FE1848">
              <w:rPr>
                <w:rFonts w:ascii="Calibri" w:eastAsia="Times New Roman" w:hAnsi="Calibri" w:cs="Times New Roman"/>
                <w:color w:val="000000"/>
                <w:sz w:val="20"/>
                <w:szCs w:val="20"/>
              </w:rPr>
              <w:t>%)</w:t>
            </w:r>
          </w:p>
        </w:tc>
        <w:tc>
          <w:tcPr>
            <w:tcW w:w="2114" w:type="dxa"/>
            <w:gridSpan w:val="2"/>
            <w:vMerge/>
            <w:shd w:val="clear" w:color="auto" w:fill="auto"/>
            <w:noWrap/>
            <w:vAlign w:val="bottom"/>
            <w:hideMark/>
          </w:tcPr>
          <w:p w14:paraId="6002B18C" w14:textId="77777777" w:rsidR="00611A64" w:rsidRPr="00FE1848" w:rsidRDefault="00611A64" w:rsidP="00FE1848">
            <w:pPr>
              <w:spacing w:after="0"/>
              <w:rPr>
                <w:rFonts w:ascii="Calibri" w:eastAsia="Times New Roman" w:hAnsi="Calibri" w:cs="Times New Roman"/>
                <w:color w:val="000000"/>
                <w:sz w:val="20"/>
                <w:szCs w:val="20"/>
              </w:rPr>
            </w:pPr>
          </w:p>
        </w:tc>
      </w:tr>
    </w:tbl>
    <w:p w14:paraId="3AFBCCD7" w14:textId="7FAEC32F" w:rsidR="00DC69CF" w:rsidRPr="00A66429" w:rsidRDefault="00FE1848" w:rsidP="00FE1848">
      <w:pPr>
        <w:pStyle w:val="Notes"/>
      </w:pPr>
      <w:r>
        <w:t xml:space="preserve">Note: Year 3 actual figures include </w:t>
      </w:r>
      <w:r w:rsidR="008C1C64">
        <w:t>nine</w:t>
      </w:r>
      <w:r>
        <w:t xml:space="preserve"> months of data, from December 2015 to </w:t>
      </w:r>
      <w:r w:rsidR="007427E4">
        <w:t>September</w:t>
      </w:r>
      <w:r>
        <w:t xml:space="preserve"> 2016 inclusive.</w:t>
      </w:r>
    </w:p>
    <w:p w14:paraId="3555DFBA" w14:textId="60E8E761" w:rsidR="00591512" w:rsidRDefault="00AB3733" w:rsidP="00F73113">
      <w:pPr>
        <w:pStyle w:val="Heading1"/>
      </w:pPr>
      <w:r>
        <w:t>D</w:t>
      </w:r>
      <w:r w:rsidR="007346C7" w:rsidRPr="005E22C2">
        <w:t>iscussion</w:t>
      </w:r>
    </w:p>
    <w:p w14:paraId="5BF7CE9D" w14:textId="2AAE056D" w:rsidR="00DE2487" w:rsidRDefault="00FF17F7" w:rsidP="00F1132C">
      <w:r>
        <w:t>Figure 1</w:t>
      </w:r>
      <w:r w:rsidR="007D54E9">
        <w:t xml:space="preserve"> </w:t>
      </w:r>
      <w:r w:rsidR="002803CF">
        <w:t xml:space="preserve">shows </w:t>
      </w:r>
      <w:r w:rsidR="00506BA1">
        <w:t xml:space="preserve">that </w:t>
      </w:r>
      <w:r w:rsidR="002803CF">
        <w:t>the</w:t>
      </w:r>
      <w:r w:rsidR="007D54E9">
        <w:t xml:space="preserve"> number of treated patients</w:t>
      </w:r>
      <w:r w:rsidR="002803CF">
        <w:t xml:space="preserve"> per quarter</w:t>
      </w:r>
      <w:r w:rsidR="007D54E9">
        <w:t xml:space="preserve"> </w:t>
      </w:r>
      <w:r w:rsidR="002803CF">
        <w:t>increased from 91 to 135 between the first and second quarters of 2015</w:t>
      </w:r>
      <w:r w:rsidR="00964A29">
        <w:t xml:space="preserve">, and the number of initiating patients increased from </w:t>
      </w:r>
      <w:r w:rsidR="00EB5F8A">
        <w:t>23</w:t>
      </w:r>
      <w:r w:rsidR="00964A29">
        <w:t xml:space="preserve"> in the first quarter of 2015 to 5</w:t>
      </w:r>
      <w:r w:rsidR="00EB5F8A">
        <w:t>7</w:t>
      </w:r>
      <w:r w:rsidR="00964A29">
        <w:t xml:space="preserve"> in the second quarter of 2015</w:t>
      </w:r>
      <w:r w:rsidR="002803CF">
        <w:t xml:space="preserve">. </w:t>
      </w:r>
      <w:r w:rsidR="00964A29">
        <w:t xml:space="preserve">This equates to a mean </w:t>
      </w:r>
      <w:r w:rsidR="00EF5DDA">
        <w:t>increase of</w:t>
      </w:r>
      <w:r w:rsidR="00964A29">
        <w:t xml:space="preserve"> 11 patients </w:t>
      </w:r>
      <w:r w:rsidR="00EF5DDA">
        <w:t xml:space="preserve">initiating </w:t>
      </w:r>
      <w:r w:rsidR="00964A29">
        <w:t>per month. This increase may be due to consumer awareness or prescriber confidence.</w:t>
      </w:r>
      <w:r w:rsidR="00611A64">
        <w:t xml:space="preserve"> </w:t>
      </w:r>
      <w:r w:rsidR="00EF5DDA" w:rsidRPr="00EF5DDA">
        <w:t>Table 3 shows the number of treated patients in year 2 of listing</w:t>
      </w:r>
      <w:r w:rsidR="00EF5DDA">
        <w:t xml:space="preserve">, which captures this quarterly </w:t>
      </w:r>
      <w:r w:rsidR="000F16DE">
        <w:t>increase</w:t>
      </w:r>
      <w:r w:rsidR="00EF5DDA" w:rsidRPr="00EF5DDA">
        <w:t xml:space="preserve"> was 30%</w:t>
      </w:r>
      <w:r w:rsidR="00003032">
        <w:t xml:space="preserve"> higher than predicted, which</w:t>
      </w:r>
      <w:r w:rsidR="00EF5DDA" w:rsidRPr="00EF5DDA">
        <w:t xml:space="preserve"> equates to 51 patients. </w:t>
      </w:r>
    </w:p>
    <w:p w14:paraId="0DC4FE18" w14:textId="69877F03" w:rsidR="00EB7F7A" w:rsidRDefault="00EB7F7A" w:rsidP="00F1132C">
      <w:r>
        <w:t xml:space="preserve">Figure 1 also shows </w:t>
      </w:r>
      <w:r w:rsidR="00506BA1">
        <w:t xml:space="preserve">that </w:t>
      </w:r>
      <w:r>
        <w:t xml:space="preserve">the </w:t>
      </w:r>
      <w:r w:rsidR="008C1C64">
        <w:t xml:space="preserve">number of patients treated with everolimus for TSC per quarter appears to be decreasing. This decrease may be due </w:t>
      </w:r>
      <w:r w:rsidR="004971D0">
        <w:t>to the tolerability of the drug</w:t>
      </w:r>
      <w:r w:rsidR="003703E0">
        <w:t xml:space="preserve"> or a reduction in patients’ symptoms</w:t>
      </w:r>
      <w:r w:rsidR="008C1C64">
        <w:t>.</w:t>
      </w:r>
      <w:r w:rsidR="008C1C64" w:rsidRPr="008C1C64">
        <w:t xml:space="preserve"> </w:t>
      </w:r>
      <w:r w:rsidR="008C1C64">
        <w:t>Although the duration of therapy is not limited in the PBS restriction, the submission noted the median duration in the clinical trial was 41.9 weeks.</w:t>
      </w:r>
      <w:r w:rsidR="008C1C64" w:rsidRPr="00461B69">
        <w:t xml:space="preserve"> </w:t>
      </w:r>
    </w:p>
    <w:p w14:paraId="0E00FB35" w14:textId="6AE9BA84" w:rsidR="00064FF6" w:rsidRDefault="00AF70C5" w:rsidP="00F1132C">
      <w:r>
        <w:t xml:space="preserve">The </w:t>
      </w:r>
      <w:r w:rsidR="008C1C64">
        <w:t>a</w:t>
      </w:r>
      <w:r w:rsidR="008C1C64" w:rsidRPr="008C1C64">
        <w:t>nal</w:t>
      </w:r>
      <w:r w:rsidR="008C1C64">
        <w:t>ysis of actual versus predicted utilisation</w:t>
      </w:r>
      <w:r>
        <w:t xml:space="preserve"> of the 2.5 mg, 5 mg and 10 mg </w:t>
      </w:r>
      <w:r w:rsidR="008C1C64">
        <w:t xml:space="preserve">prescriptions presented in Table 3 </w:t>
      </w:r>
      <w:r>
        <w:t xml:space="preserve">shows that the 2.5 mg and 5 mg packs are being supplied </w:t>
      </w:r>
      <w:r>
        <w:lastRenderedPageBreak/>
        <w:t xml:space="preserve">more than was expected, and there is less use of the 10 mg packs than expected. </w:t>
      </w:r>
      <w:r w:rsidR="00DE2487">
        <w:t>Possible reasons for this may be patients taking lower doses due to tolerability. The product information notes that the most frequent adverse reactions from the pooled safety database of the clinical trials were stomatitis, upper respiratory tract infections, am</w:t>
      </w:r>
      <w:r w:rsidR="00611A64">
        <w:t xml:space="preserve">enorrhea, hypercholesterolemia, </w:t>
      </w:r>
      <w:r w:rsidR="00DE2487">
        <w:t xml:space="preserve">nasopharyngitis, acne, </w:t>
      </w:r>
      <w:r w:rsidR="00E07D82">
        <w:t xml:space="preserve">irregular </w:t>
      </w:r>
      <w:r w:rsidR="00DE2487">
        <w:t>menstruation, sinusitis, otitis media and pneumonia.</w:t>
      </w:r>
    </w:p>
    <w:p w14:paraId="196B64C9" w14:textId="6AF3A252" w:rsidR="00C87307" w:rsidRDefault="008C1C64" w:rsidP="008C1C64">
      <w:r>
        <w:t xml:space="preserve">The mean </w:t>
      </w:r>
      <w:r w:rsidR="00472E3A">
        <w:t xml:space="preserve">daily </w:t>
      </w:r>
      <w:r>
        <w:t xml:space="preserve">dose </w:t>
      </w:r>
      <w:r w:rsidR="00003032">
        <w:t>of everolimus</w:t>
      </w:r>
      <w:r w:rsidR="005E12F1">
        <w:t xml:space="preserve"> for TSC</w:t>
      </w:r>
      <w:r w:rsidR="00003032">
        <w:t xml:space="preserve"> </w:t>
      </w:r>
      <w:r>
        <w:t>in each listing year was 6.79</w:t>
      </w:r>
      <w:r w:rsidR="000D0FEC">
        <w:t xml:space="preserve"> mg</w:t>
      </w:r>
      <w:r>
        <w:t xml:space="preserve">, 6.62 </w:t>
      </w:r>
      <w:r w:rsidR="000D0FEC">
        <w:t xml:space="preserve">mg </w:t>
      </w:r>
      <w:r>
        <w:t xml:space="preserve">and 6.88 </w:t>
      </w:r>
      <w:r w:rsidR="000D0FEC">
        <w:t xml:space="preserve">mg </w:t>
      </w:r>
      <w:r>
        <w:t xml:space="preserve">respectively. </w:t>
      </w:r>
      <w:r w:rsidR="00C87307">
        <w:t xml:space="preserve">The </w:t>
      </w:r>
      <w:r w:rsidR="005E12F1">
        <w:t xml:space="preserve">submission used the </w:t>
      </w:r>
      <w:r w:rsidR="00C87307">
        <w:t>ongoing</w:t>
      </w:r>
      <w:r w:rsidR="00C87307" w:rsidRPr="00C87307">
        <w:t xml:space="preserve"> mean dose from Study</w:t>
      </w:r>
      <w:r w:rsidR="00461B69">
        <w:t xml:space="preserve"> </w:t>
      </w:r>
      <w:r w:rsidR="00C87307" w:rsidRPr="00C87307">
        <w:t>C2485</w:t>
      </w:r>
      <w:r w:rsidR="005E12F1">
        <w:t>, which</w:t>
      </w:r>
      <w:r w:rsidR="00C87307">
        <w:t xml:space="preserve"> was</w:t>
      </w:r>
      <w:r w:rsidR="00C87307" w:rsidRPr="00C87307">
        <w:t xml:space="preserve"> 5.3 mg/m</w:t>
      </w:r>
      <w:r w:rsidR="00C87307" w:rsidRPr="00B30142">
        <w:rPr>
          <w:vertAlign w:val="superscript"/>
        </w:rPr>
        <w:t>2</w:t>
      </w:r>
      <w:r w:rsidR="00C87307" w:rsidRPr="00C87307">
        <w:t>/day</w:t>
      </w:r>
      <w:r w:rsidR="00C87307">
        <w:t>.</w:t>
      </w:r>
      <w:r w:rsidR="00C87307" w:rsidRPr="00C87307">
        <w:t xml:space="preserve"> </w:t>
      </w:r>
      <w:r w:rsidR="00C87307">
        <w:t>Study M2301 wa</w:t>
      </w:r>
      <w:r w:rsidR="00611A64">
        <w:t>s used for sensitivity analysis and</w:t>
      </w:r>
      <w:r w:rsidR="00C87307">
        <w:t xml:space="preserve"> the mean dose in this study was </w:t>
      </w:r>
      <w:r w:rsidR="00C87307" w:rsidRPr="00C87307">
        <w:t>6.16 mg/m</w:t>
      </w:r>
      <w:r w:rsidR="00C87307" w:rsidRPr="005E12F1">
        <w:rPr>
          <w:vertAlign w:val="superscript"/>
        </w:rPr>
        <w:t>2</w:t>
      </w:r>
      <w:r w:rsidR="00C87307" w:rsidRPr="00C87307">
        <w:t>/day.</w:t>
      </w:r>
      <w:r w:rsidR="00C87307">
        <w:t xml:space="preserve"> The final estimates</w:t>
      </w:r>
      <w:r w:rsidR="0028526F" w:rsidRPr="0028526F">
        <w:t xml:space="preserve"> </w:t>
      </w:r>
      <w:r w:rsidR="0028526F">
        <w:t xml:space="preserve">assumed the average dose per day </w:t>
      </w:r>
      <w:r w:rsidR="00472E3A">
        <w:t xml:space="preserve">in patients with SEGAs and angiomyolipomas </w:t>
      </w:r>
      <w:r w:rsidR="0028526F">
        <w:t xml:space="preserve">would be 8.25 mg across all years of listing. </w:t>
      </w:r>
    </w:p>
    <w:p w14:paraId="676AE779" w14:textId="37C09B7E" w:rsidR="00AC4CF4" w:rsidRDefault="005E12F1" w:rsidP="008C1C64">
      <w:r>
        <w:t>At the time of its positive recommendation being given, t</w:t>
      </w:r>
      <w:r w:rsidRPr="00EF5DDA">
        <w:t>he PBAC considered that the sponsor’s estimate of patient numbers was uncertain</w:t>
      </w:r>
      <w:r w:rsidR="00260957">
        <w:t xml:space="preserve"> </w:t>
      </w:r>
      <w:r w:rsidR="00260957" w:rsidRPr="00260957">
        <w:t>and that a suitable risk sharing arrangement should be negotiated using a conservative estimate of patient numbers and an expenditure cap.</w:t>
      </w:r>
      <w:r>
        <w:t xml:space="preserve"> </w:t>
      </w:r>
      <w:r w:rsidRPr="005E12F1">
        <w:t>Following the positive recommendation from the PBAC, the estimates for everolimus in TSC were adjusted to include patients expected to be treated for renal angiomyolipomas.</w:t>
      </w:r>
      <w:r w:rsidR="00611A64">
        <w:t xml:space="preserve"> </w:t>
      </w:r>
      <w:r w:rsidR="00955CD1">
        <w:t xml:space="preserve">The number of patients treated with everolimus for TSC and the </w:t>
      </w:r>
      <w:r w:rsidR="00910792">
        <w:t>number of PBS prescriptions of everolimus for TSC was</w:t>
      </w:r>
      <w:r w:rsidR="00955CD1">
        <w:t xml:space="preserve"> higher than estimated in </w:t>
      </w:r>
      <w:r w:rsidR="00910792">
        <w:t>the first two years</w:t>
      </w:r>
      <w:r w:rsidR="006A4A5B">
        <w:t xml:space="preserve"> of listing</w:t>
      </w:r>
      <w:r w:rsidR="00611A64">
        <w:t>;</w:t>
      </w:r>
      <w:r w:rsidR="006A4A5B">
        <w:t xml:space="preserve"> however, the use was</w:t>
      </w:r>
      <w:r w:rsidR="00910792">
        <w:t xml:space="preserve"> managed with a risk sharing arrangement. </w:t>
      </w:r>
    </w:p>
    <w:p w14:paraId="7FE5939A" w14:textId="77777777" w:rsidR="00BA6782" w:rsidRDefault="00BA6782" w:rsidP="00BA6782">
      <w:pPr>
        <w:pStyle w:val="Heading1"/>
      </w:pPr>
      <w:r>
        <w:t>DUSC consideration</w:t>
      </w:r>
    </w:p>
    <w:p w14:paraId="1DD4A90C" w14:textId="77777777" w:rsidR="00026728" w:rsidRPr="00026728" w:rsidRDefault="00026728" w:rsidP="00026728">
      <w:r w:rsidRPr="00026728">
        <w:t xml:space="preserve">DUSC noted that the PBAC (November 2012) considered it probable that everolimus could be used prior to surgery to reduce tumour volume and vasculature to improve surgical outcomes. This included reducing the possible adverse events associated with surgery, such as hydrocephalus. DUSC noted that the PBS restriction does not allow for use in patients who are candidates for curative resection. DUSC commented that the use of everolimus prior to resection would likely be for short durations. </w:t>
      </w:r>
    </w:p>
    <w:p w14:paraId="1D3912B0" w14:textId="77777777" w:rsidR="00026728" w:rsidRPr="00026728" w:rsidRDefault="00026728" w:rsidP="00026728">
      <w:r w:rsidRPr="00026728">
        <w:t xml:space="preserve">DUSC noted that the number of treated patients per quarter had decreased in 2016. DUSC considered that use prior to resection is a potential factor in the short durations of use. DUSC commented that the decrease in treated patients may also be due to a reduction in patients’ tumour size and improved tumour-related symptoms. The tolerability of the drug may also be a factor, DUSC noted that everolimus is associated with a high rate of adverse events. </w:t>
      </w:r>
    </w:p>
    <w:p w14:paraId="49FCF45E" w14:textId="77777777" w:rsidR="00026728" w:rsidRPr="00026728" w:rsidRDefault="00026728" w:rsidP="00026728">
      <w:r w:rsidRPr="00026728">
        <w:t>DUSC noted that there was a greater use of the lower doses compared with the 10 mg dose than expected. Possible reasons for this may be patients taking lower doses due to tolerability. DUSC considered that it may also relate to use in children and commented that analyses by patient age would have been informative.</w:t>
      </w:r>
    </w:p>
    <w:p w14:paraId="1EB5D9C6" w14:textId="77777777" w:rsidR="00026728" w:rsidRPr="00026728" w:rsidRDefault="00026728" w:rsidP="00026728">
      <w:r w:rsidRPr="00026728">
        <w:t>DUSC noted the sponsor response which considered that the findings were reasonable.</w:t>
      </w:r>
    </w:p>
    <w:p w14:paraId="64E23586" w14:textId="4170487D" w:rsidR="00BA6782" w:rsidRDefault="00BA6782" w:rsidP="00026728">
      <w:pPr>
        <w:pStyle w:val="Heading1"/>
      </w:pPr>
      <w:r>
        <w:lastRenderedPageBreak/>
        <w:t>DUSC actions</w:t>
      </w:r>
    </w:p>
    <w:p w14:paraId="552C3357" w14:textId="601202B2" w:rsidR="00BA6782" w:rsidRPr="00832324" w:rsidRDefault="00026728" w:rsidP="00BA6782">
      <w:pPr>
        <w:rPr>
          <w:highlight w:val="yellow"/>
        </w:rPr>
      </w:pPr>
      <w:r>
        <w:t>T</w:t>
      </w:r>
      <w:r w:rsidRPr="00026728">
        <w:t xml:space="preserve">he report </w:t>
      </w:r>
      <w:r>
        <w:t>was</w:t>
      </w:r>
      <w:r w:rsidRPr="00026728">
        <w:t xml:space="preserve"> provided to the PBAC.</w:t>
      </w:r>
      <w:r w:rsidRPr="00026728">
        <w:rPr>
          <w:highlight w:val="yellow"/>
        </w:rPr>
        <w:t xml:space="preserve"> </w:t>
      </w:r>
    </w:p>
    <w:p w14:paraId="1BBA6C65" w14:textId="77777777" w:rsidR="00BA6782" w:rsidRDefault="00BA6782" w:rsidP="00BA6782">
      <w:pPr>
        <w:pStyle w:val="Heading1"/>
      </w:pPr>
      <w:r w:rsidRPr="0092516A">
        <w:t>Context for analysis</w:t>
      </w:r>
    </w:p>
    <w:p w14:paraId="59DD25B9" w14:textId="77777777" w:rsidR="00BA6782" w:rsidRDefault="00BA6782" w:rsidP="00BA6782">
      <w:r>
        <w:t>The DUSC is a Sub Committee of the Pharmaceutical Benefits Advisory Committee (PBAC). The DUSC assesses estimates on projected usage and financial cost of medicines.</w:t>
      </w:r>
    </w:p>
    <w:p w14:paraId="13FD0B8B" w14:textId="77777777" w:rsidR="00BA6782" w:rsidRDefault="00BA6782" w:rsidP="00BA6782">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6DB08519" w14:textId="77777777" w:rsidR="00BA6782" w:rsidRDefault="00BA6782" w:rsidP="00BA6782">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27EEF35D" w14:textId="77777777" w:rsidR="00BA6782" w:rsidRDefault="00BA6782" w:rsidP="00BA6782">
      <w:r>
        <w:t>The utilisation analysis report was provided to the pharmaceutical sponsors of each drug and comments on the report were provided to DUSC prior to its consideration of the analysis.</w:t>
      </w:r>
    </w:p>
    <w:p w14:paraId="14FB0430" w14:textId="77777777" w:rsidR="00BA6782" w:rsidRDefault="00BA6782" w:rsidP="00BA6782">
      <w:pPr>
        <w:pStyle w:val="Heading1"/>
      </w:pPr>
      <w:r>
        <w:t>Sponsor</w:t>
      </w:r>
      <w:r w:rsidRPr="0092516A">
        <w:t>s</w:t>
      </w:r>
      <w:r>
        <w:t>’</w:t>
      </w:r>
      <w:r w:rsidRPr="0092516A">
        <w:t xml:space="preserve"> comments</w:t>
      </w:r>
    </w:p>
    <w:p w14:paraId="689FF4F2" w14:textId="60CEECFE" w:rsidR="002D5E2B" w:rsidRPr="00BD493A" w:rsidRDefault="002D5E2B" w:rsidP="002D5E2B">
      <w:r>
        <w:t>Novartis Pharmaceuticals Australia Pty Limited</w:t>
      </w:r>
      <w:r w:rsidRPr="00BD493A">
        <w:t>:</w:t>
      </w:r>
      <w:r w:rsidR="00DA2BA5">
        <w:t xml:space="preserve"> </w:t>
      </w:r>
      <w:r w:rsidR="00DA2BA5" w:rsidRPr="00DA2BA5">
        <w:t>The sponsor has no comment</w:t>
      </w:r>
    </w:p>
    <w:p w14:paraId="2FF210A6" w14:textId="77777777" w:rsidR="00BA6782" w:rsidRDefault="00BA6782" w:rsidP="00BA6782">
      <w:pPr>
        <w:pStyle w:val="Heading1"/>
      </w:pPr>
      <w:bookmarkStart w:id="2" w:name="_GoBack"/>
      <w:bookmarkEnd w:id="2"/>
      <w:r w:rsidRPr="00A4020E">
        <w:t>Disclaimer</w:t>
      </w:r>
    </w:p>
    <w:p w14:paraId="74758D23" w14:textId="77777777" w:rsidR="00BA6782" w:rsidRDefault="00BA6782" w:rsidP="00BA6782">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5CB479F0" w14:textId="77777777" w:rsidR="00BA6782" w:rsidRDefault="00BA6782" w:rsidP="00BA6782">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12B6E08E" w14:textId="77777777" w:rsidR="00BA6782" w:rsidRDefault="00BA6782" w:rsidP="00BA6782">
      <w:r>
        <w:t xml:space="preserve">To the extent provided by law, DoH makes no warranties or representations as to accuracy or completeness of information contained in this report. </w:t>
      </w:r>
    </w:p>
    <w:p w14:paraId="0CD15E70" w14:textId="77777777" w:rsidR="00BA6782" w:rsidRDefault="00BA6782" w:rsidP="00BA6782">
      <w:r>
        <w:lastRenderedPageBreak/>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0B3EFE8D" w14:textId="77777777" w:rsidR="00AC4CF4" w:rsidRDefault="00AC4CF4" w:rsidP="008C1C64"/>
    <w:sectPr w:rsidR="00AC4CF4" w:rsidSect="00DD188C">
      <w:footerReference w:type="even" r:id="rId15"/>
      <w:footerReference w:type="default" r:id="rId16"/>
      <w:footerReference w:type="first" r:id="rId17"/>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50FC2" w14:textId="77777777" w:rsidR="00214013" w:rsidRDefault="00214013" w:rsidP="00A35800">
      <w:r>
        <w:separator/>
      </w:r>
    </w:p>
  </w:endnote>
  <w:endnote w:type="continuationSeparator" w:id="0">
    <w:p w14:paraId="45A4A8C8" w14:textId="77777777" w:rsidR="00214013" w:rsidRDefault="00214013"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D5E5" w14:textId="77777777" w:rsidR="00214013" w:rsidRDefault="00214013"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214013" w:rsidRDefault="00214013"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3719E74B" w14:textId="77777777" w:rsidR="008F038C" w:rsidRDefault="008F038C" w:rsidP="008F038C">
            <w:pPr>
              <w:pStyle w:val="Footer"/>
              <w:jc w:val="center"/>
              <w:rPr>
                <w:sz w:val="22"/>
              </w:rPr>
            </w:pPr>
            <w:r>
              <w:rPr>
                <w:sz w:val="22"/>
              </w:rPr>
              <w:t>Public Release Document, February 2017 DUSC Meeting</w:t>
            </w:r>
          </w:p>
          <w:p w14:paraId="10292A9A" w14:textId="429D31D8" w:rsidR="00214013" w:rsidRPr="008F038C" w:rsidRDefault="008F038C" w:rsidP="008F038C">
            <w:pPr>
              <w:pStyle w:val="Footer"/>
              <w:jc w:val="center"/>
              <w:rPr>
                <w:rStyle w:val="PageNumber"/>
                <w:sz w:val="20"/>
              </w:rPr>
            </w:pPr>
            <w:r>
              <w:rPr>
                <w:sz w:val="22"/>
              </w:rPr>
              <w:t>P</w:t>
            </w:r>
            <w:r w:rsidRPr="008F038C">
              <w:rPr>
                <w:sz w:val="22"/>
              </w:rPr>
              <w:t xml:space="preserve">age </w:t>
            </w:r>
            <w:r w:rsidRPr="008F038C">
              <w:rPr>
                <w:bCs/>
                <w:sz w:val="20"/>
              </w:rPr>
              <w:fldChar w:fldCharType="begin"/>
            </w:r>
            <w:r w:rsidRPr="008F038C">
              <w:rPr>
                <w:bCs/>
                <w:sz w:val="20"/>
              </w:rPr>
              <w:instrText xml:space="preserve"> PAGE </w:instrText>
            </w:r>
            <w:r w:rsidRPr="008F038C">
              <w:rPr>
                <w:bCs/>
                <w:sz w:val="20"/>
              </w:rPr>
              <w:fldChar w:fldCharType="separate"/>
            </w:r>
            <w:r w:rsidR="00DA2BA5">
              <w:rPr>
                <w:bCs/>
                <w:noProof/>
                <w:sz w:val="20"/>
              </w:rPr>
              <w:t>11</w:t>
            </w:r>
            <w:r w:rsidRPr="008F038C">
              <w:rPr>
                <w:bCs/>
                <w:sz w:val="20"/>
              </w:rPr>
              <w:fldChar w:fldCharType="end"/>
            </w:r>
            <w:r w:rsidRPr="008F038C">
              <w:rPr>
                <w:sz w:val="22"/>
              </w:rPr>
              <w:t xml:space="preserve"> of </w:t>
            </w:r>
            <w:r w:rsidRPr="008F038C">
              <w:rPr>
                <w:bCs/>
                <w:sz w:val="20"/>
              </w:rPr>
              <w:fldChar w:fldCharType="begin"/>
            </w:r>
            <w:r w:rsidRPr="008F038C">
              <w:rPr>
                <w:bCs/>
                <w:sz w:val="20"/>
              </w:rPr>
              <w:instrText xml:space="preserve"> NUMPAGES  </w:instrText>
            </w:r>
            <w:r w:rsidRPr="008F038C">
              <w:rPr>
                <w:bCs/>
                <w:sz w:val="20"/>
              </w:rPr>
              <w:fldChar w:fldCharType="separate"/>
            </w:r>
            <w:r w:rsidR="00DA2BA5">
              <w:rPr>
                <w:bCs/>
                <w:noProof/>
                <w:sz w:val="20"/>
              </w:rPr>
              <w:t>11</w:t>
            </w:r>
            <w:r w:rsidRPr="008F038C">
              <w:rPr>
                <w:bCs/>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22E1F" w14:textId="77777777" w:rsidR="007A5733" w:rsidRDefault="007A5733" w:rsidP="007A5733">
    <w:pPr>
      <w:pStyle w:val="Footer"/>
      <w:jc w:val="center"/>
      <w:rPr>
        <w:rStyle w:val="PageNumber"/>
      </w:rPr>
    </w:pPr>
    <w:r>
      <w:rPr>
        <w:rStyle w:val="PageNumber"/>
      </w:rPr>
      <w:t>Committee-in-Confidence</w:t>
    </w:r>
  </w:p>
  <w:p w14:paraId="3CE6880B" w14:textId="77777777" w:rsidR="00DD188C" w:rsidRDefault="00DD188C"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5EEDE" w14:textId="77777777" w:rsidR="00214013" w:rsidRDefault="00214013" w:rsidP="00A35800">
      <w:r>
        <w:separator/>
      </w:r>
    </w:p>
  </w:footnote>
  <w:footnote w:type="continuationSeparator" w:id="0">
    <w:p w14:paraId="7E2CA1E4" w14:textId="77777777" w:rsidR="00214013" w:rsidRDefault="00214013" w:rsidP="00A35800">
      <w:r>
        <w:continuationSeparator/>
      </w:r>
    </w:p>
  </w:footnote>
  <w:footnote w:id="1">
    <w:p w14:paraId="7CF29032" w14:textId="5E651B69" w:rsidR="004F4C11" w:rsidRDefault="004F4C11" w:rsidP="004F4C11">
      <w:pPr>
        <w:pStyle w:val="FootnoteText"/>
      </w:pPr>
      <w:r>
        <w:rPr>
          <w:rStyle w:val="FootnoteReference"/>
        </w:rPr>
        <w:footnoteRef/>
      </w:r>
      <w:r>
        <w:t xml:space="preserve"> </w:t>
      </w:r>
      <w:r w:rsidRPr="00615F41">
        <w:t>U.S. National Library of Medicine</w:t>
      </w:r>
      <w:r>
        <w:t xml:space="preserve">, National Institutes of Health, </w:t>
      </w:r>
      <w:hyperlink r:id="rId1" w:history="1">
        <w:r w:rsidRPr="00DD5958">
          <w:rPr>
            <w:rStyle w:val="Hyperlink"/>
          </w:rPr>
          <w:t>https://ghr.nlm.nih.gov/condition/tuberous-sclerosis-complex</w:t>
        </w:r>
      </w:hyperlink>
      <w:r>
        <w:t xml:space="preserve"> </w:t>
      </w:r>
    </w:p>
  </w:footnote>
  <w:footnote w:id="2">
    <w:p w14:paraId="0092BC3D" w14:textId="77777777" w:rsidR="004F4C11" w:rsidRDefault="004F4C11" w:rsidP="004F4C11">
      <w:pPr>
        <w:pStyle w:val="FootnoteText"/>
      </w:pPr>
      <w:r>
        <w:rPr>
          <w:rStyle w:val="FootnoteReference"/>
        </w:rPr>
        <w:footnoteRef/>
      </w:r>
      <w:r>
        <w:t xml:space="preserve"> Everolimus (Afinitor®), </w:t>
      </w:r>
      <w:r w:rsidRPr="00DD02D1">
        <w:t>Consumer Medicine Inf</w:t>
      </w:r>
      <w:r>
        <w:t>ormation, Novartis Pharmaceuticals Australia Pty Limited,  North Ryde NSW, June 2015</w:t>
      </w:r>
    </w:p>
  </w:footnote>
  <w:footnote w:id="3">
    <w:p w14:paraId="55452A2A" w14:textId="29D0277C" w:rsidR="00722820" w:rsidRDefault="00722820" w:rsidP="00E902AB">
      <w:pPr>
        <w:spacing w:after="0"/>
      </w:pPr>
      <w:r w:rsidRPr="00E902AB">
        <w:rPr>
          <w:rStyle w:val="FootnoteReference"/>
          <w:sz w:val="18"/>
          <w:szCs w:val="18"/>
        </w:rPr>
        <w:footnoteRef/>
      </w:r>
      <w:r w:rsidRPr="00E902AB">
        <w:rPr>
          <w:sz w:val="18"/>
          <w:szCs w:val="18"/>
        </w:rPr>
        <w:t xml:space="preserve"> </w:t>
      </w:r>
      <w:bookmarkStart w:id="0" w:name="_ENREF_28"/>
      <w:r w:rsidRPr="00722820">
        <w:rPr>
          <w:sz w:val="18"/>
          <w:szCs w:val="20"/>
        </w:rPr>
        <w:t>Hong, C. H., T. N. Darling, et al. (2009). "Prevalence of tuberous sclerosis complex in Taiwan: a national population-based study." Neuroepidemiology 33</w:t>
      </w:r>
      <w:r>
        <w:rPr>
          <w:sz w:val="18"/>
          <w:szCs w:val="20"/>
        </w:rPr>
        <w:t xml:space="preserve">(4), pages </w:t>
      </w:r>
      <w:r w:rsidRPr="00722820">
        <w:rPr>
          <w:sz w:val="18"/>
          <w:szCs w:val="20"/>
        </w:rPr>
        <w:t>335-341.</w:t>
      </w:r>
      <w:bookmarkEnd w:id="0"/>
    </w:p>
  </w:footnote>
  <w:footnote w:id="4">
    <w:p w14:paraId="0D60662E" w14:textId="4DEAA994" w:rsidR="00955CD1" w:rsidRDefault="00955CD1" w:rsidP="00E902AB">
      <w:pPr>
        <w:pStyle w:val="FootnoteText"/>
      </w:pPr>
      <w:r>
        <w:rPr>
          <w:rStyle w:val="FootnoteReference"/>
        </w:rPr>
        <w:footnoteRef/>
      </w:r>
      <w:r>
        <w:t xml:space="preserve"> </w:t>
      </w:r>
      <w:bookmarkStart w:id="1" w:name="_ENREF_11"/>
      <w:r w:rsidRPr="005D11CB">
        <w:t xml:space="preserve">Devlin, L., C. Shepherd, et al. (2006). "Tuberous sclerosis complex: clinical features, diagnosis, and prevalence within Northern Ireland  " </w:t>
      </w:r>
      <w:r w:rsidRPr="00955CD1">
        <w:t>Developmental Medicine &amp; Child Neurology 48</w:t>
      </w:r>
      <w:r>
        <w:t>, pages</w:t>
      </w:r>
      <w:r w:rsidRPr="005D11CB">
        <w:rPr>
          <w:b/>
        </w:rPr>
        <w:t xml:space="preserve"> </w:t>
      </w:r>
      <w:r w:rsidRPr="005D11CB">
        <w:t>495-499.</w:t>
      </w:r>
      <w:bookmarkEnd w:id="1"/>
    </w:p>
  </w:footnote>
  <w:footnote w:id="5">
    <w:p w14:paraId="2ED9B1BD" w14:textId="2C062182" w:rsidR="00955CD1" w:rsidRDefault="00955CD1">
      <w:pPr>
        <w:pStyle w:val="FootnoteText"/>
      </w:pPr>
      <w:r>
        <w:rPr>
          <w:rStyle w:val="FootnoteReference"/>
        </w:rPr>
        <w:footnoteRef/>
      </w:r>
      <w:r>
        <w:t xml:space="preserve"> </w:t>
      </w:r>
      <w:r w:rsidRPr="00955CD1">
        <w:t xml:space="preserve">Adriensen, M. E., C. M. Schaefer-Prokop, et al. (2009). "Prevalence of subependymal giant cell tumors in patients with tuberous sclerosis and a review of the literature." Eur J Neurol 16(6): </w:t>
      </w:r>
      <w:r>
        <w:t xml:space="preserve">pages </w:t>
      </w:r>
      <w:r w:rsidRPr="00955CD1">
        <w:t>691-696.</w:t>
      </w:r>
    </w:p>
  </w:footnote>
  <w:footnote w:id="6">
    <w:p w14:paraId="4F2B9BE9" w14:textId="77777777" w:rsidR="0037276D" w:rsidRPr="00BC5AE2" w:rsidRDefault="0037276D" w:rsidP="0037276D">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Medicare. Canberra. Available from &lt;</w:t>
      </w:r>
      <w:hyperlink r:id="rId2" w:history="1">
        <w:r>
          <w:rPr>
            <w:rStyle w:val="Hyperlink"/>
            <w:sz w:val="20"/>
          </w:rPr>
          <w:t>http://www.medicareaustralia.gov.au/provider/pbs/stats.jsp</w:t>
        </w:r>
      </w:hyperlink>
      <w:r>
        <w:rPr>
          <w:sz w:val="20"/>
        </w:rPr>
        <w:t>&gt;.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E492DC4"/>
    <w:multiLevelType w:val="hybridMultilevel"/>
    <w:tmpl w:val="02503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72880EB7"/>
    <w:multiLevelType w:val="hybridMultilevel"/>
    <w:tmpl w:val="E60CD7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7FE6719E"/>
    <w:multiLevelType w:val="hybridMultilevel"/>
    <w:tmpl w:val="327AE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3032"/>
    <w:rsid w:val="00007E85"/>
    <w:rsid w:val="00011460"/>
    <w:rsid w:val="00013465"/>
    <w:rsid w:val="000226B3"/>
    <w:rsid w:val="00024549"/>
    <w:rsid w:val="00026728"/>
    <w:rsid w:val="00037EDC"/>
    <w:rsid w:val="00054295"/>
    <w:rsid w:val="000544B6"/>
    <w:rsid w:val="000571DD"/>
    <w:rsid w:val="000604AF"/>
    <w:rsid w:val="0006156C"/>
    <w:rsid w:val="00064FF6"/>
    <w:rsid w:val="00086C11"/>
    <w:rsid w:val="00094DCF"/>
    <w:rsid w:val="000A6CFD"/>
    <w:rsid w:val="000B0982"/>
    <w:rsid w:val="000B796C"/>
    <w:rsid w:val="000C46BB"/>
    <w:rsid w:val="000C4D9D"/>
    <w:rsid w:val="000C7C4B"/>
    <w:rsid w:val="000C7D8B"/>
    <w:rsid w:val="000D0FEC"/>
    <w:rsid w:val="000E485D"/>
    <w:rsid w:val="000E72C6"/>
    <w:rsid w:val="000F16DE"/>
    <w:rsid w:val="000F1893"/>
    <w:rsid w:val="000F2F51"/>
    <w:rsid w:val="00113CF8"/>
    <w:rsid w:val="00113D74"/>
    <w:rsid w:val="001170A5"/>
    <w:rsid w:val="00117C5C"/>
    <w:rsid w:val="00121995"/>
    <w:rsid w:val="001310AE"/>
    <w:rsid w:val="001420B3"/>
    <w:rsid w:val="001460C4"/>
    <w:rsid w:val="0015691C"/>
    <w:rsid w:val="001621F7"/>
    <w:rsid w:val="001624D7"/>
    <w:rsid w:val="00177B86"/>
    <w:rsid w:val="00182585"/>
    <w:rsid w:val="00184CED"/>
    <w:rsid w:val="00191182"/>
    <w:rsid w:val="0019664D"/>
    <w:rsid w:val="001A6103"/>
    <w:rsid w:val="001B5D37"/>
    <w:rsid w:val="001C2940"/>
    <w:rsid w:val="001C4016"/>
    <w:rsid w:val="001C548D"/>
    <w:rsid w:val="001C6A5D"/>
    <w:rsid w:val="001E31A6"/>
    <w:rsid w:val="001E42C7"/>
    <w:rsid w:val="001E4CAB"/>
    <w:rsid w:val="001E62C0"/>
    <w:rsid w:val="001E69DF"/>
    <w:rsid w:val="001F2F3E"/>
    <w:rsid w:val="001F4906"/>
    <w:rsid w:val="001F7C4A"/>
    <w:rsid w:val="0020578A"/>
    <w:rsid w:val="00207631"/>
    <w:rsid w:val="00211B4F"/>
    <w:rsid w:val="00214013"/>
    <w:rsid w:val="00220FC1"/>
    <w:rsid w:val="00222E9A"/>
    <w:rsid w:val="0023179D"/>
    <w:rsid w:val="0023629F"/>
    <w:rsid w:val="0025389D"/>
    <w:rsid w:val="00254E02"/>
    <w:rsid w:val="00260957"/>
    <w:rsid w:val="0026265F"/>
    <w:rsid w:val="002803CF"/>
    <w:rsid w:val="00281ACC"/>
    <w:rsid w:val="0028526F"/>
    <w:rsid w:val="00286C3A"/>
    <w:rsid w:val="002930F5"/>
    <w:rsid w:val="00295457"/>
    <w:rsid w:val="002A06B7"/>
    <w:rsid w:val="002A09A1"/>
    <w:rsid w:val="002A29D8"/>
    <w:rsid w:val="002A518F"/>
    <w:rsid w:val="002B3ADF"/>
    <w:rsid w:val="002C586E"/>
    <w:rsid w:val="002C6E0C"/>
    <w:rsid w:val="002D144A"/>
    <w:rsid w:val="002D5E2B"/>
    <w:rsid w:val="002E19A3"/>
    <w:rsid w:val="002E212B"/>
    <w:rsid w:val="002E3337"/>
    <w:rsid w:val="002E6D03"/>
    <w:rsid w:val="002F49A8"/>
    <w:rsid w:val="002F5E66"/>
    <w:rsid w:val="002F61CA"/>
    <w:rsid w:val="0030010D"/>
    <w:rsid w:val="0033504C"/>
    <w:rsid w:val="00336816"/>
    <w:rsid w:val="003370D0"/>
    <w:rsid w:val="00337355"/>
    <w:rsid w:val="003402E4"/>
    <w:rsid w:val="00340F95"/>
    <w:rsid w:val="003531ED"/>
    <w:rsid w:val="00354891"/>
    <w:rsid w:val="00360B9A"/>
    <w:rsid w:val="003703E0"/>
    <w:rsid w:val="0037276D"/>
    <w:rsid w:val="00373BB0"/>
    <w:rsid w:val="0039017F"/>
    <w:rsid w:val="00394AEE"/>
    <w:rsid w:val="003A5E0A"/>
    <w:rsid w:val="003C0A53"/>
    <w:rsid w:val="003C2D98"/>
    <w:rsid w:val="003D3A96"/>
    <w:rsid w:val="003D3B9C"/>
    <w:rsid w:val="003F101C"/>
    <w:rsid w:val="00404F03"/>
    <w:rsid w:val="00412051"/>
    <w:rsid w:val="00423B94"/>
    <w:rsid w:val="00424ECA"/>
    <w:rsid w:val="004574C8"/>
    <w:rsid w:val="00461B69"/>
    <w:rsid w:val="00463731"/>
    <w:rsid w:val="0046400A"/>
    <w:rsid w:val="00467B25"/>
    <w:rsid w:val="00472E3A"/>
    <w:rsid w:val="00480979"/>
    <w:rsid w:val="00481108"/>
    <w:rsid w:val="0049042B"/>
    <w:rsid w:val="00495473"/>
    <w:rsid w:val="004967E5"/>
    <w:rsid w:val="004971D0"/>
    <w:rsid w:val="004A458E"/>
    <w:rsid w:val="004A614E"/>
    <w:rsid w:val="004B23E7"/>
    <w:rsid w:val="004B306F"/>
    <w:rsid w:val="004C3186"/>
    <w:rsid w:val="004C5042"/>
    <w:rsid w:val="004D0203"/>
    <w:rsid w:val="004D3502"/>
    <w:rsid w:val="004E4422"/>
    <w:rsid w:val="004F4C11"/>
    <w:rsid w:val="00503998"/>
    <w:rsid w:val="0050623B"/>
    <w:rsid w:val="00506BA1"/>
    <w:rsid w:val="00523181"/>
    <w:rsid w:val="00524D13"/>
    <w:rsid w:val="005339F6"/>
    <w:rsid w:val="005548F3"/>
    <w:rsid w:val="00570A8F"/>
    <w:rsid w:val="00576B18"/>
    <w:rsid w:val="0058229E"/>
    <w:rsid w:val="0058526A"/>
    <w:rsid w:val="00587724"/>
    <w:rsid w:val="00591512"/>
    <w:rsid w:val="00595870"/>
    <w:rsid w:val="005A52BE"/>
    <w:rsid w:val="005B2D91"/>
    <w:rsid w:val="005B48B4"/>
    <w:rsid w:val="005C6661"/>
    <w:rsid w:val="005C6E3B"/>
    <w:rsid w:val="005D474B"/>
    <w:rsid w:val="005E085C"/>
    <w:rsid w:val="005E12F1"/>
    <w:rsid w:val="005E147D"/>
    <w:rsid w:val="005E22C2"/>
    <w:rsid w:val="005E57BB"/>
    <w:rsid w:val="005F0017"/>
    <w:rsid w:val="006014F1"/>
    <w:rsid w:val="00611A64"/>
    <w:rsid w:val="0061357B"/>
    <w:rsid w:val="00614A7D"/>
    <w:rsid w:val="00615F41"/>
    <w:rsid w:val="0062078E"/>
    <w:rsid w:val="0063631C"/>
    <w:rsid w:val="0063757B"/>
    <w:rsid w:val="006377CE"/>
    <w:rsid w:val="006537D9"/>
    <w:rsid w:val="00664A48"/>
    <w:rsid w:val="00665DEF"/>
    <w:rsid w:val="00671523"/>
    <w:rsid w:val="00675BB1"/>
    <w:rsid w:val="006775F1"/>
    <w:rsid w:val="00687596"/>
    <w:rsid w:val="00690EE1"/>
    <w:rsid w:val="00692AA7"/>
    <w:rsid w:val="00697FEC"/>
    <w:rsid w:val="006A175F"/>
    <w:rsid w:val="006A44F5"/>
    <w:rsid w:val="006A4A5B"/>
    <w:rsid w:val="006B1FBE"/>
    <w:rsid w:val="006B4537"/>
    <w:rsid w:val="006B5F85"/>
    <w:rsid w:val="006B6929"/>
    <w:rsid w:val="006B709B"/>
    <w:rsid w:val="006C54AF"/>
    <w:rsid w:val="006E0181"/>
    <w:rsid w:val="00700C0E"/>
    <w:rsid w:val="00705DAD"/>
    <w:rsid w:val="00722820"/>
    <w:rsid w:val="007247B9"/>
    <w:rsid w:val="00727D85"/>
    <w:rsid w:val="007346C7"/>
    <w:rsid w:val="00736041"/>
    <w:rsid w:val="007408C7"/>
    <w:rsid w:val="007421DA"/>
    <w:rsid w:val="007427E4"/>
    <w:rsid w:val="007465DA"/>
    <w:rsid w:val="00752C7F"/>
    <w:rsid w:val="00756280"/>
    <w:rsid w:val="00776598"/>
    <w:rsid w:val="00792948"/>
    <w:rsid w:val="007957B2"/>
    <w:rsid w:val="00796E84"/>
    <w:rsid w:val="007A3ADE"/>
    <w:rsid w:val="007A5733"/>
    <w:rsid w:val="007A5774"/>
    <w:rsid w:val="007D54E9"/>
    <w:rsid w:val="007F3B7D"/>
    <w:rsid w:val="007F6865"/>
    <w:rsid w:val="00801E74"/>
    <w:rsid w:val="0080485E"/>
    <w:rsid w:val="0080676F"/>
    <w:rsid w:val="008142B4"/>
    <w:rsid w:val="00814FDE"/>
    <w:rsid w:val="00823C97"/>
    <w:rsid w:val="00832324"/>
    <w:rsid w:val="00835337"/>
    <w:rsid w:val="008406D8"/>
    <w:rsid w:val="00846DCD"/>
    <w:rsid w:val="00851D85"/>
    <w:rsid w:val="00860CCB"/>
    <w:rsid w:val="008740A3"/>
    <w:rsid w:val="008863ED"/>
    <w:rsid w:val="0089297B"/>
    <w:rsid w:val="00896792"/>
    <w:rsid w:val="008C1B70"/>
    <w:rsid w:val="008C1C64"/>
    <w:rsid w:val="008C36CA"/>
    <w:rsid w:val="008E3F8C"/>
    <w:rsid w:val="008F038C"/>
    <w:rsid w:val="008F0B32"/>
    <w:rsid w:val="00902372"/>
    <w:rsid w:val="00902FD0"/>
    <w:rsid w:val="009053D3"/>
    <w:rsid w:val="0090618E"/>
    <w:rsid w:val="0090691F"/>
    <w:rsid w:val="00910792"/>
    <w:rsid w:val="0091503E"/>
    <w:rsid w:val="00924AEF"/>
    <w:rsid w:val="0093111F"/>
    <w:rsid w:val="00935689"/>
    <w:rsid w:val="0095303B"/>
    <w:rsid w:val="00953DA4"/>
    <w:rsid w:val="00955CD1"/>
    <w:rsid w:val="00964A29"/>
    <w:rsid w:val="009663B6"/>
    <w:rsid w:val="00967EC3"/>
    <w:rsid w:val="00974A47"/>
    <w:rsid w:val="0097563F"/>
    <w:rsid w:val="00980286"/>
    <w:rsid w:val="00990DCF"/>
    <w:rsid w:val="009A4CD6"/>
    <w:rsid w:val="009A537C"/>
    <w:rsid w:val="009A7240"/>
    <w:rsid w:val="009B7E87"/>
    <w:rsid w:val="009C0886"/>
    <w:rsid w:val="009C19EE"/>
    <w:rsid w:val="009C28D0"/>
    <w:rsid w:val="009C35F2"/>
    <w:rsid w:val="009C7782"/>
    <w:rsid w:val="009D1ED5"/>
    <w:rsid w:val="009D4C13"/>
    <w:rsid w:val="009D697B"/>
    <w:rsid w:val="009E21A7"/>
    <w:rsid w:val="00A103ED"/>
    <w:rsid w:val="00A13C60"/>
    <w:rsid w:val="00A15233"/>
    <w:rsid w:val="00A25D22"/>
    <w:rsid w:val="00A341A3"/>
    <w:rsid w:val="00A35800"/>
    <w:rsid w:val="00A40F88"/>
    <w:rsid w:val="00A52918"/>
    <w:rsid w:val="00A547B3"/>
    <w:rsid w:val="00A66429"/>
    <w:rsid w:val="00A70E82"/>
    <w:rsid w:val="00A769B9"/>
    <w:rsid w:val="00A84CAD"/>
    <w:rsid w:val="00A90E50"/>
    <w:rsid w:val="00A95FA5"/>
    <w:rsid w:val="00A96D92"/>
    <w:rsid w:val="00AB3733"/>
    <w:rsid w:val="00AB7897"/>
    <w:rsid w:val="00AC4CF4"/>
    <w:rsid w:val="00AC5054"/>
    <w:rsid w:val="00AE4BAC"/>
    <w:rsid w:val="00AE6270"/>
    <w:rsid w:val="00AF70C5"/>
    <w:rsid w:val="00B034FC"/>
    <w:rsid w:val="00B04242"/>
    <w:rsid w:val="00B05310"/>
    <w:rsid w:val="00B10A0B"/>
    <w:rsid w:val="00B30142"/>
    <w:rsid w:val="00B30D85"/>
    <w:rsid w:val="00B35A4A"/>
    <w:rsid w:val="00B3751D"/>
    <w:rsid w:val="00B42DE2"/>
    <w:rsid w:val="00B45D18"/>
    <w:rsid w:val="00B63FD7"/>
    <w:rsid w:val="00B67ADF"/>
    <w:rsid w:val="00B816D9"/>
    <w:rsid w:val="00B9120F"/>
    <w:rsid w:val="00B9216C"/>
    <w:rsid w:val="00B924A4"/>
    <w:rsid w:val="00BA1343"/>
    <w:rsid w:val="00BA6782"/>
    <w:rsid w:val="00BB0D1A"/>
    <w:rsid w:val="00BB1D3B"/>
    <w:rsid w:val="00BC35ED"/>
    <w:rsid w:val="00BD0989"/>
    <w:rsid w:val="00BE205A"/>
    <w:rsid w:val="00BE3802"/>
    <w:rsid w:val="00BF238E"/>
    <w:rsid w:val="00BF2F4A"/>
    <w:rsid w:val="00BF544D"/>
    <w:rsid w:val="00C0076F"/>
    <w:rsid w:val="00C0301C"/>
    <w:rsid w:val="00C050B6"/>
    <w:rsid w:val="00C10F12"/>
    <w:rsid w:val="00C16BDE"/>
    <w:rsid w:val="00C245EA"/>
    <w:rsid w:val="00C256F6"/>
    <w:rsid w:val="00C3097E"/>
    <w:rsid w:val="00C31DB6"/>
    <w:rsid w:val="00C35ECC"/>
    <w:rsid w:val="00C361A8"/>
    <w:rsid w:val="00C41246"/>
    <w:rsid w:val="00C45E5F"/>
    <w:rsid w:val="00C46291"/>
    <w:rsid w:val="00C63412"/>
    <w:rsid w:val="00C676FB"/>
    <w:rsid w:val="00C714D0"/>
    <w:rsid w:val="00C87307"/>
    <w:rsid w:val="00C90EF4"/>
    <w:rsid w:val="00CA015A"/>
    <w:rsid w:val="00CB6F88"/>
    <w:rsid w:val="00CC1AA3"/>
    <w:rsid w:val="00CC6D1E"/>
    <w:rsid w:val="00CD28EC"/>
    <w:rsid w:val="00CD4486"/>
    <w:rsid w:val="00CF5E22"/>
    <w:rsid w:val="00D06A44"/>
    <w:rsid w:val="00D151EB"/>
    <w:rsid w:val="00D15276"/>
    <w:rsid w:val="00D17BFE"/>
    <w:rsid w:val="00D300E0"/>
    <w:rsid w:val="00D374CD"/>
    <w:rsid w:val="00D650CE"/>
    <w:rsid w:val="00D71719"/>
    <w:rsid w:val="00D776DA"/>
    <w:rsid w:val="00D8758B"/>
    <w:rsid w:val="00D942B3"/>
    <w:rsid w:val="00D94863"/>
    <w:rsid w:val="00DA2BA5"/>
    <w:rsid w:val="00DA7D09"/>
    <w:rsid w:val="00DC2630"/>
    <w:rsid w:val="00DC49E9"/>
    <w:rsid w:val="00DC55E4"/>
    <w:rsid w:val="00DC69CF"/>
    <w:rsid w:val="00DC7D71"/>
    <w:rsid w:val="00DD02D1"/>
    <w:rsid w:val="00DD188C"/>
    <w:rsid w:val="00DD29A3"/>
    <w:rsid w:val="00DD48EE"/>
    <w:rsid w:val="00DE0B96"/>
    <w:rsid w:val="00DE10B9"/>
    <w:rsid w:val="00DE2487"/>
    <w:rsid w:val="00DF0B13"/>
    <w:rsid w:val="00DF2EB8"/>
    <w:rsid w:val="00DF4A94"/>
    <w:rsid w:val="00DF6003"/>
    <w:rsid w:val="00E00095"/>
    <w:rsid w:val="00E066C3"/>
    <w:rsid w:val="00E06A79"/>
    <w:rsid w:val="00E07D82"/>
    <w:rsid w:val="00E10722"/>
    <w:rsid w:val="00E10D8C"/>
    <w:rsid w:val="00E1353A"/>
    <w:rsid w:val="00E1564B"/>
    <w:rsid w:val="00E208A0"/>
    <w:rsid w:val="00E25B49"/>
    <w:rsid w:val="00E371EA"/>
    <w:rsid w:val="00E630A1"/>
    <w:rsid w:val="00E64429"/>
    <w:rsid w:val="00E677DD"/>
    <w:rsid w:val="00E70E95"/>
    <w:rsid w:val="00E7594B"/>
    <w:rsid w:val="00E902AB"/>
    <w:rsid w:val="00EA3735"/>
    <w:rsid w:val="00EB4688"/>
    <w:rsid w:val="00EB5F8A"/>
    <w:rsid w:val="00EB6C07"/>
    <w:rsid w:val="00EB7F7A"/>
    <w:rsid w:val="00EC028D"/>
    <w:rsid w:val="00ED39FB"/>
    <w:rsid w:val="00ED633B"/>
    <w:rsid w:val="00EE02EC"/>
    <w:rsid w:val="00EE2B2E"/>
    <w:rsid w:val="00EE478C"/>
    <w:rsid w:val="00EE4A9A"/>
    <w:rsid w:val="00EF5DDA"/>
    <w:rsid w:val="00F05707"/>
    <w:rsid w:val="00F1132C"/>
    <w:rsid w:val="00F15DD5"/>
    <w:rsid w:val="00F17D4B"/>
    <w:rsid w:val="00F23139"/>
    <w:rsid w:val="00F66CD5"/>
    <w:rsid w:val="00F67A9A"/>
    <w:rsid w:val="00F70F4E"/>
    <w:rsid w:val="00F73113"/>
    <w:rsid w:val="00F75FC4"/>
    <w:rsid w:val="00F85981"/>
    <w:rsid w:val="00F87263"/>
    <w:rsid w:val="00F91AA2"/>
    <w:rsid w:val="00F93725"/>
    <w:rsid w:val="00FA4890"/>
    <w:rsid w:val="00FA7F5F"/>
    <w:rsid w:val="00FB77FA"/>
    <w:rsid w:val="00FC3C70"/>
    <w:rsid w:val="00FC4A73"/>
    <w:rsid w:val="00FC559C"/>
    <w:rsid w:val="00FC7F0D"/>
    <w:rsid w:val="00FE1848"/>
    <w:rsid w:val="00FE645A"/>
    <w:rsid w:val="00FF17F7"/>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FollowedHyperlink">
    <w:name w:val="FollowedHyperlink"/>
    <w:basedOn w:val="DefaultParagraphFont"/>
    <w:uiPriority w:val="99"/>
    <w:semiHidden/>
    <w:unhideWhenUsed/>
    <w:rsid w:val="00E902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FollowedHyperlink">
    <w:name w:val="FollowedHyperlink"/>
    <w:basedOn w:val="DefaultParagraphFont"/>
    <w:uiPriority w:val="99"/>
    <w:semiHidden/>
    <w:unhideWhenUsed/>
    <w:rsid w:val="00E902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773787723">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300963803">
      <w:bodyDiv w:val="1"/>
      <w:marLeft w:val="0"/>
      <w:marRight w:val="0"/>
      <w:marTop w:val="0"/>
      <w:marBottom w:val="0"/>
      <w:divBdr>
        <w:top w:val="none" w:sz="0" w:space="0" w:color="auto"/>
        <w:left w:val="none" w:sz="0" w:space="0" w:color="auto"/>
        <w:bottom w:val="none" w:sz="0" w:space="0" w:color="auto"/>
        <w:right w:val="none" w:sz="0" w:space="0" w:color="auto"/>
      </w:divBdr>
    </w:div>
    <w:div w:id="144961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gov.au/info/industry/listing/elements/pbac-meetings/psd/2013-04/everolim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bs.gov.au/pbs/hom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s.gov.au/pbs/hom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ga.gov.au/consumers/information-medicines-cmi.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tga.gov.au/hp/information-medicines-pi.htm" TargetMode="External"/><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2" Type="http://schemas.openxmlformats.org/officeDocument/2006/relationships/hyperlink" Target="http://www.medicareaustralia.gov.au/provider/pbs/stats.jsp" TargetMode="External"/><Relationship Id="rId1" Type="http://schemas.openxmlformats.org/officeDocument/2006/relationships/hyperlink" Target="https://ghr.nlm.nih.gov/condition/tuberous-sclerosis-comple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GroupData\Sites\CO1\CO\PBD\PEB\EVAL\DUSC\DUSC%20Database%20and%20other%20utilisation%20data\Data%20Requests\Requests%202016\D979-%20Everolimus%20PvA\TSC\INCIDENT%20PREVALENT%20QT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Initiating patients</c:v>
                </c:pt>
              </c:strCache>
            </c:strRef>
          </c:tx>
          <c:marker>
            <c:symbol val="none"/>
          </c:marker>
          <c:cat>
            <c:strRef>
              <c:f>Sheet1!$A$2:$A$13</c:f>
              <c:strCache>
                <c:ptCount val="12"/>
                <c:pt idx="0">
                  <c:v>2013Q4</c:v>
                </c:pt>
                <c:pt idx="1">
                  <c:v>2014Q1</c:v>
                </c:pt>
                <c:pt idx="2">
                  <c:v>2014Q2</c:v>
                </c:pt>
                <c:pt idx="3">
                  <c:v>2014Q3</c:v>
                </c:pt>
                <c:pt idx="4">
                  <c:v>2014Q4</c:v>
                </c:pt>
                <c:pt idx="5">
                  <c:v>2015Q1</c:v>
                </c:pt>
                <c:pt idx="6">
                  <c:v>2015Q2</c:v>
                </c:pt>
                <c:pt idx="7">
                  <c:v>2015Q3</c:v>
                </c:pt>
                <c:pt idx="8">
                  <c:v>2015Q4</c:v>
                </c:pt>
                <c:pt idx="9">
                  <c:v>2016Q1</c:v>
                </c:pt>
                <c:pt idx="10">
                  <c:v>2016Q2</c:v>
                </c:pt>
                <c:pt idx="11">
                  <c:v>2016Q3</c:v>
                </c:pt>
              </c:strCache>
            </c:strRef>
          </c:cat>
          <c:val>
            <c:numRef>
              <c:f>Sheet1!$B$2:$B$13</c:f>
              <c:numCache>
                <c:formatCode>General</c:formatCode>
                <c:ptCount val="12"/>
                <c:pt idx="0">
                  <c:v>15</c:v>
                </c:pt>
                <c:pt idx="1">
                  <c:v>18</c:v>
                </c:pt>
                <c:pt idx="2">
                  <c:v>27</c:v>
                </c:pt>
                <c:pt idx="3">
                  <c:v>23</c:v>
                </c:pt>
                <c:pt idx="4">
                  <c:v>23</c:v>
                </c:pt>
                <c:pt idx="5">
                  <c:v>23</c:v>
                </c:pt>
                <c:pt idx="6">
                  <c:v>57</c:v>
                </c:pt>
                <c:pt idx="7">
                  <c:v>42</c:v>
                </c:pt>
                <c:pt idx="8">
                  <c:v>29</c:v>
                </c:pt>
                <c:pt idx="9">
                  <c:v>32</c:v>
                </c:pt>
                <c:pt idx="10">
                  <c:v>20</c:v>
                </c:pt>
                <c:pt idx="11">
                  <c:v>13</c:v>
                </c:pt>
              </c:numCache>
            </c:numRef>
          </c:val>
          <c:smooth val="0"/>
        </c:ser>
        <c:ser>
          <c:idx val="1"/>
          <c:order val="1"/>
          <c:tx>
            <c:strRef>
              <c:f>Sheet1!$C$1</c:f>
              <c:strCache>
                <c:ptCount val="1"/>
                <c:pt idx="0">
                  <c:v>Treated patients</c:v>
                </c:pt>
              </c:strCache>
            </c:strRef>
          </c:tx>
          <c:marker>
            <c:symbol val="none"/>
          </c:marker>
          <c:cat>
            <c:strRef>
              <c:f>Sheet1!$A$2:$A$13</c:f>
              <c:strCache>
                <c:ptCount val="12"/>
                <c:pt idx="0">
                  <c:v>2013Q4</c:v>
                </c:pt>
                <c:pt idx="1">
                  <c:v>2014Q1</c:v>
                </c:pt>
                <c:pt idx="2">
                  <c:v>2014Q2</c:v>
                </c:pt>
                <c:pt idx="3">
                  <c:v>2014Q3</c:v>
                </c:pt>
                <c:pt idx="4">
                  <c:v>2014Q4</c:v>
                </c:pt>
                <c:pt idx="5">
                  <c:v>2015Q1</c:v>
                </c:pt>
                <c:pt idx="6">
                  <c:v>2015Q2</c:v>
                </c:pt>
                <c:pt idx="7">
                  <c:v>2015Q3</c:v>
                </c:pt>
                <c:pt idx="8">
                  <c:v>2015Q4</c:v>
                </c:pt>
                <c:pt idx="9">
                  <c:v>2016Q1</c:v>
                </c:pt>
                <c:pt idx="10">
                  <c:v>2016Q2</c:v>
                </c:pt>
                <c:pt idx="11">
                  <c:v>2016Q3</c:v>
                </c:pt>
              </c:strCache>
            </c:strRef>
          </c:cat>
          <c:val>
            <c:numRef>
              <c:f>Sheet1!$C$2:$C$13</c:f>
              <c:numCache>
                <c:formatCode>General</c:formatCode>
                <c:ptCount val="12"/>
                <c:pt idx="0">
                  <c:v>15</c:v>
                </c:pt>
                <c:pt idx="1">
                  <c:v>32</c:v>
                </c:pt>
                <c:pt idx="2">
                  <c:v>57</c:v>
                </c:pt>
                <c:pt idx="3">
                  <c:v>76</c:v>
                </c:pt>
                <c:pt idx="4">
                  <c:v>89</c:v>
                </c:pt>
                <c:pt idx="5">
                  <c:v>91</c:v>
                </c:pt>
                <c:pt idx="6">
                  <c:v>135</c:v>
                </c:pt>
                <c:pt idx="7">
                  <c:v>148</c:v>
                </c:pt>
                <c:pt idx="8">
                  <c:v>148</c:v>
                </c:pt>
                <c:pt idx="9">
                  <c:v>137</c:v>
                </c:pt>
                <c:pt idx="10">
                  <c:v>133</c:v>
                </c:pt>
                <c:pt idx="11">
                  <c:v>113</c:v>
                </c:pt>
              </c:numCache>
            </c:numRef>
          </c:val>
          <c:smooth val="0"/>
        </c:ser>
        <c:dLbls>
          <c:showLegendKey val="0"/>
          <c:showVal val="0"/>
          <c:showCatName val="0"/>
          <c:showSerName val="0"/>
          <c:showPercent val="0"/>
          <c:showBubbleSize val="0"/>
        </c:dLbls>
        <c:marker val="1"/>
        <c:smooth val="0"/>
        <c:axId val="737047680"/>
        <c:axId val="737049216"/>
      </c:lineChart>
      <c:catAx>
        <c:axId val="737047680"/>
        <c:scaling>
          <c:orientation val="minMax"/>
        </c:scaling>
        <c:delete val="0"/>
        <c:axPos val="b"/>
        <c:majorTickMark val="out"/>
        <c:minorTickMark val="none"/>
        <c:tickLblPos val="nextTo"/>
        <c:crossAx val="737049216"/>
        <c:crosses val="autoZero"/>
        <c:auto val="1"/>
        <c:lblAlgn val="ctr"/>
        <c:lblOffset val="100"/>
        <c:noMultiLvlLbl val="0"/>
      </c:catAx>
      <c:valAx>
        <c:axId val="737049216"/>
        <c:scaling>
          <c:orientation val="minMax"/>
        </c:scaling>
        <c:delete val="0"/>
        <c:axPos val="l"/>
        <c:majorGridlines/>
        <c:numFmt formatCode="General" sourceLinked="1"/>
        <c:majorTickMark val="out"/>
        <c:minorTickMark val="none"/>
        <c:tickLblPos val="nextTo"/>
        <c:crossAx val="737047680"/>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64C2E-8664-44E4-8950-F1786EB11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2017-05-11T02:20:00Z</dcterms:created>
  <dcterms:modified xsi:type="dcterms:W3CDTF">2017-06-20T00:01:00Z</dcterms:modified>
</cp:coreProperties>
</file>